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B431C" w14:textId="4039890B" w:rsidR="00C626D7" w:rsidRPr="00A903EA" w:rsidRDefault="00552386" w:rsidP="00B3093D">
      <w:pPr>
        <w:pStyle w:val="Heading1"/>
      </w:pPr>
      <w:r>
        <w:t>4</w:t>
      </w:r>
      <w:r w:rsidR="00262768" w:rsidRPr="00CA7632">
        <w:t>.</w:t>
      </w:r>
      <w:r w:rsidR="00262768" w:rsidRPr="00CA7632">
        <w:tab/>
      </w:r>
      <w:r>
        <w:t>revenue</w:t>
      </w:r>
    </w:p>
    <w:tbl>
      <w:tblPr>
        <w:tblStyle w:val="Focusbox"/>
        <w:tblW w:w="0" w:type="auto"/>
        <w:tblLook w:val="04A0" w:firstRow="1" w:lastRow="0" w:firstColumn="1" w:lastColumn="0" w:noHBand="0" w:noVBand="1"/>
        <w:tblCaption w:val="4. Revenue - Focus box"/>
        <w:tblDescription w:val="4. Revenue - Focus box"/>
      </w:tblPr>
      <w:tblGrid>
        <w:gridCol w:w="9629"/>
      </w:tblGrid>
      <w:tr w:rsidR="00552386" w14:paraId="78326630" w14:textId="77777777" w:rsidTr="1ED9FEAA">
        <w:trPr>
          <w:trHeight w:val="2646"/>
        </w:trPr>
        <w:tc>
          <w:tcPr>
            <w:tcW w:w="9629" w:type="dxa"/>
          </w:tcPr>
          <w:p w14:paraId="4B4BE1B1" w14:textId="3B6D589F" w:rsidR="00FB52D1" w:rsidRDefault="5F024ED6" w:rsidP="00E4551D">
            <w:pPr>
              <w:pStyle w:val="Bullet1"/>
            </w:pPr>
            <w:r>
              <w:t>E</w:t>
            </w:r>
            <w:r w:rsidRPr="0039693F">
              <w:t xml:space="preserve">stimated </w:t>
            </w:r>
            <w:r w:rsidR="00EF3922">
              <w:t>S</w:t>
            </w:r>
            <w:r w:rsidRPr="0039693F">
              <w:t xml:space="preserve">tate revenue has been revised </w:t>
            </w:r>
            <w:r w:rsidR="00A91715">
              <w:t>up</w:t>
            </w:r>
            <w:r w:rsidR="00A91715" w:rsidRPr="0039693F">
              <w:t xml:space="preserve"> </w:t>
            </w:r>
            <w:r w:rsidRPr="0039693F">
              <w:t>by</w:t>
            </w:r>
            <w:r>
              <w:t xml:space="preserve"> </w:t>
            </w:r>
            <w:r w:rsidRPr="0039693F">
              <w:t>$</w:t>
            </w:r>
            <w:r w:rsidR="00C07D72" w:rsidRPr="00813871">
              <w:t>14.</w:t>
            </w:r>
            <w:r w:rsidR="009304C2">
              <w:t>0</w:t>
            </w:r>
            <w:r w:rsidRPr="007D1B31" w:rsidDel="00323376">
              <w:t xml:space="preserve"> </w:t>
            </w:r>
            <w:r w:rsidRPr="0039693F">
              <w:t>billion over the four years to 2026</w:t>
            </w:r>
            <w:r w:rsidR="00BE76DD">
              <w:noBreakHyphen/>
            </w:r>
            <w:r w:rsidR="00CD65E6">
              <w:t>27</w:t>
            </w:r>
            <w:r w:rsidRPr="0039693F">
              <w:t xml:space="preserve"> since the </w:t>
            </w:r>
            <w:r w:rsidRPr="327178AB">
              <w:t xml:space="preserve">2023 </w:t>
            </w:r>
            <w:r w:rsidR="20347B54" w:rsidRPr="327178AB">
              <w:t>Pre</w:t>
            </w:r>
            <w:r w:rsidR="00617987">
              <w:noBreakHyphen/>
            </w:r>
            <w:r w:rsidR="20347B54" w:rsidRPr="7ECE2DAE">
              <w:t>election Budget Update</w:t>
            </w:r>
            <w:r w:rsidRPr="7ECE2DAE">
              <w:t>.</w:t>
            </w:r>
            <w:r w:rsidRPr="0039693F">
              <w:t xml:space="preserve"> </w:t>
            </w:r>
            <w:r w:rsidR="00F02F7E">
              <w:t>T</w:t>
            </w:r>
            <w:r w:rsidR="003627FF" w:rsidRPr="003627FF">
              <w:rPr>
                <w:lang w:val="en-US"/>
              </w:rPr>
              <w:t>his upward revision includes a net $</w:t>
            </w:r>
            <w:r w:rsidR="009A3BDF">
              <w:rPr>
                <w:lang w:val="en-US"/>
              </w:rPr>
              <w:t>1.5 billion</w:t>
            </w:r>
            <w:r w:rsidR="003627FF" w:rsidRPr="003627FF">
              <w:rPr>
                <w:lang w:val="en-US"/>
              </w:rPr>
              <w:t xml:space="preserve"> of policy-driven changes</w:t>
            </w:r>
            <w:r w:rsidR="009A3BDF">
              <w:rPr>
                <w:lang w:val="en-US"/>
              </w:rPr>
              <w:t xml:space="preserve">. </w:t>
            </w:r>
            <w:r w:rsidRPr="0039693F">
              <w:t xml:space="preserve">The key drivers of the revisions to estimated revenue </w:t>
            </w:r>
            <w:r w:rsidRPr="007D1B31">
              <w:t>are</w:t>
            </w:r>
            <w:r w:rsidR="00121A3B" w:rsidRPr="007D1B31">
              <w:t xml:space="preserve"> </w:t>
            </w:r>
            <w:r w:rsidR="009D3628" w:rsidRPr="00653D80">
              <w:t>improvements</w:t>
            </w:r>
            <w:r w:rsidR="00F13BE3" w:rsidRPr="007D1B31">
              <w:t xml:space="preserve"> in </w:t>
            </w:r>
            <w:r w:rsidR="009D3628" w:rsidRPr="00653D80">
              <w:t xml:space="preserve">the property market </w:t>
            </w:r>
            <w:r w:rsidR="00D37A76" w:rsidRPr="00653D80">
              <w:t xml:space="preserve">resulting in higher </w:t>
            </w:r>
            <w:r w:rsidR="005F236F" w:rsidRPr="007D1B31">
              <w:t>transfer dut</w:t>
            </w:r>
            <w:r w:rsidR="00F423BC" w:rsidRPr="007D1B31">
              <w:t>y</w:t>
            </w:r>
            <w:r w:rsidR="005652D3" w:rsidRPr="007D1B31">
              <w:t xml:space="preserve"> and </w:t>
            </w:r>
            <w:r w:rsidR="00EA021B" w:rsidRPr="007D1B31">
              <w:t>land tax</w:t>
            </w:r>
            <w:r w:rsidR="004172F3">
              <w:t>,</w:t>
            </w:r>
            <w:r w:rsidR="009771B2">
              <w:t xml:space="preserve"> and</w:t>
            </w:r>
            <w:r w:rsidR="008C3B3D" w:rsidRPr="007D1B31">
              <w:t xml:space="preserve"> </w:t>
            </w:r>
            <w:r w:rsidR="009D3628" w:rsidRPr="00653D80">
              <w:t>growth in employment</w:t>
            </w:r>
            <w:r w:rsidR="00421255" w:rsidRPr="007D1B31">
              <w:t xml:space="preserve"> and </w:t>
            </w:r>
            <w:r w:rsidR="009D3628" w:rsidRPr="00653D80">
              <w:t xml:space="preserve">wages driving stronger </w:t>
            </w:r>
            <w:r w:rsidR="00395D9F" w:rsidRPr="007D1B31">
              <w:t xml:space="preserve">payroll </w:t>
            </w:r>
            <w:r w:rsidR="009D3628" w:rsidRPr="00653D80">
              <w:t>tax</w:t>
            </w:r>
            <w:r w:rsidR="006A1878" w:rsidRPr="00653D80">
              <w:t xml:space="preserve">. </w:t>
            </w:r>
          </w:p>
          <w:p w14:paraId="2B5843B4" w14:textId="441E8657" w:rsidR="00297E92" w:rsidRDefault="008B3DA1" w:rsidP="00E4551D">
            <w:pPr>
              <w:pStyle w:val="Bullet1"/>
            </w:pPr>
            <w:r>
              <w:t xml:space="preserve">The </w:t>
            </w:r>
            <w:r w:rsidR="002D19A6">
              <w:t>First Home</w:t>
            </w:r>
            <w:r w:rsidR="0060188D">
              <w:t xml:space="preserve"> B</w:t>
            </w:r>
            <w:r w:rsidR="002D19A6">
              <w:t>uyer</w:t>
            </w:r>
            <w:r w:rsidR="0060188D">
              <w:t>s</w:t>
            </w:r>
            <w:r w:rsidR="002D19A6">
              <w:t xml:space="preserve"> Assistance Scheme</w:t>
            </w:r>
            <w:r w:rsidR="009D5934">
              <w:t xml:space="preserve"> </w:t>
            </w:r>
            <w:r>
              <w:t xml:space="preserve">has been expanded, which will reduce </w:t>
            </w:r>
            <w:r w:rsidR="00327C89">
              <w:t>transfer d</w:t>
            </w:r>
            <w:r w:rsidR="004E5FF0">
              <w:t>uty</w:t>
            </w:r>
            <w:r w:rsidR="00327C89">
              <w:t xml:space="preserve"> paid by f</w:t>
            </w:r>
            <w:r w:rsidR="004E5FF0">
              <w:t xml:space="preserve">irst </w:t>
            </w:r>
            <w:r w:rsidR="00327C89">
              <w:t>h</w:t>
            </w:r>
            <w:r w:rsidR="004E5FF0">
              <w:t xml:space="preserve">ome </w:t>
            </w:r>
            <w:r w:rsidR="00327C89">
              <w:t>b</w:t>
            </w:r>
            <w:r w:rsidR="004E5FF0">
              <w:t>uyers</w:t>
            </w:r>
            <w:r w:rsidR="007C4598">
              <w:t>.</w:t>
            </w:r>
            <w:r w:rsidR="00327C89">
              <w:t xml:space="preserve"> </w:t>
            </w:r>
            <w:r w:rsidR="007C4598">
              <w:t>T</w:t>
            </w:r>
            <w:r w:rsidR="00327C89">
              <w:t xml:space="preserve">he </w:t>
            </w:r>
            <w:r w:rsidR="007C4598">
              <w:t>G</w:t>
            </w:r>
            <w:r w:rsidR="00327C89">
              <w:t>ov</w:t>
            </w:r>
            <w:r w:rsidR="007C4598">
              <w:t>ernmen</w:t>
            </w:r>
            <w:r w:rsidR="00327C89">
              <w:t>t has also</w:t>
            </w:r>
            <w:r w:rsidR="000757E1">
              <w:t xml:space="preserve"> </w:t>
            </w:r>
            <w:r w:rsidR="00327C89">
              <w:t>closed</w:t>
            </w:r>
            <w:r w:rsidR="000757E1">
              <w:t xml:space="preserve"> </w:t>
            </w:r>
            <w:r w:rsidR="008743BF">
              <w:t>off access t</w:t>
            </w:r>
            <w:r w:rsidR="00291E86">
              <w:t>o First Home Buyer Choice</w:t>
            </w:r>
            <w:r w:rsidR="00513E40">
              <w:t>.</w:t>
            </w:r>
            <w:r w:rsidR="009D5934">
              <w:t xml:space="preserve"> </w:t>
            </w:r>
          </w:p>
          <w:p w14:paraId="01DEAD6D" w14:textId="7C33CBAC" w:rsidR="00CF0AD0" w:rsidRPr="00D11F08" w:rsidRDefault="00D11F08" w:rsidP="00E4551D">
            <w:pPr>
              <w:pStyle w:val="Bullet1"/>
            </w:pPr>
            <w:r w:rsidRPr="00653D80">
              <w:t xml:space="preserve">Coal royalty rates will increase </w:t>
            </w:r>
            <w:r w:rsidR="002D704A" w:rsidRPr="00653D80">
              <w:t xml:space="preserve">from 1 </w:t>
            </w:r>
            <w:r w:rsidRPr="00653D80">
              <w:t>July 2024</w:t>
            </w:r>
            <w:r w:rsidR="006179F5" w:rsidRPr="00653D80">
              <w:t xml:space="preserve"> following </w:t>
            </w:r>
            <w:r w:rsidRPr="00653D80">
              <w:t xml:space="preserve">the </w:t>
            </w:r>
            <w:r w:rsidR="00810FFA" w:rsidRPr="00653D80">
              <w:t>end</w:t>
            </w:r>
            <w:r w:rsidR="006179F5" w:rsidRPr="00653D80">
              <w:t xml:space="preserve"> of the Coal Market Price Emergency declaration. </w:t>
            </w:r>
            <w:r w:rsidR="00474887">
              <w:t>H</w:t>
            </w:r>
            <w:r w:rsidR="00B87386" w:rsidRPr="00653D80">
              <w:t xml:space="preserve">igher royalty rates will </w:t>
            </w:r>
            <w:r w:rsidR="00B87386" w:rsidRPr="00653D80">
              <w:rPr>
                <w:lang w:val="en-US"/>
              </w:rPr>
              <w:t>ensure that N</w:t>
            </w:r>
            <w:r w:rsidR="005F56D4">
              <w:rPr>
                <w:lang w:val="en-US"/>
              </w:rPr>
              <w:t xml:space="preserve">ew </w:t>
            </w:r>
            <w:r w:rsidR="00B87386" w:rsidRPr="00653D80">
              <w:rPr>
                <w:lang w:val="en-US"/>
              </w:rPr>
              <w:t>S</w:t>
            </w:r>
            <w:r w:rsidR="005F56D4">
              <w:rPr>
                <w:lang w:val="en-US"/>
              </w:rPr>
              <w:t xml:space="preserve">outh </w:t>
            </w:r>
            <w:r w:rsidR="00B87386" w:rsidRPr="00653D80">
              <w:rPr>
                <w:lang w:val="en-US"/>
              </w:rPr>
              <w:t>W</w:t>
            </w:r>
            <w:r w:rsidR="00E54A3E">
              <w:rPr>
                <w:lang w:val="en-US"/>
              </w:rPr>
              <w:t>ales</w:t>
            </w:r>
            <w:r w:rsidR="00B87386" w:rsidRPr="00653D80">
              <w:rPr>
                <w:lang w:val="en-US"/>
              </w:rPr>
              <w:t xml:space="preserve"> receive</w:t>
            </w:r>
            <w:r w:rsidR="00474887">
              <w:rPr>
                <w:lang w:val="en-US"/>
              </w:rPr>
              <w:t>s</w:t>
            </w:r>
            <w:r w:rsidR="00B87386" w:rsidRPr="00653D80">
              <w:rPr>
                <w:lang w:val="en-US"/>
              </w:rPr>
              <w:t xml:space="preserve"> a fair return on its natural resources </w:t>
            </w:r>
            <w:r w:rsidR="007C1AFC">
              <w:rPr>
                <w:lang w:val="en-US"/>
              </w:rPr>
              <w:t xml:space="preserve">to </w:t>
            </w:r>
            <w:r w:rsidR="00474887">
              <w:rPr>
                <w:lang w:val="en-US"/>
              </w:rPr>
              <w:t xml:space="preserve">support fiscal </w:t>
            </w:r>
            <w:r w:rsidR="00F0556E">
              <w:rPr>
                <w:lang w:val="en-US"/>
              </w:rPr>
              <w:t xml:space="preserve">repair and </w:t>
            </w:r>
            <w:r w:rsidR="0023231C">
              <w:rPr>
                <w:lang w:val="en-US"/>
              </w:rPr>
              <w:t>rebuild essential servi</w:t>
            </w:r>
            <w:r w:rsidR="004E5FF0">
              <w:rPr>
                <w:lang w:val="en-US"/>
              </w:rPr>
              <w:t>ces.</w:t>
            </w:r>
          </w:p>
          <w:p w14:paraId="52FAA03F" w14:textId="748F2FC3" w:rsidR="007C72EF" w:rsidRPr="00B904FF" w:rsidRDefault="425AF5D6" w:rsidP="00E4551D">
            <w:pPr>
              <w:pStyle w:val="Bullet1"/>
            </w:pPr>
            <w:r>
              <w:t xml:space="preserve">The Government </w:t>
            </w:r>
            <w:r w:rsidR="004E5FF0">
              <w:t xml:space="preserve">is implementing increased </w:t>
            </w:r>
            <w:r w:rsidR="00BA3A32">
              <w:t xml:space="preserve">casino </w:t>
            </w:r>
            <w:r w:rsidR="00BA3AF7">
              <w:t>duty rates</w:t>
            </w:r>
            <w:r>
              <w:t xml:space="preserve"> </w:t>
            </w:r>
            <w:r w:rsidR="00C4364B">
              <w:t xml:space="preserve">and </w:t>
            </w:r>
            <w:r>
              <w:t xml:space="preserve">has reached </w:t>
            </w:r>
            <w:r w:rsidR="393A9F30">
              <w:t xml:space="preserve">an </w:t>
            </w:r>
            <w:r>
              <w:t xml:space="preserve">agreement with The Star casino that guarantees jobs and commits </w:t>
            </w:r>
            <w:r w:rsidR="05BF9D92">
              <w:t>to</w:t>
            </w:r>
            <w:r>
              <w:t xml:space="preserve"> cashless gaming. </w:t>
            </w:r>
            <w:r w:rsidR="005427C6" w:rsidRPr="0037172E">
              <w:t>A</w:t>
            </w:r>
            <w:r w:rsidR="00484262" w:rsidRPr="00A90AEF">
              <w:t xml:space="preserve"> transitional </w:t>
            </w:r>
            <w:r w:rsidR="005427C6" w:rsidRPr="0037172E">
              <w:t>levy will apply until</w:t>
            </w:r>
            <w:r w:rsidR="00484262" w:rsidRPr="0037172E">
              <w:t xml:space="preserve"> </w:t>
            </w:r>
            <w:r w:rsidR="008C1C5A" w:rsidRPr="0037172E">
              <w:t xml:space="preserve">30 June 2030 accompanied by a jobs guarantee from </w:t>
            </w:r>
            <w:r w:rsidR="0037172E">
              <w:t>T</w:t>
            </w:r>
            <w:r w:rsidR="008C1C5A" w:rsidRPr="0037172E">
              <w:t>he</w:t>
            </w:r>
            <w:r w:rsidR="00EF3922">
              <w:t> </w:t>
            </w:r>
            <w:r w:rsidR="008C1C5A" w:rsidRPr="0037172E">
              <w:t>Star</w:t>
            </w:r>
            <w:r w:rsidR="00FD682B" w:rsidRPr="00014057">
              <w:t>.</w:t>
            </w:r>
            <w:r w:rsidR="008C1C5A" w:rsidRPr="0037172E">
              <w:t xml:space="preserve"> Further rate changes will </w:t>
            </w:r>
            <w:r w:rsidR="00C4781B" w:rsidRPr="00014057">
              <w:t>c</w:t>
            </w:r>
            <w:r w:rsidR="008C1C5A" w:rsidRPr="0037172E">
              <w:t xml:space="preserve">ome into effect from </w:t>
            </w:r>
            <w:r w:rsidR="00F65AB1">
              <w:t>1 July</w:t>
            </w:r>
            <w:r w:rsidR="008C1C5A" w:rsidRPr="0037172E">
              <w:t xml:space="preserve"> 2030.</w:t>
            </w:r>
            <w:r w:rsidR="008C1C5A">
              <w:t xml:space="preserve"> </w:t>
            </w:r>
          </w:p>
          <w:p w14:paraId="63B11E37" w14:textId="72A737A3" w:rsidR="007C72EF" w:rsidRPr="008E1A57" w:rsidRDefault="002B28C5" w:rsidP="00E4551D">
            <w:pPr>
              <w:pStyle w:val="Bullet1"/>
            </w:pPr>
            <w:r w:rsidRPr="002B28C5">
              <w:t xml:space="preserve">From 1 January 2024 the stamp duty exemption on electric vehicles </w:t>
            </w:r>
            <w:r w:rsidR="00136023">
              <w:t>(EVs)</w:t>
            </w:r>
            <w:r w:rsidRPr="002B28C5">
              <w:t xml:space="preserve"> will cease</w:t>
            </w:r>
            <w:r>
              <w:t xml:space="preserve">, </w:t>
            </w:r>
            <w:r w:rsidR="00BF41CE">
              <w:t xml:space="preserve">with spending redirected to </w:t>
            </w:r>
            <w:r w:rsidR="00EF4FB7">
              <w:t xml:space="preserve">programs that will </w:t>
            </w:r>
            <w:r w:rsidR="006E50F3">
              <w:t xml:space="preserve">improve access </w:t>
            </w:r>
            <w:r w:rsidR="008C1C5A">
              <w:t xml:space="preserve">to EVs </w:t>
            </w:r>
            <w:r w:rsidR="006E50F3">
              <w:t>and</w:t>
            </w:r>
            <w:r w:rsidR="00EF4FB7">
              <w:t xml:space="preserve"> </w:t>
            </w:r>
            <w:r w:rsidR="00B073CB">
              <w:t xml:space="preserve">more effectively </w:t>
            </w:r>
            <w:r w:rsidR="00EF4FB7">
              <w:t xml:space="preserve">promote </w:t>
            </w:r>
            <w:r w:rsidR="000731B5">
              <w:t>uptake</w:t>
            </w:r>
            <w:r w:rsidR="00B073CB">
              <w:t>.</w:t>
            </w:r>
          </w:p>
          <w:p w14:paraId="4508A86E" w14:textId="11DCD2AC" w:rsidR="007C72EF" w:rsidRDefault="00511BE2" w:rsidP="00E4551D">
            <w:pPr>
              <w:pStyle w:val="Bullet1"/>
            </w:pPr>
            <w:r>
              <w:t xml:space="preserve">The Government will </w:t>
            </w:r>
            <w:r w:rsidR="00727F97">
              <w:t xml:space="preserve">also </w:t>
            </w:r>
            <w:r>
              <w:t>introduce legis</w:t>
            </w:r>
            <w:r w:rsidR="00DC6252">
              <w:t xml:space="preserve">lation to </w:t>
            </w:r>
            <w:r w:rsidR="005F09FB">
              <w:t>correct</w:t>
            </w:r>
            <w:r w:rsidR="00DC6252">
              <w:t xml:space="preserve"> the operation of the land tax threshold</w:t>
            </w:r>
            <w:r w:rsidR="005F09FB">
              <w:t>s indexation</w:t>
            </w:r>
            <w:r w:rsidR="00CB4BC6">
              <w:t xml:space="preserve"> sy</w:t>
            </w:r>
            <w:r w:rsidR="00DE6DD9">
              <w:t>stem</w:t>
            </w:r>
            <w:r w:rsidR="00DC6252">
              <w:t xml:space="preserve"> from </w:t>
            </w:r>
            <w:r w:rsidR="000B6414">
              <w:t>the 2024 land tax year</w:t>
            </w:r>
            <w:r w:rsidR="00B02724">
              <w:t>.</w:t>
            </w:r>
          </w:p>
        </w:tc>
      </w:tr>
    </w:tbl>
    <w:p w14:paraId="32F8EA4C" w14:textId="0FECF67E" w:rsidR="00552386" w:rsidRDefault="3EDD7BCF" w:rsidP="008323F2">
      <w:pPr>
        <w:pStyle w:val="41Heading2"/>
      </w:pPr>
      <w:r>
        <w:t>Revenue</w:t>
      </w:r>
    </w:p>
    <w:p w14:paraId="08933246" w14:textId="43050DBC" w:rsidR="00830BAE" w:rsidRDefault="2C63DE30" w:rsidP="00E4551D">
      <w:pPr>
        <w:pStyle w:val="BodyText"/>
      </w:pPr>
      <w:r w:rsidRPr="16608DE4">
        <w:rPr>
          <w:rFonts w:eastAsiaTheme="minorEastAsia"/>
          <w:lang w:eastAsia="en-AU"/>
        </w:rPr>
        <w:t xml:space="preserve">General government sector revenue is projected to increase by </w:t>
      </w:r>
      <w:r w:rsidR="003E3280" w:rsidRPr="00813871">
        <w:rPr>
          <w:rFonts w:eastAsiaTheme="minorEastAsia"/>
          <w:lang w:eastAsia="en-AU"/>
        </w:rPr>
        <w:t>5.</w:t>
      </w:r>
      <w:r w:rsidR="00357869">
        <w:rPr>
          <w:rFonts w:eastAsiaTheme="minorEastAsia"/>
          <w:lang w:eastAsia="en-AU"/>
        </w:rPr>
        <w:t>8</w:t>
      </w:r>
      <w:r w:rsidRPr="16608DE4">
        <w:rPr>
          <w:rFonts w:eastAsiaTheme="minorEastAsia"/>
          <w:lang w:eastAsia="en-AU"/>
        </w:rPr>
        <w:t xml:space="preserve"> per cent in 202</w:t>
      </w:r>
      <w:r w:rsidR="06FC6883" w:rsidRPr="16608DE4">
        <w:rPr>
          <w:rFonts w:eastAsiaTheme="minorEastAsia"/>
          <w:lang w:eastAsia="en-AU"/>
        </w:rPr>
        <w:t>3</w:t>
      </w:r>
      <w:r w:rsidR="00577566" w:rsidRPr="16608DE4">
        <w:rPr>
          <w:rFonts w:eastAsiaTheme="minorEastAsia"/>
          <w:lang w:eastAsia="en-AU"/>
        </w:rPr>
        <w:t>-</w:t>
      </w:r>
      <w:r w:rsidR="0054134B" w:rsidRPr="16608DE4">
        <w:rPr>
          <w:rFonts w:eastAsiaTheme="minorEastAsia"/>
          <w:lang w:eastAsia="en-AU"/>
        </w:rPr>
        <w:t>24</w:t>
      </w:r>
      <w:r w:rsidRPr="16608DE4">
        <w:rPr>
          <w:rFonts w:eastAsiaTheme="minorEastAsia"/>
          <w:lang w:eastAsia="en-AU"/>
        </w:rPr>
        <w:t xml:space="preserve"> to be $</w:t>
      </w:r>
      <w:r w:rsidR="008A0871" w:rsidRPr="00813871">
        <w:rPr>
          <w:rFonts w:eastAsiaTheme="minorEastAsia"/>
          <w:lang w:eastAsia="en-AU"/>
        </w:rPr>
        <w:t>11</w:t>
      </w:r>
      <w:r w:rsidR="00B92B29">
        <w:rPr>
          <w:rFonts w:eastAsiaTheme="minorEastAsia"/>
          <w:lang w:eastAsia="en-AU"/>
        </w:rPr>
        <w:t>2</w:t>
      </w:r>
      <w:r w:rsidR="008A0871" w:rsidRPr="00813871">
        <w:rPr>
          <w:rFonts w:eastAsiaTheme="minorEastAsia"/>
          <w:lang w:eastAsia="en-AU"/>
        </w:rPr>
        <w:t>.4</w:t>
      </w:r>
      <w:r w:rsidRPr="16608DE4">
        <w:rPr>
          <w:rFonts w:eastAsiaTheme="minorEastAsia"/>
          <w:lang w:eastAsia="en-AU"/>
        </w:rPr>
        <w:t xml:space="preserve"> billion. This is $</w:t>
      </w:r>
      <w:r w:rsidR="00B92B29">
        <w:rPr>
          <w:rFonts w:eastAsiaTheme="minorEastAsia"/>
          <w:lang w:eastAsia="en-AU"/>
        </w:rPr>
        <w:t>3</w:t>
      </w:r>
      <w:r w:rsidR="00D80A14" w:rsidRPr="00813871">
        <w:rPr>
          <w:rFonts w:eastAsiaTheme="minorEastAsia"/>
          <w:lang w:eastAsia="en-AU"/>
        </w:rPr>
        <w:t>.8</w:t>
      </w:r>
      <w:r w:rsidRPr="16608DE4">
        <w:rPr>
          <w:rFonts w:eastAsiaTheme="minorEastAsia"/>
          <w:lang w:eastAsia="en-AU"/>
        </w:rPr>
        <w:t xml:space="preserve"> billion higher than forecast at the 202</w:t>
      </w:r>
      <w:r w:rsidR="35CE0677" w:rsidRPr="16608DE4">
        <w:rPr>
          <w:rFonts w:eastAsiaTheme="minorEastAsia"/>
          <w:lang w:eastAsia="en-AU"/>
        </w:rPr>
        <w:t>3 Pre-election Budget Update.</w:t>
      </w:r>
      <w:r w:rsidRPr="16608DE4">
        <w:rPr>
          <w:rFonts w:eastAsiaTheme="minorEastAsia"/>
          <w:lang w:eastAsia="en-AU"/>
        </w:rPr>
        <w:t xml:space="preserve"> </w:t>
      </w:r>
      <w:r w:rsidR="00F664FD">
        <w:t>Th</w:t>
      </w:r>
      <w:r w:rsidR="00F14752">
        <w:t>is revision is largely due to</w:t>
      </w:r>
      <w:r w:rsidR="00F664FD">
        <w:t xml:space="preserve"> improvements in the property market driving stronger transfer duty revenue. </w:t>
      </w:r>
      <w:r w:rsidR="661959EB">
        <w:t>The State’s revenue is expected to grow at a</w:t>
      </w:r>
      <w:r w:rsidR="54AC7E7E">
        <w:t>n average</w:t>
      </w:r>
      <w:r w:rsidR="661959EB">
        <w:t xml:space="preserve"> annual rate of </w:t>
      </w:r>
      <w:r w:rsidR="00E02FD1" w:rsidRPr="00813871">
        <w:t>3.</w:t>
      </w:r>
      <w:r w:rsidR="005312AE">
        <w:t>4</w:t>
      </w:r>
      <w:r w:rsidR="00244CB4">
        <w:t> </w:t>
      </w:r>
      <w:r w:rsidR="661959EB">
        <w:t>per</w:t>
      </w:r>
      <w:r w:rsidR="00244CB4">
        <w:t> </w:t>
      </w:r>
      <w:r w:rsidR="661959EB">
        <w:t>cent over the four years to 202</w:t>
      </w:r>
      <w:r w:rsidR="69E54433">
        <w:t>6</w:t>
      </w:r>
      <w:r w:rsidR="0054134B">
        <w:t>-2</w:t>
      </w:r>
      <w:r w:rsidR="748DDF8E">
        <w:t>7</w:t>
      </w:r>
      <w:r w:rsidR="661959EB">
        <w:t xml:space="preserve"> (</w:t>
      </w:r>
      <w:r w:rsidR="661959EB" w:rsidRPr="00653D80">
        <w:t>Table 4.1).</w:t>
      </w:r>
    </w:p>
    <w:p w14:paraId="76498775" w14:textId="0AF55BAD" w:rsidR="00DB2E41" w:rsidRDefault="008755BC" w:rsidP="0061289B">
      <w:pPr>
        <w:pStyle w:val="Chart4X"/>
      </w:pPr>
      <w:bookmarkStart w:id="0" w:name="_Ref72482441"/>
      <w:r w:rsidRPr="009B7AD9">
        <w:t xml:space="preserve">Composition of total revenue, </w:t>
      </w:r>
      <w:bookmarkEnd w:id="0"/>
      <w:r w:rsidRPr="009B7AD9">
        <w:t>2023</w:t>
      </w:r>
      <w:r w:rsidR="00541BD2" w:rsidRPr="009B7AD9">
        <w:t>-24</w:t>
      </w:r>
    </w:p>
    <w:p w14:paraId="1804159C" w14:textId="3F175A34" w:rsidR="005C3D1B" w:rsidRDefault="005C3D1B" w:rsidP="00C3683B">
      <w:pPr>
        <w:spacing w:before="120"/>
        <w:rPr>
          <w:noProof/>
        </w:rPr>
      </w:pPr>
      <w:r>
        <w:rPr>
          <w:noProof/>
        </w:rPr>
        <w:drawing>
          <wp:inline distT="0" distB="0" distL="0" distR="0" wp14:anchorId="7DEC615E" wp14:editId="1B0056B1">
            <wp:extent cx="6120765" cy="2613025"/>
            <wp:effectExtent l="0" t="0" r="0" b="0"/>
            <wp:docPr id="6" name="Chart 6" descr="Chart 4.1: Composition of total revenue, 2023-24">
              <a:extLst xmlns:a="http://schemas.openxmlformats.org/drawingml/2006/main">
                <a:ext uri="{FF2B5EF4-FFF2-40B4-BE49-F238E27FC236}">
                  <a16:creationId xmlns:a16="http://schemas.microsoft.com/office/drawing/2014/main" id="{75212E3E-E148-406A-9B01-E3311BB83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1909C" w14:textId="2E0E1076" w:rsidR="00C136B6" w:rsidRPr="00E8541E" w:rsidRDefault="00C136B6" w:rsidP="00CE508F">
      <w:pPr>
        <w:pStyle w:val="Table4X"/>
        <w:rPr>
          <w:iCs/>
        </w:rPr>
      </w:pPr>
      <w:r w:rsidRPr="00E8541E">
        <w:rPr>
          <w:iCs/>
        </w:rPr>
        <w:lastRenderedPageBreak/>
        <w:t>General government sector – summary of revenue and its components</w:t>
      </w:r>
    </w:p>
    <w:tbl>
      <w:tblPr>
        <w:tblW w:w="9728" w:type="dxa"/>
        <w:tblLook w:val="04A0" w:firstRow="1" w:lastRow="0" w:firstColumn="1" w:lastColumn="0" w:noHBand="0" w:noVBand="1"/>
        <w:tblCaption w:val="Table 4.1: General government sector – summary of revenue and its components"/>
        <w:tblDescription w:val="Table 4.1: General government sector – summary of revenue and its components"/>
      </w:tblPr>
      <w:tblGrid>
        <w:gridCol w:w="3074"/>
        <w:gridCol w:w="1162"/>
        <w:gridCol w:w="956"/>
        <w:gridCol w:w="881"/>
        <w:gridCol w:w="881"/>
        <w:gridCol w:w="881"/>
        <w:gridCol w:w="881"/>
        <w:gridCol w:w="1012"/>
      </w:tblGrid>
      <w:tr w:rsidR="00645B88" w:rsidRPr="00645B88" w14:paraId="7B2CCEAC" w14:textId="77777777" w:rsidTr="003038B1">
        <w:trPr>
          <w:trHeight w:val="329"/>
        </w:trPr>
        <w:tc>
          <w:tcPr>
            <w:tcW w:w="3074" w:type="dxa"/>
            <w:tcBorders>
              <w:top w:val="nil"/>
              <w:left w:val="nil"/>
              <w:bottom w:val="nil"/>
              <w:right w:val="nil"/>
            </w:tcBorders>
            <w:shd w:val="clear" w:color="000000" w:fill="EBEBEB"/>
            <w:vAlign w:val="center"/>
            <w:hideMark/>
          </w:tcPr>
          <w:p w14:paraId="54D5401E" w14:textId="77777777" w:rsidR="00645B88" w:rsidRPr="001A0A66" w:rsidRDefault="00645B88" w:rsidP="00645B88">
            <w:pPr>
              <w:jc w:val="center"/>
              <w:rPr>
                <w:rFonts w:ascii="Public Sans" w:hAnsi="Public Sans" w:cs="Calibri"/>
                <w:i/>
                <w:color w:val="000000"/>
                <w:sz w:val="17"/>
                <w:szCs w:val="17"/>
                <w:lang w:val="en-AU" w:eastAsia="en-AU"/>
              </w:rPr>
            </w:pPr>
            <w:r w:rsidRPr="001A0A66">
              <w:rPr>
                <w:rFonts w:ascii="Public Sans" w:hAnsi="Public Sans" w:cs="Calibri"/>
                <w:i/>
                <w:color w:val="000000"/>
                <w:sz w:val="17"/>
                <w:szCs w:val="17"/>
                <w:lang w:val="en-AU" w:eastAsia="en-AU"/>
              </w:rPr>
              <w:t> </w:t>
            </w:r>
          </w:p>
        </w:tc>
        <w:tc>
          <w:tcPr>
            <w:tcW w:w="1162" w:type="dxa"/>
            <w:tcBorders>
              <w:top w:val="nil"/>
              <w:left w:val="nil"/>
              <w:bottom w:val="nil"/>
              <w:right w:val="nil"/>
            </w:tcBorders>
            <w:shd w:val="clear" w:color="000000" w:fill="EBEBEB"/>
            <w:vAlign w:val="bottom"/>
            <w:hideMark/>
          </w:tcPr>
          <w:p w14:paraId="1409912C"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2021-22</w:t>
            </w:r>
          </w:p>
        </w:tc>
        <w:tc>
          <w:tcPr>
            <w:tcW w:w="956" w:type="dxa"/>
            <w:tcBorders>
              <w:top w:val="nil"/>
              <w:left w:val="nil"/>
              <w:bottom w:val="nil"/>
              <w:right w:val="nil"/>
            </w:tcBorders>
            <w:shd w:val="clear" w:color="000000" w:fill="EBEBEB"/>
            <w:vAlign w:val="bottom"/>
            <w:hideMark/>
          </w:tcPr>
          <w:p w14:paraId="4E130965"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2022-23</w:t>
            </w:r>
          </w:p>
        </w:tc>
        <w:tc>
          <w:tcPr>
            <w:tcW w:w="881" w:type="dxa"/>
            <w:tcBorders>
              <w:top w:val="nil"/>
              <w:left w:val="nil"/>
              <w:bottom w:val="nil"/>
              <w:right w:val="nil"/>
            </w:tcBorders>
            <w:shd w:val="clear" w:color="000000" w:fill="EBEBEB"/>
            <w:vAlign w:val="bottom"/>
            <w:hideMark/>
          </w:tcPr>
          <w:p w14:paraId="4B5C3B50"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2023-24</w:t>
            </w:r>
          </w:p>
        </w:tc>
        <w:tc>
          <w:tcPr>
            <w:tcW w:w="881" w:type="dxa"/>
            <w:tcBorders>
              <w:top w:val="nil"/>
              <w:left w:val="nil"/>
              <w:bottom w:val="nil"/>
              <w:right w:val="nil"/>
            </w:tcBorders>
            <w:shd w:val="clear" w:color="000000" w:fill="EBEBEB"/>
            <w:vAlign w:val="bottom"/>
            <w:hideMark/>
          </w:tcPr>
          <w:p w14:paraId="2C5C3AD0"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2024-25</w:t>
            </w:r>
          </w:p>
        </w:tc>
        <w:tc>
          <w:tcPr>
            <w:tcW w:w="881" w:type="dxa"/>
            <w:tcBorders>
              <w:top w:val="nil"/>
              <w:left w:val="nil"/>
              <w:bottom w:val="nil"/>
              <w:right w:val="nil"/>
            </w:tcBorders>
            <w:shd w:val="clear" w:color="000000" w:fill="EBEBEB"/>
            <w:vAlign w:val="bottom"/>
            <w:hideMark/>
          </w:tcPr>
          <w:p w14:paraId="694913BA"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2025-26</w:t>
            </w:r>
          </w:p>
        </w:tc>
        <w:tc>
          <w:tcPr>
            <w:tcW w:w="881" w:type="dxa"/>
            <w:tcBorders>
              <w:top w:val="nil"/>
              <w:left w:val="nil"/>
              <w:bottom w:val="nil"/>
              <w:right w:val="nil"/>
            </w:tcBorders>
            <w:shd w:val="clear" w:color="000000" w:fill="EBEBEB"/>
            <w:vAlign w:val="bottom"/>
            <w:hideMark/>
          </w:tcPr>
          <w:p w14:paraId="3386C26E"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2026-27</w:t>
            </w:r>
          </w:p>
        </w:tc>
        <w:tc>
          <w:tcPr>
            <w:tcW w:w="1012" w:type="dxa"/>
            <w:vMerge w:val="restart"/>
            <w:tcBorders>
              <w:top w:val="nil"/>
              <w:left w:val="nil"/>
              <w:bottom w:val="nil"/>
              <w:right w:val="nil"/>
            </w:tcBorders>
            <w:shd w:val="clear" w:color="000000" w:fill="4F4F4F"/>
            <w:vAlign w:val="center"/>
            <w:hideMark/>
          </w:tcPr>
          <w:p w14:paraId="53DDB31A" w14:textId="77777777" w:rsidR="00645B88" w:rsidRPr="001A0A66" w:rsidRDefault="00645B88" w:rsidP="00DF2FA6">
            <w:pPr>
              <w:ind w:left="-57" w:right="-57"/>
              <w:jc w:val="center"/>
              <w:rPr>
                <w:rFonts w:ascii="Public Sans" w:hAnsi="Public Sans" w:cs="Calibri"/>
                <w:color w:val="FFFFFF"/>
                <w:sz w:val="17"/>
                <w:szCs w:val="17"/>
                <w:lang w:val="en-AU" w:eastAsia="en-AU"/>
              </w:rPr>
            </w:pPr>
            <w:r w:rsidRPr="001A0A66">
              <w:rPr>
                <w:rFonts w:ascii="Public Sans" w:hAnsi="Public Sans" w:cs="Calibri"/>
                <w:color w:val="FFFFFF"/>
                <w:sz w:val="17"/>
                <w:szCs w:val="17"/>
                <w:lang w:val="en-AU" w:eastAsia="en-AU"/>
              </w:rPr>
              <w:t>% Average growth p.a. 2022-23 to 2026-27</w:t>
            </w:r>
          </w:p>
        </w:tc>
      </w:tr>
      <w:tr w:rsidR="00645B88" w:rsidRPr="00645B88" w14:paraId="7B91149D" w14:textId="77777777" w:rsidTr="00906F29">
        <w:trPr>
          <w:trHeight w:val="227"/>
        </w:trPr>
        <w:tc>
          <w:tcPr>
            <w:tcW w:w="3074" w:type="dxa"/>
            <w:tcBorders>
              <w:top w:val="nil"/>
              <w:left w:val="nil"/>
              <w:bottom w:val="nil"/>
              <w:right w:val="nil"/>
            </w:tcBorders>
            <w:shd w:val="clear" w:color="000000" w:fill="EBEBEB"/>
            <w:vAlign w:val="center"/>
            <w:hideMark/>
          </w:tcPr>
          <w:p w14:paraId="0101A1B6" w14:textId="77777777" w:rsidR="00645B88" w:rsidRPr="001A0A66" w:rsidRDefault="00645B88" w:rsidP="00645B88">
            <w:pPr>
              <w:jc w:val="center"/>
              <w:rPr>
                <w:rFonts w:ascii="Public Sans" w:hAnsi="Public Sans" w:cs="Calibri"/>
                <w:i/>
                <w:color w:val="000000"/>
                <w:sz w:val="17"/>
                <w:szCs w:val="17"/>
                <w:lang w:val="en-AU" w:eastAsia="en-AU"/>
              </w:rPr>
            </w:pPr>
            <w:r w:rsidRPr="001A0A66">
              <w:rPr>
                <w:rFonts w:ascii="Public Sans" w:hAnsi="Public Sans" w:cs="Calibri"/>
                <w:i/>
                <w:color w:val="000000"/>
                <w:sz w:val="17"/>
                <w:szCs w:val="17"/>
                <w:lang w:val="en-AU" w:eastAsia="en-AU"/>
              </w:rPr>
              <w:t> </w:t>
            </w:r>
          </w:p>
        </w:tc>
        <w:tc>
          <w:tcPr>
            <w:tcW w:w="1162" w:type="dxa"/>
            <w:tcBorders>
              <w:top w:val="nil"/>
              <w:left w:val="nil"/>
              <w:bottom w:val="nil"/>
              <w:right w:val="nil"/>
            </w:tcBorders>
            <w:shd w:val="clear" w:color="000000" w:fill="EBEBEB"/>
            <w:vAlign w:val="center"/>
            <w:hideMark/>
          </w:tcPr>
          <w:p w14:paraId="36A57518"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Actual</w:t>
            </w:r>
          </w:p>
        </w:tc>
        <w:tc>
          <w:tcPr>
            <w:tcW w:w="956" w:type="dxa"/>
            <w:tcBorders>
              <w:top w:val="nil"/>
              <w:left w:val="nil"/>
              <w:bottom w:val="nil"/>
              <w:right w:val="nil"/>
            </w:tcBorders>
            <w:shd w:val="clear" w:color="000000" w:fill="EBEBEB"/>
            <w:vAlign w:val="center"/>
            <w:hideMark/>
          </w:tcPr>
          <w:p w14:paraId="0489F97B"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Est. Actual</w:t>
            </w:r>
          </w:p>
        </w:tc>
        <w:tc>
          <w:tcPr>
            <w:tcW w:w="881" w:type="dxa"/>
            <w:tcBorders>
              <w:top w:val="nil"/>
              <w:left w:val="nil"/>
              <w:bottom w:val="nil"/>
              <w:right w:val="nil"/>
            </w:tcBorders>
            <w:shd w:val="clear" w:color="000000" w:fill="EBEBEB"/>
            <w:vAlign w:val="center"/>
            <w:hideMark/>
          </w:tcPr>
          <w:p w14:paraId="3C34A7DE"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Budget</w:t>
            </w:r>
          </w:p>
        </w:tc>
        <w:tc>
          <w:tcPr>
            <w:tcW w:w="2643" w:type="dxa"/>
            <w:gridSpan w:val="3"/>
            <w:tcBorders>
              <w:top w:val="nil"/>
              <w:left w:val="nil"/>
              <w:bottom w:val="nil"/>
              <w:right w:val="nil"/>
            </w:tcBorders>
            <w:shd w:val="clear" w:color="000000" w:fill="EBEBEB"/>
            <w:vAlign w:val="center"/>
            <w:hideMark/>
          </w:tcPr>
          <w:p w14:paraId="4B18D4BA"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Forward Estimates</w:t>
            </w:r>
          </w:p>
        </w:tc>
        <w:tc>
          <w:tcPr>
            <w:tcW w:w="1012" w:type="dxa"/>
            <w:vMerge/>
            <w:tcBorders>
              <w:top w:val="nil"/>
              <w:left w:val="nil"/>
              <w:bottom w:val="nil"/>
              <w:right w:val="nil"/>
            </w:tcBorders>
            <w:vAlign w:val="center"/>
            <w:hideMark/>
          </w:tcPr>
          <w:p w14:paraId="12A5BEB0" w14:textId="77777777" w:rsidR="00645B88" w:rsidRPr="001A0A66" w:rsidRDefault="00645B88" w:rsidP="00645B88">
            <w:pPr>
              <w:rPr>
                <w:rFonts w:ascii="Public Sans" w:hAnsi="Public Sans" w:cs="Calibri"/>
                <w:color w:val="FFFFFF"/>
                <w:sz w:val="17"/>
                <w:szCs w:val="17"/>
                <w:lang w:val="en-AU" w:eastAsia="en-AU"/>
              </w:rPr>
            </w:pPr>
          </w:p>
        </w:tc>
      </w:tr>
      <w:tr w:rsidR="00645B88" w:rsidRPr="00645B88" w14:paraId="0A5EB86E" w14:textId="77777777" w:rsidTr="003038B1">
        <w:trPr>
          <w:trHeight w:val="283"/>
        </w:trPr>
        <w:tc>
          <w:tcPr>
            <w:tcW w:w="3074" w:type="dxa"/>
            <w:tcBorders>
              <w:top w:val="nil"/>
              <w:left w:val="nil"/>
              <w:bottom w:val="nil"/>
              <w:right w:val="nil"/>
            </w:tcBorders>
            <w:shd w:val="clear" w:color="000000" w:fill="EBEBEB"/>
            <w:vAlign w:val="center"/>
            <w:hideMark/>
          </w:tcPr>
          <w:p w14:paraId="07D0D176" w14:textId="77777777" w:rsidR="00645B88" w:rsidRPr="001A0A66" w:rsidRDefault="00645B88" w:rsidP="00645B88">
            <w:pPr>
              <w:jc w:val="center"/>
              <w:rPr>
                <w:rFonts w:ascii="Public Sans" w:hAnsi="Public Sans" w:cs="Calibri"/>
                <w:i/>
                <w:color w:val="000000"/>
                <w:sz w:val="17"/>
                <w:szCs w:val="17"/>
                <w:lang w:val="en-AU" w:eastAsia="en-AU"/>
              </w:rPr>
            </w:pPr>
            <w:r w:rsidRPr="001A0A66">
              <w:rPr>
                <w:rFonts w:ascii="Public Sans" w:hAnsi="Public Sans" w:cs="Calibri"/>
                <w:i/>
                <w:color w:val="000000"/>
                <w:sz w:val="17"/>
                <w:szCs w:val="17"/>
                <w:lang w:val="en-AU" w:eastAsia="en-AU"/>
              </w:rPr>
              <w:t> </w:t>
            </w:r>
          </w:p>
        </w:tc>
        <w:tc>
          <w:tcPr>
            <w:tcW w:w="1162" w:type="dxa"/>
            <w:tcBorders>
              <w:top w:val="nil"/>
              <w:left w:val="nil"/>
              <w:bottom w:val="nil"/>
              <w:right w:val="nil"/>
            </w:tcBorders>
            <w:shd w:val="clear" w:color="000000" w:fill="EBEBEB"/>
            <w:hideMark/>
          </w:tcPr>
          <w:p w14:paraId="71004A3F"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956" w:type="dxa"/>
            <w:tcBorders>
              <w:top w:val="nil"/>
              <w:left w:val="nil"/>
              <w:bottom w:val="nil"/>
              <w:right w:val="nil"/>
            </w:tcBorders>
            <w:shd w:val="clear" w:color="000000" w:fill="EBEBEB"/>
            <w:hideMark/>
          </w:tcPr>
          <w:p w14:paraId="332D3D70"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699AB08D"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6E73FA45"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72551C3A"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4628E451"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1012" w:type="dxa"/>
            <w:vMerge/>
            <w:tcBorders>
              <w:top w:val="nil"/>
              <w:left w:val="nil"/>
              <w:bottom w:val="nil"/>
              <w:right w:val="nil"/>
            </w:tcBorders>
            <w:vAlign w:val="center"/>
            <w:hideMark/>
          </w:tcPr>
          <w:p w14:paraId="29CBCC06" w14:textId="77777777" w:rsidR="00645B88" w:rsidRPr="001A0A66" w:rsidRDefault="00645B88" w:rsidP="00645B88">
            <w:pPr>
              <w:rPr>
                <w:rFonts w:ascii="Public Sans" w:hAnsi="Public Sans" w:cs="Calibri"/>
                <w:color w:val="FFFFFF"/>
                <w:sz w:val="17"/>
                <w:szCs w:val="17"/>
                <w:lang w:val="en-AU" w:eastAsia="en-AU"/>
              </w:rPr>
            </w:pPr>
          </w:p>
        </w:tc>
      </w:tr>
      <w:tr w:rsidR="00645B88" w:rsidRPr="00645B88" w14:paraId="04F18FB4" w14:textId="77777777" w:rsidTr="00C71A5F">
        <w:trPr>
          <w:trHeight w:val="342"/>
        </w:trPr>
        <w:tc>
          <w:tcPr>
            <w:tcW w:w="3074" w:type="dxa"/>
            <w:tcBorders>
              <w:top w:val="nil"/>
              <w:left w:val="nil"/>
              <w:bottom w:val="nil"/>
              <w:right w:val="nil"/>
            </w:tcBorders>
            <w:shd w:val="clear" w:color="000000" w:fill="FFFFFF"/>
            <w:noWrap/>
            <w:vAlign w:val="center"/>
            <w:hideMark/>
          </w:tcPr>
          <w:p w14:paraId="6ED61AEA" w14:textId="77777777" w:rsidR="00645B88" w:rsidRPr="00645B88" w:rsidRDefault="00645B88" w:rsidP="00645B88">
            <w:pPr>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Revenue from transactions </w:t>
            </w:r>
          </w:p>
        </w:tc>
        <w:tc>
          <w:tcPr>
            <w:tcW w:w="1162" w:type="dxa"/>
            <w:tcBorders>
              <w:top w:val="nil"/>
              <w:left w:val="nil"/>
              <w:bottom w:val="nil"/>
              <w:right w:val="nil"/>
            </w:tcBorders>
            <w:shd w:val="clear" w:color="000000" w:fill="FFFFFF"/>
            <w:noWrap/>
            <w:vAlign w:val="bottom"/>
            <w:hideMark/>
          </w:tcPr>
          <w:p w14:paraId="26D383BD"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956" w:type="dxa"/>
            <w:tcBorders>
              <w:top w:val="nil"/>
              <w:left w:val="nil"/>
              <w:bottom w:val="nil"/>
              <w:right w:val="nil"/>
            </w:tcBorders>
            <w:shd w:val="clear" w:color="000000" w:fill="FFFFFF"/>
            <w:noWrap/>
            <w:hideMark/>
          </w:tcPr>
          <w:p w14:paraId="1B719F89"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7102153F"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77F600DA"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338BABD9"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104C7907"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1012" w:type="dxa"/>
            <w:tcBorders>
              <w:top w:val="nil"/>
              <w:left w:val="nil"/>
              <w:bottom w:val="nil"/>
              <w:right w:val="nil"/>
            </w:tcBorders>
            <w:shd w:val="clear" w:color="000000" w:fill="FFFFFF"/>
            <w:noWrap/>
            <w:vAlign w:val="bottom"/>
            <w:hideMark/>
          </w:tcPr>
          <w:p w14:paraId="60CBC92C"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r>
      <w:tr w:rsidR="00645B88" w:rsidRPr="00645B88" w14:paraId="20CFD9D6" w14:textId="77777777" w:rsidTr="007838BF">
        <w:trPr>
          <w:trHeight w:val="221"/>
        </w:trPr>
        <w:tc>
          <w:tcPr>
            <w:tcW w:w="3074" w:type="dxa"/>
            <w:tcBorders>
              <w:top w:val="nil"/>
              <w:left w:val="nil"/>
              <w:bottom w:val="nil"/>
              <w:right w:val="nil"/>
            </w:tcBorders>
            <w:shd w:val="clear" w:color="000000" w:fill="FFFFFF"/>
            <w:vAlign w:val="center"/>
            <w:hideMark/>
          </w:tcPr>
          <w:p w14:paraId="4222A363"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Taxation</w:t>
            </w:r>
          </w:p>
        </w:tc>
        <w:tc>
          <w:tcPr>
            <w:tcW w:w="1162" w:type="dxa"/>
            <w:tcBorders>
              <w:top w:val="nil"/>
              <w:left w:val="nil"/>
              <w:bottom w:val="nil"/>
              <w:right w:val="nil"/>
            </w:tcBorders>
            <w:shd w:val="clear" w:color="000000" w:fill="FFFFFF"/>
            <w:noWrap/>
            <w:vAlign w:val="center"/>
            <w:hideMark/>
          </w:tcPr>
          <w:p w14:paraId="45E2F33E" w14:textId="345362D8"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39,007 </w:t>
            </w:r>
          </w:p>
        </w:tc>
        <w:tc>
          <w:tcPr>
            <w:tcW w:w="956" w:type="dxa"/>
            <w:tcBorders>
              <w:top w:val="nil"/>
              <w:left w:val="nil"/>
              <w:bottom w:val="nil"/>
              <w:right w:val="nil"/>
            </w:tcBorders>
            <w:shd w:val="clear" w:color="000000" w:fill="FFFFFF"/>
            <w:noWrap/>
            <w:vAlign w:val="center"/>
            <w:hideMark/>
          </w:tcPr>
          <w:p w14:paraId="2E9A690B" w14:textId="7E03D34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39,861 </w:t>
            </w:r>
          </w:p>
        </w:tc>
        <w:tc>
          <w:tcPr>
            <w:tcW w:w="881" w:type="dxa"/>
            <w:tcBorders>
              <w:top w:val="nil"/>
              <w:left w:val="nil"/>
              <w:bottom w:val="nil"/>
              <w:right w:val="nil"/>
            </w:tcBorders>
            <w:shd w:val="clear" w:color="000000" w:fill="F2F2F2"/>
            <w:noWrap/>
            <w:vAlign w:val="center"/>
            <w:hideMark/>
          </w:tcPr>
          <w:p w14:paraId="74BC8477" w14:textId="73CD50B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44,862 </w:t>
            </w:r>
          </w:p>
        </w:tc>
        <w:tc>
          <w:tcPr>
            <w:tcW w:w="881" w:type="dxa"/>
            <w:tcBorders>
              <w:top w:val="nil"/>
              <w:left w:val="nil"/>
              <w:bottom w:val="nil"/>
              <w:right w:val="nil"/>
            </w:tcBorders>
            <w:shd w:val="clear" w:color="000000" w:fill="F2F2F2"/>
            <w:noWrap/>
            <w:vAlign w:val="center"/>
            <w:hideMark/>
          </w:tcPr>
          <w:p w14:paraId="7F32AF47" w14:textId="269D608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46,474 </w:t>
            </w:r>
          </w:p>
        </w:tc>
        <w:tc>
          <w:tcPr>
            <w:tcW w:w="881" w:type="dxa"/>
            <w:tcBorders>
              <w:top w:val="nil"/>
              <w:left w:val="nil"/>
              <w:bottom w:val="nil"/>
              <w:right w:val="nil"/>
            </w:tcBorders>
            <w:shd w:val="clear" w:color="000000" w:fill="F2F2F2"/>
            <w:noWrap/>
            <w:vAlign w:val="center"/>
            <w:hideMark/>
          </w:tcPr>
          <w:p w14:paraId="567B4648" w14:textId="7E8E01B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47,737 </w:t>
            </w:r>
          </w:p>
        </w:tc>
        <w:tc>
          <w:tcPr>
            <w:tcW w:w="881" w:type="dxa"/>
            <w:tcBorders>
              <w:top w:val="nil"/>
              <w:left w:val="nil"/>
              <w:bottom w:val="nil"/>
              <w:right w:val="nil"/>
            </w:tcBorders>
            <w:shd w:val="clear" w:color="000000" w:fill="F2F2F2"/>
            <w:noWrap/>
            <w:vAlign w:val="center"/>
            <w:hideMark/>
          </w:tcPr>
          <w:p w14:paraId="52440C00" w14:textId="28E503C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49,297 </w:t>
            </w:r>
          </w:p>
        </w:tc>
        <w:tc>
          <w:tcPr>
            <w:tcW w:w="1012" w:type="dxa"/>
            <w:tcBorders>
              <w:top w:val="nil"/>
              <w:left w:val="nil"/>
              <w:bottom w:val="nil"/>
              <w:right w:val="nil"/>
            </w:tcBorders>
            <w:shd w:val="clear" w:color="000000" w:fill="FFFFFF"/>
            <w:noWrap/>
            <w:vAlign w:val="center"/>
            <w:hideMark/>
          </w:tcPr>
          <w:p w14:paraId="178D3FA8"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5.5</w:t>
            </w:r>
          </w:p>
        </w:tc>
      </w:tr>
      <w:tr w:rsidR="00645B88" w:rsidRPr="00645B88" w14:paraId="35DE6AB7" w14:textId="77777777" w:rsidTr="007838BF">
        <w:trPr>
          <w:trHeight w:val="221"/>
        </w:trPr>
        <w:tc>
          <w:tcPr>
            <w:tcW w:w="3074" w:type="dxa"/>
            <w:tcBorders>
              <w:top w:val="nil"/>
              <w:left w:val="nil"/>
              <w:bottom w:val="nil"/>
              <w:right w:val="nil"/>
            </w:tcBorders>
            <w:shd w:val="clear" w:color="000000" w:fill="FFFFFF"/>
            <w:vAlign w:val="center"/>
            <w:hideMark/>
          </w:tcPr>
          <w:p w14:paraId="60E4BD5C"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Grant revenue (including GST)</w:t>
            </w:r>
          </w:p>
        </w:tc>
        <w:tc>
          <w:tcPr>
            <w:tcW w:w="1162" w:type="dxa"/>
            <w:tcBorders>
              <w:top w:val="nil"/>
              <w:left w:val="nil"/>
              <w:bottom w:val="nil"/>
              <w:right w:val="nil"/>
            </w:tcBorders>
            <w:shd w:val="clear" w:color="000000" w:fill="FFFFFF"/>
            <w:noWrap/>
            <w:vAlign w:val="center"/>
            <w:hideMark/>
          </w:tcPr>
          <w:p w14:paraId="42414B5D" w14:textId="161E6B4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44,887 </w:t>
            </w:r>
          </w:p>
        </w:tc>
        <w:tc>
          <w:tcPr>
            <w:tcW w:w="956" w:type="dxa"/>
            <w:tcBorders>
              <w:top w:val="nil"/>
              <w:left w:val="nil"/>
              <w:bottom w:val="nil"/>
              <w:right w:val="nil"/>
            </w:tcBorders>
            <w:shd w:val="clear" w:color="000000" w:fill="FFFFFF"/>
            <w:noWrap/>
            <w:vAlign w:val="center"/>
            <w:hideMark/>
          </w:tcPr>
          <w:p w14:paraId="5DF4F990" w14:textId="28068518"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45,572 </w:t>
            </w:r>
          </w:p>
        </w:tc>
        <w:tc>
          <w:tcPr>
            <w:tcW w:w="881" w:type="dxa"/>
            <w:tcBorders>
              <w:top w:val="nil"/>
              <w:left w:val="nil"/>
              <w:bottom w:val="nil"/>
              <w:right w:val="nil"/>
            </w:tcBorders>
            <w:shd w:val="clear" w:color="000000" w:fill="F2F2F2"/>
            <w:noWrap/>
            <w:vAlign w:val="center"/>
            <w:hideMark/>
          </w:tcPr>
          <w:p w14:paraId="1A16EDCB" w14:textId="1D2CBEB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46,617 </w:t>
            </w:r>
          </w:p>
        </w:tc>
        <w:tc>
          <w:tcPr>
            <w:tcW w:w="881" w:type="dxa"/>
            <w:tcBorders>
              <w:top w:val="nil"/>
              <w:left w:val="nil"/>
              <w:bottom w:val="nil"/>
              <w:right w:val="nil"/>
            </w:tcBorders>
            <w:shd w:val="clear" w:color="000000" w:fill="F2F2F2"/>
            <w:noWrap/>
            <w:vAlign w:val="center"/>
            <w:hideMark/>
          </w:tcPr>
          <w:p w14:paraId="7CAD4E79" w14:textId="589C3F0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48,317 </w:t>
            </w:r>
          </w:p>
        </w:tc>
        <w:tc>
          <w:tcPr>
            <w:tcW w:w="881" w:type="dxa"/>
            <w:tcBorders>
              <w:top w:val="nil"/>
              <w:left w:val="nil"/>
              <w:bottom w:val="nil"/>
              <w:right w:val="nil"/>
            </w:tcBorders>
            <w:shd w:val="clear" w:color="000000" w:fill="F2F2F2"/>
            <w:noWrap/>
            <w:vAlign w:val="center"/>
            <w:hideMark/>
          </w:tcPr>
          <w:p w14:paraId="1FA86DF9" w14:textId="7D2AC84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48,497 </w:t>
            </w:r>
          </w:p>
        </w:tc>
        <w:tc>
          <w:tcPr>
            <w:tcW w:w="881" w:type="dxa"/>
            <w:tcBorders>
              <w:top w:val="nil"/>
              <w:left w:val="nil"/>
              <w:bottom w:val="nil"/>
              <w:right w:val="nil"/>
            </w:tcBorders>
            <w:shd w:val="clear" w:color="000000" w:fill="F2F2F2"/>
            <w:noWrap/>
            <w:vAlign w:val="center"/>
            <w:hideMark/>
          </w:tcPr>
          <w:p w14:paraId="1B8FA03B" w14:textId="6D516836"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49,213 </w:t>
            </w:r>
          </w:p>
        </w:tc>
        <w:tc>
          <w:tcPr>
            <w:tcW w:w="1012" w:type="dxa"/>
            <w:tcBorders>
              <w:top w:val="nil"/>
              <w:left w:val="nil"/>
              <w:bottom w:val="nil"/>
              <w:right w:val="nil"/>
            </w:tcBorders>
            <w:shd w:val="clear" w:color="000000" w:fill="FFFFFF"/>
            <w:noWrap/>
            <w:vAlign w:val="center"/>
            <w:hideMark/>
          </w:tcPr>
          <w:p w14:paraId="7002C8CE"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1.9</w:t>
            </w:r>
          </w:p>
        </w:tc>
      </w:tr>
      <w:tr w:rsidR="00645B88" w:rsidRPr="00645B88" w14:paraId="10B32EA8" w14:textId="77777777" w:rsidTr="00645B88">
        <w:trPr>
          <w:trHeight w:val="219"/>
        </w:trPr>
        <w:tc>
          <w:tcPr>
            <w:tcW w:w="3074" w:type="dxa"/>
            <w:tcBorders>
              <w:top w:val="nil"/>
              <w:left w:val="nil"/>
              <w:bottom w:val="nil"/>
              <w:right w:val="nil"/>
            </w:tcBorders>
            <w:shd w:val="clear" w:color="000000" w:fill="FFFFFF"/>
            <w:vAlign w:val="center"/>
            <w:hideMark/>
          </w:tcPr>
          <w:p w14:paraId="30B0CD44"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Sale of goods and services</w:t>
            </w:r>
          </w:p>
        </w:tc>
        <w:tc>
          <w:tcPr>
            <w:tcW w:w="1162" w:type="dxa"/>
            <w:tcBorders>
              <w:top w:val="nil"/>
              <w:left w:val="nil"/>
              <w:bottom w:val="nil"/>
              <w:right w:val="nil"/>
            </w:tcBorders>
            <w:shd w:val="clear" w:color="000000" w:fill="FFFFFF"/>
            <w:noWrap/>
            <w:vAlign w:val="center"/>
            <w:hideMark/>
          </w:tcPr>
          <w:p w14:paraId="09BF7AEE" w14:textId="1F65D0E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9,451 </w:t>
            </w:r>
          </w:p>
        </w:tc>
        <w:tc>
          <w:tcPr>
            <w:tcW w:w="956" w:type="dxa"/>
            <w:tcBorders>
              <w:top w:val="nil"/>
              <w:left w:val="nil"/>
              <w:bottom w:val="nil"/>
              <w:right w:val="nil"/>
            </w:tcBorders>
            <w:shd w:val="clear" w:color="000000" w:fill="FFFFFF"/>
            <w:noWrap/>
            <w:vAlign w:val="center"/>
            <w:hideMark/>
          </w:tcPr>
          <w:p w14:paraId="11DBAC0B" w14:textId="34403812"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9,705 </w:t>
            </w:r>
          </w:p>
        </w:tc>
        <w:tc>
          <w:tcPr>
            <w:tcW w:w="881" w:type="dxa"/>
            <w:tcBorders>
              <w:top w:val="nil"/>
              <w:left w:val="nil"/>
              <w:bottom w:val="nil"/>
              <w:right w:val="nil"/>
            </w:tcBorders>
            <w:shd w:val="clear" w:color="000000" w:fill="F2F2F2"/>
            <w:noWrap/>
            <w:vAlign w:val="center"/>
            <w:hideMark/>
          </w:tcPr>
          <w:p w14:paraId="3363E296" w14:textId="1EB3E8E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10,603 </w:t>
            </w:r>
          </w:p>
        </w:tc>
        <w:tc>
          <w:tcPr>
            <w:tcW w:w="881" w:type="dxa"/>
            <w:tcBorders>
              <w:top w:val="nil"/>
              <w:left w:val="nil"/>
              <w:bottom w:val="nil"/>
              <w:right w:val="nil"/>
            </w:tcBorders>
            <w:shd w:val="clear" w:color="000000" w:fill="F2F2F2"/>
            <w:noWrap/>
            <w:vAlign w:val="center"/>
            <w:hideMark/>
          </w:tcPr>
          <w:p w14:paraId="19F85E00" w14:textId="76F9A726"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10,744 </w:t>
            </w:r>
          </w:p>
        </w:tc>
        <w:tc>
          <w:tcPr>
            <w:tcW w:w="881" w:type="dxa"/>
            <w:tcBorders>
              <w:top w:val="nil"/>
              <w:left w:val="nil"/>
              <w:bottom w:val="nil"/>
              <w:right w:val="nil"/>
            </w:tcBorders>
            <w:shd w:val="clear" w:color="000000" w:fill="F2F2F2"/>
            <w:noWrap/>
            <w:vAlign w:val="center"/>
            <w:hideMark/>
          </w:tcPr>
          <w:p w14:paraId="683AE0BE" w14:textId="628E4B7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10,433 </w:t>
            </w:r>
          </w:p>
        </w:tc>
        <w:tc>
          <w:tcPr>
            <w:tcW w:w="881" w:type="dxa"/>
            <w:tcBorders>
              <w:top w:val="nil"/>
              <w:left w:val="nil"/>
              <w:bottom w:val="nil"/>
              <w:right w:val="nil"/>
            </w:tcBorders>
            <w:shd w:val="clear" w:color="000000" w:fill="F2F2F2"/>
            <w:noWrap/>
            <w:vAlign w:val="center"/>
            <w:hideMark/>
          </w:tcPr>
          <w:p w14:paraId="35CCC273" w14:textId="07F245BD"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10,591 </w:t>
            </w:r>
          </w:p>
        </w:tc>
        <w:tc>
          <w:tcPr>
            <w:tcW w:w="1012" w:type="dxa"/>
            <w:tcBorders>
              <w:top w:val="nil"/>
              <w:left w:val="nil"/>
              <w:bottom w:val="nil"/>
              <w:right w:val="nil"/>
            </w:tcBorders>
            <w:shd w:val="clear" w:color="000000" w:fill="FFFFFF"/>
            <w:noWrap/>
            <w:vAlign w:val="center"/>
            <w:hideMark/>
          </w:tcPr>
          <w:p w14:paraId="0B4C7F10"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2.2</w:t>
            </w:r>
          </w:p>
        </w:tc>
      </w:tr>
      <w:tr w:rsidR="00645B88" w:rsidRPr="00645B88" w14:paraId="04754550" w14:textId="77777777" w:rsidTr="00645B88">
        <w:trPr>
          <w:trHeight w:val="219"/>
        </w:trPr>
        <w:tc>
          <w:tcPr>
            <w:tcW w:w="3074" w:type="dxa"/>
            <w:tcBorders>
              <w:top w:val="nil"/>
              <w:left w:val="nil"/>
              <w:bottom w:val="nil"/>
              <w:right w:val="nil"/>
            </w:tcBorders>
            <w:shd w:val="clear" w:color="000000" w:fill="FFFFFF"/>
            <w:vAlign w:val="center"/>
            <w:hideMark/>
          </w:tcPr>
          <w:p w14:paraId="45118C18"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Interest income</w:t>
            </w:r>
          </w:p>
        </w:tc>
        <w:tc>
          <w:tcPr>
            <w:tcW w:w="1162" w:type="dxa"/>
            <w:tcBorders>
              <w:top w:val="nil"/>
              <w:left w:val="nil"/>
              <w:bottom w:val="nil"/>
              <w:right w:val="nil"/>
            </w:tcBorders>
            <w:shd w:val="clear" w:color="000000" w:fill="FFFFFF"/>
            <w:noWrap/>
            <w:vAlign w:val="center"/>
            <w:hideMark/>
          </w:tcPr>
          <w:p w14:paraId="4D383CE0" w14:textId="39FC16FD"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262 </w:t>
            </w:r>
          </w:p>
        </w:tc>
        <w:tc>
          <w:tcPr>
            <w:tcW w:w="956" w:type="dxa"/>
            <w:tcBorders>
              <w:top w:val="nil"/>
              <w:left w:val="nil"/>
              <w:bottom w:val="nil"/>
              <w:right w:val="nil"/>
            </w:tcBorders>
            <w:shd w:val="clear" w:color="000000" w:fill="FFFFFF"/>
            <w:noWrap/>
            <w:vAlign w:val="center"/>
            <w:hideMark/>
          </w:tcPr>
          <w:p w14:paraId="01843425" w14:textId="28856A4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545 </w:t>
            </w:r>
          </w:p>
        </w:tc>
        <w:tc>
          <w:tcPr>
            <w:tcW w:w="881" w:type="dxa"/>
            <w:tcBorders>
              <w:top w:val="nil"/>
              <w:left w:val="nil"/>
              <w:bottom w:val="nil"/>
              <w:right w:val="nil"/>
            </w:tcBorders>
            <w:shd w:val="clear" w:color="000000" w:fill="F2F2F2"/>
            <w:noWrap/>
            <w:vAlign w:val="center"/>
            <w:hideMark/>
          </w:tcPr>
          <w:p w14:paraId="47D12FF4" w14:textId="5C8187D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504 </w:t>
            </w:r>
          </w:p>
        </w:tc>
        <w:tc>
          <w:tcPr>
            <w:tcW w:w="881" w:type="dxa"/>
            <w:tcBorders>
              <w:top w:val="nil"/>
              <w:left w:val="nil"/>
              <w:bottom w:val="nil"/>
              <w:right w:val="nil"/>
            </w:tcBorders>
            <w:shd w:val="clear" w:color="000000" w:fill="F2F2F2"/>
            <w:noWrap/>
            <w:vAlign w:val="center"/>
            <w:hideMark/>
          </w:tcPr>
          <w:p w14:paraId="3F298C8B" w14:textId="34BF7CF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434 </w:t>
            </w:r>
          </w:p>
        </w:tc>
        <w:tc>
          <w:tcPr>
            <w:tcW w:w="881" w:type="dxa"/>
            <w:tcBorders>
              <w:top w:val="nil"/>
              <w:left w:val="nil"/>
              <w:bottom w:val="nil"/>
              <w:right w:val="nil"/>
            </w:tcBorders>
            <w:shd w:val="clear" w:color="000000" w:fill="F2F2F2"/>
            <w:noWrap/>
            <w:vAlign w:val="center"/>
            <w:hideMark/>
          </w:tcPr>
          <w:p w14:paraId="38017AD3" w14:textId="20178E52"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386 </w:t>
            </w:r>
          </w:p>
        </w:tc>
        <w:tc>
          <w:tcPr>
            <w:tcW w:w="881" w:type="dxa"/>
            <w:tcBorders>
              <w:top w:val="nil"/>
              <w:left w:val="nil"/>
              <w:bottom w:val="nil"/>
              <w:right w:val="nil"/>
            </w:tcBorders>
            <w:shd w:val="clear" w:color="000000" w:fill="F2F2F2"/>
            <w:noWrap/>
            <w:vAlign w:val="center"/>
            <w:hideMark/>
          </w:tcPr>
          <w:p w14:paraId="2BD1D1B0" w14:textId="34E47D26"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449 </w:t>
            </w:r>
          </w:p>
        </w:tc>
        <w:tc>
          <w:tcPr>
            <w:tcW w:w="1012" w:type="dxa"/>
            <w:tcBorders>
              <w:top w:val="nil"/>
              <w:left w:val="nil"/>
              <w:bottom w:val="nil"/>
              <w:right w:val="nil"/>
            </w:tcBorders>
            <w:shd w:val="clear" w:color="000000" w:fill="FFFFFF"/>
            <w:noWrap/>
            <w:vAlign w:val="center"/>
            <w:hideMark/>
          </w:tcPr>
          <w:p w14:paraId="2B660908"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(4.7)</w:t>
            </w:r>
          </w:p>
        </w:tc>
      </w:tr>
      <w:tr w:rsidR="00645B88" w:rsidRPr="00645B88" w14:paraId="1CDF1006" w14:textId="77777777" w:rsidTr="00645B88">
        <w:trPr>
          <w:trHeight w:val="301"/>
        </w:trPr>
        <w:tc>
          <w:tcPr>
            <w:tcW w:w="3074" w:type="dxa"/>
            <w:tcBorders>
              <w:top w:val="nil"/>
              <w:left w:val="nil"/>
              <w:bottom w:val="nil"/>
              <w:right w:val="nil"/>
            </w:tcBorders>
            <w:shd w:val="clear" w:color="000000" w:fill="FFFFFF"/>
            <w:vAlign w:val="center"/>
            <w:hideMark/>
          </w:tcPr>
          <w:p w14:paraId="21F0B387" w14:textId="77777777" w:rsidR="00645B88" w:rsidRPr="00645B88" w:rsidRDefault="00645B88" w:rsidP="007E7217">
            <w:pPr>
              <w:ind w:left="113" w:hanging="113"/>
              <w:rPr>
                <w:rFonts w:ascii="Public Sans" w:hAnsi="Public Sans" w:cs="Calibri"/>
                <w:sz w:val="16"/>
                <w:szCs w:val="16"/>
                <w:lang w:val="en-AU" w:eastAsia="en-AU"/>
              </w:rPr>
            </w:pPr>
            <w:r w:rsidRPr="00645B88">
              <w:rPr>
                <w:rFonts w:ascii="Public Sans" w:hAnsi="Public Sans" w:cs="Calibri"/>
                <w:sz w:val="16"/>
                <w:szCs w:val="16"/>
                <w:lang w:val="en-AU" w:eastAsia="en-AU"/>
              </w:rPr>
              <w:t>Dividends and income tax equivalents from other sectors</w:t>
            </w:r>
          </w:p>
        </w:tc>
        <w:tc>
          <w:tcPr>
            <w:tcW w:w="1162" w:type="dxa"/>
            <w:tcBorders>
              <w:top w:val="nil"/>
              <w:left w:val="nil"/>
              <w:bottom w:val="nil"/>
              <w:right w:val="nil"/>
            </w:tcBorders>
            <w:shd w:val="clear" w:color="000000" w:fill="FFFFFF"/>
            <w:noWrap/>
            <w:vAlign w:val="center"/>
            <w:hideMark/>
          </w:tcPr>
          <w:p w14:paraId="2A2414FE" w14:textId="79FE9CF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454 </w:t>
            </w:r>
          </w:p>
        </w:tc>
        <w:tc>
          <w:tcPr>
            <w:tcW w:w="956" w:type="dxa"/>
            <w:tcBorders>
              <w:top w:val="nil"/>
              <w:left w:val="nil"/>
              <w:bottom w:val="nil"/>
              <w:right w:val="nil"/>
            </w:tcBorders>
            <w:shd w:val="clear" w:color="000000" w:fill="FFFFFF"/>
            <w:noWrap/>
            <w:vAlign w:val="center"/>
            <w:hideMark/>
          </w:tcPr>
          <w:p w14:paraId="45460AAC" w14:textId="2505A0EC"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612 </w:t>
            </w:r>
          </w:p>
        </w:tc>
        <w:tc>
          <w:tcPr>
            <w:tcW w:w="881" w:type="dxa"/>
            <w:tcBorders>
              <w:top w:val="nil"/>
              <w:left w:val="nil"/>
              <w:bottom w:val="nil"/>
              <w:right w:val="nil"/>
            </w:tcBorders>
            <w:shd w:val="clear" w:color="000000" w:fill="F2F2F2"/>
            <w:noWrap/>
            <w:vAlign w:val="center"/>
            <w:hideMark/>
          </w:tcPr>
          <w:p w14:paraId="2B143D61" w14:textId="36A18D0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752 </w:t>
            </w:r>
          </w:p>
        </w:tc>
        <w:tc>
          <w:tcPr>
            <w:tcW w:w="881" w:type="dxa"/>
            <w:tcBorders>
              <w:top w:val="nil"/>
              <w:left w:val="nil"/>
              <w:bottom w:val="nil"/>
              <w:right w:val="nil"/>
            </w:tcBorders>
            <w:shd w:val="clear" w:color="000000" w:fill="F2F2F2"/>
            <w:noWrap/>
            <w:vAlign w:val="center"/>
            <w:hideMark/>
          </w:tcPr>
          <w:p w14:paraId="4283845C" w14:textId="6512FE7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816 </w:t>
            </w:r>
          </w:p>
        </w:tc>
        <w:tc>
          <w:tcPr>
            <w:tcW w:w="881" w:type="dxa"/>
            <w:tcBorders>
              <w:top w:val="nil"/>
              <w:left w:val="nil"/>
              <w:bottom w:val="nil"/>
              <w:right w:val="nil"/>
            </w:tcBorders>
            <w:shd w:val="clear" w:color="000000" w:fill="F2F2F2"/>
            <w:noWrap/>
            <w:vAlign w:val="center"/>
            <w:hideMark/>
          </w:tcPr>
          <w:p w14:paraId="4A799A42" w14:textId="1171D7F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1,116 </w:t>
            </w:r>
          </w:p>
        </w:tc>
        <w:tc>
          <w:tcPr>
            <w:tcW w:w="881" w:type="dxa"/>
            <w:tcBorders>
              <w:top w:val="nil"/>
              <w:left w:val="nil"/>
              <w:bottom w:val="nil"/>
              <w:right w:val="nil"/>
            </w:tcBorders>
            <w:shd w:val="clear" w:color="000000" w:fill="F2F2F2"/>
            <w:noWrap/>
            <w:vAlign w:val="center"/>
            <w:hideMark/>
          </w:tcPr>
          <w:p w14:paraId="361FB1D7" w14:textId="0608FA4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1,212 </w:t>
            </w:r>
          </w:p>
        </w:tc>
        <w:tc>
          <w:tcPr>
            <w:tcW w:w="1012" w:type="dxa"/>
            <w:tcBorders>
              <w:top w:val="nil"/>
              <w:left w:val="nil"/>
              <w:bottom w:val="nil"/>
              <w:right w:val="nil"/>
            </w:tcBorders>
            <w:shd w:val="clear" w:color="000000" w:fill="FFFFFF"/>
            <w:noWrap/>
            <w:vAlign w:val="center"/>
            <w:hideMark/>
          </w:tcPr>
          <w:p w14:paraId="78F6531A"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18.6</w:t>
            </w:r>
          </w:p>
        </w:tc>
      </w:tr>
      <w:tr w:rsidR="00645B88" w:rsidRPr="00645B88" w14:paraId="01CF0321" w14:textId="77777777" w:rsidTr="00645B88">
        <w:trPr>
          <w:trHeight w:val="219"/>
        </w:trPr>
        <w:tc>
          <w:tcPr>
            <w:tcW w:w="3074" w:type="dxa"/>
            <w:tcBorders>
              <w:top w:val="nil"/>
              <w:left w:val="nil"/>
              <w:bottom w:val="nil"/>
              <w:right w:val="nil"/>
            </w:tcBorders>
            <w:shd w:val="clear" w:color="000000" w:fill="FFFFFF"/>
            <w:vAlign w:val="center"/>
            <w:hideMark/>
          </w:tcPr>
          <w:p w14:paraId="34766828"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Other dividends and distributions</w:t>
            </w:r>
          </w:p>
        </w:tc>
        <w:tc>
          <w:tcPr>
            <w:tcW w:w="1162" w:type="dxa"/>
            <w:tcBorders>
              <w:top w:val="nil"/>
              <w:left w:val="nil"/>
              <w:bottom w:val="nil"/>
              <w:right w:val="nil"/>
            </w:tcBorders>
            <w:shd w:val="clear" w:color="000000" w:fill="FFFFFF"/>
            <w:noWrap/>
            <w:vAlign w:val="center"/>
            <w:hideMark/>
          </w:tcPr>
          <w:p w14:paraId="3D86A64A" w14:textId="6A82641A"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2,442 </w:t>
            </w:r>
          </w:p>
        </w:tc>
        <w:tc>
          <w:tcPr>
            <w:tcW w:w="956" w:type="dxa"/>
            <w:tcBorders>
              <w:top w:val="nil"/>
              <w:left w:val="nil"/>
              <w:bottom w:val="nil"/>
              <w:right w:val="nil"/>
            </w:tcBorders>
            <w:shd w:val="clear" w:color="000000" w:fill="FFFFFF"/>
            <w:noWrap/>
            <w:vAlign w:val="center"/>
            <w:hideMark/>
          </w:tcPr>
          <w:p w14:paraId="71A643F7" w14:textId="6E709588"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1,467 </w:t>
            </w:r>
          </w:p>
        </w:tc>
        <w:tc>
          <w:tcPr>
            <w:tcW w:w="881" w:type="dxa"/>
            <w:tcBorders>
              <w:top w:val="nil"/>
              <w:left w:val="nil"/>
              <w:bottom w:val="nil"/>
              <w:right w:val="nil"/>
            </w:tcBorders>
            <w:shd w:val="clear" w:color="000000" w:fill="F2F2F2"/>
            <w:noWrap/>
            <w:vAlign w:val="center"/>
            <w:hideMark/>
          </w:tcPr>
          <w:p w14:paraId="128A47D4" w14:textId="70257592"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2,637 </w:t>
            </w:r>
          </w:p>
        </w:tc>
        <w:tc>
          <w:tcPr>
            <w:tcW w:w="881" w:type="dxa"/>
            <w:tcBorders>
              <w:top w:val="nil"/>
              <w:left w:val="nil"/>
              <w:bottom w:val="nil"/>
              <w:right w:val="nil"/>
            </w:tcBorders>
            <w:shd w:val="clear" w:color="000000" w:fill="F2F2F2"/>
            <w:noWrap/>
            <w:vAlign w:val="center"/>
            <w:hideMark/>
          </w:tcPr>
          <w:p w14:paraId="5DF25579" w14:textId="681C42EB"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3,285 </w:t>
            </w:r>
          </w:p>
        </w:tc>
        <w:tc>
          <w:tcPr>
            <w:tcW w:w="881" w:type="dxa"/>
            <w:tcBorders>
              <w:top w:val="nil"/>
              <w:left w:val="nil"/>
              <w:bottom w:val="nil"/>
              <w:right w:val="nil"/>
            </w:tcBorders>
            <w:shd w:val="clear" w:color="000000" w:fill="F2F2F2"/>
            <w:noWrap/>
            <w:vAlign w:val="center"/>
            <w:hideMark/>
          </w:tcPr>
          <w:p w14:paraId="34C5EB68" w14:textId="1F402C5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3,684 </w:t>
            </w:r>
          </w:p>
        </w:tc>
        <w:tc>
          <w:tcPr>
            <w:tcW w:w="881" w:type="dxa"/>
            <w:tcBorders>
              <w:top w:val="nil"/>
              <w:left w:val="nil"/>
              <w:bottom w:val="nil"/>
              <w:right w:val="nil"/>
            </w:tcBorders>
            <w:shd w:val="clear" w:color="000000" w:fill="F2F2F2"/>
            <w:noWrap/>
            <w:vAlign w:val="center"/>
            <w:hideMark/>
          </w:tcPr>
          <w:p w14:paraId="27E4D691" w14:textId="78410BF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4,102 </w:t>
            </w:r>
          </w:p>
        </w:tc>
        <w:tc>
          <w:tcPr>
            <w:tcW w:w="1012" w:type="dxa"/>
            <w:tcBorders>
              <w:top w:val="nil"/>
              <w:left w:val="nil"/>
              <w:bottom w:val="nil"/>
              <w:right w:val="nil"/>
            </w:tcBorders>
            <w:shd w:val="clear" w:color="000000" w:fill="FFFFFF"/>
            <w:noWrap/>
            <w:vAlign w:val="center"/>
            <w:hideMark/>
          </w:tcPr>
          <w:p w14:paraId="11082DBA"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29.3</w:t>
            </w:r>
          </w:p>
        </w:tc>
      </w:tr>
      <w:tr w:rsidR="00645B88" w:rsidRPr="00645B88" w14:paraId="07737896" w14:textId="77777777" w:rsidTr="00645B88">
        <w:trPr>
          <w:trHeight w:val="219"/>
        </w:trPr>
        <w:tc>
          <w:tcPr>
            <w:tcW w:w="3074" w:type="dxa"/>
            <w:tcBorders>
              <w:top w:val="nil"/>
              <w:left w:val="nil"/>
              <w:bottom w:val="nil"/>
              <w:right w:val="nil"/>
            </w:tcBorders>
            <w:shd w:val="clear" w:color="000000" w:fill="FFFFFF"/>
            <w:vAlign w:val="center"/>
            <w:hideMark/>
          </w:tcPr>
          <w:p w14:paraId="7DB7B232"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Royalties </w:t>
            </w:r>
          </w:p>
        </w:tc>
        <w:tc>
          <w:tcPr>
            <w:tcW w:w="1162" w:type="dxa"/>
            <w:tcBorders>
              <w:top w:val="nil"/>
              <w:left w:val="nil"/>
              <w:bottom w:val="nil"/>
              <w:right w:val="nil"/>
            </w:tcBorders>
            <w:shd w:val="clear" w:color="000000" w:fill="FFFFFF"/>
            <w:noWrap/>
            <w:vAlign w:val="center"/>
            <w:hideMark/>
          </w:tcPr>
          <w:p w14:paraId="0B3C24A0" w14:textId="176ECC7C"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3,709 </w:t>
            </w:r>
          </w:p>
        </w:tc>
        <w:tc>
          <w:tcPr>
            <w:tcW w:w="956" w:type="dxa"/>
            <w:tcBorders>
              <w:top w:val="nil"/>
              <w:left w:val="nil"/>
              <w:bottom w:val="nil"/>
              <w:right w:val="nil"/>
            </w:tcBorders>
            <w:shd w:val="clear" w:color="000000" w:fill="FFFFFF"/>
            <w:noWrap/>
            <w:vAlign w:val="center"/>
            <w:hideMark/>
          </w:tcPr>
          <w:p w14:paraId="1D55CD4B" w14:textId="7FEDC42D"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4,658 </w:t>
            </w:r>
          </w:p>
        </w:tc>
        <w:tc>
          <w:tcPr>
            <w:tcW w:w="881" w:type="dxa"/>
            <w:tcBorders>
              <w:top w:val="nil"/>
              <w:left w:val="nil"/>
              <w:bottom w:val="nil"/>
              <w:right w:val="nil"/>
            </w:tcBorders>
            <w:shd w:val="clear" w:color="000000" w:fill="F2F2F2"/>
            <w:noWrap/>
            <w:vAlign w:val="center"/>
            <w:hideMark/>
          </w:tcPr>
          <w:p w14:paraId="7FB16E70" w14:textId="17C512E3"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3,216 </w:t>
            </w:r>
          </w:p>
        </w:tc>
        <w:tc>
          <w:tcPr>
            <w:tcW w:w="881" w:type="dxa"/>
            <w:tcBorders>
              <w:top w:val="nil"/>
              <w:left w:val="nil"/>
              <w:bottom w:val="nil"/>
              <w:right w:val="nil"/>
            </w:tcBorders>
            <w:shd w:val="clear" w:color="000000" w:fill="F2F2F2"/>
            <w:noWrap/>
            <w:vAlign w:val="center"/>
            <w:hideMark/>
          </w:tcPr>
          <w:p w14:paraId="54E6C7BB" w14:textId="7F24FA0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3,718 </w:t>
            </w:r>
          </w:p>
        </w:tc>
        <w:tc>
          <w:tcPr>
            <w:tcW w:w="881" w:type="dxa"/>
            <w:tcBorders>
              <w:top w:val="nil"/>
              <w:left w:val="nil"/>
              <w:bottom w:val="nil"/>
              <w:right w:val="nil"/>
            </w:tcBorders>
            <w:shd w:val="clear" w:color="000000" w:fill="F2F2F2"/>
            <w:noWrap/>
            <w:vAlign w:val="center"/>
            <w:hideMark/>
          </w:tcPr>
          <w:p w14:paraId="34893351" w14:textId="4899FDD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3,304 </w:t>
            </w:r>
          </w:p>
        </w:tc>
        <w:tc>
          <w:tcPr>
            <w:tcW w:w="881" w:type="dxa"/>
            <w:tcBorders>
              <w:top w:val="nil"/>
              <w:left w:val="nil"/>
              <w:bottom w:val="nil"/>
              <w:right w:val="nil"/>
            </w:tcBorders>
            <w:shd w:val="clear" w:color="000000" w:fill="F2F2F2"/>
            <w:noWrap/>
            <w:vAlign w:val="center"/>
            <w:hideMark/>
          </w:tcPr>
          <w:p w14:paraId="0E8270DD" w14:textId="56AD278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3,026 </w:t>
            </w:r>
          </w:p>
        </w:tc>
        <w:tc>
          <w:tcPr>
            <w:tcW w:w="1012" w:type="dxa"/>
            <w:tcBorders>
              <w:top w:val="nil"/>
              <w:left w:val="nil"/>
              <w:bottom w:val="nil"/>
              <w:right w:val="nil"/>
            </w:tcBorders>
            <w:shd w:val="clear" w:color="000000" w:fill="FFFFFF"/>
            <w:noWrap/>
            <w:vAlign w:val="center"/>
            <w:hideMark/>
          </w:tcPr>
          <w:p w14:paraId="3D3077DF"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(10.2)</w:t>
            </w:r>
          </w:p>
        </w:tc>
      </w:tr>
      <w:tr w:rsidR="00645B88" w:rsidRPr="00645B88" w14:paraId="3B02B802" w14:textId="77777777" w:rsidTr="00645B88">
        <w:trPr>
          <w:trHeight w:val="219"/>
        </w:trPr>
        <w:tc>
          <w:tcPr>
            <w:tcW w:w="3074" w:type="dxa"/>
            <w:tcBorders>
              <w:top w:val="nil"/>
              <w:left w:val="nil"/>
              <w:bottom w:val="nil"/>
              <w:right w:val="nil"/>
            </w:tcBorders>
            <w:shd w:val="clear" w:color="000000" w:fill="FFFFFF"/>
            <w:vAlign w:val="center"/>
            <w:hideMark/>
          </w:tcPr>
          <w:p w14:paraId="73E5CC69" w14:textId="77777777" w:rsidR="00645B88" w:rsidRPr="00645B88" w:rsidRDefault="00645B88" w:rsidP="007E7217">
            <w:pPr>
              <w:ind w:left="113" w:hanging="113"/>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Fines, regulatory fees and other revenues </w:t>
            </w:r>
          </w:p>
        </w:tc>
        <w:tc>
          <w:tcPr>
            <w:tcW w:w="1162" w:type="dxa"/>
            <w:tcBorders>
              <w:top w:val="nil"/>
              <w:left w:val="nil"/>
              <w:bottom w:val="nil"/>
              <w:right w:val="nil"/>
            </w:tcBorders>
            <w:shd w:val="clear" w:color="000000" w:fill="FFFFFF"/>
            <w:noWrap/>
            <w:vAlign w:val="center"/>
            <w:hideMark/>
          </w:tcPr>
          <w:p w14:paraId="51DFC1A5" w14:textId="41051FD3"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3,273 </w:t>
            </w:r>
          </w:p>
        </w:tc>
        <w:tc>
          <w:tcPr>
            <w:tcW w:w="956" w:type="dxa"/>
            <w:tcBorders>
              <w:top w:val="nil"/>
              <w:left w:val="nil"/>
              <w:bottom w:val="nil"/>
              <w:right w:val="nil"/>
            </w:tcBorders>
            <w:shd w:val="clear" w:color="000000" w:fill="FFFFFF"/>
            <w:noWrap/>
            <w:vAlign w:val="center"/>
            <w:hideMark/>
          </w:tcPr>
          <w:p w14:paraId="1014A731" w14:textId="0BF98BB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3,751 </w:t>
            </w:r>
          </w:p>
        </w:tc>
        <w:tc>
          <w:tcPr>
            <w:tcW w:w="881" w:type="dxa"/>
            <w:tcBorders>
              <w:top w:val="nil"/>
              <w:left w:val="nil"/>
              <w:bottom w:val="nil"/>
              <w:right w:val="nil"/>
            </w:tcBorders>
            <w:shd w:val="clear" w:color="000000" w:fill="F2F2F2"/>
            <w:noWrap/>
            <w:vAlign w:val="center"/>
            <w:hideMark/>
          </w:tcPr>
          <w:p w14:paraId="035ECAE3" w14:textId="1D2C387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3,189 </w:t>
            </w:r>
          </w:p>
        </w:tc>
        <w:tc>
          <w:tcPr>
            <w:tcW w:w="881" w:type="dxa"/>
            <w:tcBorders>
              <w:top w:val="nil"/>
              <w:left w:val="nil"/>
              <w:bottom w:val="nil"/>
              <w:right w:val="nil"/>
            </w:tcBorders>
            <w:shd w:val="clear" w:color="000000" w:fill="F2F2F2"/>
            <w:noWrap/>
            <w:vAlign w:val="center"/>
            <w:hideMark/>
          </w:tcPr>
          <w:p w14:paraId="669A0FE6" w14:textId="447FF77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3,520 </w:t>
            </w:r>
          </w:p>
        </w:tc>
        <w:tc>
          <w:tcPr>
            <w:tcW w:w="881" w:type="dxa"/>
            <w:tcBorders>
              <w:top w:val="nil"/>
              <w:left w:val="nil"/>
              <w:bottom w:val="nil"/>
              <w:right w:val="nil"/>
            </w:tcBorders>
            <w:shd w:val="clear" w:color="000000" w:fill="F2F2F2"/>
            <w:noWrap/>
            <w:vAlign w:val="center"/>
            <w:hideMark/>
          </w:tcPr>
          <w:p w14:paraId="3F60D58D" w14:textId="7C44705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3,549 </w:t>
            </w:r>
          </w:p>
        </w:tc>
        <w:tc>
          <w:tcPr>
            <w:tcW w:w="881" w:type="dxa"/>
            <w:tcBorders>
              <w:top w:val="nil"/>
              <w:left w:val="nil"/>
              <w:bottom w:val="nil"/>
              <w:right w:val="nil"/>
            </w:tcBorders>
            <w:shd w:val="clear" w:color="000000" w:fill="F2F2F2"/>
            <w:noWrap/>
            <w:vAlign w:val="center"/>
            <w:hideMark/>
          </w:tcPr>
          <w:p w14:paraId="00ED6AC0" w14:textId="6A51798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3,681 </w:t>
            </w:r>
          </w:p>
        </w:tc>
        <w:tc>
          <w:tcPr>
            <w:tcW w:w="1012" w:type="dxa"/>
            <w:tcBorders>
              <w:top w:val="nil"/>
              <w:left w:val="nil"/>
              <w:bottom w:val="nil"/>
              <w:right w:val="nil"/>
            </w:tcBorders>
            <w:shd w:val="clear" w:color="000000" w:fill="FFFFFF"/>
            <w:noWrap/>
            <w:vAlign w:val="center"/>
            <w:hideMark/>
          </w:tcPr>
          <w:p w14:paraId="2F250A23"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(0.5)</w:t>
            </w:r>
          </w:p>
        </w:tc>
      </w:tr>
      <w:tr w:rsidR="00645B88" w:rsidRPr="00645B88" w14:paraId="0FAF5F87" w14:textId="77777777" w:rsidTr="003038B1">
        <w:trPr>
          <w:trHeight w:val="283"/>
        </w:trPr>
        <w:tc>
          <w:tcPr>
            <w:tcW w:w="3074" w:type="dxa"/>
            <w:tcBorders>
              <w:top w:val="single" w:sz="4" w:space="0" w:color="auto"/>
              <w:left w:val="nil"/>
              <w:bottom w:val="single" w:sz="4" w:space="0" w:color="auto"/>
              <w:right w:val="nil"/>
            </w:tcBorders>
            <w:shd w:val="clear" w:color="000000" w:fill="FFFFFF"/>
            <w:noWrap/>
            <w:vAlign w:val="center"/>
            <w:hideMark/>
          </w:tcPr>
          <w:p w14:paraId="7259FB27" w14:textId="77777777" w:rsidR="00645B88" w:rsidRPr="00645B88" w:rsidRDefault="00645B88" w:rsidP="00645B88">
            <w:pPr>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Total revenue </w:t>
            </w:r>
          </w:p>
        </w:tc>
        <w:tc>
          <w:tcPr>
            <w:tcW w:w="1162" w:type="dxa"/>
            <w:tcBorders>
              <w:top w:val="single" w:sz="4" w:space="0" w:color="auto"/>
              <w:left w:val="nil"/>
              <w:bottom w:val="single" w:sz="4" w:space="0" w:color="auto"/>
              <w:right w:val="nil"/>
            </w:tcBorders>
            <w:shd w:val="clear" w:color="000000" w:fill="FFFFFF"/>
            <w:noWrap/>
            <w:vAlign w:val="center"/>
            <w:hideMark/>
          </w:tcPr>
          <w:p w14:paraId="01050833" w14:textId="201F8E6C"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 103,486 </w:t>
            </w:r>
          </w:p>
        </w:tc>
        <w:tc>
          <w:tcPr>
            <w:tcW w:w="956" w:type="dxa"/>
            <w:tcBorders>
              <w:top w:val="single" w:sz="4" w:space="0" w:color="auto"/>
              <w:left w:val="nil"/>
              <w:bottom w:val="single" w:sz="4" w:space="0" w:color="auto"/>
              <w:right w:val="nil"/>
            </w:tcBorders>
            <w:shd w:val="clear" w:color="000000" w:fill="FFFFFF"/>
            <w:noWrap/>
            <w:vAlign w:val="center"/>
            <w:hideMark/>
          </w:tcPr>
          <w:p w14:paraId="391837E9" w14:textId="75A798B4"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   106,171 </w:t>
            </w:r>
          </w:p>
        </w:tc>
        <w:tc>
          <w:tcPr>
            <w:tcW w:w="881" w:type="dxa"/>
            <w:tcBorders>
              <w:top w:val="single" w:sz="4" w:space="0" w:color="auto"/>
              <w:left w:val="nil"/>
              <w:bottom w:val="single" w:sz="4" w:space="0" w:color="auto"/>
              <w:right w:val="nil"/>
            </w:tcBorders>
            <w:shd w:val="clear" w:color="000000" w:fill="F2F2F2"/>
            <w:noWrap/>
            <w:vAlign w:val="center"/>
            <w:hideMark/>
          </w:tcPr>
          <w:p w14:paraId="7125C600" w14:textId="399A1891"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112,379 </w:t>
            </w:r>
          </w:p>
        </w:tc>
        <w:tc>
          <w:tcPr>
            <w:tcW w:w="881" w:type="dxa"/>
            <w:tcBorders>
              <w:top w:val="single" w:sz="4" w:space="0" w:color="auto"/>
              <w:left w:val="nil"/>
              <w:bottom w:val="single" w:sz="4" w:space="0" w:color="auto"/>
              <w:right w:val="nil"/>
            </w:tcBorders>
            <w:shd w:val="clear" w:color="000000" w:fill="F2F2F2"/>
            <w:noWrap/>
            <w:vAlign w:val="center"/>
            <w:hideMark/>
          </w:tcPr>
          <w:p w14:paraId="5129E9EE" w14:textId="67AD5129"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117,307 </w:t>
            </w:r>
          </w:p>
        </w:tc>
        <w:tc>
          <w:tcPr>
            <w:tcW w:w="881" w:type="dxa"/>
            <w:tcBorders>
              <w:top w:val="single" w:sz="4" w:space="0" w:color="auto"/>
              <w:left w:val="nil"/>
              <w:bottom w:val="single" w:sz="4" w:space="0" w:color="auto"/>
              <w:right w:val="nil"/>
            </w:tcBorders>
            <w:shd w:val="clear" w:color="000000" w:fill="F2F2F2"/>
            <w:noWrap/>
            <w:vAlign w:val="center"/>
            <w:hideMark/>
          </w:tcPr>
          <w:p w14:paraId="50003A15" w14:textId="7F0F6D9A"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118,706 </w:t>
            </w:r>
          </w:p>
        </w:tc>
        <w:tc>
          <w:tcPr>
            <w:tcW w:w="881" w:type="dxa"/>
            <w:tcBorders>
              <w:top w:val="single" w:sz="4" w:space="0" w:color="auto"/>
              <w:left w:val="nil"/>
              <w:bottom w:val="single" w:sz="4" w:space="0" w:color="auto"/>
              <w:right w:val="nil"/>
            </w:tcBorders>
            <w:shd w:val="clear" w:color="000000" w:fill="F2F2F2"/>
            <w:noWrap/>
            <w:vAlign w:val="center"/>
            <w:hideMark/>
          </w:tcPr>
          <w:p w14:paraId="33C123AD" w14:textId="0DECB9BD"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 121,571 </w:t>
            </w:r>
          </w:p>
        </w:tc>
        <w:tc>
          <w:tcPr>
            <w:tcW w:w="1012" w:type="dxa"/>
            <w:tcBorders>
              <w:top w:val="single" w:sz="4" w:space="0" w:color="auto"/>
              <w:left w:val="nil"/>
              <w:bottom w:val="single" w:sz="4" w:space="0" w:color="auto"/>
              <w:right w:val="nil"/>
            </w:tcBorders>
            <w:shd w:val="clear" w:color="auto" w:fill="auto"/>
            <w:noWrap/>
            <w:vAlign w:val="center"/>
            <w:hideMark/>
          </w:tcPr>
          <w:p w14:paraId="13827AD8" w14:textId="77777777"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3.4</w:t>
            </w:r>
          </w:p>
        </w:tc>
      </w:tr>
      <w:tr w:rsidR="00645B88" w:rsidRPr="00645B88" w14:paraId="5957B1CA" w14:textId="77777777" w:rsidTr="001A0A66">
        <w:trPr>
          <w:trHeight w:val="283"/>
        </w:trPr>
        <w:tc>
          <w:tcPr>
            <w:tcW w:w="3074" w:type="dxa"/>
            <w:tcBorders>
              <w:top w:val="nil"/>
              <w:left w:val="nil"/>
              <w:bottom w:val="single" w:sz="4" w:space="0" w:color="auto"/>
              <w:right w:val="nil"/>
            </w:tcBorders>
            <w:shd w:val="clear" w:color="000000" w:fill="FFFFFF"/>
            <w:noWrap/>
            <w:vAlign w:val="center"/>
            <w:hideMark/>
          </w:tcPr>
          <w:p w14:paraId="55F07437" w14:textId="77777777" w:rsidR="00645B88" w:rsidRPr="00645B88" w:rsidRDefault="00645B88" w:rsidP="00645B88">
            <w:pPr>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Annual change</w:t>
            </w:r>
          </w:p>
        </w:tc>
        <w:tc>
          <w:tcPr>
            <w:tcW w:w="1162" w:type="dxa"/>
            <w:tcBorders>
              <w:top w:val="nil"/>
              <w:left w:val="nil"/>
              <w:bottom w:val="single" w:sz="4" w:space="0" w:color="auto"/>
              <w:right w:val="nil"/>
            </w:tcBorders>
            <w:shd w:val="clear" w:color="000000" w:fill="FFFFFF"/>
            <w:noWrap/>
            <w:vAlign w:val="center"/>
            <w:hideMark/>
          </w:tcPr>
          <w:p w14:paraId="04A74856"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17.6%</w:t>
            </w:r>
          </w:p>
        </w:tc>
        <w:tc>
          <w:tcPr>
            <w:tcW w:w="956" w:type="dxa"/>
            <w:tcBorders>
              <w:top w:val="nil"/>
              <w:left w:val="nil"/>
              <w:bottom w:val="single" w:sz="4" w:space="0" w:color="auto"/>
              <w:right w:val="nil"/>
            </w:tcBorders>
            <w:shd w:val="clear" w:color="000000" w:fill="FFFFFF"/>
            <w:noWrap/>
            <w:vAlign w:val="center"/>
            <w:hideMark/>
          </w:tcPr>
          <w:p w14:paraId="208EC35E"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2.6%</w:t>
            </w:r>
          </w:p>
        </w:tc>
        <w:tc>
          <w:tcPr>
            <w:tcW w:w="881" w:type="dxa"/>
            <w:tcBorders>
              <w:top w:val="nil"/>
              <w:left w:val="nil"/>
              <w:bottom w:val="single" w:sz="4" w:space="0" w:color="auto"/>
              <w:right w:val="nil"/>
            </w:tcBorders>
            <w:shd w:val="clear" w:color="000000" w:fill="F2F2F2"/>
            <w:noWrap/>
            <w:vAlign w:val="center"/>
            <w:hideMark/>
          </w:tcPr>
          <w:p w14:paraId="1FE9A280"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5.8%</w:t>
            </w:r>
          </w:p>
        </w:tc>
        <w:tc>
          <w:tcPr>
            <w:tcW w:w="881" w:type="dxa"/>
            <w:tcBorders>
              <w:top w:val="nil"/>
              <w:left w:val="nil"/>
              <w:bottom w:val="single" w:sz="4" w:space="0" w:color="auto"/>
              <w:right w:val="nil"/>
            </w:tcBorders>
            <w:shd w:val="clear" w:color="000000" w:fill="F2F2F2"/>
            <w:noWrap/>
            <w:vAlign w:val="center"/>
            <w:hideMark/>
          </w:tcPr>
          <w:p w14:paraId="610BC890"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4.4%</w:t>
            </w:r>
          </w:p>
        </w:tc>
        <w:tc>
          <w:tcPr>
            <w:tcW w:w="881" w:type="dxa"/>
            <w:tcBorders>
              <w:top w:val="nil"/>
              <w:left w:val="nil"/>
              <w:bottom w:val="single" w:sz="4" w:space="0" w:color="auto"/>
              <w:right w:val="nil"/>
            </w:tcBorders>
            <w:shd w:val="clear" w:color="000000" w:fill="F2F2F2"/>
            <w:noWrap/>
            <w:vAlign w:val="center"/>
            <w:hideMark/>
          </w:tcPr>
          <w:p w14:paraId="1C1A21C5"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1.2%</w:t>
            </w:r>
          </w:p>
        </w:tc>
        <w:tc>
          <w:tcPr>
            <w:tcW w:w="881" w:type="dxa"/>
            <w:tcBorders>
              <w:top w:val="nil"/>
              <w:left w:val="nil"/>
              <w:bottom w:val="single" w:sz="4" w:space="0" w:color="auto"/>
              <w:right w:val="nil"/>
            </w:tcBorders>
            <w:shd w:val="clear" w:color="000000" w:fill="F2F2F2"/>
            <w:noWrap/>
            <w:vAlign w:val="center"/>
            <w:hideMark/>
          </w:tcPr>
          <w:p w14:paraId="318E33CC"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2.4%</w:t>
            </w:r>
          </w:p>
        </w:tc>
        <w:tc>
          <w:tcPr>
            <w:tcW w:w="1012" w:type="dxa"/>
            <w:tcBorders>
              <w:top w:val="nil"/>
              <w:left w:val="nil"/>
              <w:bottom w:val="single" w:sz="4" w:space="0" w:color="auto"/>
              <w:right w:val="nil"/>
            </w:tcBorders>
            <w:shd w:val="clear" w:color="000000" w:fill="FFFFFF"/>
            <w:noWrap/>
            <w:vAlign w:val="bottom"/>
            <w:hideMark/>
          </w:tcPr>
          <w:p w14:paraId="3765D98C"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r>
    </w:tbl>
    <w:p w14:paraId="20FD7B10" w14:textId="77777777" w:rsidR="00567F3B" w:rsidRDefault="00567F3B" w:rsidP="00567F3B">
      <w:pPr>
        <w:rPr>
          <w:lang w:val="en-AU"/>
        </w:rPr>
      </w:pPr>
    </w:p>
    <w:p w14:paraId="6070FAA7" w14:textId="77777777" w:rsidR="006A679E" w:rsidRDefault="007835CE" w:rsidP="00E4551D">
      <w:pPr>
        <w:pStyle w:val="BodyText"/>
        <w:rPr>
          <w:rFonts w:eastAsiaTheme="minorEastAsia"/>
          <w:lang w:eastAsia="en-AU"/>
        </w:rPr>
      </w:pPr>
      <w:r>
        <w:rPr>
          <w:rFonts w:eastAsiaTheme="minorEastAsia"/>
          <w:lang w:eastAsia="en-AU"/>
        </w:rPr>
        <w:t xml:space="preserve">Over the four years to 2026-27, </w:t>
      </w:r>
      <w:r w:rsidR="00932CC8">
        <w:rPr>
          <w:rFonts w:eastAsiaTheme="minorEastAsia"/>
          <w:lang w:eastAsia="en-AU"/>
        </w:rPr>
        <w:t>forecast revenue is expected to be $</w:t>
      </w:r>
      <w:r w:rsidR="00832263">
        <w:rPr>
          <w:rFonts w:eastAsiaTheme="minorEastAsia"/>
          <w:lang w:eastAsia="en-AU"/>
        </w:rPr>
        <w:t>14.0</w:t>
      </w:r>
      <w:r w:rsidR="00932CC8">
        <w:rPr>
          <w:rFonts w:eastAsiaTheme="minorEastAsia"/>
          <w:lang w:eastAsia="en-AU"/>
        </w:rPr>
        <w:t xml:space="preserve"> billion higher than forecast at the </w:t>
      </w:r>
      <w:r w:rsidR="00B97C96">
        <w:rPr>
          <w:rFonts w:eastAsiaTheme="minorEastAsia"/>
          <w:lang w:eastAsia="en-AU"/>
        </w:rPr>
        <w:t xml:space="preserve">2023 Pre-election Budget Update. </w:t>
      </w:r>
    </w:p>
    <w:p w14:paraId="6FB14B22" w14:textId="759140D4" w:rsidR="00E63264" w:rsidRDefault="7CEC3A23" w:rsidP="00E4551D">
      <w:pPr>
        <w:pStyle w:val="BodyText"/>
        <w:rPr>
          <w:rFonts w:eastAsiaTheme="minorEastAsia"/>
          <w:lang w:eastAsia="en-AU"/>
        </w:rPr>
      </w:pPr>
      <w:r w:rsidRPr="7748D422">
        <w:rPr>
          <w:rFonts w:eastAsiaTheme="minorEastAsia"/>
          <w:lang w:eastAsia="en-AU"/>
        </w:rPr>
        <w:t xml:space="preserve">The </w:t>
      </w:r>
      <w:r w:rsidR="00B97C96">
        <w:rPr>
          <w:rFonts w:eastAsiaTheme="minorEastAsia"/>
          <w:lang w:eastAsia="en-AU"/>
        </w:rPr>
        <w:t>main drivers of this upward revision</w:t>
      </w:r>
      <w:r w:rsidRPr="7748D422">
        <w:rPr>
          <w:rFonts w:eastAsiaTheme="minorEastAsia"/>
          <w:lang w:eastAsia="en-AU"/>
        </w:rPr>
        <w:t xml:space="preserve"> are</w:t>
      </w:r>
      <w:r w:rsidR="00B97C96">
        <w:rPr>
          <w:rFonts w:eastAsiaTheme="minorEastAsia"/>
          <w:lang w:eastAsia="en-AU"/>
        </w:rPr>
        <w:t>:</w:t>
      </w:r>
    </w:p>
    <w:p w14:paraId="68F7CF4B" w14:textId="1D9F0B72" w:rsidR="7CEC3A23" w:rsidRPr="00653D80" w:rsidRDefault="00244CB4" w:rsidP="00E4551D">
      <w:pPr>
        <w:pStyle w:val="Bullet1"/>
      </w:pPr>
      <w:r>
        <w:t>p</w:t>
      </w:r>
      <w:r w:rsidR="005D6E72" w:rsidRPr="00653D80">
        <w:t xml:space="preserve">roperty market </w:t>
      </w:r>
      <w:r w:rsidR="00890B00" w:rsidRPr="00653D80">
        <w:t>–</w:t>
      </w:r>
      <w:r w:rsidR="005D6E72" w:rsidRPr="00653D80">
        <w:t xml:space="preserve"> </w:t>
      </w:r>
      <w:r>
        <w:t>s</w:t>
      </w:r>
      <w:r w:rsidR="00890B00" w:rsidRPr="00653D80">
        <w:t xml:space="preserve">trength in </w:t>
      </w:r>
      <w:r w:rsidR="00137279" w:rsidRPr="00653D80">
        <w:t xml:space="preserve">property transactions and prices </w:t>
      </w:r>
      <w:r w:rsidR="00C779D0" w:rsidRPr="00653D80">
        <w:t>has increased transfer duty by $</w:t>
      </w:r>
      <w:r w:rsidR="00424BB4" w:rsidRPr="00813871">
        <w:t>9.5</w:t>
      </w:r>
      <w:r w:rsidR="00C779D0" w:rsidRPr="00653D80">
        <w:t xml:space="preserve"> billio</w:t>
      </w:r>
      <w:r w:rsidR="00E528B8">
        <w:t>n.</w:t>
      </w:r>
      <w:r w:rsidR="001E34C4" w:rsidRPr="00653D80">
        <w:t xml:space="preserve"> </w:t>
      </w:r>
      <w:r w:rsidR="00E528B8">
        <w:t>L</w:t>
      </w:r>
      <w:r w:rsidR="001E34C4" w:rsidRPr="00653D80">
        <w:t xml:space="preserve">and tax </w:t>
      </w:r>
      <w:r w:rsidR="00E528B8">
        <w:t xml:space="preserve">is </w:t>
      </w:r>
      <w:r w:rsidR="001E34C4" w:rsidRPr="00653D80">
        <w:t xml:space="preserve">also expected to be </w:t>
      </w:r>
      <w:r w:rsidR="00B90255">
        <w:t>$</w:t>
      </w:r>
      <w:r w:rsidR="00B90255" w:rsidRPr="00813871">
        <w:t>4.</w:t>
      </w:r>
      <w:r w:rsidR="00C53AC7" w:rsidRPr="00813871">
        <w:t>9</w:t>
      </w:r>
      <w:r w:rsidR="00B90255">
        <w:t xml:space="preserve"> billion</w:t>
      </w:r>
      <w:r w:rsidR="001E34C4" w:rsidRPr="00653D80">
        <w:t xml:space="preserve"> higher due to higher land </w:t>
      </w:r>
      <w:r w:rsidR="00012CD3">
        <w:t>values</w:t>
      </w:r>
    </w:p>
    <w:p w14:paraId="0F53D0CE" w14:textId="5696F4F9" w:rsidR="7CEC3A23" w:rsidRPr="00C3683B" w:rsidRDefault="00244CB4" w:rsidP="00E4551D">
      <w:pPr>
        <w:pStyle w:val="Bullet1"/>
      </w:pPr>
      <w:r>
        <w:t>l</w:t>
      </w:r>
      <w:r w:rsidR="007061B3" w:rsidRPr="00653D80">
        <w:t xml:space="preserve">abour market </w:t>
      </w:r>
      <w:r w:rsidR="00A36769">
        <w:t>–</w:t>
      </w:r>
      <w:r w:rsidR="00890B00">
        <w:t xml:space="preserve"> </w:t>
      </w:r>
      <w:r>
        <w:t>r</w:t>
      </w:r>
      <w:r w:rsidR="00A36769">
        <w:t xml:space="preserve">esilient </w:t>
      </w:r>
      <w:r w:rsidR="00326A9E">
        <w:t xml:space="preserve">employment </w:t>
      </w:r>
      <w:r w:rsidR="005C46F9">
        <w:t>outcomes</w:t>
      </w:r>
      <w:r w:rsidR="00326A9E">
        <w:t xml:space="preserve"> and </w:t>
      </w:r>
      <w:r w:rsidR="00646430">
        <w:t>strong wages growth</w:t>
      </w:r>
      <w:r w:rsidR="00C3407C">
        <w:t xml:space="preserve"> </w:t>
      </w:r>
      <w:r w:rsidR="00FC0EA5">
        <w:t xml:space="preserve">has </w:t>
      </w:r>
      <w:r w:rsidR="006940F3">
        <w:t>driven payroll tax re</w:t>
      </w:r>
      <w:r w:rsidR="009044BA">
        <w:t>venue</w:t>
      </w:r>
      <w:r w:rsidR="006940F3">
        <w:t xml:space="preserve"> </w:t>
      </w:r>
      <w:r w:rsidR="00C81B48">
        <w:t>to</w:t>
      </w:r>
      <w:r w:rsidR="00890B00" w:rsidRPr="00653D80">
        <w:t xml:space="preserve"> </w:t>
      </w:r>
      <w:r w:rsidR="007732F0">
        <w:t xml:space="preserve">be </w:t>
      </w:r>
      <w:r w:rsidR="00424BB4" w:rsidRPr="00653D80">
        <w:t>$</w:t>
      </w:r>
      <w:r w:rsidR="0086352F" w:rsidRPr="00813871">
        <w:t>2.</w:t>
      </w:r>
      <w:r w:rsidR="00DE194A">
        <w:t>8</w:t>
      </w:r>
      <w:r w:rsidR="0086352F" w:rsidRPr="00653D80">
        <w:t xml:space="preserve"> billion</w:t>
      </w:r>
      <w:r w:rsidR="00C81B48">
        <w:t xml:space="preserve"> higher over the four years </w:t>
      </w:r>
      <w:r w:rsidR="00C84ABF">
        <w:t>to 2026-</w:t>
      </w:r>
      <w:r w:rsidR="00905589">
        <w:t>27</w:t>
      </w:r>
      <w:r w:rsidR="007732F0">
        <w:t>.</w:t>
      </w:r>
    </w:p>
    <w:p w14:paraId="4603E36F" w14:textId="79814F2C" w:rsidR="00992AF8" w:rsidRPr="00C3683B" w:rsidRDefault="00912F26" w:rsidP="00E4551D">
      <w:pPr>
        <w:pStyle w:val="BodyText"/>
      </w:pPr>
      <w:r w:rsidRPr="00C3683B">
        <w:t xml:space="preserve">These upward revisions are partially offset by significant downgrades to both GST revenue </w:t>
      </w:r>
      <w:r w:rsidR="006C6AE4" w:rsidRPr="00C3683B">
        <w:t xml:space="preserve">due to weaker national household consumption and mineral royalties following further declines in the thermal coal price. </w:t>
      </w:r>
    </w:p>
    <w:p w14:paraId="472116F9" w14:textId="77777777" w:rsidR="00C133AB" w:rsidRDefault="00C133AB">
      <w:pPr>
        <w:rPr>
          <w:rFonts w:ascii="Arial" w:eastAsiaTheme="minorEastAsia" w:hAnsi="Arial" w:cs="Arial"/>
          <w:sz w:val="23"/>
          <w:szCs w:val="23"/>
          <w:highlight w:val="yellow"/>
          <w:lang w:val="en-AU" w:eastAsia="en-AU"/>
        </w:rPr>
      </w:pPr>
      <w:r>
        <w:rPr>
          <w:highlight w:val="yellow"/>
        </w:rPr>
        <w:br w:type="page"/>
      </w:r>
    </w:p>
    <w:p w14:paraId="51AFAD92" w14:textId="04448E2C" w:rsidR="00F72507" w:rsidRPr="00E8541E" w:rsidRDefault="00F72507" w:rsidP="00DC36BC">
      <w:pPr>
        <w:pStyle w:val="Table4X"/>
      </w:pPr>
      <w:r w:rsidRPr="00E8541E">
        <w:lastRenderedPageBreak/>
        <w:t>Revenue reconciliation</w:t>
      </w:r>
      <w:r w:rsidR="00DB3316">
        <w:t xml:space="preserve"> </w:t>
      </w:r>
    </w:p>
    <w:tbl>
      <w:tblPr>
        <w:tblW w:w="9856" w:type="dxa"/>
        <w:tblLook w:val="04A0" w:firstRow="1" w:lastRow="0" w:firstColumn="1" w:lastColumn="0" w:noHBand="0" w:noVBand="1"/>
        <w:tblCaption w:val="Table 4.2: Revenue reconciliation "/>
        <w:tblDescription w:val="Table 4.2: Revenue reconciliation "/>
      </w:tblPr>
      <w:tblGrid>
        <w:gridCol w:w="3810"/>
        <w:gridCol w:w="1013"/>
        <w:gridCol w:w="1009"/>
        <w:gridCol w:w="979"/>
        <w:gridCol w:w="1008"/>
        <w:gridCol w:w="973"/>
        <w:gridCol w:w="1064"/>
      </w:tblGrid>
      <w:tr w:rsidR="0061289B" w:rsidRPr="0079098C" w14:paraId="5F484BAD" w14:textId="77777777" w:rsidTr="00F94EF6">
        <w:trPr>
          <w:trHeight w:val="285"/>
        </w:trPr>
        <w:tc>
          <w:tcPr>
            <w:tcW w:w="3810" w:type="dxa"/>
            <w:tcBorders>
              <w:top w:val="nil"/>
              <w:left w:val="nil"/>
              <w:bottom w:val="nil"/>
              <w:right w:val="nil"/>
            </w:tcBorders>
            <w:shd w:val="clear" w:color="000000" w:fill="EBEBEB"/>
            <w:vAlign w:val="center"/>
            <w:hideMark/>
          </w:tcPr>
          <w:p w14:paraId="6D2937D0" w14:textId="77777777" w:rsidR="0079098C" w:rsidRPr="00F94EF6" w:rsidRDefault="0079098C" w:rsidP="0079098C">
            <w:pPr>
              <w:jc w:val="center"/>
              <w:rPr>
                <w:rFonts w:ascii="Public Sans" w:hAnsi="Public Sans" w:cs="Calibri"/>
                <w:i/>
                <w:color w:val="000000"/>
                <w:sz w:val="17"/>
                <w:szCs w:val="17"/>
                <w:lang w:val="en-AU" w:eastAsia="en-AU"/>
              </w:rPr>
            </w:pPr>
            <w:bookmarkStart w:id="1" w:name="RANGE!B3:I44"/>
            <w:r w:rsidRPr="00F94EF6">
              <w:rPr>
                <w:rFonts w:ascii="Public Sans" w:hAnsi="Public Sans" w:cs="Calibri"/>
                <w:i/>
                <w:color w:val="000000"/>
                <w:sz w:val="17"/>
                <w:szCs w:val="17"/>
                <w:lang w:val="en-AU" w:eastAsia="en-AU"/>
              </w:rPr>
              <w:t> </w:t>
            </w:r>
            <w:bookmarkEnd w:id="1"/>
          </w:p>
        </w:tc>
        <w:tc>
          <w:tcPr>
            <w:tcW w:w="1013" w:type="dxa"/>
            <w:tcBorders>
              <w:top w:val="nil"/>
              <w:left w:val="nil"/>
              <w:bottom w:val="nil"/>
              <w:right w:val="nil"/>
            </w:tcBorders>
            <w:shd w:val="clear" w:color="000000" w:fill="EBEBEB"/>
            <w:vAlign w:val="bottom"/>
            <w:hideMark/>
          </w:tcPr>
          <w:p w14:paraId="614F19F1"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2022-23</w:t>
            </w:r>
          </w:p>
        </w:tc>
        <w:tc>
          <w:tcPr>
            <w:tcW w:w="1009" w:type="dxa"/>
            <w:tcBorders>
              <w:top w:val="nil"/>
              <w:left w:val="nil"/>
              <w:bottom w:val="nil"/>
              <w:right w:val="nil"/>
            </w:tcBorders>
            <w:shd w:val="clear" w:color="000000" w:fill="EBEBEB"/>
            <w:vAlign w:val="bottom"/>
            <w:hideMark/>
          </w:tcPr>
          <w:p w14:paraId="32A31921"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2023-24</w:t>
            </w:r>
          </w:p>
        </w:tc>
        <w:tc>
          <w:tcPr>
            <w:tcW w:w="979" w:type="dxa"/>
            <w:tcBorders>
              <w:top w:val="nil"/>
              <w:left w:val="nil"/>
              <w:bottom w:val="nil"/>
              <w:right w:val="nil"/>
            </w:tcBorders>
            <w:shd w:val="clear" w:color="000000" w:fill="EBEBEB"/>
            <w:vAlign w:val="bottom"/>
            <w:hideMark/>
          </w:tcPr>
          <w:p w14:paraId="3607D404"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2024-25</w:t>
            </w:r>
          </w:p>
        </w:tc>
        <w:tc>
          <w:tcPr>
            <w:tcW w:w="1008" w:type="dxa"/>
            <w:tcBorders>
              <w:top w:val="nil"/>
              <w:left w:val="nil"/>
              <w:bottom w:val="nil"/>
              <w:right w:val="nil"/>
            </w:tcBorders>
            <w:shd w:val="clear" w:color="000000" w:fill="EBEBEB"/>
            <w:vAlign w:val="bottom"/>
            <w:hideMark/>
          </w:tcPr>
          <w:p w14:paraId="655D6CCD"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2025-26</w:t>
            </w:r>
          </w:p>
        </w:tc>
        <w:tc>
          <w:tcPr>
            <w:tcW w:w="973" w:type="dxa"/>
            <w:tcBorders>
              <w:top w:val="nil"/>
              <w:left w:val="nil"/>
              <w:bottom w:val="nil"/>
              <w:right w:val="nil"/>
            </w:tcBorders>
            <w:shd w:val="clear" w:color="000000" w:fill="EBEBEB"/>
            <w:vAlign w:val="bottom"/>
            <w:hideMark/>
          </w:tcPr>
          <w:p w14:paraId="4C23DC06"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2026-27</w:t>
            </w:r>
          </w:p>
        </w:tc>
        <w:tc>
          <w:tcPr>
            <w:tcW w:w="1064" w:type="dxa"/>
            <w:tcBorders>
              <w:top w:val="nil"/>
              <w:left w:val="nil"/>
              <w:bottom w:val="nil"/>
              <w:right w:val="nil"/>
            </w:tcBorders>
            <w:shd w:val="clear" w:color="000000" w:fill="4B5051"/>
            <w:noWrap/>
            <w:vAlign w:val="bottom"/>
            <w:hideMark/>
          </w:tcPr>
          <w:p w14:paraId="16BCAD12" w14:textId="77777777" w:rsidR="0079098C" w:rsidRPr="00F94EF6" w:rsidRDefault="0079098C" w:rsidP="00F94EF6">
            <w:pPr>
              <w:ind w:left="-57" w:right="-57"/>
              <w:jc w:val="center"/>
              <w:rPr>
                <w:rFonts w:ascii="Public Sans" w:hAnsi="Public Sans" w:cs="Calibri"/>
                <w:color w:val="FFFFFF"/>
                <w:sz w:val="17"/>
                <w:szCs w:val="17"/>
                <w:lang w:val="en-AU" w:eastAsia="en-AU"/>
              </w:rPr>
            </w:pPr>
            <w:r w:rsidRPr="00F94EF6">
              <w:rPr>
                <w:rFonts w:ascii="Public Sans" w:hAnsi="Public Sans" w:cs="Calibri"/>
                <w:color w:val="FFFFFF"/>
                <w:sz w:val="17"/>
                <w:szCs w:val="17"/>
                <w:lang w:val="en-AU" w:eastAsia="en-AU"/>
              </w:rPr>
              <w:t>Four years</w:t>
            </w:r>
          </w:p>
        </w:tc>
      </w:tr>
      <w:tr w:rsidR="0079098C" w:rsidRPr="0079098C" w14:paraId="6179A9E2" w14:textId="77777777" w:rsidTr="00F94EF6">
        <w:trPr>
          <w:trHeight w:val="227"/>
        </w:trPr>
        <w:tc>
          <w:tcPr>
            <w:tcW w:w="3810" w:type="dxa"/>
            <w:tcBorders>
              <w:top w:val="nil"/>
              <w:left w:val="nil"/>
              <w:bottom w:val="nil"/>
              <w:right w:val="nil"/>
            </w:tcBorders>
            <w:shd w:val="clear" w:color="000000" w:fill="EBEBEB"/>
            <w:vAlign w:val="center"/>
            <w:hideMark/>
          </w:tcPr>
          <w:p w14:paraId="738C1844" w14:textId="77777777" w:rsidR="0079098C" w:rsidRPr="00F94EF6" w:rsidRDefault="0079098C" w:rsidP="0079098C">
            <w:pPr>
              <w:jc w:val="center"/>
              <w:rPr>
                <w:rFonts w:ascii="Public Sans" w:hAnsi="Public Sans" w:cs="Calibri"/>
                <w:i/>
                <w:color w:val="000000"/>
                <w:sz w:val="17"/>
                <w:szCs w:val="17"/>
                <w:lang w:val="en-AU" w:eastAsia="en-AU"/>
              </w:rPr>
            </w:pPr>
            <w:r w:rsidRPr="00F94EF6">
              <w:rPr>
                <w:rFonts w:ascii="Public Sans" w:hAnsi="Public Sans" w:cs="Calibri"/>
                <w:i/>
                <w:color w:val="000000"/>
                <w:sz w:val="17"/>
                <w:szCs w:val="17"/>
                <w:lang w:val="en-AU" w:eastAsia="en-AU"/>
              </w:rPr>
              <w:t> </w:t>
            </w:r>
          </w:p>
        </w:tc>
        <w:tc>
          <w:tcPr>
            <w:tcW w:w="1013" w:type="dxa"/>
            <w:tcBorders>
              <w:top w:val="nil"/>
              <w:left w:val="nil"/>
              <w:bottom w:val="nil"/>
              <w:right w:val="nil"/>
            </w:tcBorders>
            <w:shd w:val="clear" w:color="000000" w:fill="EBEBEB"/>
            <w:vAlign w:val="center"/>
            <w:hideMark/>
          </w:tcPr>
          <w:p w14:paraId="608BE289"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Est. Actual</w:t>
            </w:r>
          </w:p>
        </w:tc>
        <w:tc>
          <w:tcPr>
            <w:tcW w:w="1009" w:type="dxa"/>
            <w:tcBorders>
              <w:top w:val="nil"/>
              <w:left w:val="nil"/>
              <w:bottom w:val="nil"/>
              <w:right w:val="nil"/>
            </w:tcBorders>
            <w:shd w:val="clear" w:color="000000" w:fill="EBEBEB"/>
            <w:vAlign w:val="center"/>
            <w:hideMark/>
          </w:tcPr>
          <w:p w14:paraId="717E8918"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Budget</w:t>
            </w:r>
          </w:p>
        </w:tc>
        <w:tc>
          <w:tcPr>
            <w:tcW w:w="2960" w:type="dxa"/>
            <w:gridSpan w:val="3"/>
            <w:tcBorders>
              <w:top w:val="nil"/>
              <w:left w:val="nil"/>
              <w:bottom w:val="nil"/>
              <w:right w:val="nil"/>
            </w:tcBorders>
            <w:shd w:val="clear" w:color="000000" w:fill="EBEBEB"/>
            <w:vAlign w:val="center"/>
            <w:hideMark/>
          </w:tcPr>
          <w:p w14:paraId="1E5E4A11"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Forward Estimates</w:t>
            </w:r>
          </w:p>
        </w:tc>
        <w:tc>
          <w:tcPr>
            <w:tcW w:w="1064" w:type="dxa"/>
            <w:tcBorders>
              <w:top w:val="nil"/>
              <w:left w:val="nil"/>
              <w:bottom w:val="nil"/>
              <w:right w:val="nil"/>
            </w:tcBorders>
            <w:shd w:val="clear" w:color="CCFFFF" w:fill="4B5051"/>
            <w:vAlign w:val="center"/>
            <w:hideMark/>
          </w:tcPr>
          <w:p w14:paraId="224C3AD4" w14:textId="77777777" w:rsidR="0079098C" w:rsidRPr="00F94EF6" w:rsidRDefault="0079098C" w:rsidP="00F94EF6">
            <w:pPr>
              <w:ind w:left="-57" w:right="-57"/>
              <w:jc w:val="center"/>
              <w:rPr>
                <w:rFonts w:ascii="Public Sans" w:hAnsi="Public Sans" w:cs="Calibri"/>
                <w:color w:val="FFFFFF"/>
                <w:sz w:val="17"/>
                <w:szCs w:val="17"/>
                <w:lang w:val="en-AU" w:eastAsia="en-AU"/>
              </w:rPr>
            </w:pPr>
            <w:r w:rsidRPr="00F94EF6">
              <w:rPr>
                <w:rFonts w:ascii="Public Sans" w:hAnsi="Public Sans" w:cs="Calibri"/>
                <w:color w:val="FFFFFF"/>
                <w:sz w:val="17"/>
                <w:szCs w:val="17"/>
                <w:lang w:val="en-AU" w:eastAsia="en-AU"/>
              </w:rPr>
              <w:t>to 2026-27</w:t>
            </w:r>
          </w:p>
        </w:tc>
      </w:tr>
      <w:tr w:rsidR="0079098C" w:rsidRPr="0079098C" w14:paraId="102F4AF6" w14:textId="77777777" w:rsidTr="00BC30C6">
        <w:trPr>
          <w:trHeight w:val="253"/>
        </w:trPr>
        <w:tc>
          <w:tcPr>
            <w:tcW w:w="3810" w:type="dxa"/>
            <w:tcBorders>
              <w:top w:val="nil"/>
              <w:left w:val="nil"/>
              <w:bottom w:val="nil"/>
              <w:right w:val="nil"/>
            </w:tcBorders>
            <w:shd w:val="clear" w:color="000000" w:fill="EBEBEB"/>
            <w:vAlign w:val="center"/>
            <w:hideMark/>
          </w:tcPr>
          <w:p w14:paraId="13773F43" w14:textId="77777777" w:rsidR="0079098C" w:rsidRPr="00F94EF6" w:rsidRDefault="0079098C" w:rsidP="0079098C">
            <w:pPr>
              <w:jc w:val="center"/>
              <w:rPr>
                <w:rFonts w:ascii="Public Sans" w:hAnsi="Public Sans" w:cs="Calibri"/>
                <w:i/>
                <w:color w:val="000000"/>
                <w:sz w:val="17"/>
                <w:szCs w:val="17"/>
                <w:lang w:val="en-AU" w:eastAsia="en-AU"/>
              </w:rPr>
            </w:pPr>
            <w:r w:rsidRPr="00F94EF6">
              <w:rPr>
                <w:rFonts w:ascii="Public Sans" w:hAnsi="Public Sans" w:cs="Calibri"/>
                <w:i/>
                <w:color w:val="000000"/>
                <w:sz w:val="17"/>
                <w:szCs w:val="17"/>
                <w:lang w:val="en-AU" w:eastAsia="en-AU"/>
              </w:rPr>
              <w:t> </w:t>
            </w:r>
          </w:p>
        </w:tc>
        <w:tc>
          <w:tcPr>
            <w:tcW w:w="1013" w:type="dxa"/>
            <w:tcBorders>
              <w:top w:val="nil"/>
              <w:left w:val="nil"/>
              <w:bottom w:val="nil"/>
              <w:right w:val="nil"/>
            </w:tcBorders>
            <w:shd w:val="clear" w:color="000000" w:fill="EBEBEB"/>
            <w:hideMark/>
          </w:tcPr>
          <w:p w14:paraId="60C29FFD"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1009" w:type="dxa"/>
            <w:tcBorders>
              <w:top w:val="nil"/>
              <w:left w:val="nil"/>
              <w:bottom w:val="nil"/>
              <w:right w:val="nil"/>
            </w:tcBorders>
            <w:shd w:val="clear" w:color="000000" w:fill="EBEBEB"/>
            <w:hideMark/>
          </w:tcPr>
          <w:p w14:paraId="2580A506"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979" w:type="dxa"/>
            <w:tcBorders>
              <w:top w:val="nil"/>
              <w:left w:val="nil"/>
              <w:bottom w:val="nil"/>
              <w:right w:val="nil"/>
            </w:tcBorders>
            <w:shd w:val="clear" w:color="000000" w:fill="EBEBEB"/>
            <w:hideMark/>
          </w:tcPr>
          <w:p w14:paraId="5347912C"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1008" w:type="dxa"/>
            <w:tcBorders>
              <w:top w:val="nil"/>
              <w:left w:val="nil"/>
              <w:bottom w:val="nil"/>
              <w:right w:val="nil"/>
            </w:tcBorders>
            <w:shd w:val="clear" w:color="000000" w:fill="EBEBEB"/>
            <w:hideMark/>
          </w:tcPr>
          <w:p w14:paraId="7B993573"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973" w:type="dxa"/>
            <w:tcBorders>
              <w:top w:val="nil"/>
              <w:left w:val="nil"/>
              <w:bottom w:val="nil"/>
              <w:right w:val="nil"/>
            </w:tcBorders>
            <w:shd w:val="clear" w:color="000000" w:fill="EBEBEB"/>
            <w:hideMark/>
          </w:tcPr>
          <w:p w14:paraId="3FA46F45"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1064" w:type="dxa"/>
            <w:tcBorders>
              <w:top w:val="nil"/>
              <w:left w:val="nil"/>
              <w:bottom w:val="nil"/>
              <w:right w:val="nil"/>
            </w:tcBorders>
            <w:shd w:val="clear" w:color="000000" w:fill="4B5051"/>
            <w:hideMark/>
          </w:tcPr>
          <w:p w14:paraId="224D7286" w14:textId="77777777" w:rsidR="0079098C" w:rsidRPr="00F94EF6" w:rsidRDefault="0079098C" w:rsidP="00F94EF6">
            <w:pPr>
              <w:ind w:left="-57" w:right="-57"/>
              <w:jc w:val="center"/>
              <w:rPr>
                <w:rFonts w:ascii="Public Sans" w:hAnsi="Public Sans" w:cs="Calibri"/>
                <w:color w:val="FFFFFF"/>
                <w:sz w:val="17"/>
                <w:szCs w:val="17"/>
                <w:lang w:val="en-AU" w:eastAsia="en-AU"/>
              </w:rPr>
            </w:pPr>
            <w:r w:rsidRPr="00F94EF6">
              <w:rPr>
                <w:rFonts w:ascii="Public Sans" w:hAnsi="Public Sans" w:cs="Calibri"/>
                <w:color w:val="FFFFFF"/>
                <w:sz w:val="17"/>
                <w:szCs w:val="17"/>
                <w:lang w:val="en-AU" w:eastAsia="en-AU"/>
              </w:rPr>
              <w:t>$m</w:t>
            </w:r>
          </w:p>
        </w:tc>
      </w:tr>
      <w:tr w:rsidR="00324F86" w:rsidRPr="0079098C" w14:paraId="07FE8AB1" w14:textId="77777777" w:rsidTr="005D7BA3">
        <w:trPr>
          <w:trHeight w:val="285"/>
        </w:trPr>
        <w:tc>
          <w:tcPr>
            <w:tcW w:w="3810" w:type="dxa"/>
            <w:tcBorders>
              <w:top w:val="single" w:sz="4" w:space="0" w:color="auto"/>
              <w:left w:val="nil"/>
              <w:bottom w:val="single" w:sz="4" w:space="0" w:color="auto"/>
              <w:right w:val="nil"/>
            </w:tcBorders>
            <w:shd w:val="clear" w:color="000000" w:fill="FFFFFF"/>
            <w:noWrap/>
            <w:vAlign w:val="center"/>
            <w:hideMark/>
          </w:tcPr>
          <w:p w14:paraId="4FD09B27" w14:textId="37C96F41"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Revenue - 2023 P</w:t>
            </w:r>
            <w:r w:rsidR="00063094">
              <w:rPr>
                <w:rFonts w:ascii="Public Sans" w:hAnsi="Public Sans" w:cs="Calibri"/>
                <w:b/>
                <w:bCs/>
                <w:sz w:val="16"/>
                <w:szCs w:val="16"/>
                <w:lang w:val="en-AU" w:eastAsia="en-AU"/>
              </w:rPr>
              <w:t>re-</w:t>
            </w:r>
            <w:r w:rsidR="00C7308F">
              <w:rPr>
                <w:rFonts w:ascii="Public Sans" w:hAnsi="Public Sans" w:cs="Calibri"/>
                <w:b/>
                <w:bCs/>
                <w:sz w:val="16"/>
                <w:szCs w:val="16"/>
                <w:lang w:val="en-AU" w:eastAsia="en-AU"/>
              </w:rPr>
              <w:t>e</w:t>
            </w:r>
            <w:r w:rsidR="00063094">
              <w:rPr>
                <w:rFonts w:ascii="Public Sans" w:hAnsi="Public Sans" w:cs="Calibri"/>
                <w:b/>
                <w:bCs/>
                <w:sz w:val="16"/>
                <w:szCs w:val="16"/>
                <w:lang w:val="en-AU" w:eastAsia="en-AU"/>
              </w:rPr>
              <w:t>lection Budget Update</w:t>
            </w:r>
          </w:p>
        </w:tc>
        <w:tc>
          <w:tcPr>
            <w:tcW w:w="1013" w:type="dxa"/>
            <w:tcBorders>
              <w:top w:val="single" w:sz="4" w:space="0" w:color="auto"/>
              <w:left w:val="nil"/>
              <w:bottom w:val="single" w:sz="4" w:space="0" w:color="auto"/>
              <w:right w:val="nil"/>
            </w:tcBorders>
            <w:shd w:val="clear" w:color="000000" w:fill="F2F2F2"/>
            <w:noWrap/>
            <w:vAlign w:val="center"/>
            <w:hideMark/>
          </w:tcPr>
          <w:p w14:paraId="10DD103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105,244</w:t>
            </w:r>
          </w:p>
        </w:tc>
        <w:tc>
          <w:tcPr>
            <w:tcW w:w="1009" w:type="dxa"/>
            <w:tcBorders>
              <w:top w:val="single" w:sz="4" w:space="0" w:color="auto"/>
              <w:left w:val="nil"/>
              <w:bottom w:val="single" w:sz="4" w:space="0" w:color="auto"/>
              <w:right w:val="nil"/>
            </w:tcBorders>
            <w:shd w:val="clear" w:color="000000" w:fill="F2F2F2"/>
            <w:noWrap/>
            <w:vAlign w:val="center"/>
            <w:hideMark/>
          </w:tcPr>
          <w:p w14:paraId="0BC40126"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108,577</w:t>
            </w:r>
          </w:p>
        </w:tc>
        <w:tc>
          <w:tcPr>
            <w:tcW w:w="979" w:type="dxa"/>
            <w:tcBorders>
              <w:top w:val="single" w:sz="4" w:space="0" w:color="auto"/>
              <w:left w:val="nil"/>
              <w:bottom w:val="single" w:sz="4" w:space="0" w:color="auto"/>
              <w:right w:val="nil"/>
            </w:tcBorders>
            <w:shd w:val="clear" w:color="000000" w:fill="F2F2F2"/>
            <w:noWrap/>
            <w:vAlign w:val="center"/>
            <w:hideMark/>
          </w:tcPr>
          <w:p w14:paraId="796CC93F"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113,783</w:t>
            </w:r>
          </w:p>
        </w:tc>
        <w:tc>
          <w:tcPr>
            <w:tcW w:w="1008" w:type="dxa"/>
            <w:tcBorders>
              <w:top w:val="single" w:sz="4" w:space="0" w:color="auto"/>
              <w:left w:val="nil"/>
              <w:bottom w:val="single" w:sz="4" w:space="0" w:color="auto"/>
              <w:right w:val="nil"/>
            </w:tcBorders>
            <w:shd w:val="clear" w:color="000000" w:fill="F2F2F2"/>
            <w:noWrap/>
            <w:vAlign w:val="center"/>
            <w:hideMark/>
          </w:tcPr>
          <w:p w14:paraId="5D7169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115,693</w:t>
            </w:r>
          </w:p>
        </w:tc>
        <w:tc>
          <w:tcPr>
            <w:tcW w:w="973" w:type="dxa"/>
            <w:tcBorders>
              <w:top w:val="single" w:sz="4" w:space="0" w:color="auto"/>
              <w:left w:val="nil"/>
              <w:bottom w:val="single" w:sz="4" w:space="0" w:color="auto"/>
              <w:right w:val="nil"/>
            </w:tcBorders>
            <w:shd w:val="clear" w:color="000000" w:fill="F2F2F2"/>
            <w:noWrap/>
            <w:vAlign w:val="center"/>
            <w:hideMark/>
          </w:tcPr>
          <w:p w14:paraId="62F4B74F"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117,906</w:t>
            </w:r>
          </w:p>
        </w:tc>
        <w:tc>
          <w:tcPr>
            <w:tcW w:w="1064" w:type="dxa"/>
            <w:tcBorders>
              <w:top w:val="single" w:sz="4" w:space="0" w:color="auto"/>
              <w:left w:val="nil"/>
              <w:bottom w:val="single" w:sz="4" w:space="0" w:color="auto"/>
              <w:right w:val="nil"/>
            </w:tcBorders>
            <w:shd w:val="clear" w:color="000000" w:fill="FFFFFF"/>
            <w:noWrap/>
            <w:vAlign w:val="center"/>
            <w:hideMark/>
          </w:tcPr>
          <w:p w14:paraId="612949B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455,958</w:t>
            </w:r>
          </w:p>
        </w:tc>
      </w:tr>
      <w:tr w:rsidR="0079098C" w:rsidRPr="0079098C" w14:paraId="51C7F955" w14:textId="77777777" w:rsidTr="0061289B">
        <w:trPr>
          <w:trHeight w:val="206"/>
        </w:trPr>
        <w:tc>
          <w:tcPr>
            <w:tcW w:w="3810" w:type="dxa"/>
            <w:tcBorders>
              <w:top w:val="nil"/>
              <w:left w:val="nil"/>
              <w:bottom w:val="nil"/>
              <w:right w:val="nil"/>
            </w:tcBorders>
            <w:shd w:val="clear" w:color="000000" w:fill="FFFFFF"/>
            <w:noWrap/>
            <w:vAlign w:val="center"/>
            <w:hideMark/>
          </w:tcPr>
          <w:p w14:paraId="4B1B502A"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71DF270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18E86A1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2739EF36"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749AA6B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6BFA618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7F7BF73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652E9B80" w14:textId="77777777" w:rsidTr="0061289B">
        <w:trPr>
          <w:trHeight w:val="265"/>
        </w:trPr>
        <w:tc>
          <w:tcPr>
            <w:tcW w:w="3810" w:type="dxa"/>
            <w:tcBorders>
              <w:top w:val="nil"/>
              <w:left w:val="nil"/>
              <w:bottom w:val="nil"/>
              <w:right w:val="nil"/>
            </w:tcBorders>
            <w:shd w:val="clear" w:color="000000" w:fill="FFFFFF"/>
            <w:noWrap/>
            <w:vAlign w:val="center"/>
            <w:hideMark/>
          </w:tcPr>
          <w:p w14:paraId="7FB5118F" w14:textId="45BDEF06" w:rsidR="0079098C" w:rsidRPr="0079098C" w:rsidRDefault="0079098C" w:rsidP="0063674B">
            <w:pPr>
              <w:ind w:left="113" w:hanging="113"/>
              <w:rPr>
                <w:rFonts w:ascii="Public Sans" w:hAnsi="Public Sans" w:cs="Calibri"/>
                <w:i/>
                <w:iCs/>
                <w:sz w:val="16"/>
                <w:szCs w:val="16"/>
                <w:lang w:val="en-AU" w:eastAsia="en-AU"/>
              </w:rPr>
            </w:pPr>
            <w:r w:rsidRPr="006424F2">
              <w:rPr>
                <w:rFonts w:ascii="Public Sans" w:hAnsi="Public Sans" w:cs="Calibri"/>
                <w:i/>
                <w:sz w:val="16"/>
                <w:szCs w:val="16"/>
                <w:lang w:val="en-AU" w:eastAsia="en-AU"/>
              </w:rPr>
              <w:t>Policy</w:t>
            </w:r>
            <w:r w:rsidRPr="0079098C">
              <w:rPr>
                <w:rFonts w:ascii="Public Sans" w:hAnsi="Public Sans" w:cs="Calibri"/>
                <w:i/>
                <w:iCs/>
                <w:sz w:val="16"/>
                <w:szCs w:val="16"/>
                <w:lang w:val="en-AU" w:eastAsia="en-AU"/>
              </w:rPr>
              <w:t xml:space="preserve"> changes since 2023 P</w:t>
            </w:r>
            <w:r w:rsidR="00063094">
              <w:rPr>
                <w:rFonts w:ascii="Public Sans" w:hAnsi="Public Sans" w:cs="Calibri"/>
                <w:i/>
                <w:iCs/>
                <w:sz w:val="16"/>
                <w:szCs w:val="16"/>
                <w:lang w:val="en-AU" w:eastAsia="en-AU"/>
              </w:rPr>
              <w:t>re-election Budget Update</w:t>
            </w:r>
          </w:p>
        </w:tc>
        <w:tc>
          <w:tcPr>
            <w:tcW w:w="1013" w:type="dxa"/>
            <w:tcBorders>
              <w:top w:val="nil"/>
              <w:left w:val="nil"/>
              <w:bottom w:val="nil"/>
              <w:right w:val="nil"/>
            </w:tcBorders>
            <w:shd w:val="clear" w:color="000000" w:fill="F2F2F2"/>
            <w:noWrap/>
            <w:vAlign w:val="center"/>
            <w:hideMark/>
          </w:tcPr>
          <w:p w14:paraId="606F996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345DDBD1"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0FC6A603"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52DB86B3"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4ACB510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74F1394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3DF517EF" w14:textId="77777777" w:rsidTr="0061289B">
        <w:trPr>
          <w:trHeight w:val="235"/>
        </w:trPr>
        <w:tc>
          <w:tcPr>
            <w:tcW w:w="3810" w:type="dxa"/>
            <w:tcBorders>
              <w:top w:val="nil"/>
              <w:left w:val="nil"/>
              <w:bottom w:val="nil"/>
              <w:right w:val="nil"/>
            </w:tcBorders>
            <w:shd w:val="clear" w:color="000000" w:fill="FFFFFF"/>
            <w:noWrap/>
            <w:vAlign w:val="center"/>
            <w:hideMark/>
          </w:tcPr>
          <w:p w14:paraId="48106786"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Revenue measures</w:t>
            </w:r>
          </w:p>
        </w:tc>
        <w:tc>
          <w:tcPr>
            <w:tcW w:w="1013" w:type="dxa"/>
            <w:tcBorders>
              <w:top w:val="nil"/>
              <w:left w:val="nil"/>
              <w:bottom w:val="nil"/>
              <w:right w:val="nil"/>
            </w:tcBorders>
            <w:shd w:val="clear" w:color="000000" w:fill="F2F2F2"/>
            <w:noWrap/>
            <w:vAlign w:val="center"/>
            <w:hideMark/>
          </w:tcPr>
          <w:p w14:paraId="38605A5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(19)</w:t>
            </w:r>
          </w:p>
        </w:tc>
        <w:tc>
          <w:tcPr>
            <w:tcW w:w="1009" w:type="dxa"/>
            <w:tcBorders>
              <w:top w:val="nil"/>
              <w:left w:val="nil"/>
              <w:bottom w:val="nil"/>
              <w:right w:val="nil"/>
            </w:tcBorders>
            <w:shd w:val="clear" w:color="000000" w:fill="F2F2F2"/>
            <w:noWrap/>
            <w:vAlign w:val="center"/>
            <w:hideMark/>
          </w:tcPr>
          <w:p w14:paraId="6376B39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154</w:t>
            </w:r>
          </w:p>
        </w:tc>
        <w:tc>
          <w:tcPr>
            <w:tcW w:w="979" w:type="dxa"/>
            <w:tcBorders>
              <w:top w:val="nil"/>
              <w:left w:val="nil"/>
              <w:bottom w:val="nil"/>
              <w:right w:val="nil"/>
            </w:tcBorders>
            <w:shd w:val="clear" w:color="000000" w:fill="F2F2F2"/>
            <w:noWrap/>
            <w:vAlign w:val="center"/>
            <w:hideMark/>
          </w:tcPr>
          <w:p w14:paraId="5BD3941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1,411</w:t>
            </w:r>
          </w:p>
        </w:tc>
        <w:tc>
          <w:tcPr>
            <w:tcW w:w="1008" w:type="dxa"/>
            <w:tcBorders>
              <w:top w:val="nil"/>
              <w:left w:val="nil"/>
              <w:bottom w:val="nil"/>
              <w:right w:val="nil"/>
            </w:tcBorders>
            <w:shd w:val="clear" w:color="000000" w:fill="F2F2F2"/>
            <w:noWrap/>
            <w:vAlign w:val="center"/>
            <w:hideMark/>
          </w:tcPr>
          <w:p w14:paraId="5EE5556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1,340</w:t>
            </w:r>
          </w:p>
        </w:tc>
        <w:tc>
          <w:tcPr>
            <w:tcW w:w="973" w:type="dxa"/>
            <w:tcBorders>
              <w:top w:val="nil"/>
              <w:left w:val="nil"/>
              <w:bottom w:val="nil"/>
              <w:right w:val="nil"/>
            </w:tcBorders>
            <w:shd w:val="clear" w:color="000000" w:fill="F2F2F2"/>
            <w:noWrap/>
            <w:vAlign w:val="center"/>
            <w:hideMark/>
          </w:tcPr>
          <w:p w14:paraId="1F0B285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1,238</w:t>
            </w:r>
          </w:p>
        </w:tc>
        <w:tc>
          <w:tcPr>
            <w:tcW w:w="1064" w:type="dxa"/>
            <w:tcBorders>
              <w:top w:val="nil"/>
              <w:left w:val="nil"/>
              <w:bottom w:val="nil"/>
              <w:right w:val="nil"/>
            </w:tcBorders>
            <w:shd w:val="clear" w:color="000000" w:fill="FFFFFF"/>
            <w:noWrap/>
            <w:vAlign w:val="center"/>
            <w:hideMark/>
          </w:tcPr>
          <w:p w14:paraId="0A17611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4,143</w:t>
            </w:r>
          </w:p>
        </w:tc>
      </w:tr>
      <w:tr w:rsidR="0079098C" w:rsidRPr="0079098C" w14:paraId="5BB09EEA" w14:textId="77777777" w:rsidTr="0061289B">
        <w:trPr>
          <w:trHeight w:val="432"/>
        </w:trPr>
        <w:tc>
          <w:tcPr>
            <w:tcW w:w="3810" w:type="dxa"/>
            <w:tcBorders>
              <w:top w:val="nil"/>
              <w:left w:val="nil"/>
              <w:bottom w:val="nil"/>
              <w:right w:val="nil"/>
            </w:tcBorders>
            <w:shd w:val="clear" w:color="000000" w:fill="FFFFFF"/>
            <w:noWrap/>
            <w:vAlign w:val="center"/>
            <w:hideMark/>
          </w:tcPr>
          <w:p w14:paraId="7EA3FE77" w14:textId="77777777" w:rsidR="0079098C" w:rsidRPr="0079098C" w:rsidRDefault="0079098C" w:rsidP="007E7217">
            <w:pPr>
              <w:ind w:left="113" w:hanging="113"/>
              <w:rPr>
                <w:rFonts w:ascii="Public Sans" w:hAnsi="Public Sans" w:cs="Calibri"/>
                <w:sz w:val="16"/>
                <w:szCs w:val="16"/>
                <w:lang w:val="en-AU" w:eastAsia="en-AU"/>
              </w:rPr>
            </w:pPr>
            <w:r w:rsidRPr="0079098C">
              <w:rPr>
                <w:rFonts w:ascii="Public Sans" w:hAnsi="Public Sans" w:cs="Calibri"/>
                <w:sz w:val="16"/>
                <w:szCs w:val="16"/>
                <w:lang w:val="en-AU" w:eastAsia="en-AU"/>
              </w:rPr>
              <w:t>Revenue related to expense and capital measures</w:t>
            </w:r>
          </w:p>
        </w:tc>
        <w:tc>
          <w:tcPr>
            <w:tcW w:w="1013" w:type="dxa"/>
            <w:tcBorders>
              <w:top w:val="nil"/>
              <w:left w:val="nil"/>
              <w:bottom w:val="nil"/>
              <w:right w:val="nil"/>
            </w:tcBorders>
            <w:shd w:val="clear" w:color="000000" w:fill="F2F2F2"/>
            <w:noWrap/>
            <w:vAlign w:val="center"/>
            <w:hideMark/>
          </w:tcPr>
          <w:p w14:paraId="746628D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599</w:t>
            </w:r>
          </w:p>
        </w:tc>
        <w:tc>
          <w:tcPr>
            <w:tcW w:w="1009" w:type="dxa"/>
            <w:tcBorders>
              <w:top w:val="nil"/>
              <w:left w:val="nil"/>
              <w:bottom w:val="nil"/>
              <w:right w:val="nil"/>
            </w:tcBorders>
            <w:shd w:val="clear" w:color="000000" w:fill="F2F2F2"/>
            <w:noWrap/>
            <w:vAlign w:val="center"/>
            <w:hideMark/>
          </w:tcPr>
          <w:p w14:paraId="0E39CC00" w14:textId="22878DED"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w:t>
            </w:r>
            <w:r w:rsidR="000A1E8F">
              <w:rPr>
                <w:rFonts w:ascii="Public Sans" w:hAnsi="Public Sans" w:cs="Calibri"/>
                <w:sz w:val="16"/>
                <w:szCs w:val="16"/>
                <w:lang w:val="en-AU" w:eastAsia="en-AU"/>
              </w:rPr>
              <w:t>68</w:t>
            </w:r>
          </w:p>
        </w:tc>
        <w:tc>
          <w:tcPr>
            <w:tcW w:w="979" w:type="dxa"/>
            <w:tcBorders>
              <w:top w:val="nil"/>
              <w:left w:val="nil"/>
              <w:bottom w:val="nil"/>
              <w:right w:val="nil"/>
            </w:tcBorders>
            <w:shd w:val="clear" w:color="000000" w:fill="F2F2F2"/>
            <w:noWrap/>
            <w:vAlign w:val="center"/>
            <w:hideMark/>
          </w:tcPr>
          <w:p w14:paraId="5A53D445" w14:textId="455C8148"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w:t>
            </w:r>
            <w:r w:rsidR="000A1E8F">
              <w:rPr>
                <w:rFonts w:ascii="Public Sans" w:hAnsi="Public Sans" w:cs="Calibri"/>
                <w:sz w:val="16"/>
                <w:szCs w:val="16"/>
                <w:lang w:val="en-AU" w:eastAsia="en-AU"/>
              </w:rPr>
              <w:t>54</w:t>
            </w:r>
            <w:r w:rsidRPr="0079098C">
              <w:rPr>
                <w:rFonts w:ascii="Public Sans" w:hAnsi="Public Sans" w:cs="Calibri"/>
                <w:sz w:val="16"/>
                <w:szCs w:val="16"/>
                <w:lang w:val="en-AU" w:eastAsia="en-AU"/>
              </w:rPr>
              <w:t>)</w:t>
            </w:r>
          </w:p>
        </w:tc>
        <w:tc>
          <w:tcPr>
            <w:tcW w:w="1008" w:type="dxa"/>
            <w:tcBorders>
              <w:top w:val="nil"/>
              <w:left w:val="nil"/>
              <w:bottom w:val="nil"/>
              <w:right w:val="nil"/>
            </w:tcBorders>
            <w:shd w:val="clear" w:color="000000" w:fill="F2F2F2"/>
            <w:noWrap/>
            <w:vAlign w:val="center"/>
            <w:hideMark/>
          </w:tcPr>
          <w:p w14:paraId="5D0344B7" w14:textId="08D88C3D"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w:t>
            </w:r>
            <w:r w:rsidR="000A1E8F">
              <w:rPr>
                <w:rFonts w:ascii="Public Sans" w:hAnsi="Public Sans" w:cs="Calibri"/>
                <w:sz w:val="16"/>
                <w:szCs w:val="16"/>
                <w:lang w:val="en-AU" w:eastAsia="en-AU"/>
              </w:rPr>
              <w:t>72</w:t>
            </w:r>
            <w:r w:rsidRPr="0079098C">
              <w:rPr>
                <w:rFonts w:ascii="Public Sans" w:hAnsi="Public Sans" w:cs="Calibri"/>
                <w:sz w:val="16"/>
                <w:szCs w:val="16"/>
                <w:lang w:val="en-AU" w:eastAsia="en-AU"/>
              </w:rPr>
              <w:t>)</w:t>
            </w:r>
          </w:p>
        </w:tc>
        <w:tc>
          <w:tcPr>
            <w:tcW w:w="973" w:type="dxa"/>
            <w:tcBorders>
              <w:top w:val="nil"/>
              <w:left w:val="nil"/>
              <w:bottom w:val="nil"/>
              <w:right w:val="nil"/>
            </w:tcBorders>
            <w:shd w:val="clear" w:color="000000" w:fill="F2F2F2"/>
            <w:noWrap/>
            <w:vAlign w:val="center"/>
            <w:hideMark/>
          </w:tcPr>
          <w:p w14:paraId="616FFEAA" w14:textId="7688B4E8"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w:t>
            </w:r>
            <w:r w:rsidR="000A1E8F">
              <w:rPr>
                <w:rFonts w:ascii="Public Sans" w:hAnsi="Public Sans" w:cs="Calibri"/>
                <w:sz w:val="16"/>
                <w:szCs w:val="16"/>
                <w:lang w:val="en-AU" w:eastAsia="en-AU"/>
              </w:rPr>
              <w:t>84</w:t>
            </w:r>
            <w:r w:rsidRPr="0079098C">
              <w:rPr>
                <w:rFonts w:ascii="Public Sans" w:hAnsi="Public Sans" w:cs="Calibri"/>
                <w:sz w:val="16"/>
                <w:szCs w:val="16"/>
                <w:lang w:val="en-AU" w:eastAsia="en-AU"/>
              </w:rPr>
              <w:t>)</w:t>
            </w:r>
          </w:p>
        </w:tc>
        <w:tc>
          <w:tcPr>
            <w:tcW w:w="1064" w:type="dxa"/>
            <w:tcBorders>
              <w:top w:val="nil"/>
              <w:left w:val="nil"/>
              <w:bottom w:val="nil"/>
              <w:right w:val="nil"/>
            </w:tcBorders>
            <w:shd w:val="clear" w:color="000000" w:fill="FFFFFF"/>
            <w:noWrap/>
            <w:vAlign w:val="center"/>
            <w:hideMark/>
          </w:tcPr>
          <w:p w14:paraId="2089A5F6" w14:textId="759123AF"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(2,6</w:t>
            </w:r>
            <w:r w:rsidR="000A1E8F">
              <w:rPr>
                <w:rFonts w:ascii="Public Sans" w:hAnsi="Public Sans" w:cs="Calibri"/>
                <w:b/>
                <w:bCs/>
                <w:sz w:val="16"/>
                <w:szCs w:val="16"/>
                <w:lang w:val="en-AU" w:eastAsia="en-AU"/>
              </w:rPr>
              <w:t>41</w:t>
            </w:r>
            <w:r w:rsidRPr="0079098C">
              <w:rPr>
                <w:rFonts w:ascii="Public Sans" w:hAnsi="Public Sans" w:cs="Calibri"/>
                <w:b/>
                <w:bCs/>
                <w:sz w:val="16"/>
                <w:szCs w:val="16"/>
                <w:lang w:val="en-AU" w:eastAsia="en-AU"/>
              </w:rPr>
              <w:t>)</w:t>
            </w:r>
          </w:p>
        </w:tc>
      </w:tr>
      <w:tr w:rsidR="00324F86" w:rsidRPr="0079098C" w14:paraId="1B0BCA9C" w14:textId="77777777" w:rsidTr="005D7BA3">
        <w:trPr>
          <w:trHeight w:val="307"/>
        </w:trPr>
        <w:tc>
          <w:tcPr>
            <w:tcW w:w="3810" w:type="dxa"/>
            <w:tcBorders>
              <w:top w:val="single" w:sz="4" w:space="0" w:color="auto"/>
              <w:left w:val="nil"/>
              <w:bottom w:val="nil"/>
              <w:right w:val="nil"/>
            </w:tcBorders>
            <w:shd w:val="clear" w:color="000000" w:fill="FFFFFF"/>
            <w:noWrap/>
            <w:vAlign w:val="center"/>
            <w:hideMark/>
          </w:tcPr>
          <w:p w14:paraId="21CD5AF7"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Total policy measures</w:t>
            </w:r>
          </w:p>
        </w:tc>
        <w:tc>
          <w:tcPr>
            <w:tcW w:w="1013" w:type="dxa"/>
            <w:tcBorders>
              <w:top w:val="single" w:sz="4" w:space="0" w:color="auto"/>
              <w:left w:val="nil"/>
              <w:bottom w:val="nil"/>
              <w:right w:val="nil"/>
            </w:tcBorders>
            <w:shd w:val="clear" w:color="000000" w:fill="F2F2F2"/>
            <w:noWrap/>
            <w:vAlign w:val="center"/>
            <w:hideMark/>
          </w:tcPr>
          <w:p w14:paraId="5E27750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581</w:t>
            </w:r>
          </w:p>
        </w:tc>
        <w:tc>
          <w:tcPr>
            <w:tcW w:w="1009" w:type="dxa"/>
            <w:tcBorders>
              <w:top w:val="single" w:sz="4" w:space="0" w:color="auto"/>
              <w:left w:val="nil"/>
              <w:bottom w:val="nil"/>
              <w:right w:val="nil"/>
            </w:tcBorders>
            <w:shd w:val="clear" w:color="000000" w:fill="F2F2F2"/>
            <w:noWrap/>
            <w:vAlign w:val="center"/>
            <w:hideMark/>
          </w:tcPr>
          <w:p w14:paraId="2AC2137E" w14:textId="5C12F712"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32</w:t>
            </w:r>
            <w:r w:rsidR="000A1E8F">
              <w:rPr>
                <w:rFonts w:ascii="Public Sans" w:hAnsi="Public Sans" w:cs="Calibri"/>
                <w:b/>
                <w:bCs/>
                <w:sz w:val="16"/>
                <w:szCs w:val="16"/>
                <w:lang w:val="en-AU" w:eastAsia="en-AU"/>
              </w:rPr>
              <w:t>2</w:t>
            </w:r>
          </w:p>
        </w:tc>
        <w:tc>
          <w:tcPr>
            <w:tcW w:w="979" w:type="dxa"/>
            <w:tcBorders>
              <w:top w:val="single" w:sz="4" w:space="0" w:color="auto"/>
              <w:left w:val="nil"/>
              <w:bottom w:val="nil"/>
              <w:right w:val="nil"/>
            </w:tcBorders>
            <w:shd w:val="clear" w:color="000000" w:fill="F2F2F2"/>
            <w:noWrap/>
            <w:vAlign w:val="center"/>
            <w:hideMark/>
          </w:tcPr>
          <w:p w14:paraId="7272A336" w14:textId="5E9D492D"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w:t>
            </w:r>
            <w:r w:rsidR="00421BF1">
              <w:rPr>
                <w:rFonts w:ascii="Public Sans" w:hAnsi="Public Sans" w:cs="Calibri"/>
                <w:b/>
                <w:bCs/>
                <w:sz w:val="16"/>
                <w:szCs w:val="16"/>
                <w:lang w:val="en-AU" w:eastAsia="en-AU"/>
              </w:rPr>
              <w:t>58</w:t>
            </w:r>
          </w:p>
        </w:tc>
        <w:tc>
          <w:tcPr>
            <w:tcW w:w="1008" w:type="dxa"/>
            <w:tcBorders>
              <w:top w:val="single" w:sz="4" w:space="0" w:color="auto"/>
              <w:left w:val="nil"/>
              <w:bottom w:val="nil"/>
              <w:right w:val="nil"/>
            </w:tcBorders>
            <w:shd w:val="clear" w:color="000000" w:fill="F2F2F2"/>
            <w:noWrap/>
            <w:vAlign w:val="center"/>
            <w:hideMark/>
          </w:tcPr>
          <w:p w14:paraId="32EC31AC" w14:textId="530D22CE"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7</w:t>
            </w:r>
            <w:r w:rsidR="00421BF1">
              <w:rPr>
                <w:rFonts w:ascii="Public Sans" w:hAnsi="Public Sans" w:cs="Calibri"/>
                <w:b/>
                <w:bCs/>
                <w:sz w:val="16"/>
                <w:szCs w:val="16"/>
                <w:lang w:val="en-AU" w:eastAsia="en-AU"/>
              </w:rPr>
              <w:t>68</w:t>
            </w:r>
          </w:p>
        </w:tc>
        <w:tc>
          <w:tcPr>
            <w:tcW w:w="973" w:type="dxa"/>
            <w:tcBorders>
              <w:top w:val="single" w:sz="4" w:space="0" w:color="auto"/>
              <w:left w:val="nil"/>
              <w:bottom w:val="nil"/>
              <w:right w:val="nil"/>
            </w:tcBorders>
            <w:shd w:val="clear" w:color="000000" w:fill="F2F2F2"/>
            <w:noWrap/>
            <w:vAlign w:val="center"/>
            <w:hideMark/>
          </w:tcPr>
          <w:p w14:paraId="2A3A726C" w14:textId="39FD2269"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w:t>
            </w:r>
            <w:r w:rsidR="00421BF1">
              <w:rPr>
                <w:rFonts w:ascii="Public Sans" w:hAnsi="Public Sans" w:cs="Calibri"/>
                <w:b/>
                <w:bCs/>
                <w:sz w:val="16"/>
                <w:szCs w:val="16"/>
                <w:lang w:val="en-AU" w:eastAsia="en-AU"/>
              </w:rPr>
              <w:t>54</w:t>
            </w:r>
          </w:p>
        </w:tc>
        <w:tc>
          <w:tcPr>
            <w:tcW w:w="1064" w:type="dxa"/>
            <w:tcBorders>
              <w:top w:val="single" w:sz="4" w:space="0" w:color="auto"/>
              <w:left w:val="nil"/>
              <w:bottom w:val="nil"/>
              <w:right w:val="nil"/>
            </w:tcBorders>
            <w:shd w:val="clear" w:color="000000" w:fill="FFFFFF"/>
            <w:noWrap/>
            <w:vAlign w:val="center"/>
            <w:hideMark/>
          </w:tcPr>
          <w:p w14:paraId="1F445208" w14:textId="3F1DED5D"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1,5</w:t>
            </w:r>
            <w:r w:rsidR="00421BF1">
              <w:rPr>
                <w:rFonts w:ascii="Public Sans" w:hAnsi="Public Sans" w:cs="Calibri"/>
                <w:b/>
                <w:bCs/>
                <w:sz w:val="16"/>
                <w:szCs w:val="16"/>
                <w:lang w:val="en-AU" w:eastAsia="en-AU"/>
              </w:rPr>
              <w:t>02</w:t>
            </w:r>
          </w:p>
        </w:tc>
      </w:tr>
      <w:tr w:rsidR="0079098C" w:rsidRPr="0079098C" w14:paraId="5CD98E3D" w14:textId="77777777" w:rsidTr="0061289B">
        <w:trPr>
          <w:trHeight w:val="307"/>
        </w:trPr>
        <w:tc>
          <w:tcPr>
            <w:tcW w:w="3810" w:type="dxa"/>
            <w:tcBorders>
              <w:top w:val="nil"/>
              <w:left w:val="nil"/>
              <w:bottom w:val="nil"/>
              <w:right w:val="nil"/>
            </w:tcBorders>
            <w:shd w:val="clear" w:color="000000" w:fill="FFFFFF"/>
            <w:noWrap/>
            <w:vAlign w:val="center"/>
            <w:hideMark/>
          </w:tcPr>
          <w:p w14:paraId="2E688403"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7A9D298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7A4FE47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65FD3001"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3D2770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2D1F4B8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24A158D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6F933167" w14:textId="77777777" w:rsidTr="0061289B">
        <w:trPr>
          <w:trHeight w:val="235"/>
        </w:trPr>
        <w:tc>
          <w:tcPr>
            <w:tcW w:w="3810" w:type="dxa"/>
            <w:tcBorders>
              <w:top w:val="nil"/>
              <w:left w:val="nil"/>
              <w:bottom w:val="nil"/>
              <w:right w:val="nil"/>
            </w:tcBorders>
            <w:shd w:val="clear" w:color="000000" w:fill="FFFFFF"/>
            <w:noWrap/>
            <w:vAlign w:val="center"/>
            <w:hideMark/>
          </w:tcPr>
          <w:p w14:paraId="2132901B" w14:textId="7A27CCBE" w:rsidR="0079098C" w:rsidRPr="0079098C" w:rsidRDefault="0079098C" w:rsidP="0063674B">
            <w:pPr>
              <w:ind w:left="113" w:hanging="113"/>
              <w:rPr>
                <w:rFonts w:ascii="Public Sans" w:hAnsi="Public Sans" w:cs="Calibri"/>
                <w:i/>
                <w:iCs/>
                <w:sz w:val="16"/>
                <w:szCs w:val="16"/>
                <w:lang w:val="en-AU" w:eastAsia="en-AU"/>
              </w:rPr>
            </w:pPr>
            <w:r w:rsidRPr="0079098C">
              <w:rPr>
                <w:rFonts w:ascii="Public Sans" w:hAnsi="Public Sans" w:cs="Calibri"/>
                <w:i/>
                <w:iCs/>
                <w:sz w:val="16"/>
                <w:szCs w:val="16"/>
                <w:lang w:val="en-AU" w:eastAsia="en-AU"/>
              </w:rPr>
              <w:t>Parameter changes since 2023 P</w:t>
            </w:r>
            <w:r w:rsidR="00CE0CC5">
              <w:rPr>
                <w:rFonts w:ascii="Public Sans" w:hAnsi="Public Sans" w:cs="Calibri"/>
                <w:i/>
                <w:iCs/>
                <w:sz w:val="16"/>
                <w:szCs w:val="16"/>
                <w:lang w:val="en-AU" w:eastAsia="en-AU"/>
              </w:rPr>
              <w:t xml:space="preserve">re-election </w:t>
            </w:r>
            <w:r w:rsidR="00CE0CC5" w:rsidRPr="0063674B">
              <w:rPr>
                <w:rFonts w:ascii="Public Sans" w:hAnsi="Public Sans" w:cs="Calibri"/>
                <w:i/>
                <w:iCs/>
                <w:sz w:val="16"/>
                <w:szCs w:val="16"/>
                <w:lang w:val="en-AU" w:eastAsia="en-AU"/>
              </w:rPr>
              <w:t>Budget</w:t>
            </w:r>
            <w:r w:rsidR="00CE0CC5">
              <w:rPr>
                <w:rFonts w:ascii="Public Sans" w:hAnsi="Public Sans" w:cs="Calibri"/>
                <w:i/>
                <w:iCs/>
                <w:sz w:val="16"/>
                <w:szCs w:val="16"/>
                <w:lang w:val="en-AU" w:eastAsia="en-AU"/>
              </w:rPr>
              <w:t xml:space="preserve"> Update</w:t>
            </w:r>
          </w:p>
        </w:tc>
        <w:tc>
          <w:tcPr>
            <w:tcW w:w="1013" w:type="dxa"/>
            <w:tcBorders>
              <w:top w:val="nil"/>
              <w:left w:val="nil"/>
              <w:bottom w:val="nil"/>
              <w:right w:val="nil"/>
            </w:tcBorders>
            <w:shd w:val="clear" w:color="000000" w:fill="F2F2F2"/>
            <w:noWrap/>
            <w:vAlign w:val="center"/>
            <w:hideMark/>
          </w:tcPr>
          <w:p w14:paraId="2BCF1C6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43813E8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5049D50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3B7F638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211961D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65CC7436"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1DC9A807" w14:textId="77777777" w:rsidTr="0061289B">
        <w:trPr>
          <w:trHeight w:val="78"/>
        </w:trPr>
        <w:tc>
          <w:tcPr>
            <w:tcW w:w="3810" w:type="dxa"/>
            <w:tcBorders>
              <w:top w:val="nil"/>
              <w:left w:val="nil"/>
              <w:bottom w:val="nil"/>
              <w:right w:val="nil"/>
            </w:tcBorders>
            <w:shd w:val="clear" w:color="000000" w:fill="FFFFFF"/>
            <w:noWrap/>
            <w:vAlign w:val="center"/>
            <w:hideMark/>
          </w:tcPr>
          <w:p w14:paraId="7CDB2AEF" w14:textId="77777777" w:rsidR="0079098C" w:rsidRPr="0079098C" w:rsidRDefault="0079098C" w:rsidP="0079098C">
            <w:pPr>
              <w:rPr>
                <w:rFonts w:ascii="Public Sans" w:hAnsi="Public Sans" w:cs="Calibri"/>
                <w:i/>
                <w:iCs/>
                <w:sz w:val="16"/>
                <w:szCs w:val="16"/>
                <w:lang w:val="en-AU" w:eastAsia="en-AU"/>
              </w:rPr>
            </w:pPr>
            <w:r w:rsidRPr="0079098C">
              <w:rPr>
                <w:rFonts w:ascii="Public Sans" w:hAnsi="Public Sans" w:cs="Calibri"/>
                <w:i/>
                <w:iCs/>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7F0B100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6672CA7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5CCDFCB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6563D46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41D7BBB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0C4A69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5D5B6EFA" w14:textId="77777777" w:rsidTr="0061289B">
        <w:trPr>
          <w:trHeight w:val="219"/>
        </w:trPr>
        <w:tc>
          <w:tcPr>
            <w:tcW w:w="3810" w:type="dxa"/>
            <w:tcBorders>
              <w:top w:val="nil"/>
              <w:left w:val="nil"/>
              <w:bottom w:val="nil"/>
              <w:right w:val="nil"/>
            </w:tcBorders>
            <w:shd w:val="clear" w:color="000000" w:fill="FFFFFF"/>
            <w:noWrap/>
            <w:vAlign w:val="center"/>
            <w:hideMark/>
          </w:tcPr>
          <w:p w14:paraId="5C3FE41E"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Taxation</w:t>
            </w:r>
          </w:p>
        </w:tc>
        <w:tc>
          <w:tcPr>
            <w:tcW w:w="1013" w:type="dxa"/>
            <w:tcBorders>
              <w:top w:val="nil"/>
              <w:left w:val="nil"/>
              <w:bottom w:val="nil"/>
              <w:right w:val="nil"/>
            </w:tcBorders>
            <w:shd w:val="clear" w:color="000000" w:fill="F2F2F2"/>
            <w:noWrap/>
            <w:vAlign w:val="center"/>
            <w:hideMark/>
          </w:tcPr>
          <w:p w14:paraId="1A1F28F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387466C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649887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4A9C192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617DCF8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32901AA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4C7AC38F" w14:textId="77777777" w:rsidTr="0061289B">
        <w:trPr>
          <w:trHeight w:val="235"/>
        </w:trPr>
        <w:tc>
          <w:tcPr>
            <w:tcW w:w="3810" w:type="dxa"/>
            <w:tcBorders>
              <w:top w:val="nil"/>
              <w:left w:val="nil"/>
              <w:bottom w:val="nil"/>
              <w:right w:val="nil"/>
            </w:tcBorders>
            <w:shd w:val="clear" w:color="000000" w:fill="FFFFFF"/>
            <w:noWrap/>
            <w:vAlign w:val="center"/>
            <w:hideMark/>
          </w:tcPr>
          <w:p w14:paraId="17BD65C2"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Payroll tax</w:t>
            </w:r>
          </w:p>
        </w:tc>
        <w:tc>
          <w:tcPr>
            <w:tcW w:w="1013" w:type="dxa"/>
            <w:tcBorders>
              <w:top w:val="nil"/>
              <w:left w:val="nil"/>
              <w:bottom w:val="nil"/>
              <w:right w:val="nil"/>
            </w:tcBorders>
            <w:shd w:val="clear" w:color="000000" w:fill="F2F2F2"/>
            <w:noWrap/>
            <w:vAlign w:val="center"/>
            <w:hideMark/>
          </w:tcPr>
          <w:p w14:paraId="57F57D65"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412</w:t>
            </w:r>
          </w:p>
        </w:tc>
        <w:tc>
          <w:tcPr>
            <w:tcW w:w="1009" w:type="dxa"/>
            <w:tcBorders>
              <w:top w:val="nil"/>
              <w:left w:val="nil"/>
              <w:bottom w:val="nil"/>
              <w:right w:val="nil"/>
            </w:tcBorders>
            <w:shd w:val="clear" w:color="000000" w:fill="F2F2F2"/>
            <w:noWrap/>
            <w:vAlign w:val="center"/>
            <w:hideMark/>
          </w:tcPr>
          <w:p w14:paraId="7FD8753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638</w:t>
            </w:r>
          </w:p>
        </w:tc>
        <w:tc>
          <w:tcPr>
            <w:tcW w:w="979" w:type="dxa"/>
            <w:tcBorders>
              <w:top w:val="nil"/>
              <w:left w:val="nil"/>
              <w:bottom w:val="nil"/>
              <w:right w:val="nil"/>
            </w:tcBorders>
            <w:shd w:val="clear" w:color="000000" w:fill="F2F2F2"/>
            <w:noWrap/>
            <w:vAlign w:val="center"/>
            <w:hideMark/>
          </w:tcPr>
          <w:p w14:paraId="2E14A90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564</w:t>
            </w:r>
          </w:p>
        </w:tc>
        <w:tc>
          <w:tcPr>
            <w:tcW w:w="1008" w:type="dxa"/>
            <w:tcBorders>
              <w:top w:val="nil"/>
              <w:left w:val="nil"/>
              <w:bottom w:val="nil"/>
              <w:right w:val="nil"/>
            </w:tcBorders>
            <w:shd w:val="clear" w:color="000000" w:fill="F2F2F2"/>
            <w:noWrap/>
            <w:vAlign w:val="center"/>
            <w:hideMark/>
          </w:tcPr>
          <w:p w14:paraId="69A61FE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589</w:t>
            </w:r>
          </w:p>
        </w:tc>
        <w:tc>
          <w:tcPr>
            <w:tcW w:w="973" w:type="dxa"/>
            <w:tcBorders>
              <w:top w:val="nil"/>
              <w:left w:val="nil"/>
              <w:bottom w:val="nil"/>
              <w:right w:val="nil"/>
            </w:tcBorders>
            <w:shd w:val="clear" w:color="000000" w:fill="F2F2F2"/>
            <w:noWrap/>
            <w:vAlign w:val="center"/>
            <w:hideMark/>
          </w:tcPr>
          <w:p w14:paraId="2521D18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685</w:t>
            </w:r>
          </w:p>
        </w:tc>
        <w:tc>
          <w:tcPr>
            <w:tcW w:w="1064" w:type="dxa"/>
            <w:tcBorders>
              <w:top w:val="nil"/>
              <w:left w:val="nil"/>
              <w:bottom w:val="nil"/>
              <w:right w:val="nil"/>
            </w:tcBorders>
            <w:shd w:val="clear" w:color="000000" w:fill="FFFFFF"/>
            <w:noWrap/>
            <w:vAlign w:val="center"/>
            <w:hideMark/>
          </w:tcPr>
          <w:p w14:paraId="1D6F28BE"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2,477</w:t>
            </w:r>
          </w:p>
        </w:tc>
      </w:tr>
      <w:tr w:rsidR="0079098C" w:rsidRPr="0079098C" w14:paraId="5F39202D" w14:textId="77777777" w:rsidTr="0061289B">
        <w:trPr>
          <w:trHeight w:val="235"/>
        </w:trPr>
        <w:tc>
          <w:tcPr>
            <w:tcW w:w="3810" w:type="dxa"/>
            <w:tcBorders>
              <w:top w:val="nil"/>
              <w:left w:val="nil"/>
              <w:bottom w:val="nil"/>
              <w:right w:val="nil"/>
            </w:tcBorders>
            <w:shd w:val="clear" w:color="000000" w:fill="FFFFFF"/>
            <w:noWrap/>
            <w:vAlign w:val="center"/>
            <w:hideMark/>
          </w:tcPr>
          <w:p w14:paraId="1CAD2A2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Transfer duty</w:t>
            </w:r>
          </w:p>
        </w:tc>
        <w:tc>
          <w:tcPr>
            <w:tcW w:w="1013" w:type="dxa"/>
            <w:tcBorders>
              <w:top w:val="nil"/>
              <w:left w:val="nil"/>
              <w:bottom w:val="nil"/>
              <w:right w:val="nil"/>
            </w:tcBorders>
            <w:shd w:val="clear" w:color="000000" w:fill="F2F2F2"/>
            <w:noWrap/>
            <w:vAlign w:val="center"/>
            <w:hideMark/>
          </w:tcPr>
          <w:p w14:paraId="3A37E96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572</w:t>
            </w:r>
          </w:p>
        </w:tc>
        <w:tc>
          <w:tcPr>
            <w:tcW w:w="1009" w:type="dxa"/>
            <w:tcBorders>
              <w:top w:val="nil"/>
              <w:left w:val="nil"/>
              <w:bottom w:val="nil"/>
              <w:right w:val="nil"/>
            </w:tcBorders>
            <w:shd w:val="clear" w:color="000000" w:fill="F2F2F2"/>
            <w:noWrap/>
            <w:vAlign w:val="center"/>
            <w:hideMark/>
          </w:tcPr>
          <w:p w14:paraId="0E01BAD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4,485</w:t>
            </w:r>
          </w:p>
        </w:tc>
        <w:tc>
          <w:tcPr>
            <w:tcW w:w="979" w:type="dxa"/>
            <w:tcBorders>
              <w:top w:val="nil"/>
              <w:left w:val="nil"/>
              <w:bottom w:val="nil"/>
              <w:right w:val="nil"/>
            </w:tcBorders>
            <w:shd w:val="clear" w:color="000000" w:fill="F2F2F2"/>
            <w:noWrap/>
            <w:vAlign w:val="center"/>
            <w:hideMark/>
          </w:tcPr>
          <w:p w14:paraId="736A445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2,008</w:t>
            </w:r>
          </w:p>
        </w:tc>
        <w:tc>
          <w:tcPr>
            <w:tcW w:w="1008" w:type="dxa"/>
            <w:tcBorders>
              <w:top w:val="nil"/>
              <w:left w:val="nil"/>
              <w:bottom w:val="nil"/>
              <w:right w:val="nil"/>
            </w:tcBorders>
            <w:shd w:val="clear" w:color="000000" w:fill="F2F2F2"/>
            <w:noWrap/>
            <w:vAlign w:val="center"/>
            <w:hideMark/>
          </w:tcPr>
          <w:p w14:paraId="4ECD97B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874</w:t>
            </w:r>
          </w:p>
        </w:tc>
        <w:tc>
          <w:tcPr>
            <w:tcW w:w="973" w:type="dxa"/>
            <w:tcBorders>
              <w:top w:val="nil"/>
              <w:left w:val="nil"/>
              <w:bottom w:val="nil"/>
              <w:right w:val="nil"/>
            </w:tcBorders>
            <w:shd w:val="clear" w:color="000000" w:fill="F2F2F2"/>
            <w:noWrap/>
            <w:vAlign w:val="center"/>
            <w:hideMark/>
          </w:tcPr>
          <w:p w14:paraId="404187D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1,459</w:t>
            </w:r>
          </w:p>
        </w:tc>
        <w:tc>
          <w:tcPr>
            <w:tcW w:w="1064" w:type="dxa"/>
            <w:tcBorders>
              <w:top w:val="nil"/>
              <w:left w:val="nil"/>
              <w:bottom w:val="nil"/>
              <w:right w:val="nil"/>
            </w:tcBorders>
            <w:shd w:val="clear" w:color="000000" w:fill="FFFFFF"/>
            <w:noWrap/>
            <w:vAlign w:val="center"/>
            <w:hideMark/>
          </w:tcPr>
          <w:p w14:paraId="2D06215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8,826</w:t>
            </w:r>
          </w:p>
        </w:tc>
      </w:tr>
      <w:tr w:rsidR="0079098C" w:rsidRPr="0079098C" w14:paraId="494BBEE4" w14:textId="77777777" w:rsidTr="0061289B">
        <w:trPr>
          <w:trHeight w:val="235"/>
        </w:trPr>
        <w:tc>
          <w:tcPr>
            <w:tcW w:w="3810" w:type="dxa"/>
            <w:tcBorders>
              <w:top w:val="nil"/>
              <w:left w:val="nil"/>
              <w:bottom w:val="nil"/>
              <w:right w:val="nil"/>
            </w:tcBorders>
            <w:shd w:val="clear" w:color="000000" w:fill="FFFFFF"/>
            <w:noWrap/>
            <w:vAlign w:val="center"/>
            <w:hideMark/>
          </w:tcPr>
          <w:p w14:paraId="2D9452F0"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Land tax</w:t>
            </w:r>
          </w:p>
        </w:tc>
        <w:tc>
          <w:tcPr>
            <w:tcW w:w="1013" w:type="dxa"/>
            <w:tcBorders>
              <w:top w:val="nil"/>
              <w:left w:val="nil"/>
              <w:bottom w:val="nil"/>
              <w:right w:val="nil"/>
            </w:tcBorders>
            <w:shd w:val="clear" w:color="000000" w:fill="F2F2F2"/>
            <w:noWrap/>
            <w:vAlign w:val="center"/>
            <w:hideMark/>
          </w:tcPr>
          <w:p w14:paraId="2E3E8CF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(39)</w:t>
            </w:r>
          </w:p>
        </w:tc>
        <w:tc>
          <w:tcPr>
            <w:tcW w:w="1009" w:type="dxa"/>
            <w:tcBorders>
              <w:top w:val="nil"/>
              <w:left w:val="nil"/>
              <w:bottom w:val="nil"/>
              <w:right w:val="nil"/>
            </w:tcBorders>
            <w:shd w:val="clear" w:color="000000" w:fill="F2F2F2"/>
            <w:noWrap/>
            <w:vAlign w:val="center"/>
            <w:hideMark/>
          </w:tcPr>
          <w:p w14:paraId="30B1C58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329</w:t>
            </w:r>
          </w:p>
        </w:tc>
        <w:tc>
          <w:tcPr>
            <w:tcW w:w="979" w:type="dxa"/>
            <w:tcBorders>
              <w:top w:val="nil"/>
              <w:left w:val="nil"/>
              <w:bottom w:val="nil"/>
              <w:right w:val="nil"/>
            </w:tcBorders>
            <w:shd w:val="clear" w:color="000000" w:fill="F2F2F2"/>
            <w:noWrap/>
            <w:vAlign w:val="center"/>
            <w:hideMark/>
          </w:tcPr>
          <w:p w14:paraId="2EF3ACE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883</w:t>
            </w:r>
          </w:p>
        </w:tc>
        <w:tc>
          <w:tcPr>
            <w:tcW w:w="1008" w:type="dxa"/>
            <w:tcBorders>
              <w:top w:val="nil"/>
              <w:left w:val="nil"/>
              <w:bottom w:val="nil"/>
              <w:right w:val="nil"/>
            </w:tcBorders>
            <w:shd w:val="clear" w:color="000000" w:fill="F2F2F2"/>
            <w:noWrap/>
            <w:vAlign w:val="center"/>
            <w:hideMark/>
          </w:tcPr>
          <w:p w14:paraId="553DD49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1,573</w:t>
            </w:r>
          </w:p>
        </w:tc>
        <w:tc>
          <w:tcPr>
            <w:tcW w:w="973" w:type="dxa"/>
            <w:tcBorders>
              <w:top w:val="nil"/>
              <w:left w:val="nil"/>
              <w:bottom w:val="nil"/>
              <w:right w:val="nil"/>
            </w:tcBorders>
            <w:shd w:val="clear" w:color="000000" w:fill="F2F2F2"/>
            <w:noWrap/>
            <w:vAlign w:val="center"/>
            <w:hideMark/>
          </w:tcPr>
          <w:p w14:paraId="4012870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1,765</w:t>
            </w:r>
          </w:p>
        </w:tc>
        <w:tc>
          <w:tcPr>
            <w:tcW w:w="1064" w:type="dxa"/>
            <w:tcBorders>
              <w:top w:val="nil"/>
              <w:left w:val="nil"/>
              <w:bottom w:val="nil"/>
              <w:right w:val="nil"/>
            </w:tcBorders>
            <w:shd w:val="clear" w:color="000000" w:fill="FFFFFF"/>
            <w:noWrap/>
            <w:vAlign w:val="center"/>
            <w:hideMark/>
          </w:tcPr>
          <w:p w14:paraId="21D37C1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4,549</w:t>
            </w:r>
          </w:p>
        </w:tc>
      </w:tr>
      <w:tr w:rsidR="0079098C" w:rsidRPr="0079098C" w14:paraId="3ACC186B" w14:textId="77777777" w:rsidTr="0061289B">
        <w:trPr>
          <w:trHeight w:val="235"/>
        </w:trPr>
        <w:tc>
          <w:tcPr>
            <w:tcW w:w="3810" w:type="dxa"/>
            <w:tcBorders>
              <w:top w:val="nil"/>
              <w:left w:val="nil"/>
              <w:bottom w:val="nil"/>
              <w:right w:val="nil"/>
            </w:tcBorders>
            <w:shd w:val="clear" w:color="000000" w:fill="FFFFFF"/>
            <w:noWrap/>
            <w:vAlign w:val="center"/>
            <w:hideMark/>
          </w:tcPr>
          <w:p w14:paraId="79E7106F"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Motor vehicle stamp duty</w:t>
            </w:r>
          </w:p>
        </w:tc>
        <w:tc>
          <w:tcPr>
            <w:tcW w:w="1013" w:type="dxa"/>
            <w:tcBorders>
              <w:top w:val="nil"/>
              <w:left w:val="nil"/>
              <w:bottom w:val="nil"/>
              <w:right w:val="nil"/>
            </w:tcBorders>
            <w:shd w:val="clear" w:color="000000" w:fill="F2F2F2"/>
            <w:noWrap/>
            <w:vAlign w:val="center"/>
            <w:hideMark/>
          </w:tcPr>
          <w:p w14:paraId="306E69D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61</w:t>
            </w:r>
          </w:p>
        </w:tc>
        <w:tc>
          <w:tcPr>
            <w:tcW w:w="1009" w:type="dxa"/>
            <w:tcBorders>
              <w:top w:val="nil"/>
              <w:left w:val="nil"/>
              <w:bottom w:val="nil"/>
              <w:right w:val="nil"/>
            </w:tcBorders>
            <w:shd w:val="clear" w:color="000000" w:fill="F2F2F2"/>
            <w:noWrap/>
            <w:vAlign w:val="center"/>
            <w:hideMark/>
          </w:tcPr>
          <w:p w14:paraId="16DF05C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109</w:t>
            </w:r>
          </w:p>
        </w:tc>
        <w:tc>
          <w:tcPr>
            <w:tcW w:w="979" w:type="dxa"/>
            <w:tcBorders>
              <w:top w:val="nil"/>
              <w:left w:val="nil"/>
              <w:bottom w:val="nil"/>
              <w:right w:val="nil"/>
            </w:tcBorders>
            <w:shd w:val="clear" w:color="000000" w:fill="F2F2F2"/>
            <w:noWrap/>
            <w:vAlign w:val="center"/>
            <w:hideMark/>
          </w:tcPr>
          <w:p w14:paraId="04EE086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82</w:t>
            </w:r>
          </w:p>
        </w:tc>
        <w:tc>
          <w:tcPr>
            <w:tcW w:w="1008" w:type="dxa"/>
            <w:tcBorders>
              <w:top w:val="nil"/>
              <w:left w:val="nil"/>
              <w:bottom w:val="nil"/>
              <w:right w:val="nil"/>
            </w:tcBorders>
            <w:shd w:val="clear" w:color="000000" w:fill="F2F2F2"/>
            <w:noWrap/>
            <w:vAlign w:val="center"/>
            <w:hideMark/>
          </w:tcPr>
          <w:p w14:paraId="3AC6029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65</w:t>
            </w:r>
          </w:p>
        </w:tc>
        <w:tc>
          <w:tcPr>
            <w:tcW w:w="973" w:type="dxa"/>
            <w:tcBorders>
              <w:top w:val="nil"/>
              <w:left w:val="nil"/>
              <w:bottom w:val="nil"/>
              <w:right w:val="nil"/>
            </w:tcBorders>
            <w:shd w:val="clear" w:color="000000" w:fill="F2F2F2"/>
            <w:noWrap/>
            <w:vAlign w:val="center"/>
            <w:hideMark/>
          </w:tcPr>
          <w:p w14:paraId="595ED95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67</w:t>
            </w:r>
          </w:p>
        </w:tc>
        <w:tc>
          <w:tcPr>
            <w:tcW w:w="1064" w:type="dxa"/>
            <w:tcBorders>
              <w:top w:val="nil"/>
              <w:left w:val="nil"/>
              <w:bottom w:val="nil"/>
              <w:right w:val="nil"/>
            </w:tcBorders>
            <w:shd w:val="clear" w:color="000000" w:fill="FFFFFF"/>
            <w:noWrap/>
            <w:vAlign w:val="center"/>
            <w:hideMark/>
          </w:tcPr>
          <w:p w14:paraId="26C3A63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324</w:t>
            </w:r>
          </w:p>
        </w:tc>
      </w:tr>
      <w:tr w:rsidR="0079098C" w:rsidRPr="0079098C" w14:paraId="46D4637D" w14:textId="77777777" w:rsidTr="0061289B">
        <w:trPr>
          <w:trHeight w:val="235"/>
        </w:trPr>
        <w:tc>
          <w:tcPr>
            <w:tcW w:w="3810" w:type="dxa"/>
            <w:tcBorders>
              <w:top w:val="nil"/>
              <w:left w:val="nil"/>
              <w:bottom w:val="nil"/>
              <w:right w:val="nil"/>
            </w:tcBorders>
            <w:shd w:val="clear" w:color="000000" w:fill="FFFFFF"/>
            <w:noWrap/>
            <w:vAlign w:val="center"/>
            <w:hideMark/>
          </w:tcPr>
          <w:p w14:paraId="42D1A08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Motor vehicle weight tax</w:t>
            </w:r>
          </w:p>
        </w:tc>
        <w:tc>
          <w:tcPr>
            <w:tcW w:w="1013" w:type="dxa"/>
            <w:tcBorders>
              <w:top w:val="nil"/>
              <w:left w:val="nil"/>
              <w:bottom w:val="nil"/>
              <w:right w:val="nil"/>
            </w:tcBorders>
            <w:shd w:val="clear" w:color="000000" w:fill="F2F2F2"/>
            <w:noWrap/>
            <w:vAlign w:val="center"/>
            <w:hideMark/>
          </w:tcPr>
          <w:p w14:paraId="7F093FB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80</w:t>
            </w:r>
          </w:p>
        </w:tc>
        <w:tc>
          <w:tcPr>
            <w:tcW w:w="1009" w:type="dxa"/>
            <w:tcBorders>
              <w:top w:val="nil"/>
              <w:left w:val="nil"/>
              <w:bottom w:val="nil"/>
              <w:right w:val="nil"/>
            </w:tcBorders>
            <w:shd w:val="clear" w:color="000000" w:fill="F2F2F2"/>
            <w:noWrap/>
            <w:vAlign w:val="center"/>
            <w:hideMark/>
          </w:tcPr>
          <w:p w14:paraId="20DDA73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53</w:t>
            </w:r>
          </w:p>
        </w:tc>
        <w:tc>
          <w:tcPr>
            <w:tcW w:w="979" w:type="dxa"/>
            <w:tcBorders>
              <w:top w:val="nil"/>
              <w:left w:val="nil"/>
              <w:bottom w:val="nil"/>
              <w:right w:val="nil"/>
            </w:tcBorders>
            <w:shd w:val="clear" w:color="000000" w:fill="F2F2F2"/>
            <w:noWrap/>
            <w:vAlign w:val="center"/>
            <w:hideMark/>
          </w:tcPr>
          <w:p w14:paraId="7265E10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83</w:t>
            </w:r>
          </w:p>
        </w:tc>
        <w:tc>
          <w:tcPr>
            <w:tcW w:w="1008" w:type="dxa"/>
            <w:tcBorders>
              <w:top w:val="nil"/>
              <w:left w:val="nil"/>
              <w:bottom w:val="nil"/>
              <w:right w:val="nil"/>
            </w:tcBorders>
            <w:shd w:val="clear" w:color="000000" w:fill="F2F2F2"/>
            <w:noWrap/>
            <w:vAlign w:val="center"/>
            <w:hideMark/>
          </w:tcPr>
          <w:p w14:paraId="497755F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118</w:t>
            </w:r>
          </w:p>
        </w:tc>
        <w:tc>
          <w:tcPr>
            <w:tcW w:w="973" w:type="dxa"/>
            <w:tcBorders>
              <w:top w:val="nil"/>
              <w:left w:val="nil"/>
              <w:bottom w:val="nil"/>
              <w:right w:val="nil"/>
            </w:tcBorders>
            <w:shd w:val="clear" w:color="000000" w:fill="F2F2F2"/>
            <w:noWrap/>
            <w:vAlign w:val="center"/>
            <w:hideMark/>
          </w:tcPr>
          <w:p w14:paraId="0228A43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143</w:t>
            </w:r>
          </w:p>
        </w:tc>
        <w:tc>
          <w:tcPr>
            <w:tcW w:w="1064" w:type="dxa"/>
            <w:tcBorders>
              <w:top w:val="nil"/>
              <w:left w:val="nil"/>
              <w:bottom w:val="nil"/>
              <w:right w:val="nil"/>
            </w:tcBorders>
            <w:shd w:val="clear" w:color="000000" w:fill="FFFFFF"/>
            <w:noWrap/>
            <w:vAlign w:val="center"/>
            <w:hideMark/>
          </w:tcPr>
          <w:p w14:paraId="6C31A00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396</w:t>
            </w:r>
          </w:p>
        </w:tc>
      </w:tr>
      <w:tr w:rsidR="0079098C" w:rsidRPr="0079098C" w14:paraId="7670AAA2" w14:textId="77777777" w:rsidTr="0061289B">
        <w:trPr>
          <w:trHeight w:val="235"/>
        </w:trPr>
        <w:tc>
          <w:tcPr>
            <w:tcW w:w="3810" w:type="dxa"/>
            <w:tcBorders>
              <w:top w:val="nil"/>
              <w:left w:val="nil"/>
              <w:bottom w:val="nil"/>
              <w:right w:val="nil"/>
            </w:tcBorders>
            <w:shd w:val="clear" w:color="000000" w:fill="FFFFFF"/>
            <w:noWrap/>
            <w:vAlign w:val="center"/>
            <w:hideMark/>
          </w:tcPr>
          <w:p w14:paraId="5CF99F6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Casino</w:t>
            </w:r>
          </w:p>
        </w:tc>
        <w:tc>
          <w:tcPr>
            <w:tcW w:w="1013" w:type="dxa"/>
            <w:tcBorders>
              <w:top w:val="nil"/>
              <w:left w:val="nil"/>
              <w:bottom w:val="nil"/>
              <w:right w:val="nil"/>
            </w:tcBorders>
            <w:shd w:val="clear" w:color="000000" w:fill="F2F2F2"/>
            <w:noWrap/>
            <w:vAlign w:val="center"/>
            <w:hideMark/>
          </w:tcPr>
          <w:p w14:paraId="6F6623D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w:t>
            </w:r>
          </w:p>
        </w:tc>
        <w:tc>
          <w:tcPr>
            <w:tcW w:w="1009" w:type="dxa"/>
            <w:tcBorders>
              <w:top w:val="nil"/>
              <w:left w:val="nil"/>
              <w:bottom w:val="nil"/>
              <w:right w:val="nil"/>
            </w:tcBorders>
            <w:shd w:val="clear" w:color="000000" w:fill="F2F2F2"/>
            <w:noWrap/>
            <w:vAlign w:val="center"/>
            <w:hideMark/>
          </w:tcPr>
          <w:p w14:paraId="3C78CF2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(42)</w:t>
            </w:r>
          </w:p>
        </w:tc>
        <w:tc>
          <w:tcPr>
            <w:tcW w:w="979" w:type="dxa"/>
            <w:tcBorders>
              <w:top w:val="nil"/>
              <w:left w:val="nil"/>
              <w:bottom w:val="nil"/>
              <w:right w:val="nil"/>
            </w:tcBorders>
            <w:shd w:val="clear" w:color="000000" w:fill="F2F2F2"/>
            <w:noWrap/>
            <w:vAlign w:val="center"/>
            <w:hideMark/>
          </w:tcPr>
          <w:p w14:paraId="01AF2CD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w:t>
            </w:r>
          </w:p>
        </w:tc>
        <w:tc>
          <w:tcPr>
            <w:tcW w:w="1008" w:type="dxa"/>
            <w:tcBorders>
              <w:top w:val="nil"/>
              <w:left w:val="nil"/>
              <w:bottom w:val="nil"/>
              <w:right w:val="nil"/>
            </w:tcBorders>
            <w:shd w:val="clear" w:color="000000" w:fill="F2F2F2"/>
            <w:noWrap/>
            <w:vAlign w:val="center"/>
            <w:hideMark/>
          </w:tcPr>
          <w:p w14:paraId="3857CD4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w:t>
            </w:r>
          </w:p>
        </w:tc>
        <w:tc>
          <w:tcPr>
            <w:tcW w:w="973" w:type="dxa"/>
            <w:tcBorders>
              <w:top w:val="nil"/>
              <w:left w:val="nil"/>
              <w:bottom w:val="nil"/>
              <w:right w:val="nil"/>
            </w:tcBorders>
            <w:shd w:val="clear" w:color="000000" w:fill="F2F2F2"/>
            <w:noWrap/>
            <w:vAlign w:val="center"/>
            <w:hideMark/>
          </w:tcPr>
          <w:p w14:paraId="1B6B1E3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(38)</w:t>
            </w:r>
          </w:p>
        </w:tc>
        <w:tc>
          <w:tcPr>
            <w:tcW w:w="1064" w:type="dxa"/>
            <w:tcBorders>
              <w:top w:val="nil"/>
              <w:left w:val="nil"/>
              <w:bottom w:val="nil"/>
              <w:right w:val="nil"/>
            </w:tcBorders>
            <w:shd w:val="clear" w:color="000000" w:fill="FFFFFF"/>
            <w:noWrap/>
            <w:vAlign w:val="center"/>
            <w:hideMark/>
          </w:tcPr>
          <w:p w14:paraId="7772493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(162)</w:t>
            </w:r>
          </w:p>
        </w:tc>
      </w:tr>
      <w:tr w:rsidR="0079098C" w:rsidRPr="0079098C" w14:paraId="2FFCB1A8" w14:textId="77777777" w:rsidTr="0061289B">
        <w:trPr>
          <w:trHeight w:val="235"/>
        </w:trPr>
        <w:tc>
          <w:tcPr>
            <w:tcW w:w="3810" w:type="dxa"/>
            <w:tcBorders>
              <w:top w:val="nil"/>
              <w:left w:val="nil"/>
              <w:bottom w:val="nil"/>
              <w:right w:val="nil"/>
            </w:tcBorders>
            <w:shd w:val="clear" w:color="000000" w:fill="FFFFFF"/>
            <w:noWrap/>
            <w:vAlign w:val="center"/>
            <w:hideMark/>
          </w:tcPr>
          <w:p w14:paraId="5B4F0442"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Property Tax</w:t>
            </w:r>
          </w:p>
        </w:tc>
        <w:tc>
          <w:tcPr>
            <w:tcW w:w="1013" w:type="dxa"/>
            <w:tcBorders>
              <w:top w:val="nil"/>
              <w:left w:val="nil"/>
              <w:bottom w:val="nil"/>
              <w:right w:val="nil"/>
            </w:tcBorders>
            <w:shd w:val="clear" w:color="000000" w:fill="F2F2F2"/>
            <w:noWrap/>
            <w:vAlign w:val="center"/>
            <w:hideMark/>
          </w:tcPr>
          <w:p w14:paraId="0163381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w:t>
            </w:r>
          </w:p>
        </w:tc>
        <w:tc>
          <w:tcPr>
            <w:tcW w:w="1009" w:type="dxa"/>
            <w:tcBorders>
              <w:top w:val="nil"/>
              <w:left w:val="nil"/>
              <w:bottom w:val="nil"/>
              <w:right w:val="nil"/>
            </w:tcBorders>
            <w:shd w:val="clear" w:color="000000" w:fill="F2F2F2"/>
            <w:noWrap/>
            <w:vAlign w:val="center"/>
            <w:hideMark/>
          </w:tcPr>
          <w:p w14:paraId="566C65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w:t>
            </w:r>
          </w:p>
        </w:tc>
        <w:tc>
          <w:tcPr>
            <w:tcW w:w="979" w:type="dxa"/>
            <w:tcBorders>
              <w:top w:val="nil"/>
              <w:left w:val="nil"/>
              <w:bottom w:val="nil"/>
              <w:right w:val="nil"/>
            </w:tcBorders>
            <w:shd w:val="clear" w:color="000000" w:fill="F2F2F2"/>
            <w:noWrap/>
            <w:vAlign w:val="center"/>
            <w:hideMark/>
          </w:tcPr>
          <w:p w14:paraId="1787B5C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w:t>
            </w:r>
          </w:p>
        </w:tc>
        <w:tc>
          <w:tcPr>
            <w:tcW w:w="1008" w:type="dxa"/>
            <w:tcBorders>
              <w:top w:val="nil"/>
              <w:left w:val="nil"/>
              <w:bottom w:val="nil"/>
              <w:right w:val="nil"/>
            </w:tcBorders>
            <w:shd w:val="clear" w:color="000000" w:fill="F2F2F2"/>
            <w:noWrap/>
            <w:vAlign w:val="center"/>
            <w:hideMark/>
          </w:tcPr>
          <w:p w14:paraId="4C55D92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w:t>
            </w:r>
          </w:p>
        </w:tc>
        <w:tc>
          <w:tcPr>
            <w:tcW w:w="973" w:type="dxa"/>
            <w:tcBorders>
              <w:top w:val="nil"/>
              <w:left w:val="nil"/>
              <w:bottom w:val="nil"/>
              <w:right w:val="nil"/>
            </w:tcBorders>
            <w:shd w:val="clear" w:color="000000" w:fill="F2F2F2"/>
            <w:noWrap/>
            <w:vAlign w:val="center"/>
            <w:hideMark/>
          </w:tcPr>
          <w:p w14:paraId="1479888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w:t>
            </w:r>
          </w:p>
        </w:tc>
        <w:tc>
          <w:tcPr>
            <w:tcW w:w="1064" w:type="dxa"/>
            <w:tcBorders>
              <w:top w:val="nil"/>
              <w:left w:val="nil"/>
              <w:bottom w:val="nil"/>
              <w:right w:val="nil"/>
            </w:tcBorders>
            <w:shd w:val="clear" w:color="000000" w:fill="FFFFFF"/>
            <w:noWrap/>
            <w:vAlign w:val="center"/>
            <w:hideMark/>
          </w:tcPr>
          <w:p w14:paraId="1577CCE9"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33</w:t>
            </w:r>
          </w:p>
        </w:tc>
      </w:tr>
      <w:tr w:rsidR="0079098C" w:rsidRPr="0079098C" w14:paraId="0DCB8AC5" w14:textId="77777777" w:rsidTr="0061289B">
        <w:trPr>
          <w:trHeight w:val="235"/>
        </w:trPr>
        <w:tc>
          <w:tcPr>
            <w:tcW w:w="3810" w:type="dxa"/>
            <w:tcBorders>
              <w:top w:val="nil"/>
              <w:left w:val="nil"/>
              <w:bottom w:val="nil"/>
              <w:right w:val="nil"/>
            </w:tcBorders>
            <w:shd w:val="clear" w:color="000000" w:fill="FFFFFF"/>
            <w:noWrap/>
            <w:vAlign w:val="center"/>
            <w:hideMark/>
          </w:tcPr>
          <w:p w14:paraId="0C38378D"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Other taxes</w:t>
            </w:r>
          </w:p>
        </w:tc>
        <w:tc>
          <w:tcPr>
            <w:tcW w:w="1013" w:type="dxa"/>
            <w:tcBorders>
              <w:top w:val="nil"/>
              <w:left w:val="nil"/>
              <w:bottom w:val="nil"/>
              <w:right w:val="nil"/>
            </w:tcBorders>
            <w:shd w:val="clear" w:color="000000" w:fill="F2F2F2"/>
            <w:noWrap/>
            <w:vAlign w:val="center"/>
            <w:hideMark/>
          </w:tcPr>
          <w:p w14:paraId="63B7D49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0</w:t>
            </w:r>
          </w:p>
        </w:tc>
        <w:tc>
          <w:tcPr>
            <w:tcW w:w="1009" w:type="dxa"/>
            <w:tcBorders>
              <w:top w:val="nil"/>
              <w:left w:val="nil"/>
              <w:bottom w:val="nil"/>
              <w:right w:val="nil"/>
            </w:tcBorders>
            <w:shd w:val="clear" w:color="000000" w:fill="F2F2F2"/>
            <w:noWrap/>
            <w:vAlign w:val="center"/>
            <w:hideMark/>
          </w:tcPr>
          <w:p w14:paraId="1E62AF4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(210)</w:t>
            </w:r>
          </w:p>
        </w:tc>
        <w:tc>
          <w:tcPr>
            <w:tcW w:w="979" w:type="dxa"/>
            <w:tcBorders>
              <w:top w:val="nil"/>
              <w:left w:val="nil"/>
              <w:bottom w:val="nil"/>
              <w:right w:val="nil"/>
            </w:tcBorders>
            <w:shd w:val="clear" w:color="000000" w:fill="F2F2F2"/>
            <w:noWrap/>
            <w:vAlign w:val="center"/>
            <w:hideMark/>
          </w:tcPr>
          <w:p w14:paraId="4AEBAA4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(24)</w:t>
            </w:r>
          </w:p>
        </w:tc>
        <w:tc>
          <w:tcPr>
            <w:tcW w:w="1008" w:type="dxa"/>
            <w:tcBorders>
              <w:top w:val="nil"/>
              <w:left w:val="nil"/>
              <w:bottom w:val="nil"/>
              <w:right w:val="nil"/>
            </w:tcBorders>
            <w:shd w:val="clear" w:color="000000" w:fill="F2F2F2"/>
            <w:noWrap/>
            <w:vAlign w:val="center"/>
            <w:hideMark/>
          </w:tcPr>
          <w:p w14:paraId="4DF17F4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(69)</w:t>
            </w:r>
          </w:p>
        </w:tc>
        <w:tc>
          <w:tcPr>
            <w:tcW w:w="973" w:type="dxa"/>
            <w:tcBorders>
              <w:top w:val="nil"/>
              <w:left w:val="nil"/>
              <w:bottom w:val="nil"/>
              <w:right w:val="nil"/>
            </w:tcBorders>
            <w:shd w:val="clear" w:color="000000" w:fill="F2F2F2"/>
            <w:noWrap/>
            <w:vAlign w:val="center"/>
            <w:hideMark/>
          </w:tcPr>
          <w:p w14:paraId="44AC93D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(63)</w:t>
            </w:r>
          </w:p>
        </w:tc>
        <w:tc>
          <w:tcPr>
            <w:tcW w:w="1064" w:type="dxa"/>
            <w:tcBorders>
              <w:top w:val="nil"/>
              <w:left w:val="nil"/>
              <w:bottom w:val="nil"/>
              <w:right w:val="nil"/>
            </w:tcBorders>
            <w:shd w:val="clear" w:color="000000" w:fill="FFFFFF"/>
            <w:noWrap/>
            <w:vAlign w:val="center"/>
            <w:hideMark/>
          </w:tcPr>
          <w:p w14:paraId="2BAFAEA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(366)</w:t>
            </w:r>
          </w:p>
        </w:tc>
      </w:tr>
      <w:tr w:rsidR="0079098C" w:rsidRPr="0079098C" w14:paraId="5114E91F" w14:textId="77777777" w:rsidTr="0061289B">
        <w:trPr>
          <w:trHeight w:val="235"/>
        </w:trPr>
        <w:tc>
          <w:tcPr>
            <w:tcW w:w="3810" w:type="dxa"/>
            <w:tcBorders>
              <w:top w:val="nil"/>
              <w:left w:val="nil"/>
              <w:bottom w:val="nil"/>
              <w:right w:val="nil"/>
            </w:tcBorders>
            <w:shd w:val="clear" w:color="000000" w:fill="FFFFFF"/>
            <w:noWrap/>
            <w:vAlign w:val="center"/>
            <w:hideMark/>
          </w:tcPr>
          <w:p w14:paraId="54975C17"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4DB4C4D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2AF0F1F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787FFDA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6132D6D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7668FAF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34703E5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45D7BC7E" w14:textId="77777777" w:rsidTr="0061289B">
        <w:trPr>
          <w:trHeight w:val="235"/>
        </w:trPr>
        <w:tc>
          <w:tcPr>
            <w:tcW w:w="3810" w:type="dxa"/>
            <w:tcBorders>
              <w:top w:val="nil"/>
              <w:left w:val="nil"/>
              <w:bottom w:val="nil"/>
              <w:right w:val="nil"/>
            </w:tcBorders>
            <w:shd w:val="clear" w:color="000000" w:fill="FFFFFF"/>
            <w:noWrap/>
            <w:vAlign w:val="center"/>
            <w:hideMark/>
          </w:tcPr>
          <w:p w14:paraId="2A402FB7"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Grant revenue</w:t>
            </w:r>
          </w:p>
        </w:tc>
        <w:tc>
          <w:tcPr>
            <w:tcW w:w="1013" w:type="dxa"/>
            <w:tcBorders>
              <w:top w:val="nil"/>
              <w:left w:val="nil"/>
              <w:bottom w:val="nil"/>
              <w:right w:val="nil"/>
            </w:tcBorders>
            <w:shd w:val="clear" w:color="000000" w:fill="F2F2F2"/>
            <w:noWrap/>
            <w:vAlign w:val="center"/>
            <w:hideMark/>
          </w:tcPr>
          <w:p w14:paraId="7B73571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12E0345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3E44CF8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70DAA41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0ED6FB9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687E06C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3CDD3CE6" w14:textId="77777777" w:rsidTr="0061289B">
        <w:trPr>
          <w:trHeight w:val="235"/>
        </w:trPr>
        <w:tc>
          <w:tcPr>
            <w:tcW w:w="3810" w:type="dxa"/>
            <w:tcBorders>
              <w:top w:val="nil"/>
              <w:left w:val="nil"/>
              <w:bottom w:val="nil"/>
              <w:right w:val="nil"/>
            </w:tcBorders>
            <w:shd w:val="clear" w:color="000000" w:fill="FFFFFF"/>
            <w:noWrap/>
            <w:vAlign w:val="center"/>
            <w:hideMark/>
          </w:tcPr>
          <w:p w14:paraId="0066F556"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GST</w:t>
            </w:r>
          </w:p>
        </w:tc>
        <w:tc>
          <w:tcPr>
            <w:tcW w:w="1013" w:type="dxa"/>
            <w:tcBorders>
              <w:top w:val="nil"/>
              <w:left w:val="nil"/>
              <w:bottom w:val="nil"/>
              <w:right w:val="nil"/>
            </w:tcBorders>
            <w:shd w:val="clear" w:color="000000" w:fill="F2F2F2"/>
            <w:noWrap/>
            <w:vAlign w:val="center"/>
            <w:hideMark/>
          </w:tcPr>
          <w:p w14:paraId="08DE834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(183)</w:t>
            </w:r>
          </w:p>
        </w:tc>
        <w:tc>
          <w:tcPr>
            <w:tcW w:w="1009" w:type="dxa"/>
            <w:tcBorders>
              <w:top w:val="nil"/>
              <w:left w:val="nil"/>
              <w:bottom w:val="nil"/>
              <w:right w:val="nil"/>
            </w:tcBorders>
            <w:shd w:val="clear" w:color="000000" w:fill="F2F2F2"/>
            <w:noWrap/>
            <w:vAlign w:val="center"/>
            <w:hideMark/>
          </w:tcPr>
          <w:p w14:paraId="5B5E82D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(101)</w:t>
            </w:r>
          </w:p>
        </w:tc>
        <w:tc>
          <w:tcPr>
            <w:tcW w:w="979" w:type="dxa"/>
            <w:tcBorders>
              <w:top w:val="nil"/>
              <w:left w:val="nil"/>
              <w:bottom w:val="nil"/>
              <w:right w:val="nil"/>
            </w:tcBorders>
            <w:shd w:val="clear" w:color="000000" w:fill="F2F2F2"/>
            <w:noWrap/>
            <w:vAlign w:val="center"/>
            <w:hideMark/>
          </w:tcPr>
          <w:p w14:paraId="53CDA69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25</w:t>
            </w:r>
          </w:p>
        </w:tc>
        <w:tc>
          <w:tcPr>
            <w:tcW w:w="1008" w:type="dxa"/>
            <w:tcBorders>
              <w:top w:val="nil"/>
              <w:left w:val="nil"/>
              <w:bottom w:val="nil"/>
              <w:right w:val="nil"/>
            </w:tcBorders>
            <w:shd w:val="clear" w:color="000000" w:fill="F2F2F2"/>
            <w:noWrap/>
            <w:vAlign w:val="center"/>
            <w:hideMark/>
          </w:tcPr>
          <w:p w14:paraId="137BF60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(610)</w:t>
            </w:r>
          </w:p>
        </w:tc>
        <w:tc>
          <w:tcPr>
            <w:tcW w:w="973" w:type="dxa"/>
            <w:tcBorders>
              <w:top w:val="nil"/>
              <w:left w:val="nil"/>
              <w:bottom w:val="nil"/>
              <w:right w:val="nil"/>
            </w:tcBorders>
            <w:shd w:val="clear" w:color="000000" w:fill="F2F2F2"/>
            <w:noWrap/>
            <w:vAlign w:val="center"/>
            <w:hideMark/>
          </w:tcPr>
          <w:p w14:paraId="1599120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(1,223)</w:t>
            </w:r>
          </w:p>
        </w:tc>
        <w:tc>
          <w:tcPr>
            <w:tcW w:w="1064" w:type="dxa"/>
            <w:tcBorders>
              <w:top w:val="nil"/>
              <w:left w:val="nil"/>
              <w:bottom w:val="nil"/>
              <w:right w:val="nil"/>
            </w:tcBorders>
            <w:shd w:val="clear" w:color="000000" w:fill="FFFFFF"/>
            <w:noWrap/>
            <w:vAlign w:val="center"/>
            <w:hideMark/>
          </w:tcPr>
          <w:p w14:paraId="2C54661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(1,909)</w:t>
            </w:r>
          </w:p>
        </w:tc>
      </w:tr>
      <w:tr w:rsidR="0079098C" w:rsidRPr="0079098C" w14:paraId="2CD9B2EC" w14:textId="77777777" w:rsidTr="0061289B">
        <w:trPr>
          <w:trHeight w:val="235"/>
        </w:trPr>
        <w:tc>
          <w:tcPr>
            <w:tcW w:w="3810" w:type="dxa"/>
            <w:tcBorders>
              <w:top w:val="nil"/>
              <w:left w:val="nil"/>
              <w:bottom w:val="nil"/>
              <w:right w:val="nil"/>
            </w:tcBorders>
            <w:shd w:val="clear" w:color="000000" w:fill="FFFFFF"/>
            <w:noWrap/>
            <w:vAlign w:val="center"/>
            <w:hideMark/>
          </w:tcPr>
          <w:p w14:paraId="0E761468"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National Agreement payments</w:t>
            </w:r>
          </w:p>
        </w:tc>
        <w:tc>
          <w:tcPr>
            <w:tcW w:w="1013" w:type="dxa"/>
            <w:tcBorders>
              <w:top w:val="nil"/>
              <w:left w:val="nil"/>
              <w:bottom w:val="nil"/>
              <w:right w:val="nil"/>
            </w:tcBorders>
            <w:shd w:val="clear" w:color="000000" w:fill="F2F2F2"/>
            <w:noWrap/>
            <w:vAlign w:val="center"/>
            <w:hideMark/>
          </w:tcPr>
          <w:p w14:paraId="62F98CE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(88)</w:t>
            </w:r>
          </w:p>
        </w:tc>
        <w:tc>
          <w:tcPr>
            <w:tcW w:w="1009" w:type="dxa"/>
            <w:tcBorders>
              <w:top w:val="nil"/>
              <w:left w:val="nil"/>
              <w:bottom w:val="nil"/>
              <w:right w:val="nil"/>
            </w:tcBorders>
            <w:shd w:val="clear" w:color="000000" w:fill="F2F2F2"/>
            <w:noWrap/>
            <w:vAlign w:val="center"/>
            <w:hideMark/>
          </w:tcPr>
          <w:p w14:paraId="1A9E8F4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(58)</w:t>
            </w:r>
          </w:p>
        </w:tc>
        <w:tc>
          <w:tcPr>
            <w:tcW w:w="979" w:type="dxa"/>
            <w:tcBorders>
              <w:top w:val="nil"/>
              <w:left w:val="nil"/>
              <w:bottom w:val="nil"/>
              <w:right w:val="nil"/>
            </w:tcBorders>
            <w:shd w:val="clear" w:color="000000" w:fill="F2F2F2"/>
            <w:noWrap/>
            <w:vAlign w:val="center"/>
            <w:hideMark/>
          </w:tcPr>
          <w:p w14:paraId="4FEC1E3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(74)</w:t>
            </w:r>
          </w:p>
        </w:tc>
        <w:tc>
          <w:tcPr>
            <w:tcW w:w="1008" w:type="dxa"/>
            <w:tcBorders>
              <w:top w:val="nil"/>
              <w:left w:val="nil"/>
              <w:bottom w:val="nil"/>
              <w:right w:val="nil"/>
            </w:tcBorders>
            <w:shd w:val="clear" w:color="000000" w:fill="F2F2F2"/>
            <w:noWrap/>
            <w:vAlign w:val="center"/>
            <w:hideMark/>
          </w:tcPr>
          <w:p w14:paraId="3050FCE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(96)</w:t>
            </w:r>
          </w:p>
        </w:tc>
        <w:tc>
          <w:tcPr>
            <w:tcW w:w="973" w:type="dxa"/>
            <w:tcBorders>
              <w:top w:val="nil"/>
              <w:left w:val="nil"/>
              <w:bottom w:val="nil"/>
              <w:right w:val="nil"/>
            </w:tcBorders>
            <w:shd w:val="clear" w:color="000000" w:fill="F2F2F2"/>
            <w:noWrap/>
            <w:vAlign w:val="center"/>
            <w:hideMark/>
          </w:tcPr>
          <w:p w14:paraId="2E01FAB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53</w:t>
            </w:r>
          </w:p>
        </w:tc>
        <w:tc>
          <w:tcPr>
            <w:tcW w:w="1064" w:type="dxa"/>
            <w:tcBorders>
              <w:top w:val="nil"/>
              <w:left w:val="nil"/>
              <w:bottom w:val="nil"/>
              <w:right w:val="nil"/>
            </w:tcBorders>
            <w:shd w:val="clear" w:color="000000" w:fill="FFFFFF"/>
            <w:noWrap/>
            <w:vAlign w:val="center"/>
            <w:hideMark/>
          </w:tcPr>
          <w:p w14:paraId="1CFCE49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(175)</w:t>
            </w:r>
          </w:p>
        </w:tc>
      </w:tr>
      <w:tr w:rsidR="0079098C" w:rsidRPr="0079098C" w14:paraId="6535FC6C" w14:textId="77777777" w:rsidTr="0061289B">
        <w:trPr>
          <w:trHeight w:val="235"/>
        </w:trPr>
        <w:tc>
          <w:tcPr>
            <w:tcW w:w="3810" w:type="dxa"/>
            <w:tcBorders>
              <w:top w:val="nil"/>
              <w:left w:val="nil"/>
              <w:bottom w:val="nil"/>
              <w:right w:val="nil"/>
            </w:tcBorders>
            <w:shd w:val="clear" w:color="000000" w:fill="FFFFFF"/>
            <w:noWrap/>
            <w:vAlign w:val="center"/>
            <w:hideMark/>
          </w:tcPr>
          <w:p w14:paraId="36B1C135"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Federation Funding Agreement payments</w:t>
            </w:r>
          </w:p>
        </w:tc>
        <w:tc>
          <w:tcPr>
            <w:tcW w:w="1013" w:type="dxa"/>
            <w:tcBorders>
              <w:top w:val="nil"/>
              <w:left w:val="nil"/>
              <w:bottom w:val="nil"/>
              <w:right w:val="nil"/>
            </w:tcBorders>
            <w:shd w:val="clear" w:color="000000" w:fill="F2F2F2"/>
            <w:noWrap/>
            <w:vAlign w:val="center"/>
            <w:hideMark/>
          </w:tcPr>
          <w:p w14:paraId="5C4DCDF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1,652</w:t>
            </w:r>
          </w:p>
        </w:tc>
        <w:tc>
          <w:tcPr>
            <w:tcW w:w="1009" w:type="dxa"/>
            <w:tcBorders>
              <w:top w:val="nil"/>
              <w:left w:val="nil"/>
              <w:bottom w:val="nil"/>
              <w:right w:val="nil"/>
            </w:tcBorders>
            <w:shd w:val="clear" w:color="000000" w:fill="F2F2F2"/>
            <w:noWrap/>
            <w:vAlign w:val="center"/>
            <w:hideMark/>
          </w:tcPr>
          <w:p w14:paraId="2FE27F8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942</w:t>
            </w:r>
          </w:p>
        </w:tc>
        <w:tc>
          <w:tcPr>
            <w:tcW w:w="979" w:type="dxa"/>
            <w:tcBorders>
              <w:top w:val="nil"/>
              <w:left w:val="nil"/>
              <w:bottom w:val="nil"/>
              <w:right w:val="nil"/>
            </w:tcBorders>
            <w:shd w:val="clear" w:color="000000" w:fill="F2F2F2"/>
            <w:noWrap/>
            <w:vAlign w:val="center"/>
            <w:hideMark/>
          </w:tcPr>
          <w:p w14:paraId="1F4323E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279</w:t>
            </w:r>
          </w:p>
        </w:tc>
        <w:tc>
          <w:tcPr>
            <w:tcW w:w="1008" w:type="dxa"/>
            <w:tcBorders>
              <w:top w:val="nil"/>
              <w:left w:val="nil"/>
              <w:bottom w:val="nil"/>
              <w:right w:val="nil"/>
            </w:tcBorders>
            <w:shd w:val="clear" w:color="000000" w:fill="F2F2F2"/>
            <w:noWrap/>
            <w:vAlign w:val="center"/>
            <w:hideMark/>
          </w:tcPr>
          <w:p w14:paraId="6DC42D4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(303)</w:t>
            </w:r>
          </w:p>
        </w:tc>
        <w:tc>
          <w:tcPr>
            <w:tcW w:w="973" w:type="dxa"/>
            <w:tcBorders>
              <w:top w:val="nil"/>
              <w:left w:val="nil"/>
              <w:bottom w:val="nil"/>
              <w:right w:val="nil"/>
            </w:tcBorders>
            <w:shd w:val="clear" w:color="000000" w:fill="F2F2F2"/>
            <w:noWrap/>
            <w:vAlign w:val="center"/>
            <w:hideMark/>
          </w:tcPr>
          <w:p w14:paraId="1A0AD68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(416)</w:t>
            </w:r>
          </w:p>
        </w:tc>
        <w:tc>
          <w:tcPr>
            <w:tcW w:w="1064" w:type="dxa"/>
            <w:tcBorders>
              <w:top w:val="nil"/>
              <w:left w:val="nil"/>
              <w:bottom w:val="nil"/>
              <w:right w:val="nil"/>
            </w:tcBorders>
            <w:shd w:val="clear" w:color="000000" w:fill="FFFFFF"/>
            <w:noWrap/>
            <w:vAlign w:val="center"/>
            <w:hideMark/>
          </w:tcPr>
          <w:p w14:paraId="2CD43D0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502</w:t>
            </w:r>
          </w:p>
        </w:tc>
      </w:tr>
      <w:tr w:rsidR="0079098C" w:rsidRPr="0079098C" w14:paraId="55480648" w14:textId="77777777" w:rsidTr="0061289B">
        <w:trPr>
          <w:trHeight w:val="235"/>
        </w:trPr>
        <w:tc>
          <w:tcPr>
            <w:tcW w:w="3810" w:type="dxa"/>
            <w:tcBorders>
              <w:top w:val="nil"/>
              <w:left w:val="nil"/>
              <w:bottom w:val="nil"/>
              <w:right w:val="nil"/>
            </w:tcBorders>
            <w:shd w:val="clear" w:color="000000" w:fill="FFFFFF"/>
            <w:noWrap/>
            <w:vAlign w:val="center"/>
            <w:hideMark/>
          </w:tcPr>
          <w:p w14:paraId="6321B4F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Other grant revenue</w:t>
            </w:r>
          </w:p>
        </w:tc>
        <w:tc>
          <w:tcPr>
            <w:tcW w:w="1013" w:type="dxa"/>
            <w:tcBorders>
              <w:top w:val="nil"/>
              <w:left w:val="nil"/>
              <w:bottom w:val="nil"/>
              <w:right w:val="nil"/>
            </w:tcBorders>
            <w:shd w:val="clear" w:color="000000" w:fill="F2F2F2"/>
            <w:noWrap/>
            <w:vAlign w:val="center"/>
            <w:hideMark/>
          </w:tcPr>
          <w:p w14:paraId="1F29547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(130)</w:t>
            </w:r>
          </w:p>
        </w:tc>
        <w:tc>
          <w:tcPr>
            <w:tcW w:w="1009" w:type="dxa"/>
            <w:tcBorders>
              <w:top w:val="nil"/>
              <w:left w:val="nil"/>
              <w:bottom w:val="nil"/>
              <w:right w:val="nil"/>
            </w:tcBorders>
            <w:shd w:val="clear" w:color="000000" w:fill="F2F2F2"/>
            <w:noWrap/>
            <w:vAlign w:val="center"/>
            <w:hideMark/>
          </w:tcPr>
          <w:p w14:paraId="0F9AD53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(693)</w:t>
            </w:r>
          </w:p>
        </w:tc>
        <w:tc>
          <w:tcPr>
            <w:tcW w:w="979" w:type="dxa"/>
            <w:tcBorders>
              <w:top w:val="nil"/>
              <w:left w:val="nil"/>
              <w:bottom w:val="nil"/>
              <w:right w:val="nil"/>
            </w:tcBorders>
            <w:shd w:val="clear" w:color="000000" w:fill="F2F2F2"/>
            <w:noWrap/>
            <w:vAlign w:val="center"/>
            <w:hideMark/>
          </w:tcPr>
          <w:p w14:paraId="41F2735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w:t>
            </w:r>
          </w:p>
        </w:tc>
        <w:tc>
          <w:tcPr>
            <w:tcW w:w="1008" w:type="dxa"/>
            <w:tcBorders>
              <w:top w:val="nil"/>
              <w:left w:val="nil"/>
              <w:bottom w:val="nil"/>
              <w:right w:val="nil"/>
            </w:tcBorders>
            <w:shd w:val="clear" w:color="000000" w:fill="F2F2F2"/>
            <w:noWrap/>
            <w:vAlign w:val="center"/>
            <w:hideMark/>
          </w:tcPr>
          <w:p w14:paraId="0D400B6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68</w:t>
            </w:r>
          </w:p>
        </w:tc>
        <w:tc>
          <w:tcPr>
            <w:tcW w:w="973" w:type="dxa"/>
            <w:tcBorders>
              <w:top w:val="nil"/>
              <w:left w:val="nil"/>
              <w:bottom w:val="nil"/>
              <w:right w:val="nil"/>
            </w:tcBorders>
            <w:shd w:val="clear" w:color="000000" w:fill="F2F2F2"/>
            <w:noWrap/>
            <w:vAlign w:val="center"/>
            <w:hideMark/>
          </w:tcPr>
          <w:p w14:paraId="6D0241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174</w:t>
            </w:r>
          </w:p>
        </w:tc>
        <w:tc>
          <w:tcPr>
            <w:tcW w:w="1064" w:type="dxa"/>
            <w:tcBorders>
              <w:top w:val="nil"/>
              <w:left w:val="nil"/>
              <w:bottom w:val="nil"/>
              <w:right w:val="nil"/>
            </w:tcBorders>
            <w:shd w:val="clear" w:color="000000" w:fill="FFFFFF"/>
            <w:noWrap/>
            <w:vAlign w:val="center"/>
            <w:hideMark/>
          </w:tcPr>
          <w:p w14:paraId="0AA0C8E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(452)</w:t>
            </w:r>
          </w:p>
        </w:tc>
      </w:tr>
      <w:tr w:rsidR="0079098C" w:rsidRPr="0079098C" w14:paraId="1A00C621" w14:textId="77777777" w:rsidTr="0061289B">
        <w:trPr>
          <w:trHeight w:val="235"/>
        </w:trPr>
        <w:tc>
          <w:tcPr>
            <w:tcW w:w="3810" w:type="dxa"/>
            <w:tcBorders>
              <w:top w:val="nil"/>
              <w:left w:val="nil"/>
              <w:bottom w:val="nil"/>
              <w:right w:val="nil"/>
            </w:tcBorders>
            <w:shd w:val="clear" w:color="000000" w:fill="FFFFFF"/>
            <w:noWrap/>
            <w:vAlign w:val="center"/>
            <w:hideMark/>
          </w:tcPr>
          <w:p w14:paraId="4725D31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1121135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3CF0E57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009F40A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787EF76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39E68DA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5CD6081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332622DC" w14:textId="77777777" w:rsidTr="0061289B">
        <w:trPr>
          <w:trHeight w:val="235"/>
        </w:trPr>
        <w:tc>
          <w:tcPr>
            <w:tcW w:w="3810" w:type="dxa"/>
            <w:tcBorders>
              <w:top w:val="nil"/>
              <w:left w:val="nil"/>
              <w:bottom w:val="nil"/>
              <w:right w:val="nil"/>
            </w:tcBorders>
            <w:shd w:val="clear" w:color="000000" w:fill="FFFFFF"/>
            <w:noWrap/>
            <w:vAlign w:val="center"/>
            <w:hideMark/>
          </w:tcPr>
          <w:p w14:paraId="2ABD91D1"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Sale of goods and services</w:t>
            </w:r>
          </w:p>
        </w:tc>
        <w:tc>
          <w:tcPr>
            <w:tcW w:w="1013" w:type="dxa"/>
            <w:tcBorders>
              <w:top w:val="nil"/>
              <w:left w:val="nil"/>
              <w:bottom w:val="nil"/>
              <w:right w:val="nil"/>
            </w:tcBorders>
            <w:shd w:val="clear" w:color="000000" w:fill="F2F2F2"/>
            <w:noWrap/>
            <w:vAlign w:val="center"/>
            <w:hideMark/>
          </w:tcPr>
          <w:p w14:paraId="458FD0B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(867)</w:t>
            </w:r>
          </w:p>
        </w:tc>
        <w:tc>
          <w:tcPr>
            <w:tcW w:w="1009" w:type="dxa"/>
            <w:tcBorders>
              <w:top w:val="nil"/>
              <w:left w:val="nil"/>
              <w:bottom w:val="nil"/>
              <w:right w:val="nil"/>
            </w:tcBorders>
            <w:shd w:val="clear" w:color="000000" w:fill="F2F2F2"/>
            <w:noWrap/>
            <w:vAlign w:val="center"/>
            <w:hideMark/>
          </w:tcPr>
          <w:p w14:paraId="394816B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(213)</w:t>
            </w:r>
          </w:p>
        </w:tc>
        <w:tc>
          <w:tcPr>
            <w:tcW w:w="979" w:type="dxa"/>
            <w:tcBorders>
              <w:top w:val="nil"/>
              <w:left w:val="nil"/>
              <w:bottom w:val="nil"/>
              <w:right w:val="nil"/>
            </w:tcBorders>
            <w:shd w:val="clear" w:color="000000" w:fill="F2F2F2"/>
            <w:noWrap/>
            <w:vAlign w:val="center"/>
            <w:hideMark/>
          </w:tcPr>
          <w:p w14:paraId="1D9C307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519</w:t>
            </w:r>
          </w:p>
        </w:tc>
        <w:tc>
          <w:tcPr>
            <w:tcW w:w="1008" w:type="dxa"/>
            <w:tcBorders>
              <w:top w:val="nil"/>
              <w:left w:val="nil"/>
              <w:bottom w:val="nil"/>
              <w:right w:val="nil"/>
            </w:tcBorders>
            <w:shd w:val="clear" w:color="000000" w:fill="F2F2F2"/>
            <w:noWrap/>
            <w:vAlign w:val="center"/>
            <w:hideMark/>
          </w:tcPr>
          <w:p w14:paraId="0BFC11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534</w:t>
            </w:r>
          </w:p>
        </w:tc>
        <w:tc>
          <w:tcPr>
            <w:tcW w:w="973" w:type="dxa"/>
            <w:tcBorders>
              <w:top w:val="nil"/>
              <w:left w:val="nil"/>
              <w:bottom w:val="nil"/>
              <w:right w:val="nil"/>
            </w:tcBorders>
            <w:shd w:val="clear" w:color="000000" w:fill="F2F2F2"/>
            <w:noWrap/>
            <w:vAlign w:val="center"/>
            <w:hideMark/>
          </w:tcPr>
          <w:p w14:paraId="60411E3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655</w:t>
            </w:r>
          </w:p>
        </w:tc>
        <w:tc>
          <w:tcPr>
            <w:tcW w:w="1064" w:type="dxa"/>
            <w:tcBorders>
              <w:top w:val="nil"/>
              <w:left w:val="nil"/>
              <w:bottom w:val="nil"/>
              <w:right w:val="nil"/>
            </w:tcBorders>
            <w:shd w:val="clear" w:color="000000" w:fill="FFFFFF"/>
            <w:noWrap/>
            <w:vAlign w:val="center"/>
            <w:hideMark/>
          </w:tcPr>
          <w:p w14:paraId="3D319B7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1,496</w:t>
            </w:r>
          </w:p>
        </w:tc>
      </w:tr>
      <w:tr w:rsidR="0079098C" w:rsidRPr="0079098C" w14:paraId="6A5E53D8" w14:textId="77777777" w:rsidTr="0061289B">
        <w:trPr>
          <w:trHeight w:val="235"/>
        </w:trPr>
        <w:tc>
          <w:tcPr>
            <w:tcW w:w="3810" w:type="dxa"/>
            <w:tcBorders>
              <w:top w:val="nil"/>
              <w:left w:val="nil"/>
              <w:bottom w:val="nil"/>
              <w:right w:val="nil"/>
            </w:tcBorders>
            <w:shd w:val="clear" w:color="000000" w:fill="FFFFFF"/>
            <w:noWrap/>
            <w:vAlign w:val="center"/>
            <w:hideMark/>
          </w:tcPr>
          <w:p w14:paraId="59142AB6"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Interest income</w:t>
            </w:r>
          </w:p>
        </w:tc>
        <w:tc>
          <w:tcPr>
            <w:tcW w:w="1013" w:type="dxa"/>
            <w:tcBorders>
              <w:top w:val="nil"/>
              <w:left w:val="nil"/>
              <w:bottom w:val="nil"/>
              <w:right w:val="nil"/>
            </w:tcBorders>
            <w:shd w:val="clear" w:color="000000" w:fill="F2F2F2"/>
            <w:noWrap/>
            <w:vAlign w:val="center"/>
            <w:hideMark/>
          </w:tcPr>
          <w:p w14:paraId="75B76B5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19</w:t>
            </w:r>
          </w:p>
        </w:tc>
        <w:tc>
          <w:tcPr>
            <w:tcW w:w="1009" w:type="dxa"/>
            <w:tcBorders>
              <w:top w:val="nil"/>
              <w:left w:val="nil"/>
              <w:bottom w:val="nil"/>
              <w:right w:val="nil"/>
            </w:tcBorders>
            <w:shd w:val="clear" w:color="000000" w:fill="F2F2F2"/>
            <w:noWrap/>
            <w:vAlign w:val="center"/>
            <w:hideMark/>
          </w:tcPr>
          <w:p w14:paraId="189D158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w:t>
            </w:r>
          </w:p>
        </w:tc>
        <w:tc>
          <w:tcPr>
            <w:tcW w:w="979" w:type="dxa"/>
            <w:tcBorders>
              <w:top w:val="nil"/>
              <w:left w:val="nil"/>
              <w:bottom w:val="nil"/>
              <w:right w:val="nil"/>
            </w:tcBorders>
            <w:shd w:val="clear" w:color="000000" w:fill="F2F2F2"/>
            <w:noWrap/>
            <w:vAlign w:val="center"/>
            <w:hideMark/>
          </w:tcPr>
          <w:p w14:paraId="5D4F0BA5"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w:t>
            </w:r>
          </w:p>
        </w:tc>
        <w:tc>
          <w:tcPr>
            <w:tcW w:w="1008" w:type="dxa"/>
            <w:tcBorders>
              <w:top w:val="nil"/>
              <w:left w:val="nil"/>
              <w:bottom w:val="nil"/>
              <w:right w:val="nil"/>
            </w:tcBorders>
            <w:shd w:val="clear" w:color="000000" w:fill="F2F2F2"/>
            <w:noWrap/>
            <w:vAlign w:val="center"/>
            <w:hideMark/>
          </w:tcPr>
          <w:p w14:paraId="3C7E969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(66)</w:t>
            </w:r>
          </w:p>
        </w:tc>
        <w:tc>
          <w:tcPr>
            <w:tcW w:w="973" w:type="dxa"/>
            <w:tcBorders>
              <w:top w:val="nil"/>
              <w:left w:val="nil"/>
              <w:bottom w:val="nil"/>
              <w:right w:val="nil"/>
            </w:tcBorders>
            <w:shd w:val="clear" w:color="000000" w:fill="F2F2F2"/>
            <w:noWrap/>
            <w:vAlign w:val="center"/>
            <w:hideMark/>
          </w:tcPr>
          <w:p w14:paraId="5F646DB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(0)</w:t>
            </w:r>
          </w:p>
        </w:tc>
        <w:tc>
          <w:tcPr>
            <w:tcW w:w="1064" w:type="dxa"/>
            <w:tcBorders>
              <w:top w:val="nil"/>
              <w:left w:val="nil"/>
              <w:bottom w:val="nil"/>
              <w:right w:val="nil"/>
            </w:tcBorders>
            <w:shd w:val="clear" w:color="000000" w:fill="FFFFFF"/>
            <w:noWrap/>
            <w:vAlign w:val="center"/>
            <w:hideMark/>
          </w:tcPr>
          <w:p w14:paraId="2AD28C5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(88)</w:t>
            </w:r>
          </w:p>
        </w:tc>
      </w:tr>
      <w:tr w:rsidR="0079098C" w:rsidRPr="0079098C" w14:paraId="78B2556F" w14:textId="77777777" w:rsidTr="0061289B">
        <w:trPr>
          <w:trHeight w:val="235"/>
        </w:trPr>
        <w:tc>
          <w:tcPr>
            <w:tcW w:w="3810" w:type="dxa"/>
            <w:tcBorders>
              <w:top w:val="nil"/>
              <w:left w:val="nil"/>
              <w:bottom w:val="nil"/>
              <w:right w:val="nil"/>
            </w:tcBorders>
            <w:shd w:val="clear" w:color="000000" w:fill="FFFFFF"/>
            <w:noWrap/>
            <w:vAlign w:val="center"/>
            <w:hideMark/>
          </w:tcPr>
          <w:p w14:paraId="3FC383CC"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Dividends and income tax equivalents</w:t>
            </w:r>
          </w:p>
        </w:tc>
        <w:tc>
          <w:tcPr>
            <w:tcW w:w="1013" w:type="dxa"/>
            <w:tcBorders>
              <w:top w:val="nil"/>
              <w:left w:val="nil"/>
              <w:bottom w:val="nil"/>
              <w:right w:val="nil"/>
            </w:tcBorders>
            <w:shd w:val="clear" w:color="000000" w:fill="F2F2F2"/>
            <w:noWrap/>
            <w:vAlign w:val="center"/>
            <w:hideMark/>
          </w:tcPr>
          <w:p w14:paraId="4AA40C6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(72)</w:t>
            </w:r>
          </w:p>
        </w:tc>
        <w:tc>
          <w:tcPr>
            <w:tcW w:w="1009" w:type="dxa"/>
            <w:tcBorders>
              <w:top w:val="nil"/>
              <w:left w:val="nil"/>
              <w:bottom w:val="nil"/>
              <w:right w:val="nil"/>
            </w:tcBorders>
            <w:shd w:val="clear" w:color="000000" w:fill="F2F2F2"/>
            <w:noWrap/>
            <w:vAlign w:val="center"/>
            <w:hideMark/>
          </w:tcPr>
          <w:p w14:paraId="127C25A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w:t>
            </w:r>
          </w:p>
        </w:tc>
        <w:tc>
          <w:tcPr>
            <w:tcW w:w="979" w:type="dxa"/>
            <w:tcBorders>
              <w:top w:val="nil"/>
              <w:left w:val="nil"/>
              <w:bottom w:val="nil"/>
              <w:right w:val="nil"/>
            </w:tcBorders>
            <w:shd w:val="clear" w:color="000000" w:fill="F2F2F2"/>
            <w:noWrap/>
            <w:vAlign w:val="center"/>
            <w:hideMark/>
          </w:tcPr>
          <w:p w14:paraId="3FBD62E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67</w:t>
            </w:r>
          </w:p>
        </w:tc>
        <w:tc>
          <w:tcPr>
            <w:tcW w:w="1008" w:type="dxa"/>
            <w:tcBorders>
              <w:top w:val="nil"/>
              <w:left w:val="nil"/>
              <w:bottom w:val="nil"/>
              <w:right w:val="nil"/>
            </w:tcBorders>
            <w:shd w:val="clear" w:color="000000" w:fill="F2F2F2"/>
            <w:noWrap/>
            <w:vAlign w:val="center"/>
            <w:hideMark/>
          </w:tcPr>
          <w:p w14:paraId="5F879BE5"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70</w:t>
            </w:r>
          </w:p>
        </w:tc>
        <w:tc>
          <w:tcPr>
            <w:tcW w:w="973" w:type="dxa"/>
            <w:tcBorders>
              <w:top w:val="nil"/>
              <w:left w:val="nil"/>
              <w:bottom w:val="nil"/>
              <w:right w:val="nil"/>
            </w:tcBorders>
            <w:shd w:val="clear" w:color="000000" w:fill="F2F2F2"/>
            <w:noWrap/>
            <w:vAlign w:val="center"/>
            <w:hideMark/>
          </w:tcPr>
          <w:p w14:paraId="70747C9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352</w:t>
            </w:r>
          </w:p>
        </w:tc>
        <w:tc>
          <w:tcPr>
            <w:tcW w:w="1064" w:type="dxa"/>
            <w:tcBorders>
              <w:top w:val="nil"/>
              <w:left w:val="nil"/>
              <w:bottom w:val="nil"/>
              <w:right w:val="nil"/>
            </w:tcBorders>
            <w:shd w:val="clear" w:color="000000" w:fill="FFFFFF"/>
            <w:noWrap/>
            <w:vAlign w:val="center"/>
            <w:hideMark/>
          </w:tcPr>
          <w:p w14:paraId="3FDC122E"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475</w:t>
            </w:r>
          </w:p>
        </w:tc>
      </w:tr>
      <w:tr w:rsidR="0079098C" w:rsidRPr="0079098C" w14:paraId="2C60858B" w14:textId="77777777" w:rsidTr="0061289B">
        <w:trPr>
          <w:trHeight w:val="235"/>
        </w:trPr>
        <w:tc>
          <w:tcPr>
            <w:tcW w:w="3810" w:type="dxa"/>
            <w:tcBorders>
              <w:top w:val="nil"/>
              <w:left w:val="nil"/>
              <w:bottom w:val="nil"/>
              <w:right w:val="nil"/>
            </w:tcBorders>
            <w:shd w:val="clear" w:color="000000" w:fill="FFFFFF"/>
            <w:noWrap/>
            <w:vAlign w:val="center"/>
            <w:hideMark/>
          </w:tcPr>
          <w:p w14:paraId="6C8484A6"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Other dividends and distributions</w:t>
            </w:r>
          </w:p>
        </w:tc>
        <w:tc>
          <w:tcPr>
            <w:tcW w:w="1013" w:type="dxa"/>
            <w:tcBorders>
              <w:top w:val="nil"/>
              <w:left w:val="nil"/>
              <w:bottom w:val="nil"/>
              <w:right w:val="nil"/>
            </w:tcBorders>
            <w:shd w:val="clear" w:color="000000" w:fill="F2F2F2"/>
            <w:noWrap/>
            <w:vAlign w:val="center"/>
            <w:hideMark/>
          </w:tcPr>
          <w:p w14:paraId="32E1C1E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(765)</w:t>
            </w:r>
          </w:p>
        </w:tc>
        <w:tc>
          <w:tcPr>
            <w:tcW w:w="1009" w:type="dxa"/>
            <w:tcBorders>
              <w:top w:val="nil"/>
              <w:left w:val="nil"/>
              <w:bottom w:val="nil"/>
              <w:right w:val="nil"/>
            </w:tcBorders>
            <w:shd w:val="clear" w:color="000000" w:fill="F2F2F2"/>
            <w:noWrap/>
            <w:vAlign w:val="center"/>
            <w:hideMark/>
          </w:tcPr>
          <w:p w14:paraId="19D9710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(660)</w:t>
            </w:r>
          </w:p>
        </w:tc>
        <w:tc>
          <w:tcPr>
            <w:tcW w:w="979" w:type="dxa"/>
            <w:tcBorders>
              <w:top w:val="nil"/>
              <w:left w:val="nil"/>
              <w:bottom w:val="nil"/>
              <w:right w:val="nil"/>
            </w:tcBorders>
            <w:shd w:val="clear" w:color="000000" w:fill="F2F2F2"/>
            <w:noWrap/>
            <w:vAlign w:val="center"/>
            <w:hideMark/>
          </w:tcPr>
          <w:p w14:paraId="45D2ABE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(342)</w:t>
            </w:r>
          </w:p>
        </w:tc>
        <w:tc>
          <w:tcPr>
            <w:tcW w:w="1008" w:type="dxa"/>
            <w:tcBorders>
              <w:top w:val="nil"/>
              <w:left w:val="nil"/>
              <w:bottom w:val="nil"/>
              <w:right w:val="nil"/>
            </w:tcBorders>
            <w:shd w:val="clear" w:color="000000" w:fill="F2F2F2"/>
            <w:noWrap/>
            <w:vAlign w:val="center"/>
            <w:hideMark/>
          </w:tcPr>
          <w:p w14:paraId="3E1AA9B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(267)</w:t>
            </w:r>
          </w:p>
        </w:tc>
        <w:tc>
          <w:tcPr>
            <w:tcW w:w="973" w:type="dxa"/>
            <w:tcBorders>
              <w:top w:val="nil"/>
              <w:left w:val="nil"/>
              <w:bottom w:val="nil"/>
              <w:right w:val="nil"/>
            </w:tcBorders>
            <w:shd w:val="clear" w:color="000000" w:fill="F2F2F2"/>
            <w:noWrap/>
            <w:vAlign w:val="center"/>
            <w:hideMark/>
          </w:tcPr>
          <w:p w14:paraId="1FEEC78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(100)</w:t>
            </w:r>
          </w:p>
        </w:tc>
        <w:tc>
          <w:tcPr>
            <w:tcW w:w="1064" w:type="dxa"/>
            <w:tcBorders>
              <w:top w:val="nil"/>
              <w:left w:val="nil"/>
              <w:bottom w:val="nil"/>
              <w:right w:val="nil"/>
            </w:tcBorders>
            <w:shd w:val="clear" w:color="000000" w:fill="FFFFFF"/>
            <w:noWrap/>
            <w:vAlign w:val="center"/>
            <w:hideMark/>
          </w:tcPr>
          <w:p w14:paraId="26692FEE"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(1,369)</w:t>
            </w:r>
          </w:p>
        </w:tc>
      </w:tr>
      <w:tr w:rsidR="0079098C" w:rsidRPr="0079098C" w14:paraId="3BCFC62C" w14:textId="77777777" w:rsidTr="0061289B">
        <w:trPr>
          <w:trHeight w:val="235"/>
        </w:trPr>
        <w:tc>
          <w:tcPr>
            <w:tcW w:w="3810" w:type="dxa"/>
            <w:tcBorders>
              <w:top w:val="nil"/>
              <w:left w:val="nil"/>
              <w:bottom w:val="nil"/>
              <w:right w:val="nil"/>
            </w:tcBorders>
            <w:shd w:val="clear" w:color="000000" w:fill="FFFFFF"/>
            <w:noWrap/>
            <w:vAlign w:val="center"/>
            <w:hideMark/>
          </w:tcPr>
          <w:p w14:paraId="0DEFF54C"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Royalties</w:t>
            </w:r>
          </w:p>
        </w:tc>
        <w:tc>
          <w:tcPr>
            <w:tcW w:w="1013" w:type="dxa"/>
            <w:tcBorders>
              <w:top w:val="nil"/>
              <w:left w:val="nil"/>
              <w:bottom w:val="nil"/>
              <w:right w:val="nil"/>
            </w:tcBorders>
            <w:shd w:val="clear" w:color="000000" w:fill="F2F2F2"/>
            <w:noWrap/>
            <w:vAlign w:val="center"/>
            <w:hideMark/>
          </w:tcPr>
          <w:p w14:paraId="49A2293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(829)</w:t>
            </w:r>
          </w:p>
        </w:tc>
        <w:tc>
          <w:tcPr>
            <w:tcW w:w="1009" w:type="dxa"/>
            <w:tcBorders>
              <w:top w:val="nil"/>
              <w:left w:val="nil"/>
              <w:bottom w:val="nil"/>
              <w:right w:val="nil"/>
            </w:tcBorders>
            <w:shd w:val="clear" w:color="000000" w:fill="F2F2F2"/>
            <w:noWrap/>
            <w:vAlign w:val="center"/>
            <w:hideMark/>
          </w:tcPr>
          <w:p w14:paraId="6D15180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(1,202)</w:t>
            </w:r>
          </w:p>
        </w:tc>
        <w:tc>
          <w:tcPr>
            <w:tcW w:w="979" w:type="dxa"/>
            <w:tcBorders>
              <w:top w:val="nil"/>
              <w:left w:val="nil"/>
              <w:bottom w:val="nil"/>
              <w:right w:val="nil"/>
            </w:tcBorders>
            <w:shd w:val="clear" w:color="000000" w:fill="F2F2F2"/>
            <w:noWrap/>
            <w:vAlign w:val="center"/>
            <w:hideMark/>
          </w:tcPr>
          <w:p w14:paraId="5D486D1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(659)</w:t>
            </w:r>
          </w:p>
        </w:tc>
        <w:tc>
          <w:tcPr>
            <w:tcW w:w="1008" w:type="dxa"/>
            <w:tcBorders>
              <w:top w:val="nil"/>
              <w:left w:val="nil"/>
              <w:bottom w:val="nil"/>
              <w:right w:val="nil"/>
            </w:tcBorders>
            <w:shd w:val="clear" w:color="000000" w:fill="F2F2F2"/>
            <w:noWrap/>
            <w:vAlign w:val="center"/>
            <w:hideMark/>
          </w:tcPr>
          <w:p w14:paraId="3E8EA29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(266)</w:t>
            </w:r>
          </w:p>
        </w:tc>
        <w:tc>
          <w:tcPr>
            <w:tcW w:w="973" w:type="dxa"/>
            <w:tcBorders>
              <w:top w:val="nil"/>
              <w:left w:val="nil"/>
              <w:bottom w:val="nil"/>
              <w:right w:val="nil"/>
            </w:tcBorders>
            <w:shd w:val="clear" w:color="000000" w:fill="F2F2F2"/>
            <w:noWrap/>
            <w:vAlign w:val="center"/>
            <w:hideMark/>
          </w:tcPr>
          <w:p w14:paraId="010139E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(134)</w:t>
            </w:r>
          </w:p>
        </w:tc>
        <w:tc>
          <w:tcPr>
            <w:tcW w:w="1064" w:type="dxa"/>
            <w:tcBorders>
              <w:top w:val="nil"/>
              <w:left w:val="nil"/>
              <w:bottom w:val="nil"/>
              <w:right w:val="nil"/>
            </w:tcBorders>
            <w:shd w:val="clear" w:color="000000" w:fill="FFFFFF"/>
            <w:noWrap/>
            <w:vAlign w:val="center"/>
            <w:hideMark/>
          </w:tcPr>
          <w:p w14:paraId="271716B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(2,261)</w:t>
            </w:r>
          </w:p>
        </w:tc>
      </w:tr>
      <w:tr w:rsidR="0079098C" w:rsidRPr="0079098C" w14:paraId="07DC1B69" w14:textId="77777777" w:rsidTr="0061289B">
        <w:trPr>
          <w:trHeight w:val="235"/>
        </w:trPr>
        <w:tc>
          <w:tcPr>
            <w:tcW w:w="3810" w:type="dxa"/>
            <w:tcBorders>
              <w:top w:val="nil"/>
              <w:left w:val="nil"/>
              <w:bottom w:val="nil"/>
              <w:right w:val="nil"/>
            </w:tcBorders>
            <w:shd w:val="clear" w:color="000000" w:fill="FFFFFF"/>
            <w:noWrap/>
            <w:vAlign w:val="center"/>
            <w:hideMark/>
          </w:tcPr>
          <w:p w14:paraId="2CF25AD8"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Fines, regulatory fees and other revenues</w:t>
            </w:r>
          </w:p>
        </w:tc>
        <w:tc>
          <w:tcPr>
            <w:tcW w:w="1013" w:type="dxa"/>
            <w:tcBorders>
              <w:top w:val="nil"/>
              <w:left w:val="nil"/>
              <w:bottom w:val="nil"/>
              <w:right w:val="nil"/>
            </w:tcBorders>
            <w:shd w:val="clear" w:color="000000" w:fill="F2F2F2"/>
            <w:noWrap/>
            <w:vAlign w:val="center"/>
            <w:hideMark/>
          </w:tcPr>
          <w:p w14:paraId="6893CBF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542</w:t>
            </w:r>
          </w:p>
        </w:tc>
        <w:tc>
          <w:tcPr>
            <w:tcW w:w="1009" w:type="dxa"/>
            <w:tcBorders>
              <w:top w:val="nil"/>
              <w:left w:val="nil"/>
              <w:bottom w:val="nil"/>
              <w:right w:val="nil"/>
            </w:tcBorders>
            <w:shd w:val="clear" w:color="000000" w:fill="F2F2F2"/>
            <w:noWrap/>
            <w:vAlign w:val="center"/>
            <w:hideMark/>
          </w:tcPr>
          <w:p w14:paraId="09047EC0" w14:textId="63E68B8F"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11</w:t>
            </w:r>
            <w:r w:rsidR="00CE2921">
              <w:rPr>
                <w:rFonts w:ascii="Public Sans" w:hAnsi="Public Sans" w:cs="Calibri"/>
                <w:sz w:val="16"/>
                <w:szCs w:val="16"/>
                <w:lang w:val="en-AU" w:eastAsia="en-AU"/>
              </w:rPr>
              <w:t>8</w:t>
            </w:r>
          </w:p>
        </w:tc>
        <w:tc>
          <w:tcPr>
            <w:tcW w:w="979" w:type="dxa"/>
            <w:tcBorders>
              <w:top w:val="nil"/>
              <w:left w:val="nil"/>
              <w:bottom w:val="nil"/>
              <w:right w:val="nil"/>
            </w:tcBorders>
            <w:shd w:val="clear" w:color="000000" w:fill="F2F2F2"/>
            <w:noWrap/>
            <w:vAlign w:val="center"/>
            <w:hideMark/>
          </w:tcPr>
          <w:p w14:paraId="0C7F5230" w14:textId="1E84D494" w:rsidR="0079098C" w:rsidRPr="0079098C" w:rsidRDefault="00CE2921" w:rsidP="0079098C">
            <w:pPr>
              <w:ind w:firstLineChars="100" w:firstLine="160"/>
              <w:jc w:val="right"/>
              <w:rPr>
                <w:rFonts w:ascii="Public Sans" w:hAnsi="Public Sans" w:cs="Calibri"/>
                <w:sz w:val="16"/>
                <w:szCs w:val="16"/>
                <w:lang w:val="en-AU" w:eastAsia="en-AU"/>
              </w:rPr>
            </w:pPr>
            <w:r>
              <w:rPr>
                <w:rFonts w:ascii="Public Sans" w:hAnsi="Public Sans" w:cs="Calibri"/>
                <w:sz w:val="16"/>
                <w:szCs w:val="16"/>
                <w:lang w:val="en-AU" w:eastAsia="en-AU"/>
              </w:rPr>
              <w:t>3</w:t>
            </w:r>
          </w:p>
        </w:tc>
        <w:tc>
          <w:tcPr>
            <w:tcW w:w="1008" w:type="dxa"/>
            <w:tcBorders>
              <w:top w:val="nil"/>
              <w:left w:val="nil"/>
              <w:bottom w:val="nil"/>
              <w:right w:val="nil"/>
            </w:tcBorders>
            <w:shd w:val="clear" w:color="000000" w:fill="F2F2F2"/>
            <w:noWrap/>
            <w:vAlign w:val="center"/>
            <w:hideMark/>
          </w:tcPr>
          <w:p w14:paraId="0B80A507" w14:textId="68DBED42" w:rsidR="0079098C" w:rsidRPr="0079098C" w:rsidRDefault="00CE2921" w:rsidP="0079098C">
            <w:pPr>
              <w:ind w:firstLineChars="100" w:firstLine="160"/>
              <w:jc w:val="right"/>
              <w:rPr>
                <w:rFonts w:ascii="Public Sans" w:hAnsi="Public Sans" w:cs="Calibri"/>
                <w:sz w:val="16"/>
                <w:szCs w:val="16"/>
                <w:lang w:val="en-AU" w:eastAsia="en-AU"/>
              </w:rPr>
            </w:pPr>
            <w:r>
              <w:rPr>
                <w:rFonts w:ascii="Public Sans" w:hAnsi="Public Sans" w:cs="Calibri"/>
                <w:sz w:val="16"/>
                <w:szCs w:val="16"/>
                <w:lang w:val="en-AU" w:eastAsia="en-AU"/>
              </w:rPr>
              <w:t>63</w:t>
            </w:r>
          </w:p>
        </w:tc>
        <w:tc>
          <w:tcPr>
            <w:tcW w:w="973" w:type="dxa"/>
            <w:tcBorders>
              <w:top w:val="nil"/>
              <w:left w:val="nil"/>
              <w:bottom w:val="nil"/>
              <w:right w:val="nil"/>
            </w:tcBorders>
            <w:shd w:val="clear" w:color="000000" w:fill="F2F2F2"/>
            <w:noWrap/>
            <w:vAlign w:val="center"/>
            <w:hideMark/>
          </w:tcPr>
          <w:p w14:paraId="6147A9C0" w14:textId="5829DF5B" w:rsidR="0079098C" w:rsidRPr="0079098C" w:rsidRDefault="00CE2921" w:rsidP="0079098C">
            <w:pPr>
              <w:ind w:firstLineChars="100" w:firstLine="160"/>
              <w:jc w:val="right"/>
              <w:rPr>
                <w:rFonts w:ascii="Public Sans" w:hAnsi="Public Sans" w:cs="Calibri"/>
                <w:sz w:val="16"/>
                <w:szCs w:val="16"/>
                <w:lang w:val="en-AU" w:eastAsia="en-AU"/>
              </w:rPr>
            </w:pPr>
            <w:r>
              <w:rPr>
                <w:rFonts w:ascii="Public Sans" w:hAnsi="Public Sans" w:cs="Calibri"/>
                <w:sz w:val="16"/>
                <w:szCs w:val="16"/>
                <w:lang w:val="en-AU" w:eastAsia="en-AU"/>
              </w:rPr>
              <w:t>24</w:t>
            </w:r>
          </w:p>
        </w:tc>
        <w:tc>
          <w:tcPr>
            <w:tcW w:w="1064" w:type="dxa"/>
            <w:tcBorders>
              <w:top w:val="nil"/>
              <w:left w:val="nil"/>
              <w:bottom w:val="nil"/>
              <w:right w:val="nil"/>
            </w:tcBorders>
            <w:shd w:val="clear" w:color="000000" w:fill="FFFFFF"/>
            <w:noWrap/>
            <w:vAlign w:val="center"/>
            <w:hideMark/>
          </w:tcPr>
          <w:p w14:paraId="15480B09" w14:textId="596A92DA" w:rsidR="0079098C" w:rsidRPr="0079098C" w:rsidRDefault="00CE2921" w:rsidP="0079098C">
            <w:pPr>
              <w:ind w:firstLineChars="100" w:firstLine="161"/>
              <w:jc w:val="right"/>
              <w:rPr>
                <w:rFonts w:ascii="Public Sans" w:hAnsi="Public Sans" w:cs="Calibri"/>
                <w:b/>
                <w:bCs/>
                <w:sz w:val="16"/>
                <w:szCs w:val="16"/>
                <w:lang w:val="en-AU" w:eastAsia="en-AU"/>
              </w:rPr>
            </w:pPr>
            <w:r>
              <w:rPr>
                <w:rFonts w:ascii="Public Sans" w:hAnsi="Public Sans" w:cs="Calibri"/>
                <w:b/>
                <w:bCs/>
                <w:sz w:val="16"/>
                <w:szCs w:val="16"/>
                <w:lang w:val="en-AU" w:eastAsia="en-AU"/>
              </w:rPr>
              <w:t>208</w:t>
            </w:r>
          </w:p>
        </w:tc>
      </w:tr>
      <w:tr w:rsidR="00324F86" w:rsidRPr="0079098C" w14:paraId="2A36C2D0" w14:textId="77777777" w:rsidTr="000615E0">
        <w:trPr>
          <w:trHeight w:val="340"/>
        </w:trPr>
        <w:tc>
          <w:tcPr>
            <w:tcW w:w="3810" w:type="dxa"/>
            <w:tcBorders>
              <w:top w:val="single" w:sz="4" w:space="0" w:color="auto"/>
              <w:left w:val="nil"/>
              <w:bottom w:val="nil"/>
              <w:right w:val="nil"/>
            </w:tcBorders>
            <w:shd w:val="clear" w:color="000000" w:fill="FFFFFF"/>
            <w:noWrap/>
            <w:vAlign w:val="center"/>
            <w:hideMark/>
          </w:tcPr>
          <w:p w14:paraId="22143508"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Total parameter changes and other variations</w:t>
            </w:r>
          </w:p>
        </w:tc>
        <w:tc>
          <w:tcPr>
            <w:tcW w:w="1013" w:type="dxa"/>
            <w:tcBorders>
              <w:top w:val="single" w:sz="4" w:space="0" w:color="auto"/>
              <w:left w:val="nil"/>
              <w:bottom w:val="nil"/>
              <w:right w:val="nil"/>
            </w:tcBorders>
            <w:shd w:val="clear" w:color="000000" w:fill="F2F2F2"/>
            <w:noWrap/>
            <w:vAlign w:val="center"/>
            <w:hideMark/>
          </w:tcPr>
          <w:p w14:paraId="7C433BF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346</w:t>
            </w:r>
          </w:p>
        </w:tc>
        <w:tc>
          <w:tcPr>
            <w:tcW w:w="1009" w:type="dxa"/>
            <w:tcBorders>
              <w:top w:val="single" w:sz="4" w:space="0" w:color="auto"/>
              <w:left w:val="nil"/>
              <w:bottom w:val="nil"/>
              <w:right w:val="nil"/>
            </w:tcBorders>
            <w:shd w:val="clear" w:color="000000" w:fill="F2F2F2"/>
            <w:noWrap/>
            <w:vAlign w:val="center"/>
            <w:hideMark/>
          </w:tcPr>
          <w:p w14:paraId="3A6128B6" w14:textId="6890AB81"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3,4</w:t>
            </w:r>
            <w:r w:rsidR="00CE2921">
              <w:rPr>
                <w:rFonts w:ascii="Public Sans" w:hAnsi="Public Sans" w:cs="Calibri"/>
                <w:b/>
                <w:bCs/>
                <w:sz w:val="16"/>
                <w:szCs w:val="16"/>
                <w:lang w:val="en-AU" w:eastAsia="en-AU"/>
              </w:rPr>
              <w:t>81</w:t>
            </w:r>
          </w:p>
        </w:tc>
        <w:tc>
          <w:tcPr>
            <w:tcW w:w="979" w:type="dxa"/>
            <w:tcBorders>
              <w:top w:val="single" w:sz="4" w:space="0" w:color="auto"/>
              <w:left w:val="nil"/>
              <w:bottom w:val="nil"/>
              <w:right w:val="nil"/>
            </w:tcBorders>
            <w:shd w:val="clear" w:color="000000" w:fill="F2F2F2"/>
            <w:noWrap/>
            <w:vAlign w:val="center"/>
            <w:hideMark/>
          </w:tcPr>
          <w:p w14:paraId="3C6392D4" w14:textId="11106CCD"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3,3</w:t>
            </w:r>
            <w:r w:rsidR="00CE2921">
              <w:rPr>
                <w:rFonts w:ascii="Public Sans" w:hAnsi="Public Sans" w:cs="Calibri"/>
                <w:b/>
                <w:bCs/>
                <w:sz w:val="16"/>
                <w:szCs w:val="16"/>
                <w:lang w:val="en-AU" w:eastAsia="en-AU"/>
              </w:rPr>
              <w:t>66</w:t>
            </w:r>
          </w:p>
        </w:tc>
        <w:tc>
          <w:tcPr>
            <w:tcW w:w="1008" w:type="dxa"/>
            <w:tcBorders>
              <w:top w:val="single" w:sz="4" w:space="0" w:color="auto"/>
              <w:left w:val="nil"/>
              <w:bottom w:val="nil"/>
              <w:right w:val="nil"/>
            </w:tcBorders>
            <w:shd w:val="clear" w:color="000000" w:fill="F2F2F2"/>
            <w:noWrap/>
            <w:vAlign w:val="center"/>
            <w:hideMark/>
          </w:tcPr>
          <w:p w14:paraId="53049825" w14:textId="3E2AAE65"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2,2</w:t>
            </w:r>
            <w:r w:rsidR="00FD682B">
              <w:rPr>
                <w:rFonts w:ascii="Public Sans" w:hAnsi="Public Sans" w:cs="Calibri"/>
                <w:b/>
                <w:bCs/>
                <w:sz w:val="16"/>
                <w:szCs w:val="16"/>
                <w:lang w:val="en-AU" w:eastAsia="en-AU"/>
              </w:rPr>
              <w:t>45</w:t>
            </w:r>
          </w:p>
        </w:tc>
        <w:tc>
          <w:tcPr>
            <w:tcW w:w="973" w:type="dxa"/>
            <w:tcBorders>
              <w:top w:val="single" w:sz="4" w:space="0" w:color="auto"/>
              <w:left w:val="nil"/>
              <w:bottom w:val="nil"/>
              <w:right w:val="nil"/>
            </w:tcBorders>
            <w:shd w:val="clear" w:color="000000" w:fill="F2F2F2"/>
            <w:noWrap/>
            <w:vAlign w:val="center"/>
            <w:hideMark/>
          </w:tcPr>
          <w:p w14:paraId="724DA811" w14:textId="06711BD5"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3,4</w:t>
            </w:r>
            <w:r w:rsidR="00FD682B">
              <w:rPr>
                <w:rFonts w:ascii="Public Sans" w:hAnsi="Public Sans" w:cs="Calibri"/>
                <w:b/>
                <w:bCs/>
                <w:sz w:val="16"/>
                <w:szCs w:val="16"/>
                <w:lang w:val="en-AU" w:eastAsia="en-AU"/>
              </w:rPr>
              <w:t>11</w:t>
            </w:r>
          </w:p>
        </w:tc>
        <w:tc>
          <w:tcPr>
            <w:tcW w:w="1064" w:type="dxa"/>
            <w:tcBorders>
              <w:top w:val="single" w:sz="4" w:space="0" w:color="auto"/>
              <w:left w:val="nil"/>
              <w:bottom w:val="nil"/>
              <w:right w:val="nil"/>
            </w:tcBorders>
            <w:shd w:val="clear" w:color="000000" w:fill="FFFFFF"/>
            <w:noWrap/>
            <w:vAlign w:val="center"/>
            <w:hideMark/>
          </w:tcPr>
          <w:p w14:paraId="28359235" w14:textId="3C456444"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12,</w:t>
            </w:r>
            <w:r w:rsidR="00FD682B">
              <w:rPr>
                <w:rFonts w:ascii="Public Sans" w:hAnsi="Public Sans" w:cs="Calibri"/>
                <w:b/>
                <w:bCs/>
                <w:sz w:val="16"/>
                <w:szCs w:val="16"/>
                <w:lang w:val="en-AU" w:eastAsia="en-AU"/>
              </w:rPr>
              <w:t>504</w:t>
            </w:r>
          </w:p>
        </w:tc>
      </w:tr>
      <w:tr w:rsidR="00324F86" w:rsidRPr="0079098C" w14:paraId="5F7C0C6E" w14:textId="77777777" w:rsidTr="005D7BA3">
        <w:trPr>
          <w:trHeight w:val="285"/>
        </w:trPr>
        <w:tc>
          <w:tcPr>
            <w:tcW w:w="3810" w:type="dxa"/>
            <w:tcBorders>
              <w:top w:val="single" w:sz="4" w:space="0" w:color="auto"/>
              <w:left w:val="nil"/>
              <w:bottom w:val="nil"/>
              <w:right w:val="nil"/>
            </w:tcBorders>
            <w:shd w:val="clear" w:color="000000" w:fill="FFFFFF"/>
            <w:noWrap/>
            <w:vAlign w:val="center"/>
            <w:hideMark/>
          </w:tcPr>
          <w:p w14:paraId="7DF3BD64" w14:textId="4D244CC9" w:rsidR="0079098C" w:rsidRPr="0079098C" w:rsidRDefault="0079098C" w:rsidP="005458D6">
            <w:pPr>
              <w:ind w:left="113" w:hanging="113"/>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Total changes since 2023 P</w:t>
            </w:r>
            <w:r w:rsidR="00CE0CC5">
              <w:rPr>
                <w:rFonts w:ascii="Public Sans" w:hAnsi="Public Sans" w:cs="Calibri"/>
                <w:b/>
                <w:bCs/>
                <w:sz w:val="16"/>
                <w:szCs w:val="16"/>
                <w:lang w:val="en-AU" w:eastAsia="en-AU"/>
              </w:rPr>
              <w:t xml:space="preserve">re-election Budget </w:t>
            </w:r>
            <w:r w:rsidR="00CE0CC5" w:rsidRPr="005458D6">
              <w:rPr>
                <w:rFonts w:ascii="Public Sans" w:hAnsi="Public Sans" w:cs="Calibri"/>
                <w:b/>
                <w:bCs/>
                <w:sz w:val="16"/>
                <w:szCs w:val="16"/>
                <w:lang w:val="en-AU" w:eastAsia="en-AU"/>
              </w:rPr>
              <w:t>Update</w:t>
            </w:r>
          </w:p>
        </w:tc>
        <w:tc>
          <w:tcPr>
            <w:tcW w:w="1013" w:type="dxa"/>
            <w:tcBorders>
              <w:top w:val="single" w:sz="4" w:space="0" w:color="auto"/>
              <w:left w:val="nil"/>
              <w:bottom w:val="nil"/>
              <w:right w:val="nil"/>
            </w:tcBorders>
            <w:shd w:val="clear" w:color="000000" w:fill="F2F2F2"/>
            <w:noWrap/>
            <w:vAlign w:val="center"/>
            <w:hideMark/>
          </w:tcPr>
          <w:p w14:paraId="0AB5A430"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927</w:t>
            </w:r>
          </w:p>
        </w:tc>
        <w:tc>
          <w:tcPr>
            <w:tcW w:w="1009" w:type="dxa"/>
            <w:tcBorders>
              <w:top w:val="single" w:sz="4" w:space="0" w:color="auto"/>
              <w:left w:val="nil"/>
              <w:bottom w:val="nil"/>
              <w:right w:val="nil"/>
            </w:tcBorders>
            <w:shd w:val="clear" w:color="000000" w:fill="F2F2F2"/>
            <w:noWrap/>
            <w:vAlign w:val="center"/>
            <w:hideMark/>
          </w:tcPr>
          <w:p w14:paraId="75687D6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3,803</w:t>
            </w:r>
          </w:p>
        </w:tc>
        <w:tc>
          <w:tcPr>
            <w:tcW w:w="979" w:type="dxa"/>
            <w:tcBorders>
              <w:top w:val="single" w:sz="4" w:space="0" w:color="auto"/>
              <w:left w:val="nil"/>
              <w:bottom w:val="nil"/>
              <w:right w:val="nil"/>
            </w:tcBorders>
            <w:shd w:val="clear" w:color="000000" w:fill="F2F2F2"/>
            <w:noWrap/>
            <w:vAlign w:val="center"/>
            <w:hideMark/>
          </w:tcPr>
          <w:p w14:paraId="449FF2E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3,524</w:t>
            </w:r>
          </w:p>
        </w:tc>
        <w:tc>
          <w:tcPr>
            <w:tcW w:w="1008" w:type="dxa"/>
            <w:tcBorders>
              <w:top w:val="single" w:sz="4" w:space="0" w:color="auto"/>
              <w:left w:val="nil"/>
              <w:bottom w:val="nil"/>
              <w:right w:val="nil"/>
            </w:tcBorders>
            <w:shd w:val="clear" w:color="000000" w:fill="F2F2F2"/>
            <w:noWrap/>
            <w:vAlign w:val="center"/>
            <w:hideMark/>
          </w:tcPr>
          <w:p w14:paraId="47371031"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3,013</w:t>
            </w:r>
          </w:p>
        </w:tc>
        <w:tc>
          <w:tcPr>
            <w:tcW w:w="973" w:type="dxa"/>
            <w:tcBorders>
              <w:top w:val="single" w:sz="4" w:space="0" w:color="auto"/>
              <w:left w:val="nil"/>
              <w:bottom w:val="nil"/>
              <w:right w:val="nil"/>
            </w:tcBorders>
            <w:shd w:val="clear" w:color="000000" w:fill="F2F2F2"/>
            <w:noWrap/>
            <w:vAlign w:val="center"/>
            <w:hideMark/>
          </w:tcPr>
          <w:p w14:paraId="2674F41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3,666</w:t>
            </w:r>
          </w:p>
        </w:tc>
        <w:tc>
          <w:tcPr>
            <w:tcW w:w="1064" w:type="dxa"/>
            <w:tcBorders>
              <w:top w:val="single" w:sz="4" w:space="0" w:color="auto"/>
              <w:left w:val="nil"/>
              <w:bottom w:val="nil"/>
              <w:right w:val="nil"/>
            </w:tcBorders>
            <w:shd w:val="clear" w:color="000000" w:fill="FFFFFF"/>
            <w:noWrap/>
            <w:vAlign w:val="center"/>
            <w:hideMark/>
          </w:tcPr>
          <w:p w14:paraId="6FC479A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14,006</w:t>
            </w:r>
          </w:p>
        </w:tc>
      </w:tr>
      <w:tr w:rsidR="00324F86" w:rsidRPr="0079098C" w14:paraId="34B42D4A" w14:textId="77777777" w:rsidTr="005D7BA3">
        <w:trPr>
          <w:trHeight w:val="285"/>
        </w:trPr>
        <w:tc>
          <w:tcPr>
            <w:tcW w:w="3810" w:type="dxa"/>
            <w:tcBorders>
              <w:top w:val="single" w:sz="4" w:space="0" w:color="auto"/>
              <w:left w:val="nil"/>
              <w:bottom w:val="single" w:sz="4" w:space="0" w:color="auto"/>
              <w:right w:val="nil"/>
            </w:tcBorders>
            <w:shd w:val="clear" w:color="000000" w:fill="FFFFFF"/>
            <w:noWrap/>
            <w:vAlign w:val="center"/>
            <w:hideMark/>
          </w:tcPr>
          <w:p w14:paraId="34F5AF1B" w14:textId="04A28AD2"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xml:space="preserve">Revenue </w:t>
            </w:r>
            <w:r w:rsidR="0069437C">
              <w:rPr>
                <w:rFonts w:ascii="Public Sans" w:hAnsi="Public Sans" w:cs="Calibri"/>
                <w:b/>
                <w:bCs/>
                <w:sz w:val="16"/>
                <w:szCs w:val="16"/>
                <w:lang w:val="en-AU" w:eastAsia="en-AU"/>
              </w:rPr>
              <w:t>–</w:t>
            </w:r>
            <w:r w:rsidRPr="0079098C">
              <w:rPr>
                <w:rFonts w:ascii="Public Sans" w:hAnsi="Public Sans" w:cs="Calibri"/>
                <w:b/>
                <w:bCs/>
                <w:sz w:val="16"/>
                <w:szCs w:val="16"/>
                <w:lang w:val="en-AU" w:eastAsia="en-AU"/>
              </w:rPr>
              <w:t xml:space="preserve"> 2023-24 Budget</w:t>
            </w:r>
          </w:p>
        </w:tc>
        <w:tc>
          <w:tcPr>
            <w:tcW w:w="1013" w:type="dxa"/>
            <w:tcBorders>
              <w:top w:val="single" w:sz="4" w:space="0" w:color="auto"/>
              <w:left w:val="nil"/>
              <w:bottom w:val="single" w:sz="4" w:space="0" w:color="auto"/>
              <w:right w:val="nil"/>
            </w:tcBorders>
            <w:shd w:val="clear" w:color="000000" w:fill="F2F2F2"/>
            <w:noWrap/>
            <w:vAlign w:val="center"/>
            <w:hideMark/>
          </w:tcPr>
          <w:p w14:paraId="504B5B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106,171</w:t>
            </w:r>
          </w:p>
        </w:tc>
        <w:tc>
          <w:tcPr>
            <w:tcW w:w="1009" w:type="dxa"/>
            <w:tcBorders>
              <w:top w:val="single" w:sz="4" w:space="0" w:color="auto"/>
              <w:left w:val="nil"/>
              <w:bottom w:val="single" w:sz="4" w:space="0" w:color="auto"/>
              <w:right w:val="nil"/>
            </w:tcBorders>
            <w:shd w:val="clear" w:color="000000" w:fill="F2F2F2"/>
            <w:noWrap/>
            <w:vAlign w:val="center"/>
            <w:hideMark/>
          </w:tcPr>
          <w:p w14:paraId="760D9BC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112,379</w:t>
            </w:r>
          </w:p>
        </w:tc>
        <w:tc>
          <w:tcPr>
            <w:tcW w:w="979" w:type="dxa"/>
            <w:tcBorders>
              <w:top w:val="single" w:sz="4" w:space="0" w:color="auto"/>
              <w:left w:val="nil"/>
              <w:bottom w:val="single" w:sz="4" w:space="0" w:color="auto"/>
              <w:right w:val="nil"/>
            </w:tcBorders>
            <w:shd w:val="clear" w:color="000000" w:fill="F2F2F2"/>
            <w:noWrap/>
            <w:vAlign w:val="center"/>
            <w:hideMark/>
          </w:tcPr>
          <w:p w14:paraId="031D954F"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117,307</w:t>
            </w:r>
          </w:p>
        </w:tc>
        <w:tc>
          <w:tcPr>
            <w:tcW w:w="1008" w:type="dxa"/>
            <w:tcBorders>
              <w:top w:val="single" w:sz="4" w:space="0" w:color="auto"/>
              <w:left w:val="nil"/>
              <w:bottom w:val="single" w:sz="4" w:space="0" w:color="auto"/>
              <w:right w:val="nil"/>
            </w:tcBorders>
            <w:shd w:val="clear" w:color="000000" w:fill="F2F2F2"/>
            <w:noWrap/>
            <w:vAlign w:val="center"/>
            <w:hideMark/>
          </w:tcPr>
          <w:p w14:paraId="20F5A8C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118,706</w:t>
            </w:r>
          </w:p>
        </w:tc>
        <w:tc>
          <w:tcPr>
            <w:tcW w:w="973" w:type="dxa"/>
            <w:tcBorders>
              <w:top w:val="single" w:sz="4" w:space="0" w:color="auto"/>
              <w:left w:val="nil"/>
              <w:bottom w:val="single" w:sz="4" w:space="0" w:color="auto"/>
              <w:right w:val="nil"/>
            </w:tcBorders>
            <w:shd w:val="clear" w:color="000000" w:fill="F2F2F2"/>
            <w:noWrap/>
            <w:vAlign w:val="center"/>
            <w:hideMark/>
          </w:tcPr>
          <w:p w14:paraId="0B58B32A"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121,571</w:t>
            </w:r>
          </w:p>
        </w:tc>
        <w:tc>
          <w:tcPr>
            <w:tcW w:w="1064" w:type="dxa"/>
            <w:tcBorders>
              <w:top w:val="single" w:sz="4" w:space="0" w:color="auto"/>
              <w:left w:val="nil"/>
              <w:bottom w:val="single" w:sz="4" w:space="0" w:color="auto"/>
              <w:right w:val="nil"/>
            </w:tcBorders>
            <w:shd w:val="clear" w:color="000000" w:fill="FFFFFF"/>
            <w:noWrap/>
            <w:vAlign w:val="center"/>
            <w:hideMark/>
          </w:tcPr>
          <w:p w14:paraId="64DE06B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469,964</w:t>
            </w:r>
          </w:p>
        </w:tc>
      </w:tr>
    </w:tbl>
    <w:p w14:paraId="050038B7" w14:textId="77777777" w:rsidR="001E12ED" w:rsidRPr="001E12ED" w:rsidRDefault="001E12ED" w:rsidP="001E12ED">
      <w:pPr>
        <w:rPr>
          <w:lang w:val="en-AU"/>
        </w:rPr>
      </w:pPr>
    </w:p>
    <w:p w14:paraId="457BC53B" w14:textId="20FB79D5" w:rsidR="00DC694F" w:rsidRDefault="00DC694F" w:rsidP="00DC694F">
      <w:pPr>
        <w:pStyle w:val="41Heading2"/>
      </w:pPr>
      <w:r>
        <w:t>Revenue measures since the 2023 Pre-election Budget Update</w:t>
      </w:r>
    </w:p>
    <w:p w14:paraId="56E40E92" w14:textId="4D6E4E46" w:rsidR="002C40E8" w:rsidRPr="002C40E8" w:rsidRDefault="00EF2C89" w:rsidP="00E4551D">
      <w:pPr>
        <w:pStyle w:val="BodyText"/>
      </w:pPr>
      <w:r>
        <w:t>Revenue measures</w:t>
      </w:r>
      <w:r w:rsidR="0059697E">
        <w:t xml:space="preserve"> since the </w:t>
      </w:r>
      <w:r w:rsidR="00AF54F3" w:rsidRPr="7748D422">
        <w:rPr>
          <w:lang w:val="en-US"/>
        </w:rPr>
        <w:t>2023 Pre-election Budget Update</w:t>
      </w:r>
      <w:r w:rsidR="00AF54F3">
        <w:t xml:space="preserve"> </w:t>
      </w:r>
      <w:r w:rsidR="005618C5">
        <w:t>are forecast</w:t>
      </w:r>
      <w:r w:rsidR="002C40E8">
        <w:t xml:space="preserve"> to </w:t>
      </w:r>
      <w:r w:rsidR="002C40E8" w:rsidRPr="00C3683B">
        <w:t>increase</w:t>
      </w:r>
      <w:r w:rsidR="002C40E8">
        <w:t xml:space="preserve"> revenue by $</w:t>
      </w:r>
      <w:r w:rsidR="00662BE9" w:rsidRPr="00813871">
        <w:t>154</w:t>
      </w:r>
      <w:r w:rsidR="002E0F95" w:rsidRPr="00813871">
        <w:t>.0</w:t>
      </w:r>
      <w:r w:rsidR="002C40E8">
        <w:t xml:space="preserve"> million in 2023-24 and by $</w:t>
      </w:r>
      <w:r w:rsidR="002E0F95" w:rsidRPr="00813871">
        <w:t>4.1</w:t>
      </w:r>
      <w:r w:rsidR="002C40E8">
        <w:t xml:space="preserve"> billion over the four years to </w:t>
      </w:r>
      <w:r w:rsidR="00464FDF">
        <w:t>202</w:t>
      </w:r>
      <w:r w:rsidR="47901DCA">
        <w:t>6</w:t>
      </w:r>
      <w:r w:rsidR="004D6DED">
        <w:t>-2</w:t>
      </w:r>
      <w:r w:rsidR="5794840A">
        <w:t>7</w:t>
      </w:r>
      <w:r w:rsidR="002C40E8">
        <w:t xml:space="preserve">. </w:t>
      </w:r>
    </w:p>
    <w:p w14:paraId="6BE76691" w14:textId="65E49F07" w:rsidR="00B74D67" w:rsidRPr="00B74D67" w:rsidRDefault="00D84E2A" w:rsidP="00E4551D">
      <w:pPr>
        <w:pStyle w:val="BodyText"/>
      </w:pPr>
      <w:r>
        <w:t>Expenditure</w:t>
      </w:r>
      <w:r w:rsidR="00410470">
        <w:t xml:space="preserve"> and capital decisions </w:t>
      </w:r>
      <w:r>
        <w:t>(with</w:t>
      </w:r>
      <w:r w:rsidR="00410470">
        <w:t xml:space="preserve"> an indirect impact on revenue</w:t>
      </w:r>
      <w:r>
        <w:t>)</w:t>
      </w:r>
      <w:r w:rsidR="00F85985">
        <w:t xml:space="preserve"> are forecast to have a net </w:t>
      </w:r>
      <w:r w:rsidR="004920F8" w:rsidRPr="00C3683B">
        <w:t>negative</w:t>
      </w:r>
      <w:r w:rsidR="00872FB5">
        <w:t xml:space="preserve"> impact </w:t>
      </w:r>
      <w:r w:rsidR="0046252D">
        <w:t>of $</w:t>
      </w:r>
      <w:r w:rsidR="00662BE9" w:rsidRPr="00813871">
        <w:t>2.6</w:t>
      </w:r>
      <w:r w:rsidR="00DD258B">
        <w:t xml:space="preserve"> </w:t>
      </w:r>
      <w:r w:rsidR="00302018">
        <w:t>billion</w:t>
      </w:r>
      <w:r w:rsidR="00801741">
        <w:t xml:space="preserve"> over the four years </w:t>
      </w:r>
      <w:r w:rsidR="00DD258B">
        <w:t>to</w:t>
      </w:r>
      <w:r w:rsidR="00801741">
        <w:t xml:space="preserve"> </w:t>
      </w:r>
      <w:r w:rsidR="00464FDF">
        <w:t>202</w:t>
      </w:r>
      <w:r w:rsidR="120370CF">
        <w:t>6</w:t>
      </w:r>
      <w:r w:rsidR="00F373C7">
        <w:t>-2</w:t>
      </w:r>
      <w:r w:rsidR="742E189A">
        <w:t>7</w:t>
      </w:r>
      <w:r w:rsidR="002024EE">
        <w:t>. T</w:t>
      </w:r>
      <w:r w:rsidR="006B7C6D">
        <w:t>his</w:t>
      </w:r>
      <w:r w:rsidR="004D3D80">
        <w:t xml:space="preserve"> </w:t>
      </w:r>
      <w:r w:rsidR="004F10C5">
        <w:t>is primarily due to</w:t>
      </w:r>
      <w:r w:rsidR="008D65B8">
        <w:t xml:space="preserve"> reduced</w:t>
      </w:r>
      <w:r w:rsidR="00944A62">
        <w:t xml:space="preserve"> </w:t>
      </w:r>
      <w:r w:rsidR="00EA6E80">
        <w:t xml:space="preserve">revenue from </w:t>
      </w:r>
      <w:r w:rsidR="00906439">
        <w:t>the</w:t>
      </w:r>
      <w:r w:rsidR="00B74D67" w:rsidRPr="00B74D67">
        <w:t xml:space="preserve"> transition</w:t>
      </w:r>
      <w:r w:rsidR="00A12D45">
        <w:t xml:space="preserve"> of</w:t>
      </w:r>
      <w:r w:rsidR="00B74D67" w:rsidRPr="00B74D67">
        <w:t xml:space="preserve"> the </w:t>
      </w:r>
      <w:r w:rsidR="00B74D67" w:rsidRPr="00C3683B">
        <w:t xml:space="preserve">Transport Asset Holding Entity (TAHE) from its current operating model </w:t>
      </w:r>
      <w:r w:rsidR="0080708F" w:rsidRPr="00C3683B">
        <w:t>as</w:t>
      </w:r>
      <w:r w:rsidR="00B74D67" w:rsidRPr="00C3683B">
        <w:t xml:space="preserve"> a statutory State Owned Corporation (SOC) to operating as a non</w:t>
      </w:r>
      <w:r w:rsidR="00BD37AC">
        <w:noBreakHyphen/>
      </w:r>
      <w:r w:rsidR="00B74D67" w:rsidRPr="00C3683B">
        <w:t>commercial public non-financial corporation (PNFC). </w:t>
      </w:r>
      <w:r w:rsidR="004F10C5" w:rsidRPr="00C3683B" w:rsidDel="004F10C5">
        <w:t xml:space="preserve"> </w:t>
      </w:r>
    </w:p>
    <w:p w14:paraId="2953C5F6" w14:textId="6570956D" w:rsidR="00A43DB6" w:rsidRDefault="00063AF9" w:rsidP="00E4551D">
      <w:pPr>
        <w:pStyle w:val="BodyText"/>
      </w:pPr>
      <w:r w:rsidRPr="00063AF9">
        <w:t>Key revenue decisions s</w:t>
      </w:r>
      <w:r>
        <w:t xml:space="preserve">ince the </w:t>
      </w:r>
      <w:r w:rsidR="00DF6716">
        <w:t>2023 Pre-election Budget Update</w:t>
      </w:r>
      <w:r w:rsidR="00857BB0">
        <w:t xml:space="preserve"> are set out below</w:t>
      </w:r>
      <w:r w:rsidR="005B2F40">
        <w:t>.</w:t>
      </w:r>
    </w:p>
    <w:p w14:paraId="7BE89CE7" w14:textId="77777777" w:rsidR="00B87BA0" w:rsidRDefault="00B87BA0" w:rsidP="00E4551D">
      <w:pPr>
        <w:pStyle w:val="BodyText"/>
      </w:pPr>
    </w:p>
    <w:p w14:paraId="2D0EE0D7" w14:textId="77777777" w:rsidR="00204291" w:rsidRDefault="00204291" w:rsidP="00E4551D">
      <w:pPr>
        <w:pStyle w:val="BodyText"/>
      </w:pPr>
    </w:p>
    <w:p w14:paraId="6E5C7408" w14:textId="77777777" w:rsidR="000615E0" w:rsidRDefault="000615E0">
      <w:pPr>
        <w:rPr>
          <w:rFonts w:ascii="Public Sans SemiBold" w:hAnsi="Public Sans SemiBold"/>
          <w:b/>
          <w:color w:val="22272B"/>
          <w:kern w:val="28"/>
          <w:sz w:val="24"/>
          <w:szCs w:val="36"/>
          <w:lang w:val="en-AU"/>
        </w:rPr>
      </w:pPr>
      <w:r>
        <w:br w:type="page"/>
      </w:r>
    </w:p>
    <w:p w14:paraId="44006BA0" w14:textId="1731D8F2" w:rsidR="002C2EEE" w:rsidRDefault="002C2EEE" w:rsidP="00953E69">
      <w:pPr>
        <w:pStyle w:val="Heading4"/>
      </w:pPr>
      <w:r>
        <w:lastRenderedPageBreak/>
        <w:t>Increased coal royalty rates</w:t>
      </w:r>
    </w:p>
    <w:p w14:paraId="5F2DA0AE" w14:textId="1C291347" w:rsidR="002C2EEE" w:rsidRDefault="002C2EEE" w:rsidP="00E4551D">
      <w:pPr>
        <w:pStyle w:val="BodyText"/>
        <w:rPr>
          <w:lang w:val="en-US"/>
        </w:rPr>
      </w:pPr>
      <w:r w:rsidRPr="00D50D7B">
        <w:t>The Government will increase coal royalty rates from 1 July 2024. This measure will contribute to fiscal repair and ensure that N</w:t>
      </w:r>
      <w:r w:rsidR="00914838">
        <w:t xml:space="preserve">ew </w:t>
      </w:r>
      <w:r w:rsidRPr="00D50D7B">
        <w:t>S</w:t>
      </w:r>
      <w:r w:rsidR="00914838">
        <w:t xml:space="preserve">outh </w:t>
      </w:r>
      <w:r w:rsidRPr="00D50D7B">
        <w:t>W</w:t>
      </w:r>
      <w:r w:rsidR="00914838">
        <w:t>ales</w:t>
      </w:r>
      <w:r w:rsidRPr="00D50D7B">
        <w:t xml:space="preserve"> receives a fair return on its natural resources in the current market environment of persistently high coal prices.</w:t>
      </w:r>
      <w:r>
        <w:t xml:space="preserve"> </w:t>
      </w:r>
      <w:r w:rsidRPr="005C07EB">
        <w:rPr>
          <w:lang w:val="en-US"/>
        </w:rPr>
        <w:t>This measure is estimated to increase coal royalties revenue by $</w:t>
      </w:r>
      <w:r w:rsidRPr="00813871">
        <w:rPr>
          <w:lang w:val="en-US"/>
        </w:rPr>
        <w:t>2.</w:t>
      </w:r>
      <w:r w:rsidR="00A631B6">
        <w:rPr>
          <w:lang w:val="en-US"/>
        </w:rPr>
        <w:t>7</w:t>
      </w:r>
      <w:r w:rsidRPr="005C07EB">
        <w:rPr>
          <w:lang w:val="en-US"/>
        </w:rPr>
        <w:t xml:space="preserve"> </w:t>
      </w:r>
      <w:r>
        <w:rPr>
          <w:lang w:val="en-US"/>
        </w:rPr>
        <w:t>b</w:t>
      </w:r>
      <w:r w:rsidRPr="005C07EB">
        <w:rPr>
          <w:lang w:val="en-US"/>
        </w:rPr>
        <w:t xml:space="preserve">illion over the </w:t>
      </w:r>
      <w:r w:rsidR="00A631B6">
        <w:rPr>
          <w:lang w:val="en-US"/>
        </w:rPr>
        <w:t>four</w:t>
      </w:r>
      <w:r w:rsidR="00A631B6" w:rsidRPr="005C07EB">
        <w:rPr>
          <w:lang w:val="en-US"/>
        </w:rPr>
        <w:t xml:space="preserve"> </w:t>
      </w:r>
      <w:r w:rsidRPr="005C07EB">
        <w:rPr>
          <w:lang w:val="en-US"/>
        </w:rPr>
        <w:t xml:space="preserve">years to </w:t>
      </w:r>
      <w:r w:rsidR="00D50051">
        <w:rPr>
          <w:lang w:val="en-US"/>
        </w:rPr>
        <w:t>December 2027</w:t>
      </w:r>
      <w:r w:rsidRPr="005C07EB">
        <w:rPr>
          <w:lang w:val="en-US"/>
        </w:rPr>
        <w:t xml:space="preserve">. For more information see Box </w:t>
      </w:r>
      <w:r w:rsidRPr="00813871">
        <w:rPr>
          <w:lang w:val="en-US"/>
        </w:rPr>
        <w:t>4.4</w:t>
      </w:r>
      <w:r w:rsidRPr="005C07EB">
        <w:rPr>
          <w:lang w:val="en-US"/>
        </w:rPr>
        <w:t>.</w:t>
      </w:r>
    </w:p>
    <w:p w14:paraId="05084709" w14:textId="4BA731EC" w:rsidR="00090BE2" w:rsidRPr="00090BE2" w:rsidRDefault="007D055A" w:rsidP="00757ED0">
      <w:pPr>
        <w:pStyle w:val="Heading4"/>
      </w:pPr>
      <w:r>
        <w:t xml:space="preserve">Expansion of the First Home Buyers Assistance Scheme </w:t>
      </w:r>
    </w:p>
    <w:p w14:paraId="4BBEBC9C" w14:textId="292288AB" w:rsidR="00DE5DB5" w:rsidRPr="00011D7F" w:rsidRDefault="00DE5DB5" w:rsidP="00E4551D">
      <w:pPr>
        <w:pStyle w:val="BodyText"/>
      </w:pPr>
      <w:r w:rsidRPr="00011D7F">
        <w:t xml:space="preserve">The Government has delivered </w:t>
      </w:r>
      <w:r w:rsidRPr="007C56D8">
        <w:t xml:space="preserve">on its </w:t>
      </w:r>
      <w:r w:rsidR="007C56D8" w:rsidRPr="007C56D8">
        <w:t>commitment to expand the First Home Buyers Assistance Scheme</w:t>
      </w:r>
      <w:r w:rsidR="00C33DD4">
        <w:t>.</w:t>
      </w:r>
      <w:r w:rsidRPr="00011D7F">
        <w:t xml:space="preserve"> </w:t>
      </w:r>
      <w:r w:rsidR="003A1F19" w:rsidRPr="003A1F19">
        <w:t xml:space="preserve">The expansion of the First Home Buyers Assistance Scheme </w:t>
      </w:r>
      <w:r w:rsidR="00C54D64">
        <w:t xml:space="preserve">is set to deliver </w:t>
      </w:r>
      <w:r w:rsidR="00763948">
        <w:t xml:space="preserve">an estimated </w:t>
      </w:r>
      <w:r w:rsidR="003A1F19" w:rsidRPr="003A1F19">
        <w:t xml:space="preserve">$998.2 million </w:t>
      </w:r>
      <w:r w:rsidR="00162B6F">
        <w:t xml:space="preserve">saving for first home buyers </w:t>
      </w:r>
      <w:r w:rsidR="003A1F19" w:rsidRPr="003A1F19">
        <w:t>over the four years to 2026</w:t>
      </w:r>
      <w:r w:rsidR="00AB2D60">
        <w:noBreakHyphen/>
      </w:r>
      <w:r w:rsidR="003A1F19" w:rsidRPr="003A1F19">
        <w:t>27</w:t>
      </w:r>
      <w:r w:rsidRPr="00011D7F">
        <w:t>.</w:t>
      </w:r>
    </w:p>
    <w:p w14:paraId="6F56775F" w14:textId="77F31725" w:rsidR="00DE5DB5" w:rsidRPr="00011D7F" w:rsidRDefault="00DE5DB5" w:rsidP="00E4551D">
      <w:pPr>
        <w:pStyle w:val="BodyText"/>
      </w:pPr>
      <w:r w:rsidRPr="00011D7F">
        <w:t xml:space="preserve">Since 1 July 2023, first home buyers who sign contracts to purchase a home have had access to higher stamp duty </w:t>
      </w:r>
      <w:r w:rsidR="002A6A03">
        <w:t xml:space="preserve">exemption or concession </w:t>
      </w:r>
      <w:r w:rsidRPr="00011D7F">
        <w:t>thresholds under the First Home Buyers Assistance Scheme. First home buyers purchasing a new or existing home can benefit from a full stamp duty exemption for purchases up to $800,000</w:t>
      </w:r>
      <w:r w:rsidR="00C27E1A">
        <w:t xml:space="preserve"> </w:t>
      </w:r>
      <w:r w:rsidR="0018222F">
        <w:t xml:space="preserve">or </w:t>
      </w:r>
      <w:r w:rsidRPr="00011D7F">
        <w:t>receive a stamp duty concession for purchase</w:t>
      </w:r>
      <w:r w:rsidR="0018222F">
        <w:t>s</w:t>
      </w:r>
      <w:r w:rsidRPr="00011D7F">
        <w:t xml:space="preserve"> between $800,000 and $1 million.</w:t>
      </w:r>
    </w:p>
    <w:p w14:paraId="4CBA17BF" w14:textId="77777777" w:rsidR="00763948" w:rsidRPr="00813871" w:rsidRDefault="00763948" w:rsidP="00E4551D">
      <w:pPr>
        <w:pStyle w:val="BodyText"/>
      </w:pPr>
      <w:r>
        <w:t xml:space="preserve">Under the former Government’s First Home Buyer Choice, eligible first home buyers did not have to pay stamp duty but were required to pay an annual property tax. From 1 July 2023 this scheme was closed off to new applicants, saving </w:t>
      </w:r>
      <w:r w:rsidRPr="003A1F19">
        <w:t>$</w:t>
      </w:r>
      <w:r w:rsidRPr="00813871">
        <w:t>660.</w:t>
      </w:r>
      <w:r>
        <w:t>0</w:t>
      </w:r>
      <w:r w:rsidRPr="003A1F19">
        <w:t xml:space="preserve"> million over the </w:t>
      </w:r>
      <w:r>
        <w:t>four years to 2026</w:t>
      </w:r>
      <w:r>
        <w:noBreakHyphen/>
        <w:t>27. F</w:t>
      </w:r>
      <w:r w:rsidRPr="00011D7F">
        <w:t xml:space="preserve">irst home buyers who signed contracts </w:t>
      </w:r>
      <w:r w:rsidRPr="002A40FD">
        <w:t>before</w:t>
      </w:r>
      <w:r w:rsidRPr="00011D7F">
        <w:t xml:space="preserve"> 1 July 2023 and opted into First Home Buyer Choice have been grandfathered </w:t>
      </w:r>
      <w:r>
        <w:t>and</w:t>
      </w:r>
      <w:r w:rsidRPr="00011D7F">
        <w:t xml:space="preserve"> </w:t>
      </w:r>
      <w:r>
        <w:t>will continue to pay the</w:t>
      </w:r>
      <w:r w:rsidRPr="00011D7F">
        <w:t xml:space="preserve"> annual property tax until </w:t>
      </w:r>
      <w:r>
        <w:t xml:space="preserve">they sell their </w:t>
      </w:r>
      <w:r w:rsidRPr="00011D7F">
        <w:t>property</w:t>
      </w:r>
      <w:r>
        <w:t xml:space="preserve">. </w:t>
      </w:r>
    </w:p>
    <w:p w14:paraId="5A058C93" w14:textId="357FAF97" w:rsidR="00294D71" w:rsidRDefault="00CA095D" w:rsidP="00014057">
      <w:pPr>
        <w:pStyle w:val="Heading4"/>
      </w:pPr>
      <w:r>
        <w:t xml:space="preserve">Tax </w:t>
      </w:r>
      <w:r w:rsidR="00ED5692">
        <w:t>i</w:t>
      </w:r>
      <w:r>
        <w:t>ntegrity a</w:t>
      </w:r>
      <w:r w:rsidR="00C4781B">
        <w:t xml:space="preserve">nd </w:t>
      </w:r>
      <w:r w:rsidR="00ED5692">
        <w:t>f</w:t>
      </w:r>
      <w:r w:rsidR="00C4781B">
        <w:t xml:space="preserve">airness </w:t>
      </w:r>
      <w:r w:rsidR="00ED5692">
        <w:t>m</w:t>
      </w:r>
      <w:r w:rsidR="00C4781B">
        <w:t>easures</w:t>
      </w:r>
    </w:p>
    <w:p w14:paraId="112DE911" w14:textId="2814386B" w:rsidR="00C44CEB" w:rsidRDefault="00294D71" w:rsidP="00E4551D">
      <w:pPr>
        <w:pStyle w:val="BodyText"/>
      </w:pPr>
      <w:r>
        <w:t xml:space="preserve">Duty relief on corporate </w:t>
      </w:r>
      <w:r w:rsidR="00B456FF">
        <w:t>reconstructions</w:t>
      </w:r>
      <w:r>
        <w:t xml:space="preserve"> will change. </w:t>
      </w:r>
      <w:r w:rsidR="00C44CEB" w:rsidRPr="00CA54C2">
        <w:t xml:space="preserve">The transfer of assets between the members of a single corporate group for the purpose of restructuring is exempt from transfer duty under certain circumstances. This exemption for corporate reconstructions will be replaced with concessional duty charged at 10 per cent of the duty otherwise payable, applying to transactions occurring on or after 1 February 2024. </w:t>
      </w:r>
    </w:p>
    <w:p w14:paraId="2AF88F38" w14:textId="6F2E40B5" w:rsidR="00294D71" w:rsidRDefault="00294D71" w:rsidP="00E4551D">
      <w:pPr>
        <w:pStyle w:val="BodyText"/>
      </w:pPr>
      <w:r>
        <w:t xml:space="preserve">Additional integrity </w:t>
      </w:r>
      <w:r w:rsidR="00E943C8">
        <w:t>measures</w:t>
      </w:r>
      <w:r>
        <w:t xml:space="preserve"> include changes to the minimum ownership requirement for the principal place of residence</w:t>
      </w:r>
      <w:r w:rsidR="00A9285F">
        <w:t xml:space="preserve"> exemptions</w:t>
      </w:r>
      <w:r w:rsidR="00FD1BD0">
        <w:t>,</w:t>
      </w:r>
      <w:r w:rsidR="00785E09">
        <w:t xml:space="preserve"> </w:t>
      </w:r>
      <w:r w:rsidR="00CE6543">
        <w:t xml:space="preserve">reducing the threshold for the acquisition </w:t>
      </w:r>
      <w:r w:rsidR="00797D08">
        <w:t>of a</w:t>
      </w:r>
      <w:r w:rsidR="007A6C02">
        <w:t xml:space="preserve"> </w:t>
      </w:r>
      <w:r w:rsidR="00CE6543">
        <w:t>significant interest in a private unit trust</w:t>
      </w:r>
      <w:r w:rsidR="00E47926">
        <w:t>,</w:t>
      </w:r>
      <w:r w:rsidR="00DF5D09">
        <w:t xml:space="preserve"> </w:t>
      </w:r>
      <w:r w:rsidR="00CE6543">
        <w:t>increases to fixed or nominal duty</w:t>
      </w:r>
      <w:r w:rsidR="00E47926">
        <w:t xml:space="preserve"> and clarifying the grounds for the remission of interest</w:t>
      </w:r>
      <w:r>
        <w:t>.</w:t>
      </w:r>
    </w:p>
    <w:p w14:paraId="13889C24" w14:textId="77777777" w:rsidR="006A1BB5" w:rsidRPr="00954D45" w:rsidRDefault="006A1BB5" w:rsidP="005F5955">
      <w:pPr>
        <w:pStyle w:val="Heading4"/>
      </w:pPr>
      <w:r w:rsidRPr="00954D45">
        <w:t>Additional compliance investments for payroll tax, land tax and transfer duty</w:t>
      </w:r>
    </w:p>
    <w:p w14:paraId="637748FB" w14:textId="4A6B6FA9" w:rsidR="00F506FA" w:rsidRDefault="39A96B87" w:rsidP="00E4551D">
      <w:pPr>
        <w:pStyle w:val="BodyText"/>
      </w:pPr>
      <w:r>
        <w:t xml:space="preserve">The Government is </w:t>
      </w:r>
      <w:r w:rsidR="00587A24">
        <w:t>making</w:t>
      </w:r>
      <w:r>
        <w:t xml:space="preserve"> additional investment</w:t>
      </w:r>
      <w:r w:rsidR="00FF212F">
        <w:t>s</w:t>
      </w:r>
      <w:r>
        <w:t xml:space="preserve"> </w:t>
      </w:r>
      <w:r w:rsidR="00587A24">
        <w:t>in</w:t>
      </w:r>
      <w:r>
        <w:t xml:space="preserve"> </w:t>
      </w:r>
      <w:r w:rsidR="0073574A">
        <w:t xml:space="preserve">the </w:t>
      </w:r>
      <w:r>
        <w:t xml:space="preserve">compliance </w:t>
      </w:r>
      <w:r w:rsidR="0073574A">
        <w:t>systems of Revenue NSW</w:t>
      </w:r>
      <w:r>
        <w:t xml:space="preserve">. This is expected to increase </w:t>
      </w:r>
      <w:r w:rsidR="00FE5023">
        <w:t xml:space="preserve">payroll tax </w:t>
      </w:r>
      <w:r w:rsidR="00C677C2">
        <w:t xml:space="preserve">revenue </w:t>
      </w:r>
      <w:r w:rsidR="00FE5023">
        <w:t>by $</w:t>
      </w:r>
      <w:r w:rsidR="00FE5023" w:rsidRPr="00813871">
        <w:t>337.0</w:t>
      </w:r>
      <w:r w:rsidR="00FE5023">
        <w:t xml:space="preserve"> million,</w:t>
      </w:r>
      <w:r>
        <w:t xml:space="preserve"> land tax revenue by $</w:t>
      </w:r>
      <w:r w:rsidR="008A6F3C" w:rsidRPr="00813871">
        <w:t>225.5</w:t>
      </w:r>
      <w:r w:rsidR="00AC4EF2">
        <w:t> </w:t>
      </w:r>
      <w:r>
        <w:t>million</w:t>
      </w:r>
      <w:r w:rsidDel="00702BC6">
        <w:t xml:space="preserve"> and </w:t>
      </w:r>
      <w:r>
        <w:t>transfer duty revenue by $</w:t>
      </w:r>
      <w:r w:rsidR="008A6F3C" w:rsidRPr="00813871">
        <w:t>87.5</w:t>
      </w:r>
      <w:r w:rsidR="008E7E7E" w:rsidDel="00CF4841">
        <w:t xml:space="preserve"> </w:t>
      </w:r>
      <w:r w:rsidDel="00CF4841">
        <w:t xml:space="preserve">million </w:t>
      </w:r>
      <w:r>
        <w:t xml:space="preserve">over the four years to 2026-27. </w:t>
      </w:r>
    </w:p>
    <w:p w14:paraId="6982D4CA" w14:textId="5ED1A886" w:rsidR="00C44CEB" w:rsidRPr="00921438" w:rsidRDefault="00C44CEB" w:rsidP="00953E69">
      <w:pPr>
        <w:pStyle w:val="Heading4"/>
      </w:pPr>
      <w:r w:rsidRPr="00921438">
        <w:t xml:space="preserve">Removal of </w:t>
      </w:r>
      <w:r w:rsidR="005415F4">
        <w:t>s</w:t>
      </w:r>
      <w:r w:rsidRPr="00921438">
        <w:t xml:space="preserve">tamp </w:t>
      </w:r>
      <w:r w:rsidR="005415F4">
        <w:t>d</w:t>
      </w:r>
      <w:r w:rsidRPr="00921438">
        <w:t xml:space="preserve">uty </w:t>
      </w:r>
      <w:r w:rsidR="005415F4">
        <w:t>e</w:t>
      </w:r>
      <w:r>
        <w:t xml:space="preserve">xemption </w:t>
      </w:r>
      <w:r w:rsidRPr="00921438">
        <w:t xml:space="preserve">and </w:t>
      </w:r>
      <w:r w:rsidR="005415F4">
        <w:t>r</w:t>
      </w:r>
      <w:r w:rsidRPr="00921438">
        <w:t>ebate</w:t>
      </w:r>
      <w:r w:rsidR="006934D7">
        <w:t xml:space="preserve"> for </w:t>
      </w:r>
      <w:r w:rsidR="005415F4">
        <w:t>c</w:t>
      </w:r>
      <w:r w:rsidR="006934D7">
        <w:t xml:space="preserve">ertain </w:t>
      </w:r>
      <w:r w:rsidR="005415F4">
        <w:t>v</w:t>
      </w:r>
      <w:r w:rsidR="006934D7">
        <w:t>ehicles</w:t>
      </w:r>
    </w:p>
    <w:p w14:paraId="5B2A2ACA" w14:textId="1D19EFE1" w:rsidR="00C44CEB" w:rsidRPr="00011D7F" w:rsidRDefault="00C44CEB" w:rsidP="00E4551D">
      <w:pPr>
        <w:pStyle w:val="BodyText"/>
      </w:pPr>
      <w:r w:rsidRPr="00011D7F">
        <w:t>From 1 January 2024, stamp duty exemption</w:t>
      </w:r>
      <w:r>
        <w:t>s</w:t>
      </w:r>
      <w:r w:rsidRPr="00011D7F">
        <w:t xml:space="preserve"> and rebate</w:t>
      </w:r>
      <w:r>
        <w:t>s for the purchase</w:t>
      </w:r>
      <w:r w:rsidRPr="00011D7F">
        <w:t xml:space="preserve"> o</w:t>
      </w:r>
      <w:r>
        <w:t>f</w:t>
      </w:r>
      <w:r w:rsidRPr="00011D7F">
        <w:t xml:space="preserve"> EVs will cease. The liability for the Road User Charge (RUC) will also change so that all zero and low</w:t>
      </w:r>
      <w:r w:rsidR="00956D3B">
        <w:noBreakHyphen/>
      </w:r>
      <w:r w:rsidRPr="00011D7F">
        <w:t>emissions vehicles</w:t>
      </w:r>
      <w:r w:rsidR="004E51A6">
        <w:t xml:space="preserve"> (</w:t>
      </w:r>
      <w:r w:rsidR="002C3070">
        <w:t xml:space="preserve">including </w:t>
      </w:r>
      <w:r w:rsidR="006D2738">
        <w:t>plug-in hybrids</w:t>
      </w:r>
      <w:r w:rsidR="004E51A6">
        <w:t>)</w:t>
      </w:r>
      <w:r w:rsidR="00DC03EF">
        <w:t xml:space="preserve"> </w:t>
      </w:r>
      <w:r w:rsidRPr="00011D7F">
        <w:t>registered for the first time or transferred from 1</w:t>
      </w:r>
      <w:r>
        <w:t> </w:t>
      </w:r>
      <w:r w:rsidRPr="00011D7F">
        <w:t>January 2024, will be liable to pay the RUC from</w:t>
      </w:r>
      <w:r w:rsidR="00873D56">
        <w:t xml:space="preserve"> the earlier of</w:t>
      </w:r>
      <w:r w:rsidRPr="00011D7F">
        <w:t xml:space="preserve"> 1 July 2027</w:t>
      </w:r>
      <w:r w:rsidR="00870919">
        <w:t xml:space="preserve"> or when E</w:t>
      </w:r>
      <w:r w:rsidR="008014CF">
        <w:t xml:space="preserve">Vs </w:t>
      </w:r>
      <w:r w:rsidR="0036344E">
        <w:t xml:space="preserve">amount to </w:t>
      </w:r>
      <w:r w:rsidR="00D63F6E">
        <w:t>30 p</w:t>
      </w:r>
      <w:r w:rsidR="00224FFF">
        <w:t xml:space="preserve">er cent of </w:t>
      </w:r>
      <w:r w:rsidR="00DB25A6">
        <w:t>new ve</w:t>
      </w:r>
      <w:r w:rsidR="00BF6AE0">
        <w:t>hicle sales</w:t>
      </w:r>
      <w:r w:rsidRPr="00011D7F">
        <w:t xml:space="preserve">. </w:t>
      </w:r>
      <w:r>
        <w:t>Taking account of delivery delays, t</w:t>
      </w:r>
      <w:r w:rsidRPr="00011D7F">
        <w:t>ransitional arrangement</w:t>
      </w:r>
      <w:r>
        <w:t>s</w:t>
      </w:r>
      <w:r w:rsidRPr="00011D7F">
        <w:t xml:space="preserve"> will </w:t>
      </w:r>
      <w:r>
        <w:t>preserve the stamp duty exemptions and rebates for people who</w:t>
      </w:r>
      <w:r w:rsidRPr="00011D7F">
        <w:t xml:space="preserve"> contract to purchase an EV before 1 January 2024.</w:t>
      </w:r>
    </w:p>
    <w:p w14:paraId="7BB86650" w14:textId="52F94C65" w:rsidR="00C44CEB" w:rsidRDefault="00C44CEB" w:rsidP="00E4551D">
      <w:pPr>
        <w:pStyle w:val="BodyText"/>
      </w:pPr>
      <w:r w:rsidRPr="00011D7F">
        <w:t>The Government is implementing this change to redirect spending to programs that more effectively encourage uptake of E</w:t>
      </w:r>
      <w:r>
        <w:t>V</w:t>
      </w:r>
      <w:r w:rsidRPr="00011D7F">
        <w:t xml:space="preserve">s. </w:t>
      </w:r>
      <w:r w:rsidR="00E57D21">
        <w:t xml:space="preserve">Savings of </w:t>
      </w:r>
      <w:r w:rsidR="00B30292">
        <w:t>$260</w:t>
      </w:r>
      <w:r w:rsidR="008871D6">
        <w:t xml:space="preserve"> million </w:t>
      </w:r>
      <w:r w:rsidR="00E57D21">
        <w:t>will be used to implement</w:t>
      </w:r>
      <w:r w:rsidR="00F262E3">
        <w:t xml:space="preserve"> the </w:t>
      </w:r>
      <w:r w:rsidR="00274476">
        <w:t>revised EV Strategy</w:t>
      </w:r>
      <w:r>
        <w:t xml:space="preserve">. </w:t>
      </w:r>
    </w:p>
    <w:p w14:paraId="188AF50E" w14:textId="470F5901" w:rsidR="00B87BA0" w:rsidRDefault="00FF5343">
      <w:pPr>
        <w:rPr>
          <w:rFonts w:ascii="Public Sans" w:hAnsi="Public Sans" w:cs="Arial"/>
          <w:sz w:val="22"/>
          <w:lang w:val="en-AU"/>
        </w:rPr>
      </w:pPr>
      <w:r>
        <w:br w:type="page"/>
      </w:r>
    </w:p>
    <w:p w14:paraId="15B68200" w14:textId="77777777" w:rsidR="000B416A" w:rsidRPr="00D43E30" w:rsidRDefault="000B416A" w:rsidP="0090248D">
      <w:pPr>
        <w:pStyle w:val="Heading4"/>
      </w:pPr>
      <w:r w:rsidRPr="00D43E30">
        <w:lastRenderedPageBreak/>
        <w:t>Revision of casino duty rates</w:t>
      </w:r>
    </w:p>
    <w:p w14:paraId="2B8406D1" w14:textId="511EF990" w:rsidR="004167B6" w:rsidRDefault="00D349A7" w:rsidP="00E4551D">
      <w:pPr>
        <w:pStyle w:val="BodyText"/>
      </w:pPr>
      <w:r>
        <w:t>C</w:t>
      </w:r>
      <w:r w:rsidR="000B416A" w:rsidRPr="00D43E30">
        <w:t xml:space="preserve">asino duty rates announced by the </w:t>
      </w:r>
      <w:r w:rsidR="00097FAA">
        <w:t>former</w:t>
      </w:r>
      <w:r w:rsidR="000B416A" w:rsidRPr="00D43E30">
        <w:t xml:space="preserve"> Government in December 2022</w:t>
      </w:r>
      <w:r>
        <w:t xml:space="preserve"> have been revised</w:t>
      </w:r>
      <w:r w:rsidR="00F81F59">
        <w:t>.</w:t>
      </w:r>
      <w:r w:rsidR="000150CA">
        <w:t xml:space="preserve"> Details of the </w:t>
      </w:r>
      <w:r w:rsidR="008606BD">
        <w:t>changes are in Box 4.1.</w:t>
      </w:r>
      <w:r w:rsidR="000150CA">
        <w:t xml:space="preserve"> </w:t>
      </w:r>
      <w:r w:rsidR="00DD6E0E">
        <w:t xml:space="preserve">Relative to the </w:t>
      </w:r>
      <w:r w:rsidR="006F47E3">
        <w:t>revenue forecast under th</w:t>
      </w:r>
      <w:r w:rsidR="00C4309D">
        <w:t>ose</w:t>
      </w:r>
      <w:r w:rsidR="00DD6E0E">
        <w:t xml:space="preserve"> duty rates, the changes are </w:t>
      </w:r>
      <w:r w:rsidR="00A0264E">
        <w:t>expected</w:t>
      </w:r>
      <w:r w:rsidR="00DD6E0E">
        <w:t xml:space="preserve"> to </w:t>
      </w:r>
      <w:r w:rsidR="00E9592A" w:rsidDel="009030FA">
        <w:t>decrease</w:t>
      </w:r>
      <w:r w:rsidR="000B416A" w:rsidRPr="00D43E30">
        <w:t xml:space="preserve"> revenue by $432</w:t>
      </w:r>
      <w:r w:rsidR="00E9592A" w:rsidRPr="00813871">
        <w:t>.0</w:t>
      </w:r>
      <w:r w:rsidR="000B416A" w:rsidRPr="00D43E30">
        <w:t xml:space="preserve"> million over the four years to 2026</w:t>
      </w:r>
      <w:r w:rsidR="006D6821">
        <w:noBreakHyphen/>
      </w:r>
      <w:r w:rsidR="000B416A" w:rsidRPr="00D43E30">
        <w:t>27.</w:t>
      </w:r>
    </w:p>
    <w:p w14:paraId="376753C2" w14:textId="2A8468C4" w:rsidR="000D1468" w:rsidRDefault="00592A98" w:rsidP="000D1468">
      <w:pPr>
        <w:pStyle w:val="Heading4"/>
      </w:pPr>
      <w:r>
        <w:t xml:space="preserve">Corrections </w:t>
      </w:r>
      <w:r w:rsidR="00E809EC">
        <w:t>to the operation of the l</w:t>
      </w:r>
      <w:r w:rsidR="000D1468">
        <w:t>and tax thresholds</w:t>
      </w:r>
      <w:r w:rsidR="000B2968">
        <w:t xml:space="preserve"> system</w:t>
      </w:r>
    </w:p>
    <w:p w14:paraId="7C23B8DF" w14:textId="1F90D3A1" w:rsidR="00090BE2" w:rsidRPr="00090BE2" w:rsidRDefault="00090BE2" w:rsidP="00E4551D">
      <w:pPr>
        <w:pStyle w:val="BodyText"/>
      </w:pPr>
      <w:r w:rsidRPr="00090BE2">
        <w:t xml:space="preserve">The Government will </w:t>
      </w:r>
      <w:r w:rsidR="00552B2E">
        <w:t>revise</w:t>
      </w:r>
      <w:r w:rsidRPr="00090BE2">
        <w:t xml:space="preserve"> the operation of the land tax threshold</w:t>
      </w:r>
      <w:r w:rsidR="00C33B8F">
        <w:t>s</w:t>
      </w:r>
      <w:r w:rsidRPr="00090BE2">
        <w:t xml:space="preserve"> system</w:t>
      </w:r>
      <w:r w:rsidR="00663E3B">
        <w:t>, with effect</w:t>
      </w:r>
      <w:r w:rsidRPr="00090BE2">
        <w:t xml:space="preserve"> from the 2024 land tax year. </w:t>
      </w:r>
    </w:p>
    <w:p w14:paraId="017839ED" w14:textId="54B01B36" w:rsidR="00090BE2" w:rsidRPr="00090BE2" w:rsidRDefault="00090BE2" w:rsidP="00E4551D">
      <w:pPr>
        <w:pStyle w:val="BodyText"/>
      </w:pPr>
      <w:r w:rsidRPr="00090BE2">
        <w:t xml:space="preserve">An anomaly in the land tax indexation formula and </w:t>
      </w:r>
      <w:r w:rsidR="00730875">
        <w:t>a</w:t>
      </w:r>
      <w:r w:rsidRPr="00090BE2">
        <w:t>n</w:t>
      </w:r>
      <w:r w:rsidR="00497AE4">
        <w:t xml:space="preserve"> </w:t>
      </w:r>
      <w:r w:rsidR="008D55EF">
        <w:t xml:space="preserve">error </w:t>
      </w:r>
      <w:r w:rsidR="00405FF3">
        <w:t xml:space="preserve">in </w:t>
      </w:r>
      <w:r w:rsidR="001469A1">
        <w:t xml:space="preserve">calculations underpinning </w:t>
      </w:r>
      <w:r w:rsidR="00405FF3">
        <w:t xml:space="preserve">the </w:t>
      </w:r>
      <w:r w:rsidR="00923BB3">
        <w:t>202</w:t>
      </w:r>
      <w:r w:rsidR="001649FD">
        <w:t>1</w:t>
      </w:r>
      <w:r w:rsidR="00405FF3">
        <w:t xml:space="preserve"> land tax threshold</w:t>
      </w:r>
      <w:r w:rsidR="00730875">
        <w:t xml:space="preserve"> ha</w:t>
      </w:r>
      <w:r w:rsidR="00C42E97">
        <w:t>ve</w:t>
      </w:r>
      <w:r w:rsidR="00730875">
        <w:t xml:space="preserve"> </w:t>
      </w:r>
      <w:r w:rsidR="00C42E97" w:rsidRPr="00C42E97">
        <w:rPr>
          <w:lang w:val="en-US"/>
        </w:rPr>
        <w:t>produced higher than intended land tax thresholds for the last three land tax years</w:t>
      </w:r>
      <w:r w:rsidR="00C42E97">
        <w:rPr>
          <w:lang w:val="en-US"/>
        </w:rPr>
        <w:t xml:space="preserve">. This </w:t>
      </w:r>
      <w:r w:rsidR="00730875">
        <w:rPr>
          <w:lang w:val="en-US"/>
        </w:rPr>
        <w:t>has</w:t>
      </w:r>
      <w:r w:rsidR="00730875" w:rsidRPr="00C42E97">
        <w:rPr>
          <w:lang w:val="en-US"/>
        </w:rPr>
        <w:t xml:space="preserve"> </w:t>
      </w:r>
      <w:r w:rsidR="00730875">
        <w:t>resulted in</w:t>
      </w:r>
      <w:r w:rsidR="00405FF3">
        <w:t xml:space="preserve"> </w:t>
      </w:r>
      <w:r w:rsidRPr="00090BE2">
        <w:t xml:space="preserve">under-collection of land tax of around $250 million. </w:t>
      </w:r>
    </w:p>
    <w:p w14:paraId="15D1837D" w14:textId="642B8222" w:rsidR="00090BE2" w:rsidRPr="00090BE2" w:rsidRDefault="00090BE2" w:rsidP="00E4551D">
      <w:pPr>
        <w:pStyle w:val="BodyText"/>
      </w:pPr>
      <w:r w:rsidRPr="00090BE2">
        <w:t>Amending legislation will revise the indexation formula and ensure the NSW Valuer General can determine the correct land tax threshold for the 2024 land tax year. The Government will also allow more time for the NSW Valuer General to gazette the land tax thresholds, moving the due date from 15 October to the first Friday of December from th</w:t>
      </w:r>
      <w:r w:rsidR="00E558F0">
        <w:t>e</w:t>
      </w:r>
      <w:r w:rsidRPr="00090BE2">
        <w:t xml:space="preserve"> 2023 calendar year. </w:t>
      </w:r>
    </w:p>
    <w:p w14:paraId="5E3FB732" w14:textId="74EAD842" w:rsidR="009300C5" w:rsidRPr="009300C5" w:rsidRDefault="0025393A" w:rsidP="00E4551D">
      <w:pPr>
        <w:pStyle w:val="BodyText"/>
      </w:pPr>
      <w:r w:rsidRPr="0025393A">
        <w:t>This measure does not recoup past under-collection</w:t>
      </w:r>
      <w:r w:rsidR="00802658">
        <w:t>s</w:t>
      </w:r>
      <w:r w:rsidRPr="0025393A">
        <w:t xml:space="preserve"> but </w:t>
      </w:r>
      <w:r w:rsidR="00C41539" w:rsidRPr="00C41539">
        <w:t>seeks to ensure that</w:t>
      </w:r>
      <w:r w:rsidRPr="0025393A">
        <w:t xml:space="preserve"> the </w:t>
      </w:r>
      <w:r w:rsidR="00C41539" w:rsidRPr="00C41539">
        <w:t>error</w:t>
      </w:r>
      <w:r w:rsidRPr="0025393A">
        <w:t xml:space="preserve"> is not repeated</w:t>
      </w:r>
      <w:r w:rsidR="00C41539" w:rsidRPr="00C41539">
        <w:t xml:space="preserve"> and the land tax base is not eroded. </w:t>
      </w:r>
      <w:r w:rsidR="00090BE2" w:rsidRPr="00090BE2">
        <w:t>This</w:t>
      </w:r>
      <w:r w:rsidR="00090BE2" w:rsidRPr="00090BE2" w:rsidDel="001D1C75">
        <w:t xml:space="preserve"> </w:t>
      </w:r>
      <w:r w:rsidR="001D1C75">
        <w:t>correction</w:t>
      </w:r>
      <w:r w:rsidRPr="0025393A">
        <w:t xml:space="preserve"> is estimated to increase land tax revenue by $250.5 million over the four years to 2026-27.</w:t>
      </w:r>
    </w:p>
    <w:p w14:paraId="3AE75A82" w14:textId="133A9AF1" w:rsidR="00E826B4" w:rsidRDefault="006630A8" w:rsidP="00953E69">
      <w:pPr>
        <w:pStyle w:val="Heading4"/>
        <w:rPr>
          <w:b w:val="0"/>
          <w:bCs/>
        </w:rPr>
      </w:pPr>
      <w:r>
        <w:t>Free parking at all rural and regional public hospitals</w:t>
      </w:r>
    </w:p>
    <w:p w14:paraId="4199164E" w14:textId="6E6E5857" w:rsidR="006630A8" w:rsidRPr="006630A8" w:rsidRDefault="00DC3BD2" w:rsidP="00E4551D">
      <w:pPr>
        <w:pStyle w:val="BodyText"/>
      </w:pPr>
      <w:r>
        <w:t xml:space="preserve">From 1 August </w:t>
      </w:r>
      <w:r w:rsidR="00851A9F">
        <w:t xml:space="preserve">free parking was implemented at rural and regional NSW </w:t>
      </w:r>
      <w:r w:rsidR="00BD77C2">
        <w:t>public hospitals for all patients, staff and visitors on an ongoing basis. This is expected to reduce revenue by $19.0</w:t>
      </w:r>
      <w:r w:rsidR="00886047">
        <w:t> </w:t>
      </w:r>
      <w:r w:rsidR="00BD77C2">
        <w:t>million over the four years to 2026-27.</w:t>
      </w:r>
    </w:p>
    <w:p w14:paraId="7C3DC31E" w14:textId="590A3124" w:rsidR="00D463E9" w:rsidRDefault="00D463E9" w:rsidP="00953E69">
      <w:pPr>
        <w:pStyle w:val="Heading4"/>
        <w:rPr>
          <w:b w:val="0"/>
          <w:bCs/>
        </w:rPr>
      </w:pPr>
      <w:r>
        <w:t>Remove ticket fees for New Year’s Eve Fireworks</w:t>
      </w:r>
    </w:p>
    <w:p w14:paraId="40134E60" w14:textId="647DC56C" w:rsidR="00D463E9" w:rsidRPr="00D463E9" w:rsidRDefault="00D463E9" w:rsidP="00E4551D">
      <w:pPr>
        <w:pStyle w:val="BodyText"/>
      </w:pPr>
      <w:r>
        <w:t>The Government will ope</w:t>
      </w:r>
      <w:r w:rsidR="00B663C7">
        <w:t>n up government-owned sites around the Sydney Harbour foreshore</w:t>
      </w:r>
      <w:r w:rsidR="00ED4FA7">
        <w:t xml:space="preserve"> to the public this New Year’s Eve for free, lowering revenue from ticket sales.</w:t>
      </w:r>
    </w:p>
    <w:p w14:paraId="769355C2" w14:textId="090E9E95" w:rsidR="00A64296" w:rsidRDefault="00A64296" w:rsidP="00953E69">
      <w:pPr>
        <w:pStyle w:val="Heading4"/>
      </w:pPr>
      <w:r>
        <w:t xml:space="preserve">Other revenue measures </w:t>
      </w:r>
    </w:p>
    <w:p w14:paraId="1FB0439B" w14:textId="2F65FC4C" w:rsidR="00B87BA0" w:rsidRDefault="00A71E5A" w:rsidP="00E4551D">
      <w:pPr>
        <w:pStyle w:val="BodyText"/>
      </w:pPr>
      <w:r>
        <w:t xml:space="preserve">Other </w:t>
      </w:r>
      <w:r w:rsidR="00724BED">
        <w:t xml:space="preserve">more minor </w:t>
      </w:r>
      <w:r>
        <w:t>revenue measures include</w:t>
      </w:r>
      <w:r w:rsidR="00E313B9">
        <w:t xml:space="preserve"> </w:t>
      </w:r>
      <w:r w:rsidR="00251EA3">
        <w:t xml:space="preserve">a range of </w:t>
      </w:r>
      <w:r w:rsidR="00724BED">
        <w:t xml:space="preserve">price and fee </w:t>
      </w:r>
      <w:r w:rsidR="00E313B9">
        <w:t xml:space="preserve">adjustments </w:t>
      </w:r>
      <w:r w:rsidR="00724BED">
        <w:t>to improve cost recovery.</w:t>
      </w:r>
      <w:r w:rsidR="006B6F4A" w:rsidRPr="006B6F4A">
        <w:t xml:space="preserve"> </w:t>
      </w:r>
    </w:p>
    <w:p w14:paraId="4E4CCD27" w14:textId="77777777" w:rsidR="00B87BA0" w:rsidRDefault="00B87BA0">
      <w:pPr>
        <w:rPr>
          <w:rFonts w:ascii="Public Sans" w:hAnsi="Public Sans" w:cs="Arial"/>
          <w:sz w:val="22"/>
          <w:lang w:val="en-AU"/>
        </w:rPr>
      </w:pPr>
      <w:r>
        <w:br w:type="page"/>
      </w:r>
    </w:p>
    <w:p w14:paraId="08B7A53F" w14:textId="3758F29B" w:rsidR="00C97341" w:rsidRPr="00AE6703" w:rsidRDefault="00796BCF" w:rsidP="00B87BA0">
      <w:pPr>
        <w:pStyle w:val="Table4X"/>
      </w:pPr>
      <w:r>
        <w:lastRenderedPageBreak/>
        <w:t>New revenue m</w:t>
      </w:r>
      <w:r w:rsidR="008F176C">
        <w:t xml:space="preserve">easures </w:t>
      </w:r>
    </w:p>
    <w:tbl>
      <w:tblPr>
        <w:tblW w:w="9639" w:type="dxa"/>
        <w:tblLook w:val="04A0" w:firstRow="1" w:lastRow="0" w:firstColumn="1" w:lastColumn="0" w:noHBand="0" w:noVBand="1"/>
        <w:tblCaption w:val="Table 4.3: New revenue measures "/>
        <w:tblDescription w:val="Table 4.3: New revenue measures "/>
      </w:tblPr>
      <w:tblGrid>
        <w:gridCol w:w="5099"/>
        <w:gridCol w:w="876"/>
        <w:gridCol w:w="876"/>
        <w:gridCol w:w="876"/>
        <w:gridCol w:w="876"/>
        <w:gridCol w:w="1036"/>
      </w:tblGrid>
      <w:tr w:rsidR="0087424C" w:rsidRPr="0087424C" w14:paraId="798A9BB6" w14:textId="77777777" w:rsidTr="0061289B">
        <w:trPr>
          <w:trHeight w:val="250"/>
        </w:trPr>
        <w:tc>
          <w:tcPr>
            <w:tcW w:w="5099" w:type="dxa"/>
            <w:tcBorders>
              <w:top w:val="nil"/>
              <w:left w:val="nil"/>
              <w:bottom w:val="nil"/>
              <w:right w:val="nil"/>
            </w:tcBorders>
            <w:shd w:val="clear" w:color="auto" w:fill="EBEBEB"/>
            <w:vAlign w:val="center"/>
            <w:hideMark/>
          </w:tcPr>
          <w:p w14:paraId="210EE985"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5421455E"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1B6F0DE1"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0E742557"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18C941B7"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1036" w:type="dxa"/>
            <w:tcBorders>
              <w:top w:val="nil"/>
              <w:left w:val="nil"/>
              <w:bottom w:val="nil"/>
              <w:right w:val="nil"/>
            </w:tcBorders>
            <w:shd w:val="clear" w:color="auto" w:fill="4B5051"/>
            <w:noWrap/>
            <w:vAlign w:val="bottom"/>
            <w:hideMark/>
          </w:tcPr>
          <w:p w14:paraId="7BEACB6A" w14:textId="77777777" w:rsidR="0087424C" w:rsidRPr="009E0D25" w:rsidRDefault="0087424C" w:rsidP="0087424C">
            <w:pPr>
              <w:jc w:val="center"/>
              <w:rPr>
                <w:rFonts w:ascii="Arial" w:hAnsi="Arial" w:cs="Arial"/>
                <w:color w:val="FFFFFF"/>
                <w:sz w:val="17"/>
                <w:szCs w:val="17"/>
                <w:lang w:val="en-AU" w:eastAsia="en-AU"/>
              </w:rPr>
            </w:pPr>
            <w:r w:rsidRPr="009E0D25">
              <w:rPr>
                <w:rFonts w:ascii="Arial" w:hAnsi="Arial" w:cs="Arial"/>
                <w:color w:val="FFFFFF"/>
                <w:sz w:val="17"/>
                <w:szCs w:val="17"/>
                <w:lang w:val="en-AU" w:eastAsia="en-AU"/>
              </w:rPr>
              <w:t>Four years</w:t>
            </w:r>
          </w:p>
        </w:tc>
      </w:tr>
      <w:tr w:rsidR="0087424C" w:rsidRPr="0087424C" w14:paraId="69CB948C" w14:textId="77777777" w:rsidTr="0061289B">
        <w:trPr>
          <w:trHeight w:val="250"/>
        </w:trPr>
        <w:tc>
          <w:tcPr>
            <w:tcW w:w="5099" w:type="dxa"/>
            <w:tcBorders>
              <w:top w:val="nil"/>
              <w:left w:val="nil"/>
              <w:bottom w:val="nil"/>
              <w:right w:val="nil"/>
            </w:tcBorders>
            <w:shd w:val="clear" w:color="auto" w:fill="EBEBEB"/>
            <w:vAlign w:val="center"/>
            <w:hideMark/>
          </w:tcPr>
          <w:p w14:paraId="55849F36"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5BDCAB77"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2023-24</w:t>
            </w:r>
          </w:p>
        </w:tc>
        <w:tc>
          <w:tcPr>
            <w:tcW w:w="876" w:type="dxa"/>
            <w:tcBorders>
              <w:top w:val="nil"/>
              <w:left w:val="nil"/>
              <w:bottom w:val="nil"/>
              <w:right w:val="nil"/>
            </w:tcBorders>
            <w:shd w:val="clear" w:color="auto" w:fill="EBEBEB"/>
            <w:noWrap/>
            <w:vAlign w:val="bottom"/>
            <w:hideMark/>
          </w:tcPr>
          <w:p w14:paraId="3BAACDB2"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2024-25</w:t>
            </w:r>
          </w:p>
        </w:tc>
        <w:tc>
          <w:tcPr>
            <w:tcW w:w="876" w:type="dxa"/>
            <w:tcBorders>
              <w:top w:val="nil"/>
              <w:left w:val="nil"/>
              <w:bottom w:val="nil"/>
              <w:right w:val="nil"/>
            </w:tcBorders>
            <w:shd w:val="clear" w:color="auto" w:fill="EBEBEB"/>
            <w:noWrap/>
            <w:vAlign w:val="bottom"/>
            <w:hideMark/>
          </w:tcPr>
          <w:p w14:paraId="22A1FADC"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2025-26</w:t>
            </w:r>
          </w:p>
        </w:tc>
        <w:tc>
          <w:tcPr>
            <w:tcW w:w="876" w:type="dxa"/>
            <w:tcBorders>
              <w:top w:val="nil"/>
              <w:left w:val="nil"/>
              <w:bottom w:val="nil"/>
              <w:right w:val="nil"/>
            </w:tcBorders>
            <w:shd w:val="clear" w:color="auto" w:fill="EBEBEB"/>
            <w:noWrap/>
            <w:vAlign w:val="bottom"/>
            <w:hideMark/>
          </w:tcPr>
          <w:p w14:paraId="3B21918E"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2026-27</w:t>
            </w:r>
          </w:p>
        </w:tc>
        <w:tc>
          <w:tcPr>
            <w:tcW w:w="1036" w:type="dxa"/>
            <w:tcBorders>
              <w:top w:val="nil"/>
              <w:left w:val="nil"/>
              <w:bottom w:val="nil"/>
              <w:right w:val="nil"/>
            </w:tcBorders>
            <w:shd w:val="clear" w:color="auto" w:fill="4B5051"/>
            <w:vAlign w:val="center"/>
            <w:hideMark/>
          </w:tcPr>
          <w:p w14:paraId="11D9C0F1" w14:textId="77777777" w:rsidR="0087424C" w:rsidRPr="009E0D25" w:rsidRDefault="0087424C" w:rsidP="0087424C">
            <w:pPr>
              <w:jc w:val="center"/>
              <w:rPr>
                <w:rFonts w:ascii="Arial" w:hAnsi="Arial" w:cs="Arial"/>
                <w:color w:val="FFFFFF"/>
                <w:sz w:val="17"/>
                <w:szCs w:val="17"/>
                <w:lang w:val="en-AU" w:eastAsia="en-AU"/>
              </w:rPr>
            </w:pPr>
            <w:r w:rsidRPr="009E0D25">
              <w:rPr>
                <w:rFonts w:ascii="Arial" w:hAnsi="Arial" w:cs="Arial"/>
                <w:color w:val="FFFFFF"/>
                <w:sz w:val="17"/>
                <w:szCs w:val="17"/>
                <w:lang w:val="en-AU" w:eastAsia="en-AU"/>
              </w:rPr>
              <w:t>to 2026-27</w:t>
            </w:r>
          </w:p>
        </w:tc>
      </w:tr>
      <w:tr w:rsidR="0087424C" w:rsidRPr="0087424C" w14:paraId="43C7DB50" w14:textId="77777777" w:rsidTr="009E0D25">
        <w:trPr>
          <w:trHeight w:val="283"/>
        </w:trPr>
        <w:tc>
          <w:tcPr>
            <w:tcW w:w="5099" w:type="dxa"/>
            <w:tcBorders>
              <w:top w:val="nil"/>
              <w:left w:val="nil"/>
              <w:bottom w:val="nil"/>
              <w:right w:val="nil"/>
            </w:tcBorders>
            <w:shd w:val="clear" w:color="auto" w:fill="EBEBEB"/>
            <w:hideMark/>
          </w:tcPr>
          <w:p w14:paraId="420EA523"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hideMark/>
          </w:tcPr>
          <w:p w14:paraId="46E2073B"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876" w:type="dxa"/>
            <w:tcBorders>
              <w:top w:val="nil"/>
              <w:left w:val="nil"/>
              <w:bottom w:val="nil"/>
              <w:right w:val="nil"/>
            </w:tcBorders>
            <w:shd w:val="clear" w:color="auto" w:fill="EBEBEB"/>
            <w:hideMark/>
          </w:tcPr>
          <w:p w14:paraId="683C4244"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876" w:type="dxa"/>
            <w:tcBorders>
              <w:top w:val="nil"/>
              <w:left w:val="nil"/>
              <w:bottom w:val="nil"/>
              <w:right w:val="nil"/>
            </w:tcBorders>
            <w:shd w:val="clear" w:color="auto" w:fill="EBEBEB"/>
            <w:hideMark/>
          </w:tcPr>
          <w:p w14:paraId="6AC710C1"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876" w:type="dxa"/>
            <w:tcBorders>
              <w:top w:val="nil"/>
              <w:left w:val="nil"/>
              <w:bottom w:val="nil"/>
              <w:right w:val="nil"/>
            </w:tcBorders>
            <w:shd w:val="clear" w:color="auto" w:fill="EBEBEB"/>
            <w:hideMark/>
          </w:tcPr>
          <w:p w14:paraId="71DAA516"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1036" w:type="dxa"/>
            <w:tcBorders>
              <w:top w:val="nil"/>
              <w:left w:val="nil"/>
              <w:bottom w:val="nil"/>
              <w:right w:val="nil"/>
            </w:tcBorders>
            <w:shd w:val="clear" w:color="auto" w:fill="4B5051"/>
            <w:hideMark/>
          </w:tcPr>
          <w:p w14:paraId="6BFC2943" w14:textId="77777777" w:rsidR="0087424C" w:rsidRPr="009E0D25" w:rsidRDefault="0087424C" w:rsidP="0087424C">
            <w:pPr>
              <w:jc w:val="center"/>
              <w:rPr>
                <w:rFonts w:ascii="Arial" w:hAnsi="Arial" w:cs="Arial"/>
                <w:color w:val="FFFFFF"/>
                <w:sz w:val="17"/>
                <w:szCs w:val="17"/>
                <w:lang w:val="en-AU" w:eastAsia="en-AU"/>
              </w:rPr>
            </w:pPr>
            <w:r w:rsidRPr="009E0D25">
              <w:rPr>
                <w:rFonts w:ascii="Arial" w:hAnsi="Arial" w:cs="Arial"/>
                <w:color w:val="FFFFFF"/>
                <w:sz w:val="17"/>
                <w:szCs w:val="17"/>
                <w:lang w:val="en-AU" w:eastAsia="en-AU"/>
              </w:rPr>
              <w:t>$m</w:t>
            </w:r>
          </w:p>
        </w:tc>
      </w:tr>
      <w:tr w:rsidR="0087424C" w:rsidRPr="0087424C" w14:paraId="754F17B9"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65355C29"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Increased coal royalty rates</w:t>
            </w:r>
          </w:p>
        </w:tc>
        <w:tc>
          <w:tcPr>
            <w:tcW w:w="876" w:type="dxa"/>
            <w:tcBorders>
              <w:top w:val="nil"/>
              <w:left w:val="nil"/>
              <w:bottom w:val="nil"/>
              <w:right w:val="nil"/>
            </w:tcBorders>
            <w:shd w:val="clear" w:color="auto" w:fill="F2F2F2" w:themeFill="background1" w:themeFillShade="F2"/>
            <w:noWrap/>
            <w:vAlign w:val="center"/>
            <w:hideMark/>
          </w:tcPr>
          <w:p w14:paraId="4B1D7167"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 </w:t>
            </w:r>
          </w:p>
        </w:tc>
        <w:tc>
          <w:tcPr>
            <w:tcW w:w="876" w:type="dxa"/>
            <w:tcBorders>
              <w:top w:val="nil"/>
              <w:left w:val="nil"/>
              <w:bottom w:val="nil"/>
              <w:right w:val="nil"/>
            </w:tcBorders>
            <w:shd w:val="clear" w:color="auto" w:fill="F2F2F2" w:themeFill="background1" w:themeFillShade="F2"/>
            <w:noWrap/>
            <w:vAlign w:val="center"/>
            <w:hideMark/>
          </w:tcPr>
          <w:p w14:paraId="43945475"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886.5 </w:t>
            </w:r>
          </w:p>
        </w:tc>
        <w:tc>
          <w:tcPr>
            <w:tcW w:w="876" w:type="dxa"/>
            <w:tcBorders>
              <w:top w:val="nil"/>
              <w:left w:val="nil"/>
              <w:bottom w:val="nil"/>
              <w:right w:val="nil"/>
            </w:tcBorders>
            <w:shd w:val="clear" w:color="auto" w:fill="F2F2F2" w:themeFill="background1" w:themeFillShade="F2"/>
            <w:noWrap/>
            <w:vAlign w:val="center"/>
            <w:hideMark/>
          </w:tcPr>
          <w:p w14:paraId="2C78F6C1"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784.4 </w:t>
            </w:r>
          </w:p>
        </w:tc>
        <w:tc>
          <w:tcPr>
            <w:tcW w:w="876" w:type="dxa"/>
            <w:tcBorders>
              <w:top w:val="nil"/>
              <w:left w:val="nil"/>
              <w:bottom w:val="nil"/>
              <w:right w:val="nil"/>
            </w:tcBorders>
            <w:shd w:val="clear" w:color="auto" w:fill="F2F2F2" w:themeFill="background1" w:themeFillShade="F2"/>
            <w:noWrap/>
            <w:vAlign w:val="center"/>
            <w:hideMark/>
          </w:tcPr>
          <w:p w14:paraId="379F1352"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716.0 </w:t>
            </w:r>
          </w:p>
        </w:tc>
        <w:tc>
          <w:tcPr>
            <w:tcW w:w="1036" w:type="dxa"/>
            <w:tcBorders>
              <w:top w:val="nil"/>
              <w:left w:val="nil"/>
              <w:bottom w:val="nil"/>
              <w:right w:val="nil"/>
            </w:tcBorders>
            <w:shd w:val="clear" w:color="auto" w:fill="FFFFFF" w:themeFill="background1"/>
            <w:noWrap/>
            <w:vAlign w:val="center"/>
            <w:hideMark/>
          </w:tcPr>
          <w:p w14:paraId="6CB4F605"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2,386.9 </w:t>
            </w:r>
          </w:p>
        </w:tc>
      </w:tr>
      <w:tr w:rsidR="0087424C" w:rsidRPr="0087424C" w14:paraId="5C284BB4"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764E026C"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Expansion of the First Home Buyers Assistance Scheme</w:t>
            </w:r>
          </w:p>
        </w:tc>
        <w:tc>
          <w:tcPr>
            <w:tcW w:w="876" w:type="dxa"/>
            <w:tcBorders>
              <w:top w:val="nil"/>
              <w:left w:val="nil"/>
              <w:bottom w:val="nil"/>
              <w:right w:val="nil"/>
            </w:tcBorders>
            <w:shd w:val="clear" w:color="auto" w:fill="F2F2F2" w:themeFill="background1" w:themeFillShade="F2"/>
            <w:noWrap/>
            <w:vAlign w:val="center"/>
            <w:hideMark/>
          </w:tcPr>
          <w:p w14:paraId="29BFF0EE"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(229.2) </w:t>
            </w:r>
          </w:p>
        </w:tc>
        <w:tc>
          <w:tcPr>
            <w:tcW w:w="876" w:type="dxa"/>
            <w:tcBorders>
              <w:top w:val="nil"/>
              <w:left w:val="nil"/>
              <w:bottom w:val="nil"/>
              <w:right w:val="nil"/>
            </w:tcBorders>
            <w:shd w:val="clear" w:color="auto" w:fill="F2F2F2" w:themeFill="background1" w:themeFillShade="F2"/>
            <w:noWrap/>
            <w:vAlign w:val="center"/>
            <w:hideMark/>
          </w:tcPr>
          <w:p w14:paraId="438AB280"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(231.0) </w:t>
            </w:r>
          </w:p>
        </w:tc>
        <w:tc>
          <w:tcPr>
            <w:tcW w:w="876" w:type="dxa"/>
            <w:tcBorders>
              <w:top w:val="nil"/>
              <w:left w:val="nil"/>
              <w:bottom w:val="nil"/>
              <w:right w:val="nil"/>
            </w:tcBorders>
            <w:shd w:val="clear" w:color="auto" w:fill="F2F2F2" w:themeFill="background1" w:themeFillShade="F2"/>
            <w:noWrap/>
            <w:vAlign w:val="center"/>
            <w:hideMark/>
          </w:tcPr>
          <w:p w14:paraId="3AEEC2C0"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(272.0) </w:t>
            </w:r>
          </w:p>
        </w:tc>
        <w:tc>
          <w:tcPr>
            <w:tcW w:w="876" w:type="dxa"/>
            <w:tcBorders>
              <w:top w:val="nil"/>
              <w:left w:val="nil"/>
              <w:bottom w:val="nil"/>
              <w:right w:val="nil"/>
            </w:tcBorders>
            <w:shd w:val="clear" w:color="auto" w:fill="F2F2F2" w:themeFill="background1" w:themeFillShade="F2"/>
            <w:noWrap/>
            <w:vAlign w:val="center"/>
            <w:hideMark/>
          </w:tcPr>
          <w:p w14:paraId="74B208F4"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(266.0) </w:t>
            </w:r>
          </w:p>
        </w:tc>
        <w:tc>
          <w:tcPr>
            <w:tcW w:w="1036" w:type="dxa"/>
            <w:tcBorders>
              <w:top w:val="nil"/>
              <w:left w:val="nil"/>
              <w:bottom w:val="nil"/>
              <w:right w:val="nil"/>
            </w:tcBorders>
            <w:shd w:val="clear" w:color="auto" w:fill="FFFFFF" w:themeFill="background1"/>
            <w:noWrap/>
            <w:vAlign w:val="center"/>
            <w:hideMark/>
          </w:tcPr>
          <w:p w14:paraId="6D0E643C"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(998.2) </w:t>
            </w:r>
          </w:p>
        </w:tc>
      </w:tr>
      <w:tr w:rsidR="00DB0A04" w:rsidRPr="0087424C" w14:paraId="10A30905" w14:textId="77777777" w:rsidTr="0061289B">
        <w:trPr>
          <w:trHeight w:val="227"/>
        </w:trPr>
        <w:tc>
          <w:tcPr>
            <w:tcW w:w="5099" w:type="dxa"/>
            <w:tcBorders>
              <w:top w:val="nil"/>
              <w:left w:val="nil"/>
              <w:bottom w:val="nil"/>
              <w:right w:val="nil"/>
            </w:tcBorders>
            <w:shd w:val="clear" w:color="auto" w:fill="FFFFFF" w:themeFill="background1"/>
            <w:vAlign w:val="center"/>
          </w:tcPr>
          <w:p w14:paraId="66361618" w14:textId="5FEE8325" w:rsidR="00DB0A04" w:rsidRPr="0087424C" w:rsidRDefault="00DB0A04" w:rsidP="0036045E">
            <w:pPr>
              <w:ind w:left="113" w:hanging="113"/>
              <w:rPr>
                <w:rFonts w:ascii="Public Sans" w:hAnsi="Public Sans" w:cs="Calibri"/>
                <w:sz w:val="16"/>
                <w:szCs w:val="16"/>
                <w:lang w:val="en-AU" w:eastAsia="en-AU"/>
              </w:rPr>
            </w:pPr>
            <w:r>
              <w:rPr>
                <w:rFonts w:ascii="Public Sans" w:hAnsi="Public Sans" w:cs="Calibri"/>
                <w:sz w:val="16"/>
                <w:szCs w:val="16"/>
                <w:lang w:val="en-AU" w:eastAsia="en-AU"/>
              </w:rPr>
              <w:t>Tax integrity and fairness measures</w:t>
            </w:r>
          </w:p>
        </w:tc>
        <w:tc>
          <w:tcPr>
            <w:tcW w:w="876" w:type="dxa"/>
            <w:tcBorders>
              <w:top w:val="nil"/>
              <w:left w:val="nil"/>
              <w:bottom w:val="nil"/>
              <w:right w:val="nil"/>
            </w:tcBorders>
            <w:shd w:val="clear" w:color="auto" w:fill="F2F2F2" w:themeFill="background1" w:themeFillShade="F2"/>
            <w:noWrap/>
            <w:vAlign w:val="center"/>
          </w:tcPr>
          <w:p w14:paraId="43FA8982" w14:textId="03D8D7B6"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12</w:t>
            </w:r>
            <w:r w:rsidR="003A3280">
              <w:rPr>
                <w:rFonts w:ascii="Public Sans" w:hAnsi="Public Sans" w:cs="Calibri"/>
                <w:sz w:val="16"/>
                <w:szCs w:val="16"/>
                <w:lang w:val="en-AU" w:eastAsia="en-AU"/>
              </w:rPr>
              <w:t>4</w:t>
            </w:r>
            <w:r>
              <w:rPr>
                <w:rFonts w:ascii="Public Sans" w:hAnsi="Public Sans" w:cs="Calibri"/>
                <w:sz w:val="16"/>
                <w:szCs w:val="16"/>
                <w:lang w:val="en-AU" w:eastAsia="en-AU"/>
              </w:rPr>
              <w:t>.</w:t>
            </w:r>
            <w:r w:rsidR="003A3280">
              <w:rPr>
                <w:rFonts w:ascii="Public Sans" w:hAnsi="Public Sans" w:cs="Calibri"/>
                <w:sz w:val="16"/>
                <w:szCs w:val="16"/>
                <w:lang w:val="en-AU" w:eastAsia="en-AU"/>
              </w:rPr>
              <w:t>5</w:t>
            </w:r>
          </w:p>
        </w:tc>
        <w:tc>
          <w:tcPr>
            <w:tcW w:w="876" w:type="dxa"/>
            <w:tcBorders>
              <w:top w:val="nil"/>
              <w:left w:val="nil"/>
              <w:bottom w:val="nil"/>
              <w:right w:val="nil"/>
            </w:tcBorders>
            <w:shd w:val="clear" w:color="auto" w:fill="F2F2F2" w:themeFill="background1" w:themeFillShade="F2"/>
            <w:noWrap/>
            <w:vAlign w:val="center"/>
          </w:tcPr>
          <w:p w14:paraId="7D7A248D" w14:textId="4AAF5B79"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w:t>
            </w:r>
            <w:r w:rsidR="003A3280">
              <w:rPr>
                <w:rFonts w:ascii="Public Sans" w:hAnsi="Public Sans" w:cs="Calibri"/>
                <w:sz w:val="16"/>
                <w:szCs w:val="16"/>
                <w:lang w:val="en-AU" w:eastAsia="en-AU"/>
              </w:rPr>
              <w:t>56</w:t>
            </w:r>
            <w:r>
              <w:rPr>
                <w:rFonts w:ascii="Public Sans" w:hAnsi="Public Sans" w:cs="Calibri"/>
                <w:sz w:val="16"/>
                <w:szCs w:val="16"/>
                <w:lang w:val="en-AU" w:eastAsia="en-AU"/>
              </w:rPr>
              <w:t>.0</w:t>
            </w:r>
          </w:p>
        </w:tc>
        <w:tc>
          <w:tcPr>
            <w:tcW w:w="876" w:type="dxa"/>
            <w:tcBorders>
              <w:top w:val="nil"/>
              <w:left w:val="nil"/>
              <w:bottom w:val="nil"/>
              <w:right w:val="nil"/>
            </w:tcBorders>
            <w:shd w:val="clear" w:color="auto" w:fill="F2F2F2" w:themeFill="background1" w:themeFillShade="F2"/>
            <w:noWrap/>
            <w:vAlign w:val="center"/>
          </w:tcPr>
          <w:p w14:paraId="51D93DBE" w14:textId="2BA5977C"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28</w:t>
            </w:r>
            <w:r w:rsidR="00BD045F">
              <w:rPr>
                <w:rFonts w:ascii="Public Sans" w:hAnsi="Public Sans" w:cs="Calibri"/>
                <w:sz w:val="16"/>
                <w:szCs w:val="16"/>
                <w:lang w:val="en-AU" w:eastAsia="en-AU"/>
              </w:rPr>
              <w:t>9</w:t>
            </w:r>
            <w:r>
              <w:rPr>
                <w:rFonts w:ascii="Public Sans" w:hAnsi="Public Sans" w:cs="Calibri"/>
                <w:sz w:val="16"/>
                <w:szCs w:val="16"/>
                <w:lang w:val="en-AU" w:eastAsia="en-AU"/>
              </w:rPr>
              <w:t>.0</w:t>
            </w:r>
          </w:p>
        </w:tc>
        <w:tc>
          <w:tcPr>
            <w:tcW w:w="876" w:type="dxa"/>
            <w:tcBorders>
              <w:top w:val="nil"/>
              <w:left w:val="nil"/>
              <w:bottom w:val="nil"/>
              <w:right w:val="nil"/>
            </w:tcBorders>
            <w:shd w:val="clear" w:color="auto" w:fill="F2F2F2" w:themeFill="background1" w:themeFillShade="F2"/>
            <w:noWrap/>
            <w:vAlign w:val="center"/>
          </w:tcPr>
          <w:p w14:paraId="16227A11" w14:textId="4BBA7A2D"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28</w:t>
            </w:r>
            <w:r w:rsidR="00BD045F">
              <w:rPr>
                <w:rFonts w:ascii="Public Sans" w:hAnsi="Public Sans" w:cs="Calibri"/>
                <w:sz w:val="16"/>
                <w:szCs w:val="16"/>
                <w:lang w:val="en-AU" w:eastAsia="en-AU"/>
              </w:rPr>
              <w:t>9</w:t>
            </w:r>
            <w:r>
              <w:rPr>
                <w:rFonts w:ascii="Public Sans" w:hAnsi="Public Sans" w:cs="Calibri"/>
                <w:sz w:val="16"/>
                <w:szCs w:val="16"/>
                <w:lang w:val="en-AU" w:eastAsia="en-AU"/>
              </w:rPr>
              <w:t>.0</w:t>
            </w:r>
          </w:p>
        </w:tc>
        <w:tc>
          <w:tcPr>
            <w:tcW w:w="1036" w:type="dxa"/>
            <w:tcBorders>
              <w:top w:val="nil"/>
              <w:left w:val="nil"/>
              <w:bottom w:val="nil"/>
              <w:right w:val="nil"/>
            </w:tcBorders>
            <w:shd w:val="clear" w:color="auto" w:fill="FFFFFF" w:themeFill="background1"/>
            <w:noWrap/>
            <w:vAlign w:val="center"/>
          </w:tcPr>
          <w:p w14:paraId="43B1A210" w14:textId="4C5F7651" w:rsidR="00DB0A04" w:rsidRPr="0087424C" w:rsidRDefault="00403572" w:rsidP="00602A6B">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9</w:t>
            </w:r>
            <w:r w:rsidR="00BD045F">
              <w:rPr>
                <w:rFonts w:ascii="Public Sans" w:hAnsi="Public Sans" w:cs="Calibri"/>
                <w:b/>
                <w:bCs/>
                <w:sz w:val="16"/>
                <w:szCs w:val="16"/>
                <w:lang w:val="en-AU" w:eastAsia="en-AU"/>
              </w:rPr>
              <w:t>58</w:t>
            </w:r>
            <w:r>
              <w:rPr>
                <w:rFonts w:ascii="Public Sans" w:hAnsi="Public Sans" w:cs="Calibri"/>
                <w:b/>
                <w:bCs/>
                <w:sz w:val="16"/>
                <w:szCs w:val="16"/>
                <w:lang w:val="en-AU" w:eastAsia="en-AU"/>
              </w:rPr>
              <w:t>.</w:t>
            </w:r>
            <w:r w:rsidR="00BD045F">
              <w:rPr>
                <w:rFonts w:ascii="Public Sans" w:hAnsi="Public Sans" w:cs="Calibri"/>
                <w:b/>
                <w:bCs/>
                <w:sz w:val="16"/>
                <w:szCs w:val="16"/>
                <w:lang w:val="en-AU" w:eastAsia="en-AU"/>
              </w:rPr>
              <w:t>5</w:t>
            </w:r>
          </w:p>
        </w:tc>
      </w:tr>
      <w:tr w:rsidR="0087424C" w:rsidRPr="0087424C" w14:paraId="66AAD60C"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3DCB73B3"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Closing off access to First Home Buyer Choice</w:t>
            </w:r>
          </w:p>
        </w:tc>
        <w:tc>
          <w:tcPr>
            <w:tcW w:w="876" w:type="dxa"/>
            <w:tcBorders>
              <w:top w:val="nil"/>
              <w:left w:val="nil"/>
              <w:bottom w:val="nil"/>
              <w:right w:val="nil"/>
            </w:tcBorders>
            <w:shd w:val="clear" w:color="auto" w:fill="F2F2F2" w:themeFill="background1" w:themeFillShade="F2"/>
            <w:noWrap/>
            <w:vAlign w:val="center"/>
            <w:hideMark/>
          </w:tcPr>
          <w:p w14:paraId="41226F72"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88.0 </w:t>
            </w:r>
          </w:p>
        </w:tc>
        <w:tc>
          <w:tcPr>
            <w:tcW w:w="876" w:type="dxa"/>
            <w:tcBorders>
              <w:top w:val="nil"/>
              <w:left w:val="nil"/>
              <w:bottom w:val="nil"/>
              <w:right w:val="nil"/>
            </w:tcBorders>
            <w:shd w:val="clear" w:color="auto" w:fill="F2F2F2" w:themeFill="background1" w:themeFillShade="F2"/>
            <w:noWrap/>
            <w:vAlign w:val="center"/>
            <w:hideMark/>
          </w:tcPr>
          <w:p w14:paraId="611A44F3"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179.7 </w:t>
            </w:r>
          </w:p>
        </w:tc>
        <w:tc>
          <w:tcPr>
            <w:tcW w:w="876" w:type="dxa"/>
            <w:tcBorders>
              <w:top w:val="nil"/>
              <w:left w:val="nil"/>
              <w:bottom w:val="nil"/>
              <w:right w:val="nil"/>
            </w:tcBorders>
            <w:shd w:val="clear" w:color="auto" w:fill="F2F2F2" w:themeFill="background1" w:themeFillShade="F2"/>
            <w:noWrap/>
            <w:vAlign w:val="center"/>
            <w:hideMark/>
          </w:tcPr>
          <w:p w14:paraId="47D404A1"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203.7 </w:t>
            </w:r>
          </w:p>
        </w:tc>
        <w:tc>
          <w:tcPr>
            <w:tcW w:w="876" w:type="dxa"/>
            <w:tcBorders>
              <w:top w:val="nil"/>
              <w:left w:val="nil"/>
              <w:bottom w:val="nil"/>
              <w:right w:val="nil"/>
            </w:tcBorders>
            <w:shd w:val="clear" w:color="auto" w:fill="F2F2F2" w:themeFill="background1" w:themeFillShade="F2"/>
            <w:noWrap/>
            <w:vAlign w:val="center"/>
            <w:hideMark/>
          </w:tcPr>
          <w:p w14:paraId="2BC272F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188.6 </w:t>
            </w:r>
          </w:p>
        </w:tc>
        <w:tc>
          <w:tcPr>
            <w:tcW w:w="1036" w:type="dxa"/>
            <w:tcBorders>
              <w:top w:val="nil"/>
              <w:left w:val="nil"/>
              <w:bottom w:val="nil"/>
              <w:right w:val="nil"/>
            </w:tcBorders>
            <w:shd w:val="clear" w:color="auto" w:fill="FFFFFF" w:themeFill="background1"/>
            <w:noWrap/>
            <w:vAlign w:val="center"/>
            <w:hideMark/>
          </w:tcPr>
          <w:p w14:paraId="5DC1962B"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660.0 </w:t>
            </w:r>
          </w:p>
        </w:tc>
      </w:tr>
      <w:tr w:rsidR="0087424C" w:rsidRPr="0087424C" w14:paraId="60DCF155" w14:textId="77777777" w:rsidTr="0061289B">
        <w:trPr>
          <w:trHeight w:val="397"/>
        </w:trPr>
        <w:tc>
          <w:tcPr>
            <w:tcW w:w="5099" w:type="dxa"/>
            <w:tcBorders>
              <w:top w:val="nil"/>
              <w:left w:val="nil"/>
              <w:bottom w:val="nil"/>
              <w:right w:val="nil"/>
            </w:tcBorders>
            <w:shd w:val="clear" w:color="auto" w:fill="FFFFFF" w:themeFill="background1"/>
            <w:vAlign w:val="center"/>
            <w:hideMark/>
          </w:tcPr>
          <w:p w14:paraId="42E26FD0"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Additional compliance investments for payroll tax, land tax and transfer duty</w:t>
            </w:r>
          </w:p>
        </w:tc>
        <w:tc>
          <w:tcPr>
            <w:tcW w:w="876" w:type="dxa"/>
            <w:tcBorders>
              <w:top w:val="nil"/>
              <w:left w:val="nil"/>
              <w:bottom w:val="nil"/>
              <w:right w:val="nil"/>
            </w:tcBorders>
            <w:shd w:val="clear" w:color="auto" w:fill="F2F2F2" w:themeFill="background1" w:themeFillShade="F2"/>
            <w:noWrap/>
            <w:vAlign w:val="center"/>
            <w:hideMark/>
          </w:tcPr>
          <w:p w14:paraId="03E8562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140.0 </w:t>
            </w:r>
          </w:p>
        </w:tc>
        <w:tc>
          <w:tcPr>
            <w:tcW w:w="876" w:type="dxa"/>
            <w:tcBorders>
              <w:top w:val="nil"/>
              <w:left w:val="nil"/>
              <w:bottom w:val="nil"/>
              <w:right w:val="nil"/>
            </w:tcBorders>
            <w:shd w:val="clear" w:color="auto" w:fill="F2F2F2" w:themeFill="background1" w:themeFillShade="F2"/>
            <w:noWrap/>
            <w:vAlign w:val="center"/>
            <w:hideMark/>
          </w:tcPr>
          <w:p w14:paraId="033DFCF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200.0 </w:t>
            </w:r>
          </w:p>
        </w:tc>
        <w:tc>
          <w:tcPr>
            <w:tcW w:w="876" w:type="dxa"/>
            <w:tcBorders>
              <w:top w:val="nil"/>
              <w:left w:val="nil"/>
              <w:bottom w:val="nil"/>
              <w:right w:val="nil"/>
            </w:tcBorders>
            <w:shd w:val="clear" w:color="auto" w:fill="F2F2F2" w:themeFill="background1" w:themeFillShade="F2"/>
            <w:noWrap/>
            <w:vAlign w:val="center"/>
            <w:hideMark/>
          </w:tcPr>
          <w:p w14:paraId="7C1E980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200.0 </w:t>
            </w:r>
          </w:p>
        </w:tc>
        <w:tc>
          <w:tcPr>
            <w:tcW w:w="876" w:type="dxa"/>
            <w:tcBorders>
              <w:top w:val="nil"/>
              <w:left w:val="nil"/>
              <w:bottom w:val="nil"/>
              <w:right w:val="nil"/>
            </w:tcBorders>
            <w:shd w:val="clear" w:color="auto" w:fill="F2F2F2" w:themeFill="background1" w:themeFillShade="F2"/>
            <w:noWrap/>
            <w:vAlign w:val="center"/>
            <w:hideMark/>
          </w:tcPr>
          <w:p w14:paraId="3CBB078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110.0 </w:t>
            </w:r>
          </w:p>
        </w:tc>
        <w:tc>
          <w:tcPr>
            <w:tcW w:w="1036" w:type="dxa"/>
            <w:tcBorders>
              <w:top w:val="nil"/>
              <w:left w:val="nil"/>
              <w:bottom w:val="nil"/>
              <w:right w:val="nil"/>
            </w:tcBorders>
            <w:shd w:val="clear" w:color="auto" w:fill="FFFFFF" w:themeFill="background1"/>
            <w:noWrap/>
            <w:vAlign w:val="center"/>
            <w:hideMark/>
          </w:tcPr>
          <w:p w14:paraId="6E1CC5CB"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650.0 </w:t>
            </w:r>
          </w:p>
        </w:tc>
      </w:tr>
      <w:tr w:rsidR="0087424C" w:rsidRPr="0087424C" w14:paraId="70251720"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17233BFF"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Removal of Electric Vehicle Stamp Duty Exemption and Rebate</w:t>
            </w:r>
          </w:p>
        </w:tc>
        <w:tc>
          <w:tcPr>
            <w:tcW w:w="876" w:type="dxa"/>
            <w:tcBorders>
              <w:top w:val="nil"/>
              <w:left w:val="nil"/>
              <w:bottom w:val="nil"/>
              <w:right w:val="nil"/>
            </w:tcBorders>
            <w:shd w:val="clear" w:color="auto" w:fill="F2F2F2" w:themeFill="background1" w:themeFillShade="F2"/>
            <w:noWrap/>
            <w:vAlign w:val="center"/>
            <w:hideMark/>
          </w:tcPr>
          <w:p w14:paraId="3DC1719D"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37.1 </w:t>
            </w:r>
          </w:p>
        </w:tc>
        <w:tc>
          <w:tcPr>
            <w:tcW w:w="876" w:type="dxa"/>
            <w:tcBorders>
              <w:top w:val="nil"/>
              <w:left w:val="nil"/>
              <w:bottom w:val="nil"/>
              <w:right w:val="nil"/>
            </w:tcBorders>
            <w:shd w:val="clear" w:color="auto" w:fill="F2F2F2" w:themeFill="background1" w:themeFillShade="F2"/>
            <w:noWrap/>
            <w:vAlign w:val="center"/>
            <w:hideMark/>
          </w:tcPr>
          <w:p w14:paraId="413074EB"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111.2 </w:t>
            </w:r>
          </w:p>
        </w:tc>
        <w:tc>
          <w:tcPr>
            <w:tcW w:w="876" w:type="dxa"/>
            <w:tcBorders>
              <w:top w:val="nil"/>
              <w:left w:val="nil"/>
              <w:bottom w:val="nil"/>
              <w:right w:val="nil"/>
            </w:tcBorders>
            <w:shd w:val="clear" w:color="auto" w:fill="F2F2F2" w:themeFill="background1" w:themeFillShade="F2"/>
            <w:noWrap/>
            <w:vAlign w:val="center"/>
            <w:hideMark/>
          </w:tcPr>
          <w:p w14:paraId="7B022FE3"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140.8 </w:t>
            </w:r>
          </w:p>
        </w:tc>
        <w:tc>
          <w:tcPr>
            <w:tcW w:w="876" w:type="dxa"/>
            <w:tcBorders>
              <w:top w:val="nil"/>
              <w:left w:val="nil"/>
              <w:bottom w:val="nil"/>
              <w:right w:val="nil"/>
            </w:tcBorders>
            <w:shd w:val="clear" w:color="auto" w:fill="F2F2F2" w:themeFill="background1" w:themeFillShade="F2"/>
            <w:noWrap/>
            <w:vAlign w:val="center"/>
            <w:hideMark/>
          </w:tcPr>
          <w:p w14:paraId="1DF4137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208.9 </w:t>
            </w:r>
          </w:p>
        </w:tc>
        <w:tc>
          <w:tcPr>
            <w:tcW w:w="1036" w:type="dxa"/>
            <w:tcBorders>
              <w:top w:val="nil"/>
              <w:left w:val="nil"/>
              <w:bottom w:val="nil"/>
              <w:right w:val="nil"/>
            </w:tcBorders>
            <w:shd w:val="clear" w:color="auto" w:fill="FFFFFF" w:themeFill="background1"/>
            <w:noWrap/>
            <w:vAlign w:val="center"/>
            <w:hideMark/>
          </w:tcPr>
          <w:p w14:paraId="379BD41C"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498.0 </w:t>
            </w:r>
          </w:p>
        </w:tc>
      </w:tr>
      <w:tr w:rsidR="0087424C" w:rsidRPr="0087424C" w14:paraId="1CA2D955"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59F52879"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Revision of casino duty rates</w:t>
            </w:r>
          </w:p>
        </w:tc>
        <w:tc>
          <w:tcPr>
            <w:tcW w:w="876" w:type="dxa"/>
            <w:tcBorders>
              <w:top w:val="nil"/>
              <w:left w:val="nil"/>
              <w:bottom w:val="nil"/>
              <w:right w:val="nil"/>
            </w:tcBorders>
            <w:shd w:val="clear" w:color="auto" w:fill="F2F2F2" w:themeFill="background1" w:themeFillShade="F2"/>
            <w:noWrap/>
            <w:vAlign w:val="center"/>
            <w:hideMark/>
          </w:tcPr>
          <w:p w14:paraId="2D1EA1EB"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(96.0) </w:t>
            </w:r>
          </w:p>
        </w:tc>
        <w:tc>
          <w:tcPr>
            <w:tcW w:w="876" w:type="dxa"/>
            <w:tcBorders>
              <w:top w:val="nil"/>
              <w:left w:val="nil"/>
              <w:bottom w:val="nil"/>
              <w:right w:val="nil"/>
            </w:tcBorders>
            <w:shd w:val="clear" w:color="auto" w:fill="F2F2F2" w:themeFill="background1" w:themeFillShade="F2"/>
            <w:noWrap/>
            <w:vAlign w:val="center"/>
            <w:hideMark/>
          </w:tcPr>
          <w:p w14:paraId="0B3686CC"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(101.0) </w:t>
            </w:r>
          </w:p>
        </w:tc>
        <w:tc>
          <w:tcPr>
            <w:tcW w:w="876" w:type="dxa"/>
            <w:tcBorders>
              <w:top w:val="nil"/>
              <w:left w:val="nil"/>
              <w:bottom w:val="nil"/>
              <w:right w:val="nil"/>
            </w:tcBorders>
            <w:shd w:val="clear" w:color="auto" w:fill="F2F2F2" w:themeFill="background1" w:themeFillShade="F2"/>
            <w:noWrap/>
            <w:vAlign w:val="center"/>
            <w:hideMark/>
          </w:tcPr>
          <w:p w14:paraId="45DDEC1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(114.0) </w:t>
            </w:r>
          </w:p>
        </w:tc>
        <w:tc>
          <w:tcPr>
            <w:tcW w:w="876" w:type="dxa"/>
            <w:tcBorders>
              <w:top w:val="nil"/>
              <w:left w:val="nil"/>
              <w:bottom w:val="nil"/>
              <w:right w:val="nil"/>
            </w:tcBorders>
            <w:shd w:val="clear" w:color="auto" w:fill="F2F2F2" w:themeFill="background1" w:themeFillShade="F2"/>
            <w:noWrap/>
            <w:vAlign w:val="center"/>
            <w:hideMark/>
          </w:tcPr>
          <w:p w14:paraId="6DB7201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(121.0) </w:t>
            </w:r>
          </w:p>
        </w:tc>
        <w:tc>
          <w:tcPr>
            <w:tcW w:w="1036" w:type="dxa"/>
            <w:tcBorders>
              <w:top w:val="nil"/>
              <w:left w:val="nil"/>
              <w:bottom w:val="nil"/>
              <w:right w:val="nil"/>
            </w:tcBorders>
            <w:shd w:val="clear" w:color="auto" w:fill="FFFFFF" w:themeFill="background1"/>
            <w:noWrap/>
            <w:vAlign w:val="center"/>
            <w:hideMark/>
          </w:tcPr>
          <w:p w14:paraId="25572E95"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(432.0) </w:t>
            </w:r>
          </w:p>
        </w:tc>
      </w:tr>
      <w:tr w:rsidR="0087424C" w:rsidRPr="0087424C" w14:paraId="08F47DAC"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2E784522"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Corrections to the operation of the land tax thresholds system</w:t>
            </w:r>
          </w:p>
        </w:tc>
        <w:tc>
          <w:tcPr>
            <w:tcW w:w="876" w:type="dxa"/>
            <w:tcBorders>
              <w:top w:val="nil"/>
              <w:left w:val="nil"/>
              <w:bottom w:val="nil"/>
              <w:right w:val="nil"/>
            </w:tcBorders>
            <w:shd w:val="clear" w:color="auto" w:fill="F2F2F2" w:themeFill="background1" w:themeFillShade="F2"/>
            <w:noWrap/>
            <w:vAlign w:val="center"/>
            <w:hideMark/>
          </w:tcPr>
          <w:p w14:paraId="5700E61E"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68.6 </w:t>
            </w:r>
          </w:p>
        </w:tc>
        <w:tc>
          <w:tcPr>
            <w:tcW w:w="876" w:type="dxa"/>
            <w:tcBorders>
              <w:top w:val="nil"/>
              <w:left w:val="nil"/>
              <w:bottom w:val="nil"/>
              <w:right w:val="nil"/>
            </w:tcBorders>
            <w:shd w:val="clear" w:color="auto" w:fill="F2F2F2" w:themeFill="background1" w:themeFillShade="F2"/>
            <w:noWrap/>
            <w:vAlign w:val="center"/>
            <w:hideMark/>
          </w:tcPr>
          <w:p w14:paraId="5888F2A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59.2 </w:t>
            </w:r>
          </w:p>
        </w:tc>
        <w:tc>
          <w:tcPr>
            <w:tcW w:w="876" w:type="dxa"/>
            <w:tcBorders>
              <w:top w:val="nil"/>
              <w:left w:val="nil"/>
              <w:bottom w:val="nil"/>
              <w:right w:val="nil"/>
            </w:tcBorders>
            <w:shd w:val="clear" w:color="auto" w:fill="F2F2F2" w:themeFill="background1" w:themeFillShade="F2"/>
            <w:noWrap/>
            <w:vAlign w:val="center"/>
            <w:hideMark/>
          </w:tcPr>
          <w:p w14:paraId="18D1BDC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60.0 </w:t>
            </w:r>
          </w:p>
        </w:tc>
        <w:tc>
          <w:tcPr>
            <w:tcW w:w="876" w:type="dxa"/>
            <w:tcBorders>
              <w:top w:val="nil"/>
              <w:left w:val="nil"/>
              <w:bottom w:val="nil"/>
              <w:right w:val="nil"/>
            </w:tcBorders>
            <w:shd w:val="clear" w:color="auto" w:fill="F2F2F2" w:themeFill="background1" w:themeFillShade="F2"/>
            <w:noWrap/>
            <w:vAlign w:val="center"/>
            <w:hideMark/>
          </w:tcPr>
          <w:p w14:paraId="416A04E2"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62.7 </w:t>
            </w:r>
          </w:p>
        </w:tc>
        <w:tc>
          <w:tcPr>
            <w:tcW w:w="1036" w:type="dxa"/>
            <w:tcBorders>
              <w:top w:val="nil"/>
              <w:left w:val="nil"/>
              <w:bottom w:val="nil"/>
              <w:right w:val="nil"/>
            </w:tcBorders>
            <w:shd w:val="clear" w:color="auto" w:fill="FFFFFF" w:themeFill="background1"/>
            <w:noWrap/>
            <w:vAlign w:val="center"/>
            <w:hideMark/>
          </w:tcPr>
          <w:p w14:paraId="1B4A3589"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250.5 </w:t>
            </w:r>
          </w:p>
        </w:tc>
      </w:tr>
      <w:tr w:rsidR="0087424C" w:rsidRPr="0087424C" w14:paraId="5D7A8BD9"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5A494607"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Free parking at all rural and regional public hospitals</w:t>
            </w:r>
          </w:p>
        </w:tc>
        <w:tc>
          <w:tcPr>
            <w:tcW w:w="876" w:type="dxa"/>
            <w:tcBorders>
              <w:top w:val="nil"/>
              <w:left w:val="nil"/>
              <w:bottom w:val="nil"/>
              <w:right w:val="nil"/>
            </w:tcBorders>
            <w:shd w:val="clear" w:color="auto" w:fill="F2F2F2" w:themeFill="background1" w:themeFillShade="F2"/>
            <w:noWrap/>
            <w:vAlign w:val="center"/>
            <w:hideMark/>
          </w:tcPr>
          <w:p w14:paraId="4810511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(4.5) </w:t>
            </w:r>
          </w:p>
        </w:tc>
        <w:tc>
          <w:tcPr>
            <w:tcW w:w="876" w:type="dxa"/>
            <w:tcBorders>
              <w:top w:val="nil"/>
              <w:left w:val="nil"/>
              <w:bottom w:val="nil"/>
              <w:right w:val="nil"/>
            </w:tcBorders>
            <w:shd w:val="clear" w:color="auto" w:fill="F2F2F2" w:themeFill="background1" w:themeFillShade="F2"/>
            <w:noWrap/>
            <w:vAlign w:val="center"/>
            <w:hideMark/>
          </w:tcPr>
          <w:p w14:paraId="35038AF7"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(4.7) </w:t>
            </w:r>
          </w:p>
        </w:tc>
        <w:tc>
          <w:tcPr>
            <w:tcW w:w="876" w:type="dxa"/>
            <w:tcBorders>
              <w:top w:val="nil"/>
              <w:left w:val="nil"/>
              <w:bottom w:val="nil"/>
              <w:right w:val="nil"/>
            </w:tcBorders>
            <w:shd w:val="clear" w:color="auto" w:fill="F2F2F2" w:themeFill="background1" w:themeFillShade="F2"/>
            <w:noWrap/>
            <w:vAlign w:val="center"/>
            <w:hideMark/>
          </w:tcPr>
          <w:p w14:paraId="63F6F4A1"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(4.8) </w:t>
            </w:r>
          </w:p>
        </w:tc>
        <w:tc>
          <w:tcPr>
            <w:tcW w:w="876" w:type="dxa"/>
            <w:tcBorders>
              <w:top w:val="nil"/>
              <w:left w:val="nil"/>
              <w:bottom w:val="nil"/>
              <w:right w:val="nil"/>
            </w:tcBorders>
            <w:shd w:val="clear" w:color="auto" w:fill="F2F2F2" w:themeFill="background1" w:themeFillShade="F2"/>
            <w:noWrap/>
            <w:vAlign w:val="center"/>
            <w:hideMark/>
          </w:tcPr>
          <w:p w14:paraId="1413A89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(5.0) </w:t>
            </w:r>
          </w:p>
        </w:tc>
        <w:tc>
          <w:tcPr>
            <w:tcW w:w="1036" w:type="dxa"/>
            <w:tcBorders>
              <w:top w:val="nil"/>
              <w:left w:val="nil"/>
              <w:bottom w:val="nil"/>
              <w:right w:val="nil"/>
            </w:tcBorders>
            <w:shd w:val="clear" w:color="auto" w:fill="FFFFFF" w:themeFill="background1"/>
            <w:noWrap/>
            <w:vAlign w:val="center"/>
            <w:hideMark/>
          </w:tcPr>
          <w:p w14:paraId="51379C78"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(19.0) </w:t>
            </w:r>
          </w:p>
        </w:tc>
      </w:tr>
      <w:tr w:rsidR="0087424C" w:rsidRPr="0087424C" w14:paraId="5E00FC85"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468AB8B5"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Remove ticket fees for NYE Fireworks</w:t>
            </w:r>
          </w:p>
        </w:tc>
        <w:tc>
          <w:tcPr>
            <w:tcW w:w="876" w:type="dxa"/>
            <w:tcBorders>
              <w:top w:val="nil"/>
              <w:left w:val="nil"/>
              <w:bottom w:val="nil"/>
              <w:right w:val="nil"/>
            </w:tcBorders>
            <w:shd w:val="clear" w:color="auto" w:fill="F2F2F2" w:themeFill="background1" w:themeFillShade="F2"/>
            <w:noWrap/>
            <w:vAlign w:val="center"/>
            <w:hideMark/>
          </w:tcPr>
          <w:p w14:paraId="52DCDE7B"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(3.2) </w:t>
            </w:r>
          </w:p>
        </w:tc>
        <w:tc>
          <w:tcPr>
            <w:tcW w:w="876" w:type="dxa"/>
            <w:tcBorders>
              <w:top w:val="nil"/>
              <w:left w:val="nil"/>
              <w:bottom w:val="nil"/>
              <w:right w:val="nil"/>
            </w:tcBorders>
            <w:shd w:val="clear" w:color="auto" w:fill="F2F2F2" w:themeFill="background1" w:themeFillShade="F2"/>
            <w:noWrap/>
            <w:vAlign w:val="center"/>
            <w:hideMark/>
          </w:tcPr>
          <w:p w14:paraId="7E4FEFA5"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(3.3) </w:t>
            </w:r>
          </w:p>
        </w:tc>
        <w:tc>
          <w:tcPr>
            <w:tcW w:w="876" w:type="dxa"/>
            <w:tcBorders>
              <w:top w:val="nil"/>
              <w:left w:val="nil"/>
              <w:bottom w:val="nil"/>
              <w:right w:val="nil"/>
            </w:tcBorders>
            <w:shd w:val="clear" w:color="auto" w:fill="F2F2F2" w:themeFill="background1" w:themeFillShade="F2"/>
            <w:noWrap/>
            <w:vAlign w:val="center"/>
            <w:hideMark/>
          </w:tcPr>
          <w:p w14:paraId="5BA97A6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(3.4) </w:t>
            </w:r>
          </w:p>
        </w:tc>
        <w:tc>
          <w:tcPr>
            <w:tcW w:w="876" w:type="dxa"/>
            <w:tcBorders>
              <w:top w:val="nil"/>
              <w:left w:val="nil"/>
              <w:bottom w:val="nil"/>
              <w:right w:val="nil"/>
            </w:tcBorders>
            <w:shd w:val="clear" w:color="auto" w:fill="F2F2F2" w:themeFill="background1" w:themeFillShade="F2"/>
            <w:noWrap/>
            <w:vAlign w:val="center"/>
            <w:hideMark/>
          </w:tcPr>
          <w:p w14:paraId="0FC9F68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(3.4) </w:t>
            </w:r>
          </w:p>
        </w:tc>
        <w:tc>
          <w:tcPr>
            <w:tcW w:w="1036" w:type="dxa"/>
            <w:tcBorders>
              <w:top w:val="nil"/>
              <w:left w:val="nil"/>
              <w:bottom w:val="nil"/>
              <w:right w:val="nil"/>
            </w:tcBorders>
            <w:shd w:val="clear" w:color="auto" w:fill="FFFFFF" w:themeFill="background1"/>
            <w:noWrap/>
            <w:vAlign w:val="center"/>
            <w:hideMark/>
          </w:tcPr>
          <w:p w14:paraId="52032721"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(13.3) </w:t>
            </w:r>
          </w:p>
        </w:tc>
      </w:tr>
      <w:tr w:rsidR="00590AC5" w:rsidRPr="0087424C" w14:paraId="581AD868" w14:textId="77777777" w:rsidTr="00C24E94">
        <w:trPr>
          <w:trHeight w:val="227"/>
        </w:trPr>
        <w:tc>
          <w:tcPr>
            <w:tcW w:w="5099" w:type="dxa"/>
            <w:tcBorders>
              <w:top w:val="nil"/>
              <w:left w:val="nil"/>
              <w:bottom w:val="nil"/>
              <w:right w:val="nil"/>
            </w:tcBorders>
            <w:shd w:val="clear" w:color="auto" w:fill="FFFFFF" w:themeFill="background1"/>
            <w:vAlign w:val="center"/>
          </w:tcPr>
          <w:p w14:paraId="5E3533A6" w14:textId="15F8AB84" w:rsidR="00590AC5" w:rsidRPr="0087424C" w:rsidRDefault="00590AC5" w:rsidP="0036045E">
            <w:pPr>
              <w:ind w:left="113" w:hanging="113"/>
              <w:rPr>
                <w:rFonts w:ascii="Public Sans" w:hAnsi="Public Sans" w:cs="Calibri"/>
                <w:sz w:val="16"/>
                <w:szCs w:val="16"/>
                <w:lang w:val="en-AU" w:eastAsia="en-AU"/>
              </w:rPr>
            </w:pPr>
            <w:r>
              <w:rPr>
                <w:rFonts w:ascii="Public Sans" w:hAnsi="Public Sans" w:cs="Calibri"/>
                <w:sz w:val="16"/>
                <w:szCs w:val="16"/>
                <w:lang w:val="en-AU" w:eastAsia="en-AU"/>
              </w:rPr>
              <w:t>Other revenue measures</w:t>
            </w:r>
          </w:p>
        </w:tc>
        <w:tc>
          <w:tcPr>
            <w:tcW w:w="876" w:type="dxa"/>
            <w:tcBorders>
              <w:top w:val="nil"/>
              <w:left w:val="nil"/>
              <w:bottom w:val="nil"/>
              <w:right w:val="nil"/>
            </w:tcBorders>
            <w:shd w:val="clear" w:color="auto" w:fill="F2F2F2" w:themeFill="background1" w:themeFillShade="F2"/>
            <w:noWrap/>
            <w:vAlign w:val="center"/>
          </w:tcPr>
          <w:p w14:paraId="3A0B49D6" w14:textId="2BDC8477" w:rsidR="00590AC5" w:rsidRPr="0087424C" w:rsidRDefault="00C90CDA"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28.7</w:t>
            </w:r>
          </w:p>
        </w:tc>
        <w:tc>
          <w:tcPr>
            <w:tcW w:w="876" w:type="dxa"/>
            <w:tcBorders>
              <w:top w:val="nil"/>
              <w:left w:val="nil"/>
              <w:bottom w:val="nil"/>
              <w:right w:val="nil"/>
            </w:tcBorders>
            <w:shd w:val="clear" w:color="auto" w:fill="F2F2F2" w:themeFill="background1" w:themeFillShade="F2"/>
            <w:noWrap/>
            <w:vAlign w:val="center"/>
          </w:tcPr>
          <w:p w14:paraId="5E1C6B1C" w14:textId="5137EA02" w:rsidR="00590AC5" w:rsidRPr="0087424C" w:rsidRDefault="00C2276C"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58.6</w:t>
            </w:r>
          </w:p>
        </w:tc>
        <w:tc>
          <w:tcPr>
            <w:tcW w:w="876" w:type="dxa"/>
            <w:tcBorders>
              <w:top w:val="nil"/>
              <w:left w:val="nil"/>
              <w:bottom w:val="nil"/>
              <w:right w:val="nil"/>
            </w:tcBorders>
            <w:shd w:val="clear" w:color="auto" w:fill="F2F2F2" w:themeFill="background1" w:themeFillShade="F2"/>
            <w:noWrap/>
            <w:vAlign w:val="center"/>
          </w:tcPr>
          <w:p w14:paraId="0345FF3F" w14:textId="2FD0EF12" w:rsidR="00590AC5" w:rsidRPr="0087424C" w:rsidRDefault="00C2276C"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55.9</w:t>
            </w:r>
          </w:p>
        </w:tc>
        <w:tc>
          <w:tcPr>
            <w:tcW w:w="876" w:type="dxa"/>
            <w:tcBorders>
              <w:top w:val="nil"/>
              <w:left w:val="nil"/>
              <w:bottom w:val="nil"/>
              <w:right w:val="nil"/>
            </w:tcBorders>
            <w:shd w:val="clear" w:color="auto" w:fill="F2F2F2" w:themeFill="background1" w:themeFillShade="F2"/>
            <w:noWrap/>
            <w:vAlign w:val="center"/>
          </w:tcPr>
          <w:p w14:paraId="2F5DC0D8" w14:textId="1A6ADA18" w:rsidR="00590AC5" w:rsidRPr="0087424C" w:rsidRDefault="00C2276C"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58.1</w:t>
            </w:r>
          </w:p>
        </w:tc>
        <w:tc>
          <w:tcPr>
            <w:tcW w:w="1036" w:type="dxa"/>
            <w:tcBorders>
              <w:top w:val="nil"/>
              <w:left w:val="nil"/>
              <w:bottom w:val="nil"/>
              <w:right w:val="nil"/>
            </w:tcBorders>
            <w:shd w:val="clear" w:color="auto" w:fill="FFFFFF" w:themeFill="background1"/>
            <w:noWrap/>
            <w:vAlign w:val="center"/>
          </w:tcPr>
          <w:p w14:paraId="3ABBF7B6" w14:textId="6810A0E8" w:rsidR="00590AC5" w:rsidRPr="0087424C" w:rsidRDefault="00C2276C" w:rsidP="00602A6B">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201.3</w:t>
            </w:r>
          </w:p>
        </w:tc>
      </w:tr>
      <w:tr w:rsidR="0087424C" w:rsidRPr="0087424C" w14:paraId="2BB45FD2" w14:textId="77777777" w:rsidTr="0061289B">
        <w:trPr>
          <w:trHeight w:val="340"/>
        </w:trPr>
        <w:tc>
          <w:tcPr>
            <w:tcW w:w="5099" w:type="dxa"/>
            <w:tcBorders>
              <w:top w:val="single" w:sz="4" w:space="0" w:color="auto"/>
              <w:left w:val="nil"/>
              <w:bottom w:val="single" w:sz="4" w:space="0" w:color="auto"/>
              <w:right w:val="nil"/>
            </w:tcBorders>
            <w:shd w:val="clear" w:color="auto" w:fill="FFFFFF" w:themeFill="background1"/>
            <w:vAlign w:val="center"/>
            <w:hideMark/>
          </w:tcPr>
          <w:p w14:paraId="43831514" w14:textId="77777777" w:rsidR="0087424C" w:rsidRPr="0087424C" w:rsidRDefault="0087424C" w:rsidP="0087424C">
            <w:pPr>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Total - Revenue measures</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16CC771C"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154.0 </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3D0234A7"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1,411.2 </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18AACF73"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1,339.6 </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6BE52E04"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1,237.9 </w:t>
            </w:r>
          </w:p>
        </w:tc>
        <w:tc>
          <w:tcPr>
            <w:tcW w:w="1036" w:type="dxa"/>
            <w:tcBorders>
              <w:top w:val="single" w:sz="4" w:space="0" w:color="auto"/>
              <w:left w:val="nil"/>
              <w:bottom w:val="single" w:sz="4" w:space="0" w:color="auto"/>
              <w:right w:val="nil"/>
            </w:tcBorders>
            <w:shd w:val="clear" w:color="auto" w:fill="F2F2F2" w:themeFill="background1" w:themeFillShade="F2"/>
            <w:noWrap/>
            <w:vAlign w:val="center"/>
            <w:hideMark/>
          </w:tcPr>
          <w:p w14:paraId="522334FB"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4,142.7 </w:t>
            </w:r>
          </w:p>
        </w:tc>
      </w:tr>
    </w:tbl>
    <w:p w14:paraId="0F7BCB52" w14:textId="77777777" w:rsidR="00985CA7" w:rsidRPr="00D171E5" w:rsidRDefault="00985CA7" w:rsidP="00D171E5">
      <w:pPr>
        <w:rPr>
          <w:lang w:val="en-AU"/>
        </w:rPr>
      </w:pPr>
    </w:p>
    <w:p w14:paraId="4F0439DF" w14:textId="340935BE" w:rsidR="007D7065" w:rsidRDefault="00CE6C3D" w:rsidP="002B68CF">
      <w:pPr>
        <w:pStyle w:val="41Heading2"/>
      </w:pPr>
      <w:bookmarkStart w:id="2" w:name="_Ref72482584"/>
      <w:r w:rsidRPr="00A85CB8">
        <w:t>Taxation revenue</w:t>
      </w:r>
      <w:bookmarkEnd w:id="2"/>
    </w:p>
    <w:p w14:paraId="2DE67754" w14:textId="330D2CEB" w:rsidR="009D49A8" w:rsidRDefault="59AAC5D0" w:rsidP="00E4551D">
      <w:pPr>
        <w:pStyle w:val="BodyText"/>
      </w:pPr>
      <w:r>
        <w:t>Taxation revenue is expected to be $</w:t>
      </w:r>
      <w:r w:rsidR="002666DF" w:rsidRPr="00813871">
        <w:t>44.</w:t>
      </w:r>
      <w:r w:rsidR="001C1955">
        <w:t>9</w:t>
      </w:r>
      <w:r>
        <w:t xml:space="preserve"> billion in 2023-24 (see </w:t>
      </w:r>
      <w:r w:rsidRPr="00134A99">
        <w:t>Table 4.</w:t>
      </w:r>
      <w:r w:rsidR="00C53D3C" w:rsidRPr="00134A99">
        <w:t>2</w:t>
      </w:r>
      <w:r>
        <w:t>), which is $</w:t>
      </w:r>
      <w:r w:rsidR="002666DF" w:rsidRPr="00813871">
        <w:t>5.</w:t>
      </w:r>
      <w:r w:rsidR="001C1955">
        <w:t>5</w:t>
      </w:r>
      <w:r>
        <w:t> </w:t>
      </w:r>
      <w:r w:rsidR="00A46A8D">
        <w:t>b</w:t>
      </w:r>
      <w:r>
        <w:t>illion</w:t>
      </w:r>
      <w:r w:rsidDel="00AF402A">
        <w:t xml:space="preserve"> </w:t>
      </w:r>
      <w:r>
        <w:t xml:space="preserve">higher than forecast at the </w:t>
      </w:r>
      <w:r w:rsidR="6F7D59BE" w:rsidRPr="00A65FD1">
        <w:t>2023 Pre-election Budget Update</w:t>
      </w:r>
      <w:r>
        <w:t>. Over the four years to 2026</w:t>
      </w:r>
      <w:r w:rsidR="005F006B">
        <w:t>-27</w:t>
      </w:r>
      <w:r>
        <w:t>, taxation revenue has been revised upwards by $</w:t>
      </w:r>
      <w:r w:rsidR="001C7068" w:rsidRPr="00813871">
        <w:t>17.</w:t>
      </w:r>
      <w:r w:rsidR="001C1955">
        <w:t>6</w:t>
      </w:r>
      <w:r>
        <w:t xml:space="preserve"> billion.</w:t>
      </w:r>
      <w:r w:rsidR="008A6EB5">
        <w:t xml:space="preserve"> </w:t>
      </w:r>
      <w:r w:rsidR="4DF8FE01" w:rsidRPr="00011D7F">
        <w:rPr>
          <w:rFonts w:eastAsiaTheme="minorEastAsia"/>
        </w:rPr>
        <w:t>The upgrade</w:t>
      </w:r>
      <w:r w:rsidR="201640D9" w:rsidRPr="00011D7F">
        <w:rPr>
          <w:rFonts w:eastAsiaTheme="minorEastAsia"/>
        </w:rPr>
        <w:t xml:space="preserve"> to taxation revenue</w:t>
      </w:r>
      <w:r w:rsidR="4DF8FE01" w:rsidRPr="00011D7F">
        <w:rPr>
          <w:rFonts w:eastAsiaTheme="minorEastAsia"/>
        </w:rPr>
        <w:t xml:space="preserve"> is largely due to </w:t>
      </w:r>
      <w:r w:rsidR="3C80B827" w:rsidRPr="00011D7F">
        <w:rPr>
          <w:rFonts w:eastAsiaTheme="minorEastAsia"/>
        </w:rPr>
        <w:t xml:space="preserve">improvements in </w:t>
      </w:r>
      <w:r w:rsidR="4DF8FE01" w:rsidRPr="00011D7F">
        <w:rPr>
          <w:rFonts w:eastAsiaTheme="minorEastAsia"/>
        </w:rPr>
        <w:t xml:space="preserve">transfer duty </w:t>
      </w:r>
      <w:r w:rsidR="33ADD21C" w:rsidRPr="00011D7F">
        <w:rPr>
          <w:rFonts w:eastAsiaTheme="minorEastAsia"/>
        </w:rPr>
        <w:t>revenue</w:t>
      </w:r>
      <w:r w:rsidR="4DF8FE01" w:rsidRPr="00011D7F">
        <w:rPr>
          <w:rFonts w:eastAsiaTheme="minorEastAsia"/>
        </w:rPr>
        <w:t xml:space="preserve"> driven by the stronger-than-expected recovery in the property market</w:t>
      </w:r>
      <w:r w:rsidR="403301F4" w:rsidRPr="00011D7F">
        <w:rPr>
          <w:rFonts w:eastAsiaTheme="minorEastAsia"/>
        </w:rPr>
        <w:t xml:space="preserve"> and stronger payroll tax revenue due to continued strength in the labour market.</w:t>
      </w:r>
      <w:r w:rsidR="147B3A7F" w:rsidRPr="1ED9FEAA">
        <w:rPr>
          <w:rFonts w:eastAsiaTheme="minorEastAsia"/>
          <w:lang w:eastAsia="en-AU"/>
        </w:rPr>
        <w:t xml:space="preserve"> </w:t>
      </w:r>
      <w:r w:rsidR="00557D21">
        <w:br w:type="page"/>
      </w:r>
    </w:p>
    <w:p w14:paraId="6C4A921B" w14:textId="77777777" w:rsidR="00F37373" w:rsidRPr="00A85CB8" w:rsidRDefault="00F37373" w:rsidP="00F37373">
      <w:pPr>
        <w:pStyle w:val="Table4X"/>
      </w:pPr>
      <w:r w:rsidRPr="00A85CB8">
        <w:lastRenderedPageBreak/>
        <w:t>General government sector – summary of taxation revenue</w:t>
      </w:r>
      <w:r>
        <w:t xml:space="preserve"> </w:t>
      </w:r>
    </w:p>
    <w:tbl>
      <w:tblPr>
        <w:tblW w:w="9639" w:type="dxa"/>
        <w:tblLook w:val="04A0" w:firstRow="1" w:lastRow="0" w:firstColumn="1" w:lastColumn="0" w:noHBand="0" w:noVBand="1"/>
        <w:tblCaption w:val="Table 4.4: General government sector – summary of taxation revenue "/>
        <w:tblDescription w:val="Table 4.4: General government sector – summary of taxation revenue "/>
      </w:tblPr>
      <w:tblGrid>
        <w:gridCol w:w="3289"/>
        <w:gridCol w:w="864"/>
        <w:gridCol w:w="864"/>
        <w:gridCol w:w="864"/>
        <w:gridCol w:w="864"/>
        <w:gridCol w:w="864"/>
        <w:gridCol w:w="865"/>
        <w:gridCol w:w="1165"/>
      </w:tblGrid>
      <w:tr w:rsidR="005D1FAE" w:rsidRPr="00B43D87" w14:paraId="74FF4C52" w14:textId="77777777" w:rsidTr="007E169F">
        <w:trPr>
          <w:trHeight w:val="339"/>
        </w:trPr>
        <w:tc>
          <w:tcPr>
            <w:tcW w:w="3301" w:type="dxa"/>
            <w:tcBorders>
              <w:top w:val="nil"/>
              <w:left w:val="nil"/>
              <w:bottom w:val="nil"/>
              <w:right w:val="nil"/>
            </w:tcBorders>
            <w:shd w:val="clear" w:color="000000" w:fill="EBEBEB"/>
            <w:vAlign w:val="center"/>
            <w:hideMark/>
          </w:tcPr>
          <w:p w14:paraId="7B035652" w14:textId="77777777" w:rsidR="00B43D87" w:rsidRPr="007E169F" w:rsidRDefault="00B43D87" w:rsidP="00B43D87">
            <w:pPr>
              <w:jc w:val="center"/>
              <w:rPr>
                <w:rFonts w:ascii="Public Sans" w:hAnsi="Public Sans" w:cs="Calibri"/>
                <w:i/>
                <w:color w:val="000000"/>
                <w:sz w:val="17"/>
                <w:szCs w:val="17"/>
                <w:lang w:val="en-AU" w:eastAsia="en-AU"/>
              </w:rPr>
            </w:pPr>
            <w:r w:rsidRPr="007E169F">
              <w:rPr>
                <w:rFonts w:ascii="Public Sans" w:hAnsi="Public Sans" w:cs="Calibri"/>
                <w:i/>
                <w:color w:val="000000"/>
                <w:sz w:val="17"/>
                <w:szCs w:val="17"/>
                <w:lang w:val="en-AU" w:eastAsia="en-AU"/>
              </w:rPr>
              <w:t> </w:t>
            </w:r>
          </w:p>
        </w:tc>
        <w:tc>
          <w:tcPr>
            <w:tcW w:w="867" w:type="dxa"/>
            <w:tcBorders>
              <w:top w:val="nil"/>
              <w:left w:val="nil"/>
              <w:bottom w:val="nil"/>
              <w:right w:val="nil"/>
            </w:tcBorders>
            <w:shd w:val="clear" w:color="000000" w:fill="EBEBEB"/>
            <w:vAlign w:val="bottom"/>
            <w:hideMark/>
          </w:tcPr>
          <w:p w14:paraId="4A1394BB"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2021-22</w:t>
            </w:r>
          </w:p>
        </w:tc>
        <w:tc>
          <w:tcPr>
            <w:tcW w:w="867" w:type="dxa"/>
            <w:tcBorders>
              <w:top w:val="nil"/>
              <w:left w:val="nil"/>
              <w:bottom w:val="nil"/>
              <w:right w:val="nil"/>
            </w:tcBorders>
            <w:shd w:val="clear" w:color="000000" w:fill="EBEBEB"/>
            <w:vAlign w:val="bottom"/>
            <w:hideMark/>
          </w:tcPr>
          <w:p w14:paraId="6C3D970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2022-23</w:t>
            </w:r>
          </w:p>
        </w:tc>
        <w:tc>
          <w:tcPr>
            <w:tcW w:w="867" w:type="dxa"/>
            <w:tcBorders>
              <w:top w:val="nil"/>
              <w:left w:val="nil"/>
              <w:bottom w:val="nil"/>
              <w:right w:val="nil"/>
            </w:tcBorders>
            <w:shd w:val="clear" w:color="000000" w:fill="EBEBEB"/>
            <w:vAlign w:val="bottom"/>
            <w:hideMark/>
          </w:tcPr>
          <w:p w14:paraId="11D80A97"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2023-24</w:t>
            </w:r>
          </w:p>
        </w:tc>
        <w:tc>
          <w:tcPr>
            <w:tcW w:w="867" w:type="dxa"/>
            <w:tcBorders>
              <w:top w:val="nil"/>
              <w:left w:val="nil"/>
              <w:bottom w:val="nil"/>
              <w:right w:val="nil"/>
            </w:tcBorders>
            <w:shd w:val="clear" w:color="000000" w:fill="EBEBEB"/>
            <w:vAlign w:val="bottom"/>
            <w:hideMark/>
          </w:tcPr>
          <w:p w14:paraId="281AFFEC"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2024-25</w:t>
            </w:r>
          </w:p>
        </w:tc>
        <w:tc>
          <w:tcPr>
            <w:tcW w:w="867" w:type="dxa"/>
            <w:tcBorders>
              <w:top w:val="nil"/>
              <w:left w:val="nil"/>
              <w:bottom w:val="nil"/>
              <w:right w:val="nil"/>
            </w:tcBorders>
            <w:shd w:val="clear" w:color="000000" w:fill="EBEBEB"/>
            <w:vAlign w:val="bottom"/>
            <w:hideMark/>
          </w:tcPr>
          <w:p w14:paraId="2ED8DC00"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2025-26</w:t>
            </w:r>
          </w:p>
        </w:tc>
        <w:tc>
          <w:tcPr>
            <w:tcW w:w="868" w:type="dxa"/>
            <w:tcBorders>
              <w:top w:val="nil"/>
              <w:left w:val="nil"/>
              <w:bottom w:val="nil"/>
              <w:right w:val="nil"/>
            </w:tcBorders>
            <w:shd w:val="clear" w:color="000000" w:fill="EBEBEB"/>
            <w:vAlign w:val="bottom"/>
            <w:hideMark/>
          </w:tcPr>
          <w:p w14:paraId="507CA89E"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2026-27</w:t>
            </w:r>
          </w:p>
        </w:tc>
        <w:tc>
          <w:tcPr>
            <w:tcW w:w="1169" w:type="dxa"/>
            <w:vMerge w:val="restart"/>
            <w:tcBorders>
              <w:top w:val="nil"/>
              <w:left w:val="nil"/>
              <w:bottom w:val="nil"/>
              <w:right w:val="nil"/>
            </w:tcBorders>
            <w:shd w:val="clear" w:color="000000" w:fill="4F4F4F"/>
            <w:vAlign w:val="center"/>
            <w:hideMark/>
          </w:tcPr>
          <w:p w14:paraId="595D8D37" w14:textId="77777777" w:rsidR="00B43D87" w:rsidRPr="007E169F" w:rsidRDefault="00B43D87" w:rsidP="00B43D87">
            <w:pPr>
              <w:jc w:val="center"/>
              <w:rPr>
                <w:rFonts w:ascii="Public Sans" w:hAnsi="Public Sans" w:cs="Calibri"/>
                <w:color w:val="FFFFFF"/>
                <w:sz w:val="17"/>
                <w:szCs w:val="17"/>
                <w:lang w:val="en-AU" w:eastAsia="en-AU"/>
              </w:rPr>
            </w:pPr>
            <w:r w:rsidRPr="007E169F">
              <w:rPr>
                <w:rFonts w:ascii="Public Sans" w:hAnsi="Public Sans" w:cs="Calibri"/>
                <w:color w:val="FFFFFF"/>
                <w:sz w:val="17"/>
                <w:szCs w:val="17"/>
                <w:lang w:val="en-AU" w:eastAsia="en-AU"/>
              </w:rPr>
              <w:t>% Average growth p.a. 2022-23 to 2026-27</w:t>
            </w:r>
          </w:p>
        </w:tc>
      </w:tr>
      <w:tr w:rsidR="00754236" w:rsidRPr="00B43D87" w14:paraId="398E8A15" w14:textId="77777777" w:rsidTr="007E169F">
        <w:trPr>
          <w:trHeight w:val="227"/>
        </w:trPr>
        <w:tc>
          <w:tcPr>
            <w:tcW w:w="3301" w:type="dxa"/>
            <w:tcBorders>
              <w:top w:val="nil"/>
              <w:left w:val="nil"/>
              <w:bottom w:val="nil"/>
              <w:right w:val="nil"/>
            </w:tcBorders>
            <w:shd w:val="clear" w:color="000000" w:fill="EBEBEB"/>
            <w:vAlign w:val="center"/>
            <w:hideMark/>
          </w:tcPr>
          <w:p w14:paraId="011FE1BA" w14:textId="77777777" w:rsidR="00B43D87" w:rsidRPr="007E169F" w:rsidRDefault="00B43D87" w:rsidP="00B43D87">
            <w:pPr>
              <w:jc w:val="center"/>
              <w:rPr>
                <w:rFonts w:ascii="Public Sans" w:hAnsi="Public Sans" w:cs="Calibri"/>
                <w:i/>
                <w:color w:val="000000"/>
                <w:sz w:val="17"/>
                <w:szCs w:val="17"/>
                <w:lang w:val="en-AU" w:eastAsia="en-AU"/>
              </w:rPr>
            </w:pPr>
            <w:r w:rsidRPr="007E169F">
              <w:rPr>
                <w:rFonts w:ascii="Public Sans" w:hAnsi="Public Sans" w:cs="Calibri"/>
                <w:i/>
                <w:color w:val="000000"/>
                <w:sz w:val="17"/>
                <w:szCs w:val="17"/>
                <w:lang w:val="en-AU" w:eastAsia="en-AU"/>
              </w:rPr>
              <w:t> </w:t>
            </w:r>
          </w:p>
        </w:tc>
        <w:tc>
          <w:tcPr>
            <w:tcW w:w="867" w:type="dxa"/>
            <w:tcBorders>
              <w:top w:val="nil"/>
              <w:left w:val="nil"/>
              <w:bottom w:val="nil"/>
              <w:right w:val="nil"/>
            </w:tcBorders>
            <w:shd w:val="clear" w:color="000000" w:fill="EBEBEB"/>
            <w:vAlign w:val="center"/>
            <w:hideMark/>
          </w:tcPr>
          <w:p w14:paraId="3F233A7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Actual</w:t>
            </w:r>
          </w:p>
        </w:tc>
        <w:tc>
          <w:tcPr>
            <w:tcW w:w="867" w:type="dxa"/>
            <w:tcBorders>
              <w:top w:val="nil"/>
              <w:left w:val="nil"/>
              <w:bottom w:val="nil"/>
              <w:right w:val="nil"/>
            </w:tcBorders>
            <w:shd w:val="clear" w:color="000000" w:fill="EBEBEB"/>
            <w:vAlign w:val="center"/>
            <w:hideMark/>
          </w:tcPr>
          <w:p w14:paraId="4586D347"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Est. Actual</w:t>
            </w:r>
          </w:p>
        </w:tc>
        <w:tc>
          <w:tcPr>
            <w:tcW w:w="867" w:type="dxa"/>
            <w:tcBorders>
              <w:top w:val="nil"/>
              <w:left w:val="nil"/>
              <w:bottom w:val="nil"/>
              <w:right w:val="nil"/>
            </w:tcBorders>
            <w:shd w:val="clear" w:color="000000" w:fill="EBEBEB"/>
            <w:vAlign w:val="center"/>
            <w:hideMark/>
          </w:tcPr>
          <w:p w14:paraId="60642D3F"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Budget</w:t>
            </w:r>
          </w:p>
        </w:tc>
        <w:tc>
          <w:tcPr>
            <w:tcW w:w="2603" w:type="dxa"/>
            <w:gridSpan w:val="3"/>
            <w:tcBorders>
              <w:top w:val="nil"/>
              <w:left w:val="nil"/>
              <w:bottom w:val="nil"/>
              <w:right w:val="nil"/>
            </w:tcBorders>
            <w:shd w:val="clear" w:color="000000" w:fill="EBEBEB"/>
            <w:vAlign w:val="center"/>
            <w:hideMark/>
          </w:tcPr>
          <w:p w14:paraId="7E28BDA6"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Forward Estimates</w:t>
            </w:r>
          </w:p>
        </w:tc>
        <w:tc>
          <w:tcPr>
            <w:tcW w:w="1169" w:type="dxa"/>
            <w:vMerge/>
            <w:tcBorders>
              <w:top w:val="nil"/>
              <w:left w:val="nil"/>
              <w:bottom w:val="nil"/>
              <w:right w:val="nil"/>
            </w:tcBorders>
            <w:vAlign w:val="center"/>
            <w:hideMark/>
          </w:tcPr>
          <w:p w14:paraId="7C007B7E" w14:textId="77777777" w:rsidR="00B43D87" w:rsidRPr="007E169F" w:rsidRDefault="00B43D87" w:rsidP="00B43D87">
            <w:pPr>
              <w:rPr>
                <w:rFonts w:ascii="Public Sans" w:hAnsi="Public Sans" w:cs="Calibri"/>
                <w:color w:val="FFFFFF"/>
                <w:sz w:val="17"/>
                <w:szCs w:val="17"/>
                <w:lang w:val="en-AU" w:eastAsia="en-AU"/>
              </w:rPr>
            </w:pPr>
          </w:p>
        </w:tc>
      </w:tr>
      <w:tr w:rsidR="005D1FAE" w:rsidRPr="00B43D87" w14:paraId="446CF8CE" w14:textId="77777777" w:rsidTr="007E169F">
        <w:trPr>
          <w:trHeight w:val="283"/>
        </w:trPr>
        <w:tc>
          <w:tcPr>
            <w:tcW w:w="3301" w:type="dxa"/>
            <w:tcBorders>
              <w:top w:val="nil"/>
              <w:left w:val="nil"/>
              <w:bottom w:val="nil"/>
              <w:right w:val="nil"/>
            </w:tcBorders>
            <w:shd w:val="clear" w:color="000000" w:fill="EBEBEB"/>
            <w:vAlign w:val="center"/>
            <w:hideMark/>
          </w:tcPr>
          <w:p w14:paraId="2C542477" w14:textId="77777777" w:rsidR="00B43D87" w:rsidRPr="007E169F" w:rsidRDefault="00B43D87" w:rsidP="00B43D87">
            <w:pPr>
              <w:jc w:val="center"/>
              <w:rPr>
                <w:rFonts w:ascii="Public Sans" w:hAnsi="Public Sans" w:cs="Calibri"/>
                <w:i/>
                <w:color w:val="000000"/>
                <w:sz w:val="17"/>
                <w:szCs w:val="17"/>
                <w:lang w:val="en-AU" w:eastAsia="en-AU"/>
              </w:rPr>
            </w:pPr>
            <w:r w:rsidRPr="007E169F">
              <w:rPr>
                <w:rFonts w:ascii="Public Sans" w:hAnsi="Public Sans" w:cs="Calibri"/>
                <w:i/>
                <w:color w:val="000000"/>
                <w:sz w:val="17"/>
                <w:szCs w:val="17"/>
                <w:lang w:val="en-AU" w:eastAsia="en-AU"/>
              </w:rPr>
              <w:t> </w:t>
            </w:r>
          </w:p>
        </w:tc>
        <w:tc>
          <w:tcPr>
            <w:tcW w:w="867" w:type="dxa"/>
            <w:tcBorders>
              <w:top w:val="nil"/>
              <w:left w:val="nil"/>
              <w:bottom w:val="nil"/>
              <w:right w:val="nil"/>
            </w:tcBorders>
            <w:shd w:val="clear" w:color="000000" w:fill="EBEBEB"/>
            <w:hideMark/>
          </w:tcPr>
          <w:p w14:paraId="3307C51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4C20F7B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27CC2B0E"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5E9C906D"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375D855B"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8" w:type="dxa"/>
            <w:tcBorders>
              <w:top w:val="nil"/>
              <w:left w:val="nil"/>
              <w:bottom w:val="nil"/>
              <w:right w:val="nil"/>
            </w:tcBorders>
            <w:shd w:val="clear" w:color="000000" w:fill="EBEBEB"/>
            <w:hideMark/>
          </w:tcPr>
          <w:p w14:paraId="19D1D325"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1169" w:type="dxa"/>
            <w:vMerge/>
            <w:tcBorders>
              <w:top w:val="nil"/>
              <w:left w:val="nil"/>
              <w:bottom w:val="nil"/>
              <w:right w:val="nil"/>
            </w:tcBorders>
            <w:vAlign w:val="center"/>
            <w:hideMark/>
          </w:tcPr>
          <w:p w14:paraId="219DF92D" w14:textId="77777777" w:rsidR="00B43D87" w:rsidRPr="007E169F" w:rsidRDefault="00B43D87" w:rsidP="00B43D87">
            <w:pPr>
              <w:rPr>
                <w:rFonts w:ascii="Public Sans" w:hAnsi="Public Sans" w:cs="Calibri"/>
                <w:color w:val="FFFFFF"/>
                <w:sz w:val="17"/>
                <w:szCs w:val="17"/>
                <w:lang w:val="en-AU" w:eastAsia="en-AU"/>
              </w:rPr>
            </w:pPr>
          </w:p>
        </w:tc>
      </w:tr>
      <w:tr w:rsidR="00B43D87" w:rsidRPr="00B43D87" w14:paraId="6959DB2B" w14:textId="77777777" w:rsidTr="00014057">
        <w:trPr>
          <w:trHeight w:val="188"/>
        </w:trPr>
        <w:tc>
          <w:tcPr>
            <w:tcW w:w="3301" w:type="dxa"/>
            <w:tcBorders>
              <w:top w:val="nil"/>
              <w:left w:val="nil"/>
              <w:bottom w:val="nil"/>
              <w:right w:val="nil"/>
            </w:tcBorders>
            <w:shd w:val="clear" w:color="000000" w:fill="FFFFFF"/>
            <w:vAlign w:val="bottom"/>
            <w:hideMark/>
          </w:tcPr>
          <w:p w14:paraId="2391DF4A"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xml:space="preserve">Stamp duties </w:t>
            </w:r>
          </w:p>
        </w:tc>
        <w:tc>
          <w:tcPr>
            <w:tcW w:w="867" w:type="dxa"/>
            <w:tcBorders>
              <w:top w:val="nil"/>
              <w:left w:val="nil"/>
              <w:bottom w:val="nil"/>
              <w:right w:val="nil"/>
            </w:tcBorders>
            <w:shd w:val="clear" w:color="000000" w:fill="FFFFFF"/>
            <w:vAlign w:val="bottom"/>
            <w:hideMark/>
          </w:tcPr>
          <w:p w14:paraId="2E2FD54D"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FFFFF"/>
            <w:vAlign w:val="bottom"/>
            <w:hideMark/>
          </w:tcPr>
          <w:p w14:paraId="7C16C662"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2F2F2"/>
            <w:vAlign w:val="bottom"/>
            <w:hideMark/>
          </w:tcPr>
          <w:p w14:paraId="10C58E86"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2F2F2"/>
            <w:vAlign w:val="bottom"/>
            <w:hideMark/>
          </w:tcPr>
          <w:p w14:paraId="05F953F8"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2F2F2"/>
            <w:vAlign w:val="bottom"/>
            <w:hideMark/>
          </w:tcPr>
          <w:p w14:paraId="491707CB"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8" w:type="dxa"/>
            <w:tcBorders>
              <w:top w:val="nil"/>
              <w:left w:val="nil"/>
              <w:bottom w:val="nil"/>
              <w:right w:val="nil"/>
            </w:tcBorders>
            <w:shd w:val="clear" w:color="000000" w:fill="F2F2F2"/>
            <w:vAlign w:val="bottom"/>
            <w:hideMark/>
          </w:tcPr>
          <w:p w14:paraId="1392C127"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1169" w:type="dxa"/>
            <w:tcBorders>
              <w:top w:val="nil"/>
              <w:left w:val="nil"/>
              <w:bottom w:val="nil"/>
              <w:right w:val="nil"/>
            </w:tcBorders>
            <w:shd w:val="clear" w:color="000000" w:fill="FFFFFF"/>
            <w:vAlign w:val="bottom"/>
            <w:hideMark/>
          </w:tcPr>
          <w:p w14:paraId="0008B6CF"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r>
      <w:tr w:rsidR="00B43D87" w:rsidRPr="00B43D87" w14:paraId="7B4ABBAD" w14:textId="77777777" w:rsidTr="00014057">
        <w:trPr>
          <w:trHeight w:val="188"/>
        </w:trPr>
        <w:tc>
          <w:tcPr>
            <w:tcW w:w="3301" w:type="dxa"/>
            <w:tcBorders>
              <w:top w:val="nil"/>
              <w:left w:val="nil"/>
              <w:bottom w:val="nil"/>
              <w:right w:val="nil"/>
            </w:tcBorders>
            <w:shd w:val="clear" w:color="000000" w:fill="FFFFFF"/>
            <w:noWrap/>
            <w:vAlign w:val="center"/>
            <w:hideMark/>
          </w:tcPr>
          <w:p w14:paraId="3739F4C3"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Transfer duty</w:t>
            </w:r>
          </w:p>
        </w:tc>
        <w:tc>
          <w:tcPr>
            <w:tcW w:w="867" w:type="dxa"/>
            <w:tcBorders>
              <w:top w:val="nil"/>
              <w:left w:val="nil"/>
              <w:bottom w:val="nil"/>
              <w:right w:val="nil"/>
            </w:tcBorders>
            <w:shd w:val="clear" w:color="000000" w:fill="FFFFFF"/>
            <w:noWrap/>
            <w:vAlign w:val="center"/>
            <w:hideMark/>
          </w:tcPr>
          <w:p w14:paraId="456FB2C8" w14:textId="5A6114B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14,356</w:t>
            </w:r>
          </w:p>
        </w:tc>
        <w:tc>
          <w:tcPr>
            <w:tcW w:w="867" w:type="dxa"/>
            <w:tcBorders>
              <w:top w:val="nil"/>
              <w:left w:val="nil"/>
              <w:bottom w:val="nil"/>
              <w:right w:val="nil"/>
            </w:tcBorders>
            <w:shd w:val="clear" w:color="000000" w:fill="FFFFFF"/>
            <w:noWrap/>
            <w:vAlign w:val="center"/>
            <w:hideMark/>
          </w:tcPr>
          <w:p w14:paraId="692A899B" w14:textId="7B4A577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9,712</w:t>
            </w:r>
          </w:p>
        </w:tc>
        <w:tc>
          <w:tcPr>
            <w:tcW w:w="867" w:type="dxa"/>
            <w:tcBorders>
              <w:top w:val="nil"/>
              <w:left w:val="nil"/>
              <w:bottom w:val="nil"/>
              <w:right w:val="nil"/>
            </w:tcBorders>
            <w:shd w:val="clear" w:color="000000" w:fill="F2F2F2"/>
            <w:noWrap/>
            <w:vAlign w:val="center"/>
            <w:hideMark/>
          </w:tcPr>
          <w:p w14:paraId="1FEDEF2E" w14:textId="6E09E63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11,737</w:t>
            </w:r>
          </w:p>
        </w:tc>
        <w:tc>
          <w:tcPr>
            <w:tcW w:w="867" w:type="dxa"/>
            <w:tcBorders>
              <w:top w:val="nil"/>
              <w:left w:val="nil"/>
              <w:bottom w:val="nil"/>
              <w:right w:val="nil"/>
            </w:tcBorders>
            <w:shd w:val="clear" w:color="000000" w:fill="F2F2F2"/>
            <w:noWrap/>
            <w:vAlign w:val="center"/>
            <w:hideMark/>
          </w:tcPr>
          <w:p w14:paraId="05FD7275" w14:textId="0CD0B2C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11,798</w:t>
            </w:r>
          </w:p>
        </w:tc>
        <w:tc>
          <w:tcPr>
            <w:tcW w:w="867" w:type="dxa"/>
            <w:tcBorders>
              <w:top w:val="nil"/>
              <w:left w:val="nil"/>
              <w:bottom w:val="nil"/>
              <w:right w:val="nil"/>
            </w:tcBorders>
            <w:shd w:val="clear" w:color="000000" w:fill="F2F2F2"/>
            <w:noWrap/>
            <w:vAlign w:val="center"/>
            <w:hideMark/>
          </w:tcPr>
          <w:p w14:paraId="671CB590" w14:textId="3D665E9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11,902</w:t>
            </w:r>
          </w:p>
        </w:tc>
        <w:tc>
          <w:tcPr>
            <w:tcW w:w="868" w:type="dxa"/>
            <w:tcBorders>
              <w:top w:val="nil"/>
              <w:left w:val="nil"/>
              <w:bottom w:val="nil"/>
              <w:right w:val="nil"/>
            </w:tcBorders>
            <w:shd w:val="clear" w:color="000000" w:fill="F2F2F2"/>
            <w:noWrap/>
            <w:vAlign w:val="center"/>
            <w:hideMark/>
          </w:tcPr>
          <w:p w14:paraId="536E44F4" w14:textId="1B46D35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12,196</w:t>
            </w:r>
          </w:p>
        </w:tc>
        <w:tc>
          <w:tcPr>
            <w:tcW w:w="1169" w:type="dxa"/>
            <w:tcBorders>
              <w:top w:val="nil"/>
              <w:left w:val="nil"/>
              <w:bottom w:val="nil"/>
              <w:right w:val="nil"/>
            </w:tcBorders>
            <w:shd w:val="clear" w:color="000000" w:fill="FFFFFF"/>
            <w:noWrap/>
            <w:vAlign w:val="center"/>
            <w:hideMark/>
          </w:tcPr>
          <w:p w14:paraId="48583735"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5.9</w:t>
            </w:r>
          </w:p>
        </w:tc>
      </w:tr>
      <w:tr w:rsidR="00B43D87" w:rsidRPr="00B43D87" w14:paraId="0213B58B" w14:textId="77777777" w:rsidTr="00014057">
        <w:trPr>
          <w:trHeight w:val="188"/>
        </w:trPr>
        <w:tc>
          <w:tcPr>
            <w:tcW w:w="3301" w:type="dxa"/>
            <w:tcBorders>
              <w:top w:val="nil"/>
              <w:left w:val="nil"/>
              <w:bottom w:val="nil"/>
              <w:right w:val="nil"/>
            </w:tcBorders>
            <w:shd w:val="clear" w:color="000000" w:fill="FFFFFF"/>
            <w:noWrap/>
            <w:vAlign w:val="center"/>
            <w:hideMark/>
          </w:tcPr>
          <w:p w14:paraId="7D0ECA5D"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Insurance</w:t>
            </w:r>
          </w:p>
        </w:tc>
        <w:tc>
          <w:tcPr>
            <w:tcW w:w="867" w:type="dxa"/>
            <w:tcBorders>
              <w:top w:val="nil"/>
              <w:left w:val="nil"/>
              <w:bottom w:val="nil"/>
              <w:right w:val="nil"/>
            </w:tcBorders>
            <w:shd w:val="clear" w:color="000000" w:fill="FFFFFF"/>
            <w:noWrap/>
            <w:vAlign w:val="center"/>
            <w:hideMark/>
          </w:tcPr>
          <w:p w14:paraId="3B764EFE" w14:textId="4EBDB34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1,318</w:t>
            </w:r>
          </w:p>
        </w:tc>
        <w:tc>
          <w:tcPr>
            <w:tcW w:w="867" w:type="dxa"/>
            <w:tcBorders>
              <w:top w:val="nil"/>
              <w:left w:val="nil"/>
              <w:bottom w:val="nil"/>
              <w:right w:val="nil"/>
            </w:tcBorders>
            <w:shd w:val="clear" w:color="000000" w:fill="FFFFFF"/>
            <w:noWrap/>
            <w:vAlign w:val="center"/>
            <w:hideMark/>
          </w:tcPr>
          <w:p w14:paraId="44C12DD4" w14:textId="74C0133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1,465</w:t>
            </w:r>
          </w:p>
        </w:tc>
        <w:tc>
          <w:tcPr>
            <w:tcW w:w="867" w:type="dxa"/>
            <w:tcBorders>
              <w:top w:val="nil"/>
              <w:left w:val="nil"/>
              <w:bottom w:val="nil"/>
              <w:right w:val="nil"/>
            </w:tcBorders>
            <w:shd w:val="clear" w:color="000000" w:fill="F2F2F2"/>
            <w:noWrap/>
            <w:vAlign w:val="center"/>
            <w:hideMark/>
          </w:tcPr>
          <w:p w14:paraId="420809C3" w14:textId="5D90CBC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1,559</w:t>
            </w:r>
          </w:p>
        </w:tc>
        <w:tc>
          <w:tcPr>
            <w:tcW w:w="867" w:type="dxa"/>
            <w:tcBorders>
              <w:top w:val="nil"/>
              <w:left w:val="nil"/>
              <w:bottom w:val="nil"/>
              <w:right w:val="nil"/>
            </w:tcBorders>
            <w:shd w:val="clear" w:color="000000" w:fill="F2F2F2"/>
            <w:noWrap/>
            <w:vAlign w:val="center"/>
            <w:hideMark/>
          </w:tcPr>
          <w:p w14:paraId="496B5F52" w14:textId="2643287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1,649</w:t>
            </w:r>
          </w:p>
        </w:tc>
        <w:tc>
          <w:tcPr>
            <w:tcW w:w="867" w:type="dxa"/>
            <w:tcBorders>
              <w:top w:val="nil"/>
              <w:left w:val="nil"/>
              <w:bottom w:val="nil"/>
              <w:right w:val="nil"/>
            </w:tcBorders>
            <w:shd w:val="clear" w:color="000000" w:fill="F2F2F2"/>
            <w:noWrap/>
            <w:vAlign w:val="center"/>
            <w:hideMark/>
          </w:tcPr>
          <w:p w14:paraId="3734B2B1" w14:textId="1F26387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1,745</w:t>
            </w:r>
          </w:p>
        </w:tc>
        <w:tc>
          <w:tcPr>
            <w:tcW w:w="868" w:type="dxa"/>
            <w:tcBorders>
              <w:top w:val="nil"/>
              <w:left w:val="nil"/>
              <w:bottom w:val="nil"/>
              <w:right w:val="nil"/>
            </w:tcBorders>
            <w:shd w:val="clear" w:color="000000" w:fill="F2F2F2"/>
            <w:noWrap/>
            <w:vAlign w:val="center"/>
            <w:hideMark/>
          </w:tcPr>
          <w:p w14:paraId="7BB80B56" w14:textId="59CD65A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1,847</w:t>
            </w:r>
          </w:p>
        </w:tc>
        <w:tc>
          <w:tcPr>
            <w:tcW w:w="1169" w:type="dxa"/>
            <w:tcBorders>
              <w:top w:val="nil"/>
              <w:left w:val="nil"/>
              <w:bottom w:val="nil"/>
              <w:right w:val="nil"/>
            </w:tcBorders>
            <w:shd w:val="clear" w:color="000000" w:fill="FFFFFF"/>
            <w:noWrap/>
            <w:vAlign w:val="center"/>
            <w:hideMark/>
          </w:tcPr>
          <w:p w14:paraId="5E97D6AE"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6.0</w:t>
            </w:r>
          </w:p>
        </w:tc>
      </w:tr>
      <w:tr w:rsidR="00B43D87" w:rsidRPr="00B43D87" w14:paraId="20FA2434" w14:textId="77777777" w:rsidTr="00014057">
        <w:trPr>
          <w:trHeight w:val="188"/>
        </w:trPr>
        <w:tc>
          <w:tcPr>
            <w:tcW w:w="3301" w:type="dxa"/>
            <w:tcBorders>
              <w:top w:val="nil"/>
              <w:left w:val="nil"/>
              <w:bottom w:val="nil"/>
              <w:right w:val="nil"/>
            </w:tcBorders>
            <w:shd w:val="clear" w:color="000000" w:fill="FFFFFF"/>
            <w:noWrap/>
            <w:vAlign w:val="center"/>
            <w:hideMark/>
          </w:tcPr>
          <w:p w14:paraId="4928514A"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xml:space="preserve">Motor vehicles   </w:t>
            </w:r>
          </w:p>
        </w:tc>
        <w:tc>
          <w:tcPr>
            <w:tcW w:w="867" w:type="dxa"/>
            <w:tcBorders>
              <w:top w:val="nil"/>
              <w:left w:val="nil"/>
              <w:bottom w:val="nil"/>
              <w:right w:val="nil"/>
            </w:tcBorders>
            <w:shd w:val="clear" w:color="000000" w:fill="FFFFFF"/>
            <w:noWrap/>
            <w:vAlign w:val="center"/>
            <w:hideMark/>
          </w:tcPr>
          <w:p w14:paraId="2AC35BC7" w14:textId="37C2158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939</w:t>
            </w:r>
          </w:p>
        </w:tc>
        <w:tc>
          <w:tcPr>
            <w:tcW w:w="867" w:type="dxa"/>
            <w:tcBorders>
              <w:top w:val="nil"/>
              <w:left w:val="nil"/>
              <w:bottom w:val="nil"/>
              <w:right w:val="nil"/>
            </w:tcBorders>
            <w:shd w:val="clear" w:color="000000" w:fill="FFFFFF"/>
            <w:noWrap/>
            <w:vAlign w:val="center"/>
            <w:hideMark/>
          </w:tcPr>
          <w:p w14:paraId="23A4AE3F" w14:textId="1FDF994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1,076</w:t>
            </w:r>
          </w:p>
        </w:tc>
        <w:tc>
          <w:tcPr>
            <w:tcW w:w="867" w:type="dxa"/>
            <w:tcBorders>
              <w:top w:val="nil"/>
              <w:left w:val="nil"/>
              <w:bottom w:val="nil"/>
              <w:right w:val="nil"/>
            </w:tcBorders>
            <w:shd w:val="clear" w:color="000000" w:fill="F2F2F2"/>
            <w:noWrap/>
            <w:vAlign w:val="center"/>
            <w:hideMark/>
          </w:tcPr>
          <w:p w14:paraId="7FBD6F44" w14:textId="5A9FA38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1,149</w:t>
            </w:r>
          </w:p>
        </w:tc>
        <w:tc>
          <w:tcPr>
            <w:tcW w:w="867" w:type="dxa"/>
            <w:tcBorders>
              <w:top w:val="nil"/>
              <w:left w:val="nil"/>
              <w:bottom w:val="nil"/>
              <w:right w:val="nil"/>
            </w:tcBorders>
            <w:shd w:val="clear" w:color="000000" w:fill="F2F2F2"/>
            <w:noWrap/>
            <w:vAlign w:val="center"/>
            <w:hideMark/>
          </w:tcPr>
          <w:p w14:paraId="21626F61" w14:textId="5D9C6D9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1,200</w:t>
            </w:r>
          </w:p>
        </w:tc>
        <w:tc>
          <w:tcPr>
            <w:tcW w:w="867" w:type="dxa"/>
            <w:tcBorders>
              <w:top w:val="nil"/>
              <w:left w:val="nil"/>
              <w:bottom w:val="nil"/>
              <w:right w:val="nil"/>
            </w:tcBorders>
            <w:shd w:val="clear" w:color="000000" w:fill="F2F2F2"/>
            <w:noWrap/>
            <w:vAlign w:val="center"/>
            <w:hideMark/>
          </w:tcPr>
          <w:p w14:paraId="58579076" w14:textId="78F2EED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1,259</w:t>
            </w:r>
          </w:p>
        </w:tc>
        <w:tc>
          <w:tcPr>
            <w:tcW w:w="868" w:type="dxa"/>
            <w:tcBorders>
              <w:top w:val="nil"/>
              <w:left w:val="nil"/>
              <w:bottom w:val="nil"/>
              <w:right w:val="nil"/>
            </w:tcBorders>
            <w:shd w:val="clear" w:color="000000" w:fill="F2F2F2"/>
            <w:noWrap/>
            <w:vAlign w:val="center"/>
            <w:hideMark/>
          </w:tcPr>
          <w:p w14:paraId="324DEFDC" w14:textId="36EA27F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1,331</w:t>
            </w:r>
          </w:p>
        </w:tc>
        <w:tc>
          <w:tcPr>
            <w:tcW w:w="1169" w:type="dxa"/>
            <w:tcBorders>
              <w:top w:val="nil"/>
              <w:left w:val="nil"/>
              <w:bottom w:val="nil"/>
              <w:right w:val="nil"/>
            </w:tcBorders>
            <w:shd w:val="clear" w:color="000000" w:fill="FFFFFF"/>
            <w:noWrap/>
            <w:vAlign w:val="center"/>
            <w:hideMark/>
          </w:tcPr>
          <w:p w14:paraId="72F7A176"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w:t>
            </w:r>
          </w:p>
        </w:tc>
      </w:tr>
      <w:tr w:rsidR="00B43D87" w:rsidRPr="00B43D87" w14:paraId="78F623F0" w14:textId="77777777" w:rsidTr="00014057">
        <w:trPr>
          <w:trHeight w:val="188"/>
        </w:trPr>
        <w:tc>
          <w:tcPr>
            <w:tcW w:w="3301" w:type="dxa"/>
            <w:tcBorders>
              <w:top w:val="nil"/>
              <w:left w:val="nil"/>
              <w:bottom w:val="nil"/>
              <w:right w:val="nil"/>
            </w:tcBorders>
            <w:shd w:val="clear" w:color="000000" w:fill="FFFFFF"/>
            <w:noWrap/>
            <w:vAlign w:val="center"/>
            <w:hideMark/>
          </w:tcPr>
          <w:p w14:paraId="374BADF1"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w:t>
            </w:r>
          </w:p>
        </w:tc>
        <w:tc>
          <w:tcPr>
            <w:tcW w:w="867" w:type="dxa"/>
            <w:tcBorders>
              <w:top w:val="nil"/>
              <w:left w:val="nil"/>
              <w:bottom w:val="nil"/>
              <w:right w:val="nil"/>
            </w:tcBorders>
            <w:shd w:val="clear" w:color="000000" w:fill="FFFFFF"/>
            <w:noWrap/>
            <w:vAlign w:val="center"/>
            <w:hideMark/>
          </w:tcPr>
          <w:p w14:paraId="6D5CC23A" w14:textId="22F533E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w:t>
            </w:r>
          </w:p>
        </w:tc>
        <w:tc>
          <w:tcPr>
            <w:tcW w:w="867" w:type="dxa"/>
            <w:tcBorders>
              <w:top w:val="nil"/>
              <w:left w:val="nil"/>
              <w:bottom w:val="nil"/>
              <w:right w:val="nil"/>
            </w:tcBorders>
            <w:shd w:val="clear" w:color="000000" w:fill="FFFFFF"/>
            <w:noWrap/>
            <w:vAlign w:val="center"/>
            <w:hideMark/>
          </w:tcPr>
          <w:p w14:paraId="1A941672" w14:textId="337CB1A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7" w:type="dxa"/>
            <w:tcBorders>
              <w:top w:val="nil"/>
              <w:left w:val="nil"/>
              <w:bottom w:val="nil"/>
              <w:right w:val="nil"/>
            </w:tcBorders>
            <w:shd w:val="clear" w:color="000000" w:fill="F2F2F2"/>
            <w:noWrap/>
            <w:vAlign w:val="center"/>
            <w:hideMark/>
          </w:tcPr>
          <w:p w14:paraId="3E2DD221" w14:textId="3396D80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7" w:type="dxa"/>
            <w:tcBorders>
              <w:top w:val="nil"/>
              <w:left w:val="nil"/>
              <w:bottom w:val="nil"/>
              <w:right w:val="nil"/>
            </w:tcBorders>
            <w:shd w:val="clear" w:color="000000" w:fill="F2F2F2"/>
            <w:noWrap/>
            <w:vAlign w:val="center"/>
            <w:hideMark/>
          </w:tcPr>
          <w:p w14:paraId="7EE31719" w14:textId="6F0C71F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7" w:type="dxa"/>
            <w:tcBorders>
              <w:top w:val="nil"/>
              <w:left w:val="nil"/>
              <w:bottom w:val="nil"/>
              <w:right w:val="nil"/>
            </w:tcBorders>
            <w:shd w:val="clear" w:color="000000" w:fill="F2F2F2"/>
            <w:noWrap/>
            <w:vAlign w:val="center"/>
            <w:hideMark/>
          </w:tcPr>
          <w:p w14:paraId="68FA157D" w14:textId="7295A17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8" w:type="dxa"/>
            <w:tcBorders>
              <w:top w:val="nil"/>
              <w:left w:val="nil"/>
              <w:bottom w:val="nil"/>
              <w:right w:val="nil"/>
            </w:tcBorders>
            <w:shd w:val="clear" w:color="000000" w:fill="F2F2F2"/>
            <w:noWrap/>
            <w:vAlign w:val="center"/>
            <w:hideMark/>
          </w:tcPr>
          <w:p w14:paraId="5D173C8B" w14:textId="2ED8CEB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1169" w:type="dxa"/>
            <w:tcBorders>
              <w:top w:val="nil"/>
              <w:left w:val="nil"/>
              <w:bottom w:val="nil"/>
              <w:right w:val="nil"/>
            </w:tcBorders>
            <w:shd w:val="clear" w:color="000000" w:fill="FFFFFF"/>
            <w:noWrap/>
            <w:vAlign w:val="center"/>
            <w:hideMark/>
          </w:tcPr>
          <w:p w14:paraId="5F7A7C0F"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17.2</w:t>
            </w:r>
          </w:p>
        </w:tc>
      </w:tr>
      <w:tr w:rsidR="00B43D87" w:rsidRPr="00B43D87" w14:paraId="714CF09E" w14:textId="77777777" w:rsidTr="006F5299">
        <w:trPr>
          <w:trHeight w:val="283"/>
        </w:trPr>
        <w:tc>
          <w:tcPr>
            <w:tcW w:w="3301" w:type="dxa"/>
            <w:tcBorders>
              <w:top w:val="nil"/>
              <w:left w:val="nil"/>
              <w:bottom w:val="nil"/>
              <w:right w:val="nil"/>
            </w:tcBorders>
            <w:shd w:val="clear" w:color="000000" w:fill="FFFFFF"/>
            <w:noWrap/>
            <w:vAlign w:val="center"/>
            <w:hideMark/>
          </w:tcPr>
          <w:p w14:paraId="15CD9BE3"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0BE203F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16,615</w:t>
            </w:r>
          </w:p>
        </w:tc>
        <w:tc>
          <w:tcPr>
            <w:tcW w:w="867" w:type="dxa"/>
            <w:tcBorders>
              <w:top w:val="single" w:sz="4" w:space="0" w:color="auto"/>
              <w:left w:val="nil"/>
              <w:bottom w:val="single" w:sz="4" w:space="0" w:color="auto"/>
              <w:right w:val="nil"/>
            </w:tcBorders>
            <w:shd w:val="clear" w:color="000000" w:fill="FFFFFF"/>
            <w:noWrap/>
            <w:vAlign w:val="center"/>
            <w:hideMark/>
          </w:tcPr>
          <w:p w14:paraId="78BE2264"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12,253</w:t>
            </w:r>
          </w:p>
        </w:tc>
        <w:tc>
          <w:tcPr>
            <w:tcW w:w="867" w:type="dxa"/>
            <w:tcBorders>
              <w:top w:val="single" w:sz="4" w:space="0" w:color="auto"/>
              <w:left w:val="nil"/>
              <w:bottom w:val="single" w:sz="4" w:space="0" w:color="auto"/>
              <w:right w:val="nil"/>
            </w:tcBorders>
            <w:shd w:val="clear" w:color="000000" w:fill="F2F2F2"/>
            <w:noWrap/>
            <w:vAlign w:val="center"/>
            <w:hideMark/>
          </w:tcPr>
          <w:p w14:paraId="313A6179"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14,445</w:t>
            </w:r>
          </w:p>
        </w:tc>
        <w:tc>
          <w:tcPr>
            <w:tcW w:w="867" w:type="dxa"/>
            <w:tcBorders>
              <w:top w:val="single" w:sz="4" w:space="0" w:color="auto"/>
              <w:left w:val="nil"/>
              <w:bottom w:val="single" w:sz="4" w:space="0" w:color="auto"/>
              <w:right w:val="nil"/>
            </w:tcBorders>
            <w:shd w:val="clear" w:color="000000" w:fill="F2F2F2"/>
            <w:noWrap/>
            <w:vAlign w:val="center"/>
            <w:hideMark/>
          </w:tcPr>
          <w:p w14:paraId="27BA1E4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14,648</w:t>
            </w:r>
          </w:p>
        </w:tc>
        <w:tc>
          <w:tcPr>
            <w:tcW w:w="867" w:type="dxa"/>
            <w:tcBorders>
              <w:top w:val="single" w:sz="4" w:space="0" w:color="auto"/>
              <w:left w:val="nil"/>
              <w:bottom w:val="single" w:sz="4" w:space="0" w:color="auto"/>
              <w:right w:val="nil"/>
            </w:tcBorders>
            <w:shd w:val="clear" w:color="000000" w:fill="F2F2F2"/>
            <w:noWrap/>
            <w:vAlign w:val="center"/>
            <w:hideMark/>
          </w:tcPr>
          <w:p w14:paraId="2A28299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14,906</w:t>
            </w:r>
          </w:p>
        </w:tc>
        <w:tc>
          <w:tcPr>
            <w:tcW w:w="868" w:type="dxa"/>
            <w:tcBorders>
              <w:top w:val="single" w:sz="4" w:space="0" w:color="auto"/>
              <w:left w:val="nil"/>
              <w:bottom w:val="single" w:sz="4" w:space="0" w:color="auto"/>
              <w:right w:val="nil"/>
            </w:tcBorders>
            <w:shd w:val="clear" w:color="000000" w:fill="F2F2F2"/>
            <w:noWrap/>
            <w:vAlign w:val="center"/>
            <w:hideMark/>
          </w:tcPr>
          <w:p w14:paraId="61CF53C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15,374</w:t>
            </w:r>
          </w:p>
        </w:tc>
        <w:tc>
          <w:tcPr>
            <w:tcW w:w="1169" w:type="dxa"/>
            <w:tcBorders>
              <w:top w:val="single" w:sz="4" w:space="0" w:color="auto"/>
              <w:left w:val="nil"/>
              <w:bottom w:val="single" w:sz="4" w:space="0" w:color="auto"/>
              <w:right w:val="nil"/>
            </w:tcBorders>
            <w:shd w:val="clear" w:color="auto" w:fill="auto"/>
            <w:noWrap/>
            <w:vAlign w:val="center"/>
            <w:hideMark/>
          </w:tcPr>
          <w:p w14:paraId="69CCCFC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5.8</w:t>
            </w:r>
          </w:p>
        </w:tc>
      </w:tr>
      <w:tr w:rsidR="00B43D87" w:rsidRPr="00B43D87" w14:paraId="584FE69E" w14:textId="77777777" w:rsidTr="00014057">
        <w:trPr>
          <w:trHeight w:val="96"/>
        </w:trPr>
        <w:tc>
          <w:tcPr>
            <w:tcW w:w="3301" w:type="dxa"/>
            <w:tcBorders>
              <w:top w:val="nil"/>
              <w:left w:val="nil"/>
              <w:bottom w:val="nil"/>
              <w:right w:val="nil"/>
            </w:tcBorders>
            <w:shd w:val="clear" w:color="000000" w:fill="FFFFFF"/>
            <w:noWrap/>
            <w:vAlign w:val="bottom"/>
            <w:hideMark/>
          </w:tcPr>
          <w:p w14:paraId="2FB7D4F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single" w:sz="4" w:space="0" w:color="auto"/>
              <w:right w:val="nil"/>
            </w:tcBorders>
            <w:shd w:val="clear" w:color="000000" w:fill="FFFFFF"/>
            <w:noWrap/>
            <w:vAlign w:val="center"/>
            <w:hideMark/>
          </w:tcPr>
          <w:p w14:paraId="3A729D7E" w14:textId="4E7E3158"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FFFFF"/>
            <w:noWrap/>
            <w:vAlign w:val="center"/>
            <w:hideMark/>
          </w:tcPr>
          <w:p w14:paraId="5A10AB5C" w14:textId="5A37DD0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2F2F2"/>
            <w:noWrap/>
            <w:vAlign w:val="center"/>
            <w:hideMark/>
          </w:tcPr>
          <w:p w14:paraId="4C8AD84A" w14:textId="2C272A2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2F2F2"/>
            <w:noWrap/>
            <w:vAlign w:val="center"/>
            <w:hideMark/>
          </w:tcPr>
          <w:p w14:paraId="05986FFE" w14:textId="75885D5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2F2F2"/>
            <w:noWrap/>
            <w:vAlign w:val="center"/>
            <w:hideMark/>
          </w:tcPr>
          <w:p w14:paraId="440D2656" w14:textId="0B71267A"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single" w:sz="4" w:space="0" w:color="auto"/>
              <w:right w:val="nil"/>
            </w:tcBorders>
            <w:shd w:val="clear" w:color="000000" w:fill="F2F2F2"/>
            <w:noWrap/>
            <w:vAlign w:val="center"/>
            <w:hideMark/>
          </w:tcPr>
          <w:p w14:paraId="47847A86" w14:textId="0EDDCA66"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single" w:sz="4" w:space="0" w:color="auto"/>
              <w:right w:val="nil"/>
            </w:tcBorders>
            <w:shd w:val="clear" w:color="000000" w:fill="FFFFFF"/>
            <w:noWrap/>
            <w:vAlign w:val="center"/>
            <w:hideMark/>
          </w:tcPr>
          <w:p w14:paraId="405D32E2" w14:textId="6DAA67BF" w:rsidR="00B43D87" w:rsidRPr="00B43D87" w:rsidRDefault="00B43D87" w:rsidP="00B43D87">
            <w:pPr>
              <w:jc w:val="right"/>
              <w:rPr>
                <w:rFonts w:ascii="Public Sans" w:hAnsi="Public Sans" w:cs="Calibri"/>
                <w:sz w:val="16"/>
                <w:szCs w:val="16"/>
                <w:lang w:val="en-AU" w:eastAsia="en-AU"/>
              </w:rPr>
            </w:pPr>
          </w:p>
        </w:tc>
      </w:tr>
      <w:tr w:rsidR="00B43D87" w:rsidRPr="00B43D87" w14:paraId="49A14DF1" w14:textId="77777777" w:rsidTr="006F5299">
        <w:trPr>
          <w:trHeight w:val="283"/>
        </w:trPr>
        <w:tc>
          <w:tcPr>
            <w:tcW w:w="3301" w:type="dxa"/>
            <w:tcBorders>
              <w:top w:val="nil"/>
              <w:left w:val="nil"/>
              <w:bottom w:val="nil"/>
              <w:right w:val="nil"/>
            </w:tcBorders>
            <w:shd w:val="clear" w:color="000000" w:fill="FFFFFF"/>
            <w:noWrap/>
            <w:vAlign w:val="bottom"/>
            <w:hideMark/>
          </w:tcPr>
          <w:p w14:paraId="0DDA1E34"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Payroll tax</w:t>
            </w:r>
          </w:p>
        </w:tc>
        <w:tc>
          <w:tcPr>
            <w:tcW w:w="867" w:type="dxa"/>
            <w:tcBorders>
              <w:top w:val="single" w:sz="4" w:space="0" w:color="auto"/>
              <w:left w:val="nil"/>
              <w:bottom w:val="single" w:sz="4" w:space="0" w:color="auto"/>
              <w:right w:val="nil"/>
            </w:tcBorders>
            <w:shd w:val="clear" w:color="000000" w:fill="FFFFFF"/>
            <w:noWrap/>
            <w:vAlign w:val="center"/>
            <w:hideMark/>
          </w:tcPr>
          <w:p w14:paraId="03C5614C" w14:textId="27021802"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9,069</w:t>
            </w:r>
          </w:p>
        </w:tc>
        <w:tc>
          <w:tcPr>
            <w:tcW w:w="867" w:type="dxa"/>
            <w:tcBorders>
              <w:top w:val="single" w:sz="4" w:space="0" w:color="auto"/>
              <w:left w:val="nil"/>
              <w:bottom w:val="single" w:sz="4" w:space="0" w:color="auto"/>
              <w:right w:val="nil"/>
            </w:tcBorders>
            <w:shd w:val="clear" w:color="000000" w:fill="FFFFFF"/>
            <w:noWrap/>
            <w:vAlign w:val="center"/>
            <w:hideMark/>
          </w:tcPr>
          <w:p w14:paraId="4632611F" w14:textId="165FCEAF"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11,665</w:t>
            </w:r>
          </w:p>
        </w:tc>
        <w:tc>
          <w:tcPr>
            <w:tcW w:w="867" w:type="dxa"/>
            <w:tcBorders>
              <w:top w:val="single" w:sz="4" w:space="0" w:color="auto"/>
              <w:left w:val="nil"/>
              <w:bottom w:val="single" w:sz="4" w:space="0" w:color="auto"/>
              <w:right w:val="nil"/>
            </w:tcBorders>
            <w:shd w:val="clear" w:color="000000" w:fill="F2F2F2"/>
            <w:noWrap/>
            <w:vAlign w:val="center"/>
            <w:hideMark/>
          </w:tcPr>
          <w:p w14:paraId="15C4CB2A" w14:textId="2C95DFB9"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12,654</w:t>
            </w:r>
          </w:p>
        </w:tc>
        <w:tc>
          <w:tcPr>
            <w:tcW w:w="867" w:type="dxa"/>
            <w:tcBorders>
              <w:top w:val="single" w:sz="4" w:space="0" w:color="auto"/>
              <w:left w:val="nil"/>
              <w:bottom w:val="single" w:sz="4" w:space="0" w:color="auto"/>
              <w:right w:val="nil"/>
            </w:tcBorders>
            <w:shd w:val="clear" w:color="000000" w:fill="F2F2F2"/>
            <w:noWrap/>
            <w:vAlign w:val="center"/>
            <w:hideMark/>
          </w:tcPr>
          <w:p w14:paraId="39B2C920" w14:textId="0CB47EF9"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13,168</w:t>
            </w:r>
          </w:p>
        </w:tc>
        <w:tc>
          <w:tcPr>
            <w:tcW w:w="867" w:type="dxa"/>
            <w:tcBorders>
              <w:top w:val="single" w:sz="4" w:space="0" w:color="auto"/>
              <w:left w:val="nil"/>
              <w:bottom w:val="single" w:sz="4" w:space="0" w:color="auto"/>
              <w:right w:val="nil"/>
            </w:tcBorders>
            <w:shd w:val="clear" w:color="000000" w:fill="F2F2F2"/>
            <w:noWrap/>
            <w:vAlign w:val="center"/>
            <w:hideMark/>
          </w:tcPr>
          <w:p w14:paraId="1ADA9350" w14:textId="161E84D9"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13,955</w:t>
            </w:r>
          </w:p>
        </w:tc>
        <w:tc>
          <w:tcPr>
            <w:tcW w:w="868" w:type="dxa"/>
            <w:tcBorders>
              <w:top w:val="single" w:sz="4" w:space="0" w:color="auto"/>
              <w:left w:val="nil"/>
              <w:bottom w:val="single" w:sz="4" w:space="0" w:color="auto"/>
              <w:right w:val="nil"/>
            </w:tcBorders>
            <w:shd w:val="clear" w:color="000000" w:fill="F2F2F2"/>
            <w:noWrap/>
            <w:vAlign w:val="center"/>
            <w:hideMark/>
          </w:tcPr>
          <w:p w14:paraId="4E5230DD" w14:textId="1BEB1872"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14,769</w:t>
            </w:r>
          </w:p>
        </w:tc>
        <w:tc>
          <w:tcPr>
            <w:tcW w:w="1169" w:type="dxa"/>
            <w:tcBorders>
              <w:top w:val="single" w:sz="4" w:space="0" w:color="auto"/>
              <w:left w:val="nil"/>
              <w:bottom w:val="single" w:sz="4" w:space="0" w:color="auto"/>
              <w:right w:val="nil"/>
            </w:tcBorders>
            <w:shd w:val="clear" w:color="000000" w:fill="FFFFFF"/>
            <w:noWrap/>
            <w:vAlign w:val="center"/>
            <w:hideMark/>
          </w:tcPr>
          <w:p w14:paraId="42296F18"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6.1</w:t>
            </w:r>
          </w:p>
        </w:tc>
      </w:tr>
      <w:tr w:rsidR="00B43D87" w:rsidRPr="00B43D87" w14:paraId="4F0E7E39" w14:textId="77777777" w:rsidTr="00014057">
        <w:trPr>
          <w:trHeight w:val="96"/>
        </w:trPr>
        <w:tc>
          <w:tcPr>
            <w:tcW w:w="3301" w:type="dxa"/>
            <w:tcBorders>
              <w:top w:val="nil"/>
              <w:left w:val="nil"/>
              <w:bottom w:val="nil"/>
              <w:right w:val="nil"/>
            </w:tcBorders>
            <w:shd w:val="clear" w:color="000000" w:fill="FFFFFF"/>
            <w:noWrap/>
            <w:vAlign w:val="bottom"/>
            <w:hideMark/>
          </w:tcPr>
          <w:p w14:paraId="39AB65D5"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nil"/>
              <w:right w:val="nil"/>
            </w:tcBorders>
            <w:shd w:val="clear" w:color="000000" w:fill="FFFFFF"/>
            <w:noWrap/>
            <w:vAlign w:val="center"/>
            <w:hideMark/>
          </w:tcPr>
          <w:p w14:paraId="7F6E6714" w14:textId="25158D7B"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FFFFF"/>
            <w:noWrap/>
            <w:vAlign w:val="center"/>
            <w:hideMark/>
          </w:tcPr>
          <w:p w14:paraId="49756E24" w14:textId="46E166C6"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2F2F2"/>
            <w:noWrap/>
            <w:vAlign w:val="center"/>
            <w:hideMark/>
          </w:tcPr>
          <w:p w14:paraId="390F28EE" w14:textId="50309185"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2F2F2"/>
            <w:noWrap/>
            <w:vAlign w:val="center"/>
            <w:hideMark/>
          </w:tcPr>
          <w:p w14:paraId="15A201BD" w14:textId="724B821E"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2F2F2"/>
            <w:noWrap/>
            <w:vAlign w:val="center"/>
            <w:hideMark/>
          </w:tcPr>
          <w:p w14:paraId="032969E2" w14:textId="55CB9AD4" w:rsidR="00B43D87" w:rsidRPr="00B43D87" w:rsidRDefault="00B43D87" w:rsidP="00B43D87">
            <w:pPr>
              <w:jc w:val="right"/>
              <w:rPr>
                <w:rFonts w:ascii="Public Sans" w:hAnsi="Public Sans" w:cs="Calibri"/>
                <w:sz w:val="16"/>
                <w:szCs w:val="16"/>
                <w:lang w:val="en-AU" w:eastAsia="en-AU"/>
              </w:rPr>
            </w:pPr>
          </w:p>
        </w:tc>
        <w:tc>
          <w:tcPr>
            <w:tcW w:w="868" w:type="dxa"/>
            <w:tcBorders>
              <w:top w:val="single" w:sz="4" w:space="0" w:color="auto"/>
              <w:left w:val="nil"/>
              <w:bottom w:val="nil"/>
              <w:right w:val="nil"/>
            </w:tcBorders>
            <w:shd w:val="clear" w:color="000000" w:fill="F2F2F2"/>
            <w:noWrap/>
            <w:vAlign w:val="center"/>
            <w:hideMark/>
          </w:tcPr>
          <w:p w14:paraId="66CFBBBF" w14:textId="7EFFA070" w:rsidR="00B43D87" w:rsidRPr="00B43D87" w:rsidRDefault="00B43D87" w:rsidP="00B43D87">
            <w:pPr>
              <w:jc w:val="right"/>
              <w:rPr>
                <w:rFonts w:ascii="Public Sans" w:hAnsi="Public Sans" w:cs="Calibri"/>
                <w:sz w:val="16"/>
                <w:szCs w:val="16"/>
                <w:lang w:val="en-AU" w:eastAsia="en-AU"/>
              </w:rPr>
            </w:pPr>
          </w:p>
        </w:tc>
        <w:tc>
          <w:tcPr>
            <w:tcW w:w="1169" w:type="dxa"/>
            <w:tcBorders>
              <w:top w:val="single" w:sz="4" w:space="0" w:color="auto"/>
              <w:left w:val="nil"/>
              <w:bottom w:val="nil"/>
              <w:right w:val="nil"/>
            </w:tcBorders>
            <w:shd w:val="clear" w:color="000000" w:fill="FFFFFF"/>
            <w:noWrap/>
            <w:vAlign w:val="center"/>
            <w:hideMark/>
          </w:tcPr>
          <w:p w14:paraId="4A627484" w14:textId="2FBAD855" w:rsidR="00B43D87" w:rsidRPr="00B43D87" w:rsidRDefault="00B43D87" w:rsidP="00B43D87">
            <w:pPr>
              <w:jc w:val="right"/>
              <w:rPr>
                <w:rFonts w:ascii="Public Sans" w:hAnsi="Public Sans" w:cs="Calibri"/>
                <w:sz w:val="16"/>
                <w:szCs w:val="16"/>
                <w:lang w:val="en-AU" w:eastAsia="en-AU"/>
              </w:rPr>
            </w:pPr>
          </w:p>
        </w:tc>
      </w:tr>
      <w:tr w:rsidR="00B43D87" w:rsidRPr="00B43D87" w14:paraId="38F1F39C" w14:textId="77777777" w:rsidTr="00014057">
        <w:trPr>
          <w:trHeight w:val="188"/>
        </w:trPr>
        <w:tc>
          <w:tcPr>
            <w:tcW w:w="3301" w:type="dxa"/>
            <w:tcBorders>
              <w:top w:val="nil"/>
              <w:left w:val="nil"/>
              <w:bottom w:val="nil"/>
              <w:right w:val="nil"/>
            </w:tcBorders>
            <w:shd w:val="clear" w:color="000000" w:fill="FFFFFF"/>
            <w:noWrap/>
            <w:vAlign w:val="bottom"/>
            <w:hideMark/>
          </w:tcPr>
          <w:p w14:paraId="71DF82C7"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Taxes on land</w:t>
            </w:r>
          </w:p>
        </w:tc>
        <w:tc>
          <w:tcPr>
            <w:tcW w:w="867" w:type="dxa"/>
            <w:tcBorders>
              <w:top w:val="nil"/>
              <w:left w:val="nil"/>
              <w:bottom w:val="nil"/>
              <w:right w:val="nil"/>
            </w:tcBorders>
            <w:shd w:val="clear" w:color="000000" w:fill="FFFFFF"/>
            <w:noWrap/>
            <w:vAlign w:val="center"/>
            <w:hideMark/>
          </w:tcPr>
          <w:p w14:paraId="26A8F26C" w14:textId="2E0A013B"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3A68E2E4" w14:textId="50DE11CB"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4D50D82" w14:textId="725D7F05"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C741568" w14:textId="07DEE0B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C66272C" w14:textId="0C5EEC80"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25F9AE82" w14:textId="30A3AA31"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76A87DE0" w14:textId="11C4DC6A" w:rsidR="00B43D87" w:rsidRPr="00B43D87" w:rsidRDefault="00B43D87" w:rsidP="00B43D87">
            <w:pPr>
              <w:jc w:val="right"/>
              <w:rPr>
                <w:rFonts w:ascii="Public Sans" w:hAnsi="Public Sans" w:cs="Calibri"/>
                <w:sz w:val="16"/>
                <w:szCs w:val="16"/>
                <w:lang w:val="en-AU" w:eastAsia="en-AU"/>
              </w:rPr>
            </w:pPr>
          </w:p>
        </w:tc>
      </w:tr>
      <w:tr w:rsidR="00B43D87" w:rsidRPr="00B43D87" w14:paraId="30F6BF1F" w14:textId="77777777" w:rsidTr="00014057">
        <w:trPr>
          <w:trHeight w:val="188"/>
        </w:trPr>
        <w:tc>
          <w:tcPr>
            <w:tcW w:w="3301" w:type="dxa"/>
            <w:tcBorders>
              <w:top w:val="nil"/>
              <w:left w:val="nil"/>
              <w:bottom w:val="nil"/>
              <w:right w:val="nil"/>
            </w:tcBorders>
            <w:shd w:val="clear" w:color="000000" w:fill="FFFFFF"/>
            <w:noWrap/>
            <w:vAlign w:val="center"/>
            <w:hideMark/>
          </w:tcPr>
          <w:p w14:paraId="351B7D9E"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Land tax</w:t>
            </w:r>
          </w:p>
        </w:tc>
        <w:tc>
          <w:tcPr>
            <w:tcW w:w="867" w:type="dxa"/>
            <w:tcBorders>
              <w:top w:val="nil"/>
              <w:left w:val="nil"/>
              <w:bottom w:val="nil"/>
              <w:right w:val="nil"/>
            </w:tcBorders>
            <w:shd w:val="clear" w:color="000000" w:fill="FFFFFF"/>
            <w:noWrap/>
            <w:vAlign w:val="center"/>
            <w:hideMark/>
          </w:tcPr>
          <w:p w14:paraId="7AAED6FC" w14:textId="236FB28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4,838</w:t>
            </w:r>
          </w:p>
        </w:tc>
        <w:tc>
          <w:tcPr>
            <w:tcW w:w="867" w:type="dxa"/>
            <w:tcBorders>
              <w:top w:val="nil"/>
              <w:left w:val="nil"/>
              <w:bottom w:val="nil"/>
              <w:right w:val="nil"/>
            </w:tcBorders>
            <w:shd w:val="clear" w:color="000000" w:fill="FFFFFF"/>
            <w:noWrap/>
            <w:vAlign w:val="center"/>
            <w:hideMark/>
          </w:tcPr>
          <w:p w14:paraId="207A716B" w14:textId="7FE1673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5,999</w:t>
            </w:r>
          </w:p>
        </w:tc>
        <w:tc>
          <w:tcPr>
            <w:tcW w:w="867" w:type="dxa"/>
            <w:tcBorders>
              <w:top w:val="nil"/>
              <w:left w:val="nil"/>
              <w:bottom w:val="nil"/>
              <w:right w:val="nil"/>
            </w:tcBorders>
            <w:shd w:val="clear" w:color="000000" w:fill="F2F2F2"/>
            <w:noWrap/>
            <w:vAlign w:val="center"/>
            <w:hideMark/>
          </w:tcPr>
          <w:p w14:paraId="145DD0B1" w14:textId="2717636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6,948</w:t>
            </w:r>
          </w:p>
        </w:tc>
        <w:tc>
          <w:tcPr>
            <w:tcW w:w="867" w:type="dxa"/>
            <w:tcBorders>
              <w:top w:val="nil"/>
              <w:left w:val="nil"/>
              <w:bottom w:val="nil"/>
              <w:right w:val="nil"/>
            </w:tcBorders>
            <w:shd w:val="clear" w:color="000000" w:fill="F2F2F2"/>
            <w:noWrap/>
            <w:vAlign w:val="center"/>
            <w:hideMark/>
          </w:tcPr>
          <w:p w14:paraId="6E1BE054" w14:textId="5800193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7,300</w:t>
            </w:r>
          </w:p>
        </w:tc>
        <w:tc>
          <w:tcPr>
            <w:tcW w:w="867" w:type="dxa"/>
            <w:tcBorders>
              <w:top w:val="nil"/>
              <w:left w:val="nil"/>
              <w:bottom w:val="nil"/>
              <w:right w:val="nil"/>
            </w:tcBorders>
            <w:shd w:val="clear" w:color="000000" w:fill="F2F2F2"/>
            <w:noWrap/>
            <w:vAlign w:val="center"/>
            <w:hideMark/>
          </w:tcPr>
          <w:p w14:paraId="3E79E20A" w14:textId="06E21D3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7,129</w:t>
            </w:r>
          </w:p>
        </w:tc>
        <w:tc>
          <w:tcPr>
            <w:tcW w:w="868" w:type="dxa"/>
            <w:tcBorders>
              <w:top w:val="nil"/>
              <w:left w:val="nil"/>
              <w:bottom w:val="nil"/>
              <w:right w:val="nil"/>
            </w:tcBorders>
            <w:shd w:val="clear" w:color="000000" w:fill="F2F2F2"/>
            <w:noWrap/>
            <w:vAlign w:val="center"/>
            <w:hideMark/>
          </w:tcPr>
          <w:p w14:paraId="64E16648" w14:textId="74BFA38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6,941</w:t>
            </w:r>
          </w:p>
        </w:tc>
        <w:tc>
          <w:tcPr>
            <w:tcW w:w="1169" w:type="dxa"/>
            <w:tcBorders>
              <w:top w:val="nil"/>
              <w:left w:val="nil"/>
              <w:bottom w:val="nil"/>
              <w:right w:val="nil"/>
            </w:tcBorders>
            <w:shd w:val="clear" w:color="000000" w:fill="FFFFFF"/>
            <w:noWrap/>
            <w:vAlign w:val="center"/>
            <w:hideMark/>
          </w:tcPr>
          <w:p w14:paraId="361DD164"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3.7</w:t>
            </w:r>
          </w:p>
        </w:tc>
      </w:tr>
      <w:tr w:rsidR="00B43D87" w:rsidRPr="00B43D87" w14:paraId="60390700" w14:textId="77777777" w:rsidTr="00014057">
        <w:trPr>
          <w:trHeight w:val="188"/>
        </w:trPr>
        <w:tc>
          <w:tcPr>
            <w:tcW w:w="3301" w:type="dxa"/>
            <w:tcBorders>
              <w:top w:val="nil"/>
              <w:left w:val="nil"/>
              <w:bottom w:val="nil"/>
              <w:right w:val="nil"/>
            </w:tcBorders>
            <w:shd w:val="clear" w:color="000000" w:fill="FFFFFF"/>
            <w:noWrap/>
            <w:vAlign w:val="center"/>
            <w:hideMark/>
          </w:tcPr>
          <w:p w14:paraId="050EE14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Property tax</w:t>
            </w:r>
          </w:p>
        </w:tc>
        <w:tc>
          <w:tcPr>
            <w:tcW w:w="867" w:type="dxa"/>
            <w:tcBorders>
              <w:top w:val="nil"/>
              <w:left w:val="nil"/>
              <w:bottom w:val="nil"/>
              <w:right w:val="nil"/>
            </w:tcBorders>
            <w:shd w:val="clear" w:color="000000" w:fill="FFFFFF"/>
            <w:noWrap/>
            <w:vAlign w:val="center"/>
            <w:hideMark/>
          </w:tcPr>
          <w:p w14:paraId="26E5328B" w14:textId="113B9DE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w:t>
            </w:r>
          </w:p>
        </w:tc>
        <w:tc>
          <w:tcPr>
            <w:tcW w:w="867" w:type="dxa"/>
            <w:tcBorders>
              <w:top w:val="nil"/>
              <w:left w:val="nil"/>
              <w:bottom w:val="nil"/>
              <w:right w:val="nil"/>
            </w:tcBorders>
            <w:shd w:val="clear" w:color="000000" w:fill="FFFFFF"/>
            <w:noWrap/>
            <w:vAlign w:val="center"/>
            <w:hideMark/>
          </w:tcPr>
          <w:p w14:paraId="41D0B87E" w14:textId="46A9964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w:t>
            </w:r>
          </w:p>
        </w:tc>
        <w:tc>
          <w:tcPr>
            <w:tcW w:w="867" w:type="dxa"/>
            <w:tcBorders>
              <w:top w:val="nil"/>
              <w:left w:val="nil"/>
              <w:bottom w:val="nil"/>
              <w:right w:val="nil"/>
            </w:tcBorders>
            <w:shd w:val="clear" w:color="000000" w:fill="F2F2F2"/>
            <w:noWrap/>
            <w:vAlign w:val="center"/>
            <w:hideMark/>
          </w:tcPr>
          <w:p w14:paraId="7F4283E0" w14:textId="776EB3B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w:t>
            </w:r>
          </w:p>
        </w:tc>
        <w:tc>
          <w:tcPr>
            <w:tcW w:w="867" w:type="dxa"/>
            <w:tcBorders>
              <w:top w:val="nil"/>
              <w:left w:val="nil"/>
              <w:bottom w:val="nil"/>
              <w:right w:val="nil"/>
            </w:tcBorders>
            <w:shd w:val="clear" w:color="000000" w:fill="F2F2F2"/>
            <w:noWrap/>
            <w:vAlign w:val="center"/>
            <w:hideMark/>
          </w:tcPr>
          <w:p w14:paraId="35CA1ADE" w14:textId="0DC7834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15</w:t>
            </w:r>
          </w:p>
        </w:tc>
        <w:tc>
          <w:tcPr>
            <w:tcW w:w="867" w:type="dxa"/>
            <w:tcBorders>
              <w:top w:val="nil"/>
              <w:left w:val="nil"/>
              <w:bottom w:val="nil"/>
              <w:right w:val="nil"/>
            </w:tcBorders>
            <w:shd w:val="clear" w:color="000000" w:fill="F2F2F2"/>
            <w:noWrap/>
            <w:vAlign w:val="center"/>
            <w:hideMark/>
          </w:tcPr>
          <w:p w14:paraId="25757F1B" w14:textId="5B08449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w:t>
            </w:r>
          </w:p>
        </w:tc>
        <w:tc>
          <w:tcPr>
            <w:tcW w:w="868" w:type="dxa"/>
            <w:tcBorders>
              <w:top w:val="nil"/>
              <w:left w:val="nil"/>
              <w:bottom w:val="nil"/>
              <w:right w:val="nil"/>
            </w:tcBorders>
            <w:shd w:val="clear" w:color="000000" w:fill="F2F2F2"/>
            <w:noWrap/>
            <w:vAlign w:val="center"/>
            <w:hideMark/>
          </w:tcPr>
          <w:p w14:paraId="2799FB16" w14:textId="1B5A942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w:t>
            </w:r>
          </w:p>
        </w:tc>
        <w:tc>
          <w:tcPr>
            <w:tcW w:w="1169" w:type="dxa"/>
            <w:tcBorders>
              <w:top w:val="nil"/>
              <w:left w:val="nil"/>
              <w:bottom w:val="nil"/>
              <w:right w:val="nil"/>
            </w:tcBorders>
            <w:shd w:val="clear" w:color="000000" w:fill="FFFFFF"/>
            <w:noWrap/>
            <w:vAlign w:val="center"/>
            <w:hideMark/>
          </w:tcPr>
          <w:p w14:paraId="59425162"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60.5</w:t>
            </w:r>
          </w:p>
        </w:tc>
      </w:tr>
      <w:tr w:rsidR="00B43D87" w:rsidRPr="00B43D87" w14:paraId="772F0128" w14:textId="77777777" w:rsidTr="006F5299">
        <w:trPr>
          <w:trHeight w:val="283"/>
        </w:trPr>
        <w:tc>
          <w:tcPr>
            <w:tcW w:w="3301" w:type="dxa"/>
            <w:tcBorders>
              <w:top w:val="nil"/>
              <w:left w:val="nil"/>
              <w:bottom w:val="nil"/>
              <w:right w:val="nil"/>
            </w:tcBorders>
            <w:shd w:val="clear" w:color="000000" w:fill="FFFFFF"/>
            <w:noWrap/>
            <w:vAlign w:val="center"/>
            <w:hideMark/>
          </w:tcPr>
          <w:p w14:paraId="06CE6225"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3697E26F"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4,838</w:t>
            </w:r>
          </w:p>
        </w:tc>
        <w:tc>
          <w:tcPr>
            <w:tcW w:w="867" w:type="dxa"/>
            <w:tcBorders>
              <w:top w:val="single" w:sz="4" w:space="0" w:color="auto"/>
              <w:left w:val="nil"/>
              <w:bottom w:val="single" w:sz="4" w:space="0" w:color="auto"/>
              <w:right w:val="nil"/>
            </w:tcBorders>
            <w:shd w:val="clear" w:color="000000" w:fill="FFFFFF"/>
            <w:noWrap/>
            <w:vAlign w:val="center"/>
            <w:hideMark/>
          </w:tcPr>
          <w:p w14:paraId="7BD6909D"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6,001</w:t>
            </w:r>
          </w:p>
        </w:tc>
        <w:tc>
          <w:tcPr>
            <w:tcW w:w="867" w:type="dxa"/>
            <w:tcBorders>
              <w:top w:val="single" w:sz="4" w:space="0" w:color="auto"/>
              <w:left w:val="nil"/>
              <w:bottom w:val="single" w:sz="4" w:space="0" w:color="auto"/>
              <w:right w:val="nil"/>
            </w:tcBorders>
            <w:shd w:val="clear" w:color="000000" w:fill="F2F2F2"/>
            <w:noWrap/>
            <w:vAlign w:val="center"/>
            <w:hideMark/>
          </w:tcPr>
          <w:p w14:paraId="7176E47F"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6,965</w:t>
            </w:r>
          </w:p>
        </w:tc>
        <w:tc>
          <w:tcPr>
            <w:tcW w:w="867" w:type="dxa"/>
            <w:tcBorders>
              <w:top w:val="single" w:sz="4" w:space="0" w:color="auto"/>
              <w:left w:val="nil"/>
              <w:bottom w:val="single" w:sz="4" w:space="0" w:color="auto"/>
              <w:right w:val="nil"/>
            </w:tcBorders>
            <w:shd w:val="clear" w:color="000000" w:fill="F2F2F2"/>
            <w:noWrap/>
            <w:vAlign w:val="center"/>
            <w:hideMark/>
          </w:tcPr>
          <w:p w14:paraId="7928D9F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7,315</w:t>
            </w:r>
          </w:p>
        </w:tc>
        <w:tc>
          <w:tcPr>
            <w:tcW w:w="867" w:type="dxa"/>
            <w:tcBorders>
              <w:top w:val="single" w:sz="4" w:space="0" w:color="auto"/>
              <w:left w:val="nil"/>
              <w:bottom w:val="single" w:sz="4" w:space="0" w:color="auto"/>
              <w:right w:val="nil"/>
            </w:tcBorders>
            <w:shd w:val="clear" w:color="000000" w:fill="F2F2F2"/>
            <w:noWrap/>
            <w:vAlign w:val="center"/>
            <w:hideMark/>
          </w:tcPr>
          <w:p w14:paraId="2F3DCB7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7,143</w:t>
            </w:r>
          </w:p>
        </w:tc>
        <w:tc>
          <w:tcPr>
            <w:tcW w:w="868" w:type="dxa"/>
            <w:tcBorders>
              <w:top w:val="single" w:sz="4" w:space="0" w:color="auto"/>
              <w:left w:val="nil"/>
              <w:bottom w:val="single" w:sz="4" w:space="0" w:color="auto"/>
              <w:right w:val="nil"/>
            </w:tcBorders>
            <w:shd w:val="clear" w:color="000000" w:fill="F2F2F2"/>
            <w:noWrap/>
            <w:vAlign w:val="center"/>
            <w:hideMark/>
          </w:tcPr>
          <w:p w14:paraId="70B46BA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6,954</w:t>
            </w:r>
          </w:p>
        </w:tc>
        <w:tc>
          <w:tcPr>
            <w:tcW w:w="1169" w:type="dxa"/>
            <w:tcBorders>
              <w:top w:val="single" w:sz="4" w:space="0" w:color="auto"/>
              <w:left w:val="nil"/>
              <w:bottom w:val="single" w:sz="4" w:space="0" w:color="auto"/>
              <w:right w:val="nil"/>
            </w:tcBorders>
            <w:shd w:val="clear" w:color="auto" w:fill="auto"/>
            <w:noWrap/>
            <w:vAlign w:val="center"/>
            <w:hideMark/>
          </w:tcPr>
          <w:p w14:paraId="5491C49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3.8</w:t>
            </w:r>
          </w:p>
        </w:tc>
      </w:tr>
      <w:tr w:rsidR="00B43D87" w:rsidRPr="00B43D87" w14:paraId="06E7CE64" w14:textId="77777777" w:rsidTr="00014057">
        <w:trPr>
          <w:trHeight w:val="96"/>
        </w:trPr>
        <w:tc>
          <w:tcPr>
            <w:tcW w:w="3301" w:type="dxa"/>
            <w:tcBorders>
              <w:top w:val="nil"/>
              <w:left w:val="nil"/>
              <w:bottom w:val="nil"/>
              <w:right w:val="nil"/>
            </w:tcBorders>
            <w:shd w:val="clear" w:color="000000" w:fill="FFFFFF"/>
            <w:noWrap/>
            <w:vAlign w:val="center"/>
            <w:hideMark/>
          </w:tcPr>
          <w:p w14:paraId="614C5FDA"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4A062601" w14:textId="7CF27854"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68ECDF35" w14:textId="7CFF186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23BF534" w14:textId="61578121"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13ABCE2" w14:textId="7501AFDE"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56D00A5" w14:textId="5CC4D288"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31BE8BEA" w14:textId="05CD810E"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760A5EE8" w14:textId="37DC9ACD" w:rsidR="00B43D87" w:rsidRPr="00B43D87" w:rsidRDefault="00B43D87" w:rsidP="00B43D87">
            <w:pPr>
              <w:jc w:val="right"/>
              <w:rPr>
                <w:rFonts w:ascii="Public Sans" w:hAnsi="Public Sans" w:cs="Calibri"/>
                <w:sz w:val="16"/>
                <w:szCs w:val="16"/>
                <w:lang w:val="en-AU" w:eastAsia="en-AU"/>
              </w:rPr>
            </w:pPr>
          </w:p>
        </w:tc>
      </w:tr>
      <w:tr w:rsidR="00B43D87" w:rsidRPr="00B43D87" w14:paraId="45F0ECF2" w14:textId="77777777" w:rsidTr="00014057">
        <w:trPr>
          <w:trHeight w:val="181"/>
        </w:trPr>
        <w:tc>
          <w:tcPr>
            <w:tcW w:w="3301" w:type="dxa"/>
            <w:tcBorders>
              <w:top w:val="nil"/>
              <w:left w:val="nil"/>
              <w:bottom w:val="nil"/>
              <w:right w:val="nil"/>
            </w:tcBorders>
            <w:shd w:val="clear" w:color="000000" w:fill="FFFFFF"/>
            <w:vAlign w:val="center"/>
            <w:hideMark/>
          </w:tcPr>
          <w:p w14:paraId="05E57938"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Taxes on motor vehicle</w:t>
            </w:r>
          </w:p>
        </w:tc>
        <w:tc>
          <w:tcPr>
            <w:tcW w:w="867" w:type="dxa"/>
            <w:tcBorders>
              <w:top w:val="nil"/>
              <w:left w:val="nil"/>
              <w:bottom w:val="nil"/>
              <w:right w:val="nil"/>
            </w:tcBorders>
            <w:shd w:val="clear" w:color="000000" w:fill="FFFFFF"/>
            <w:noWrap/>
            <w:vAlign w:val="center"/>
            <w:hideMark/>
          </w:tcPr>
          <w:p w14:paraId="4F68173C" w14:textId="252B847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675033FC" w14:textId="1185827B"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0AE72690" w14:textId="49EB5378"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0BF17E2" w14:textId="63EDF191"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1E043470" w14:textId="3A5932C0"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225C5F6B" w14:textId="0AFCB8E2"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4CC53E39" w14:textId="1C4D745F" w:rsidR="00B43D87" w:rsidRPr="00B43D87" w:rsidRDefault="00B43D87" w:rsidP="00B43D87">
            <w:pPr>
              <w:jc w:val="right"/>
              <w:rPr>
                <w:rFonts w:ascii="Public Sans" w:hAnsi="Public Sans" w:cs="Calibri"/>
                <w:sz w:val="16"/>
                <w:szCs w:val="16"/>
                <w:lang w:val="en-AU" w:eastAsia="en-AU"/>
              </w:rPr>
            </w:pPr>
          </w:p>
        </w:tc>
      </w:tr>
      <w:tr w:rsidR="00B43D87" w:rsidRPr="00B43D87" w14:paraId="04818A41" w14:textId="77777777" w:rsidTr="00014057">
        <w:trPr>
          <w:trHeight w:val="188"/>
        </w:trPr>
        <w:tc>
          <w:tcPr>
            <w:tcW w:w="3301" w:type="dxa"/>
            <w:tcBorders>
              <w:top w:val="nil"/>
              <w:left w:val="nil"/>
              <w:bottom w:val="nil"/>
              <w:right w:val="nil"/>
            </w:tcBorders>
            <w:shd w:val="clear" w:color="000000" w:fill="FFFFFF"/>
            <w:vAlign w:val="center"/>
            <w:hideMark/>
          </w:tcPr>
          <w:p w14:paraId="46BECA65"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ownership and operation</w:t>
            </w:r>
          </w:p>
        </w:tc>
        <w:tc>
          <w:tcPr>
            <w:tcW w:w="867" w:type="dxa"/>
            <w:tcBorders>
              <w:top w:val="nil"/>
              <w:left w:val="nil"/>
              <w:bottom w:val="nil"/>
              <w:right w:val="nil"/>
            </w:tcBorders>
            <w:shd w:val="clear" w:color="000000" w:fill="FFFFFF"/>
            <w:noWrap/>
            <w:vAlign w:val="center"/>
            <w:hideMark/>
          </w:tcPr>
          <w:p w14:paraId="20674D4D" w14:textId="627611D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360D36D3" w14:textId="66964655"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3FD0ACE" w14:textId="2E1508B1"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0D9445A0" w14:textId="77FB31A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0C3FB4DD" w14:textId="7AAD058B"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030A3C6F" w14:textId="5ABAAE17"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3ABD2001" w14:textId="46B5874A" w:rsidR="00B43D87" w:rsidRPr="00B43D87" w:rsidRDefault="00B43D87" w:rsidP="00B43D87">
            <w:pPr>
              <w:jc w:val="right"/>
              <w:rPr>
                <w:rFonts w:ascii="Public Sans" w:hAnsi="Public Sans" w:cs="Calibri"/>
                <w:sz w:val="16"/>
                <w:szCs w:val="16"/>
                <w:lang w:val="en-AU" w:eastAsia="en-AU"/>
              </w:rPr>
            </w:pPr>
          </w:p>
        </w:tc>
      </w:tr>
      <w:tr w:rsidR="00B43D87" w:rsidRPr="00B43D87" w14:paraId="1DAFBADD" w14:textId="77777777" w:rsidTr="00014057">
        <w:trPr>
          <w:trHeight w:val="188"/>
        </w:trPr>
        <w:tc>
          <w:tcPr>
            <w:tcW w:w="3301" w:type="dxa"/>
            <w:tcBorders>
              <w:top w:val="nil"/>
              <w:left w:val="nil"/>
              <w:bottom w:val="nil"/>
              <w:right w:val="nil"/>
            </w:tcBorders>
            <w:shd w:val="clear" w:color="000000" w:fill="FFFFFF"/>
            <w:noWrap/>
            <w:vAlign w:val="center"/>
            <w:hideMark/>
          </w:tcPr>
          <w:p w14:paraId="78A19974"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Weight tax</w:t>
            </w:r>
          </w:p>
        </w:tc>
        <w:tc>
          <w:tcPr>
            <w:tcW w:w="867" w:type="dxa"/>
            <w:tcBorders>
              <w:top w:val="nil"/>
              <w:left w:val="nil"/>
              <w:bottom w:val="nil"/>
              <w:right w:val="nil"/>
            </w:tcBorders>
            <w:shd w:val="clear" w:color="000000" w:fill="FFFFFF"/>
            <w:noWrap/>
            <w:vAlign w:val="center"/>
            <w:hideMark/>
          </w:tcPr>
          <w:p w14:paraId="6A890008" w14:textId="4378D0B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2,478</w:t>
            </w:r>
          </w:p>
        </w:tc>
        <w:tc>
          <w:tcPr>
            <w:tcW w:w="867" w:type="dxa"/>
            <w:tcBorders>
              <w:top w:val="nil"/>
              <w:left w:val="nil"/>
              <w:bottom w:val="nil"/>
              <w:right w:val="nil"/>
            </w:tcBorders>
            <w:shd w:val="clear" w:color="000000" w:fill="FFFFFF"/>
            <w:noWrap/>
            <w:vAlign w:val="center"/>
            <w:hideMark/>
          </w:tcPr>
          <w:p w14:paraId="24D32DB7" w14:textId="33DEEC9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2,682</w:t>
            </w:r>
          </w:p>
        </w:tc>
        <w:tc>
          <w:tcPr>
            <w:tcW w:w="867" w:type="dxa"/>
            <w:tcBorders>
              <w:top w:val="nil"/>
              <w:left w:val="nil"/>
              <w:bottom w:val="nil"/>
              <w:right w:val="nil"/>
            </w:tcBorders>
            <w:shd w:val="clear" w:color="000000" w:fill="F2F2F2"/>
            <w:noWrap/>
            <w:vAlign w:val="center"/>
            <w:hideMark/>
          </w:tcPr>
          <w:p w14:paraId="548D9427" w14:textId="3AD269A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2,998</w:t>
            </w:r>
          </w:p>
        </w:tc>
        <w:tc>
          <w:tcPr>
            <w:tcW w:w="867" w:type="dxa"/>
            <w:tcBorders>
              <w:top w:val="nil"/>
              <w:left w:val="nil"/>
              <w:bottom w:val="nil"/>
              <w:right w:val="nil"/>
            </w:tcBorders>
            <w:shd w:val="clear" w:color="000000" w:fill="F2F2F2"/>
            <w:noWrap/>
            <w:vAlign w:val="center"/>
            <w:hideMark/>
          </w:tcPr>
          <w:p w14:paraId="567991BB" w14:textId="561AE01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3,263</w:t>
            </w:r>
          </w:p>
        </w:tc>
        <w:tc>
          <w:tcPr>
            <w:tcW w:w="867" w:type="dxa"/>
            <w:tcBorders>
              <w:top w:val="nil"/>
              <w:left w:val="nil"/>
              <w:bottom w:val="nil"/>
              <w:right w:val="nil"/>
            </w:tcBorders>
            <w:shd w:val="clear" w:color="000000" w:fill="F2F2F2"/>
            <w:noWrap/>
            <w:vAlign w:val="center"/>
            <w:hideMark/>
          </w:tcPr>
          <w:p w14:paraId="10D88C8D" w14:textId="1CFECBC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3,477</w:t>
            </w:r>
          </w:p>
        </w:tc>
        <w:tc>
          <w:tcPr>
            <w:tcW w:w="868" w:type="dxa"/>
            <w:tcBorders>
              <w:top w:val="nil"/>
              <w:left w:val="nil"/>
              <w:bottom w:val="nil"/>
              <w:right w:val="nil"/>
            </w:tcBorders>
            <w:shd w:val="clear" w:color="000000" w:fill="F2F2F2"/>
            <w:noWrap/>
            <w:vAlign w:val="center"/>
            <w:hideMark/>
          </w:tcPr>
          <w:p w14:paraId="5E94B9FD" w14:textId="0D66AD9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3,660</w:t>
            </w:r>
          </w:p>
        </w:tc>
        <w:tc>
          <w:tcPr>
            <w:tcW w:w="1169" w:type="dxa"/>
            <w:tcBorders>
              <w:top w:val="nil"/>
              <w:left w:val="nil"/>
              <w:bottom w:val="nil"/>
              <w:right w:val="nil"/>
            </w:tcBorders>
            <w:shd w:val="clear" w:color="000000" w:fill="FFFFFF"/>
            <w:noWrap/>
            <w:vAlign w:val="center"/>
            <w:hideMark/>
          </w:tcPr>
          <w:p w14:paraId="0AB004AB"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8.1</w:t>
            </w:r>
          </w:p>
        </w:tc>
      </w:tr>
      <w:tr w:rsidR="00B43D87" w:rsidRPr="00B43D87" w14:paraId="0DE799B9" w14:textId="77777777" w:rsidTr="00014057">
        <w:trPr>
          <w:trHeight w:val="188"/>
        </w:trPr>
        <w:tc>
          <w:tcPr>
            <w:tcW w:w="3301" w:type="dxa"/>
            <w:tcBorders>
              <w:top w:val="nil"/>
              <w:left w:val="nil"/>
              <w:bottom w:val="nil"/>
              <w:right w:val="nil"/>
            </w:tcBorders>
            <w:shd w:val="clear" w:color="000000" w:fill="FFFFFF"/>
            <w:noWrap/>
            <w:vAlign w:val="center"/>
            <w:hideMark/>
          </w:tcPr>
          <w:p w14:paraId="79A0603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Vehicle transfer fees</w:t>
            </w:r>
          </w:p>
        </w:tc>
        <w:tc>
          <w:tcPr>
            <w:tcW w:w="867" w:type="dxa"/>
            <w:tcBorders>
              <w:top w:val="nil"/>
              <w:left w:val="nil"/>
              <w:bottom w:val="nil"/>
              <w:right w:val="nil"/>
            </w:tcBorders>
            <w:shd w:val="clear" w:color="000000" w:fill="FFFFFF"/>
            <w:noWrap/>
            <w:vAlign w:val="center"/>
            <w:hideMark/>
          </w:tcPr>
          <w:p w14:paraId="1898E798" w14:textId="7297CB3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50</w:t>
            </w:r>
          </w:p>
        </w:tc>
        <w:tc>
          <w:tcPr>
            <w:tcW w:w="867" w:type="dxa"/>
            <w:tcBorders>
              <w:top w:val="nil"/>
              <w:left w:val="nil"/>
              <w:bottom w:val="nil"/>
              <w:right w:val="nil"/>
            </w:tcBorders>
            <w:shd w:val="clear" w:color="000000" w:fill="FFFFFF"/>
            <w:noWrap/>
            <w:vAlign w:val="center"/>
            <w:hideMark/>
          </w:tcPr>
          <w:p w14:paraId="3CF96732" w14:textId="1A98792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53</w:t>
            </w:r>
          </w:p>
        </w:tc>
        <w:tc>
          <w:tcPr>
            <w:tcW w:w="867" w:type="dxa"/>
            <w:tcBorders>
              <w:top w:val="nil"/>
              <w:left w:val="nil"/>
              <w:bottom w:val="nil"/>
              <w:right w:val="nil"/>
            </w:tcBorders>
            <w:shd w:val="clear" w:color="000000" w:fill="F2F2F2"/>
            <w:noWrap/>
            <w:vAlign w:val="center"/>
            <w:hideMark/>
          </w:tcPr>
          <w:p w14:paraId="46F8ACC0" w14:textId="02D5FD3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56</w:t>
            </w:r>
          </w:p>
        </w:tc>
        <w:tc>
          <w:tcPr>
            <w:tcW w:w="867" w:type="dxa"/>
            <w:tcBorders>
              <w:top w:val="nil"/>
              <w:left w:val="nil"/>
              <w:bottom w:val="nil"/>
              <w:right w:val="nil"/>
            </w:tcBorders>
            <w:shd w:val="clear" w:color="000000" w:fill="F2F2F2"/>
            <w:noWrap/>
            <w:vAlign w:val="center"/>
            <w:hideMark/>
          </w:tcPr>
          <w:p w14:paraId="4D081572" w14:textId="0F1B99E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60</w:t>
            </w:r>
          </w:p>
        </w:tc>
        <w:tc>
          <w:tcPr>
            <w:tcW w:w="867" w:type="dxa"/>
            <w:tcBorders>
              <w:top w:val="nil"/>
              <w:left w:val="nil"/>
              <w:bottom w:val="nil"/>
              <w:right w:val="nil"/>
            </w:tcBorders>
            <w:shd w:val="clear" w:color="000000" w:fill="F2F2F2"/>
            <w:noWrap/>
            <w:vAlign w:val="center"/>
            <w:hideMark/>
          </w:tcPr>
          <w:p w14:paraId="4A2B8C22" w14:textId="0899D0E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62</w:t>
            </w:r>
          </w:p>
        </w:tc>
        <w:tc>
          <w:tcPr>
            <w:tcW w:w="868" w:type="dxa"/>
            <w:tcBorders>
              <w:top w:val="nil"/>
              <w:left w:val="nil"/>
              <w:bottom w:val="nil"/>
              <w:right w:val="nil"/>
            </w:tcBorders>
            <w:shd w:val="clear" w:color="000000" w:fill="F2F2F2"/>
            <w:noWrap/>
            <w:vAlign w:val="center"/>
            <w:hideMark/>
          </w:tcPr>
          <w:p w14:paraId="03ABC667" w14:textId="0F4119C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65</w:t>
            </w:r>
          </w:p>
        </w:tc>
        <w:tc>
          <w:tcPr>
            <w:tcW w:w="1169" w:type="dxa"/>
            <w:tcBorders>
              <w:top w:val="nil"/>
              <w:left w:val="nil"/>
              <w:bottom w:val="nil"/>
              <w:right w:val="nil"/>
            </w:tcBorders>
            <w:shd w:val="clear" w:color="000000" w:fill="FFFFFF"/>
            <w:noWrap/>
            <w:vAlign w:val="center"/>
            <w:hideMark/>
          </w:tcPr>
          <w:p w14:paraId="6FE70CEB"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5.0</w:t>
            </w:r>
          </w:p>
        </w:tc>
      </w:tr>
      <w:tr w:rsidR="00B43D87" w:rsidRPr="00B43D87" w14:paraId="4D26103C" w14:textId="77777777" w:rsidTr="00014057">
        <w:trPr>
          <w:trHeight w:val="188"/>
        </w:trPr>
        <w:tc>
          <w:tcPr>
            <w:tcW w:w="3301" w:type="dxa"/>
            <w:tcBorders>
              <w:top w:val="nil"/>
              <w:left w:val="nil"/>
              <w:bottom w:val="nil"/>
              <w:right w:val="nil"/>
            </w:tcBorders>
            <w:shd w:val="clear" w:color="000000" w:fill="FFFFFF"/>
            <w:noWrap/>
            <w:vAlign w:val="center"/>
            <w:hideMark/>
          </w:tcPr>
          <w:p w14:paraId="0900F58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 motor vehicle taxes</w:t>
            </w:r>
          </w:p>
        </w:tc>
        <w:tc>
          <w:tcPr>
            <w:tcW w:w="867" w:type="dxa"/>
            <w:tcBorders>
              <w:top w:val="nil"/>
              <w:left w:val="nil"/>
              <w:bottom w:val="nil"/>
              <w:right w:val="nil"/>
            </w:tcBorders>
            <w:shd w:val="clear" w:color="000000" w:fill="FFFFFF"/>
            <w:noWrap/>
            <w:vAlign w:val="center"/>
            <w:hideMark/>
          </w:tcPr>
          <w:p w14:paraId="04D8BD33" w14:textId="65E015D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38</w:t>
            </w:r>
          </w:p>
        </w:tc>
        <w:tc>
          <w:tcPr>
            <w:tcW w:w="867" w:type="dxa"/>
            <w:tcBorders>
              <w:top w:val="nil"/>
              <w:left w:val="nil"/>
              <w:bottom w:val="nil"/>
              <w:right w:val="nil"/>
            </w:tcBorders>
            <w:shd w:val="clear" w:color="000000" w:fill="FFFFFF"/>
            <w:noWrap/>
            <w:vAlign w:val="center"/>
            <w:hideMark/>
          </w:tcPr>
          <w:p w14:paraId="09DF0FFE" w14:textId="43F14E3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45</w:t>
            </w:r>
          </w:p>
        </w:tc>
        <w:tc>
          <w:tcPr>
            <w:tcW w:w="867" w:type="dxa"/>
            <w:tcBorders>
              <w:top w:val="nil"/>
              <w:left w:val="nil"/>
              <w:bottom w:val="nil"/>
              <w:right w:val="nil"/>
            </w:tcBorders>
            <w:shd w:val="clear" w:color="000000" w:fill="F2F2F2"/>
            <w:noWrap/>
            <w:vAlign w:val="center"/>
            <w:hideMark/>
          </w:tcPr>
          <w:p w14:paraId="4D753B2B" w14:textId="0D81C76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48</w:t>
            </w:r>
          </w:p>
        </w:tc>
        <w:tc>
          <w:tcPr>
            <w:tcW w:w="867" w:type="dxa"/>
            <w:tcBorders>
              <w:top w:val="nil"/>
              <w:left w:val="nil"/>
              <w:bottom w:val="nil"/>
              <w:right w:val="nil"/>
            </w:tcBorders>
            <w:shd w:val="clear" w:color="000000" w:fill="F2F2F2"/>
            <w:noWrap/>
            <w:vAlign w:val="center"/>
            <w:hideMark/>
          </w:tcPr>
          <w:p w14:paraId="256BCDCB" w14:textId="3F9C483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52</w:t>
            </w:r>
          </w:p>
        </w:tc>
        <w:tc>
          <w:tcPr>
            <w:tcW w:w="867" w:type="dxa"/>
            <w:tcBorders>
              <w:top w:val="nil"/>
              <w:left w:val="nil"/>
              <w:bottom w:val="nil"/>
              <w:right w:val="nil"/>
            </w:tcBorders>
            <w:shd w:val="clear" w:color="000000" w:fill="F2F2F2"/>
            <w:noWrap/>
            <w:vAlign w:val="center"/>
            <w:hideMark/>
          </w:tcPr>
          <w:p w14:paraId="33C2B12D" w14:textId="778392E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w:t>
            </w:r>
          </w:p>
        </w:tc>
        <w:tc>
          <w:tcPr>
            <w:tcW w:w="868" w:type="dxa"/>
            <w:tcBorders>
              <w:top w:val="nil"/>
              <w:left w:val="nil"/>
              <w:bottom w:val="nil"/>
              <w:right w:val="nil"/>
            </w:tcBorders>
            <w:shd w:val="clear" w:color="000000" w:fill="F2F2F2"/>
            <w:noWrap/>
            <w:vAlign w:val="center"/>
            <w:hideMark/>
          </w:tcPr>
          <w:p w14:paraId="4F13C950" w14:textId="72D7262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58</w:t>
            </w:r>
          </w:p>
        </w:tc>
        <w:tc>
          <w:tcPr>
            <w:tcW w:w="1169" w:type="dxa"/>
            <w:tcBorders>
              <w:top w:val="nil"/>
              <w:left w:val="nil"/>
              <w:bottom w:val="nil"/>
              <w:right w:val="nil"/>
            </w:tcBorders>
            <w:shd w:val="clear" w:color="000000" w:fill="FFFFFF"/>
            <w:noWrap/>
            <w:vAlign w:val="center"/>
            <w:hideMark/>
          </w:tcPr>
          <w:p w14:paraId="451EE438"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6.8</w:t>
            </w:r>
          </w:p>
        </w:tc>
      </w:tr>
      <w:tr w:rsidR="00B43D87" w:rsidRPr="00B43D87" w14:paraId="391430A2" w14:textId="77777777" w:rsidTr="00B5513D">
        <w:trPr>
          <w:trHeight w:val="283"/>
        </w:trPr>
        <w:tc>
          <w:tcPr>
            <w:tcW w:w="3301" w:type="dxa"/>
            <w:tcBorders>
              <w:top w:val="nil"/>
              <w:left w:val="nil"/>
              <w:bottom w:val="nil"/>
              <w:right w:val="nil"/>
            </w:tcBorders>
            <w:shd w:val="clear" w:color="000000" w:fill="FFFFFF"/>
            <w:noWrap/>
            <w:vAlign w:val="center"/>
            <w:hideMark/>
          </w:tcPr>
          <w:p w14:paraId="4849AA1C"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4D0FC59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2,566</w:t>
            </w:r>
          </w:p>
        </w:tc>
        <w:tc>
          <w:tcPr>
            <w:tcW w:w="867" w:type="dxa"/>
            <w:tcBorders>
              <w:top w:val="single" w:sz="4" w:space="0" w:color="auto"/>
              <w:left w:val="nil"/>
              <w:bottom w:val="single" w:sz="4" w:space="0" w:color="auto"/>
              <w:right w:val="nil"/>
            </w:tcBorders>
            <w:shd w:val="clear" w:color="000000" w:fill="FFFFFF"/>
            <w:noWrap/>
            <w:vAlign w:val="center"/>
            <w:hideMark/>
          </w:tcPr>
          <w:p w14:paraId="711D293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2,780</w:t>
            </w:r>
          </w:p>
        </w:tc>
        <w:tc>
          <w:tcPr>
            <w:tcW w:w="867" w:type="dxa"/>
            <w:tcBorders>
              <w:top w:val="single" w:sz="4" w:space="0" w:color="auto"/>
              <w:left w:val="nil"/>
              <w:bottom w:val="single" w:sz="4" w:space="0" w:color="auto"/>
              <w:right w:val="nil"/>
            </w:tcBorders>
            <w:shd w:val="clear" w:color="000000" w:fill="F2F2F2"/>
            <w:noWrap/>
            <w:vAlign w:val="center"/>
            <w:hideMark/>
          </w:tcPr>
          <w:p w14:paraId="06C4307B"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3,101</w:t>
            </w:r>
          </w:p>
        </w:tc>
        <w:tc>
          <w:tcPr>
            <w:tcW w:w="867" w:type="dxa"/>
            <w:tcBorders>
              <w:top w:val="single" w:sz="4" w:space="0" w:color="auto"/>
              <w:left w:val="nil"/>
              <w:bottom w:val="single" w:sz="4" w:space="0" w:color="auto"/>
              <w:right w:val="nil"/>
            </w:tcBorders>
            <w:shd w:val="clear" w:color="000000" w:fill="F2F2F2"/>
            <w:noWrap/>
            <w:vAlign w:val="center"/>
            <w:hideMark/>
          </w:tcPr>
          <w:p w14:paraId="2F84830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3,375</w:t>
            </w:r>
          </w:p>
        </w:tc>
        <w:tc>
          <w:tcPr>
            <w:tcW w:w="867" w:type="dxa"/>
            <w:tcBorders>
              <w:top w:val="single" w:sz="4" w:space="0" w:color="auto"/>
              <w:left w:val="nil"/>
              <w:bottom w:val="single" w:sz="4" w:space="0" w:color="auto"/>
              <w:right w:val="nil"/>
            </w:tcBorders>
            <w:shd w:val="clear" w:color="000000" w:fill="F2F2F2"/>
            <w:noWrap/>
            <w:vAlign w:val="center"/>
            <w:hideMark/>
          </w:tcPr>
          <w:p w14:paraId="09A35AB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3,594</w:t>
            </w:r>
          </w:p>
        </w:tc>
        <w:tc>
          <w:tcPr>
            <w:tcW w:w="868" w:type="dxa"/>
            <w:tcBorders>
              <w:top w:val="single" w:sz="4" w:space="0" w:color="auto"/>
              <w:left w:val="nil"/>
              <w:bottom w:val="single" w:sz="4" w:space="0" w:color="auto"/>
              <w:right w:val="nil"/>
            </w:tcBorders>
            <w:shd w:val="clear" w:color="000000" w:fill="F2F2F2"/>
            <w:noWrap/>
            <w:vAlign w:val="center"/>
            <w:hideMark/>
          </w:tcPr>
          <w:p w14:paraId="5ADB062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3,782</w:t>
            </w:r>
          </w:p>
        </w:tc>
        <w:tc>
          <w:tcPr>
            <w:tcW w:w="1169" w:type="dxa"/>
            <w:tcBorders>
              <w:top w:val="single" w:sz="4" w:space="0" w:color="auto"/>
              <w:left w:val="nil"/>
              <w:bottom w:val="single" w:sz="4" w:space="0" w:color="auto"/>
              <w:right w:val="nil"/>
            </w:tcBorders>
            <w:shd w:val="clear" w:color="auto" w:fill="auto"/>
            <w:noWrap/>
            <w:vAlign w:val="center"/>
            <w:hideMark/>
          </w:tcPr>
          <w:p w14:paraId="1F87D57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8.0</w:t>
            </w:r>
          </w:p>
        </w:tc>
      </w:tr>
      <w:tr w:rsidR="00B43D87" w:rsidRPr="00B43D87" w14:paraId="1CE80BCB" w14:textId="77777777" w:rsidTr="00014057">
        <w:trPr>
          <w:trHeight w:val="96"/>
        </w:trPr>
        <w:tc>
          <w:tcPr>
            <w:tcW w:w="3301" w:type="dxa"/>
            <w:tcBorders>
              <w:top w:val="nil"/>
              <w:left w:val="nil"/>
              <w:bottom w:val="nil"/>
              <w:right w:val="nil"/>
            </w:tcBorders>
            <w:shd w:val="clear" w:color="000000" w:fill="FFFFFF"/>
            <w:noWrap/>
            <w:vAlign w:val="bottom"/>
            <w:hideMark/>
          </w:tcPr>
          <w:p w14:paraId="569A95D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0373FF0E" w14:textId="42DE93C2"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140C5F4E" w14:textId="6FD7564F"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9B0F50C" w14:textId="331716ED"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4B5B2A9" w14:textId="17D7504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993ED69" w14:textId="3A2E6C09"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1B07C431" w14:textId="21F3655F"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13FE469F" w14:textId="1184A7A9" w:rsidR="00B43D87" w:rsidRPr="00B43D87" w:rsidRDefault="00B43D87" w:rsidP="00B43D87">
            <w:pPr>
              <w:jc w:val="right"/>
              <w:rPr>
                <w:rFonts w:ascii="Public Sans" w:hAnsi="Public Sans" w:cs="Calibri"/>
                <w:sz w:val="16"/>
                <w:szCs w:val="16"/>
                <w:lang w:val="en-AU" w:eastAsia="en-AU"/>
              </w:rPr>
            </w:pPr>
          </w:p>
        </w:tc>
      </w:tr>
      <w:tr w:rsidR="00B43D87" w:rsidRPr="00B43D87" w14:paraId="3ACBB68F" w14:textId="77777777" w:rsidTr="00014057">
        <w:trPr>
          <w:trHeight w:val="188"/>
        </w:trPr>
        <w:tc>
          <w:tcPr>
            <w:tcW w:w="3301" w:type="dxa"/>
            <w:tcBorders>
              <w:top w:val="nil"/>
              <w:left w:val="nil"/>
              <w:bottom w:val="nil"/>
              <w:right w:val="nil"/>
            </w:tcBorders>
            <w:shd w:val="clear" w:color="000000" w:fill="FFFFFF"/>
            <w:noWrap/>
            <w:vAlign w:val="center"/>
            <w:hideMark/>
          </w:tcPr>
          <w:p w14:paraId="0D192FE9"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Gambling and betting taxes</w:t>
            </w:r>
          </w:p>
        </w:tc>
        <w:tc>
          <w:tcPr>
            <w:tcW w:w="867" w:type="dxa"/>
            <w:tcBorders>
              <w:top w:val="nil"/>
              <w:left w:val="nil"/>
              <w:bottom w:val="nil"/>
              <w:right w:val="nil"/>
            </w:tcBorders>
            <w:shd w:val="clear" w:color="000000" w:fill="FFFFFF"/>
            <w:noWrap/>
            <w:vAlign w:val="center"/>
            <w:hideMark/>
          </w:tcPr>
          <w:p w14:paraId="1A4FA3DC" w14:textId="2920B01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7C4DFAD2" w14:textId="660F8CC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69C4A91" w14:textId="7D98EA96"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44E57551" w14:textId="6E6C6816"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1D279B2" w14:textId="4FE20DE6"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72937043" w14:textId="2E3C1EC7"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1D46A8F0" w14:textId="53757330" w:rsidR="00B43D87" w:rsidRPr="00B43D87" w:rsidRDefault="00B43D87" w:rsidP="00B43D87">
            <w:pPr>
              <w:jc w:val="right"/>
              <w:rPr>
                <w:rFonts w:ascii="Public Sans" w:hAnsi="Public Sans" w:cs="Calibri"/>
                <w:sz w:val="16"/>
                <w:szCs w:val="16"/>
                <w:lang w:val="en-AU" w:eastAsia="en-AU"/>
              </w:rPr>
            </w:pPr>
          </w:p>
        </w:tc>
      </w:tr>
      <w:tr w:rsidR="00B43D87" w:rsidRPr="00B43D87" w14:paraId="251D0A68" w14:textId="77777777" w:rsidTr="00014057">
        <w:trPr>
          <w:trHeight w:val="188"/>
        </w:trPr>
        <w:tc>
          <w:tcPr>
            <w:tcW w:w="3301" w:type="dxa"/>
            <w:tcBorders>
              <w:top w:val="nil"/>
              <w:left w:val="nil"/>
              <w:bottom w:val="nil"/>
              <w:right w:val="nil"/>
            </w:tcBorders>
            <w:shd w:val="clear" w:color="000000" w:fill="FFFFFF"/>
            <w:noWrap/>
            <w:vAlign w:val="center"/>
            <w:hideMark/>
          </w:tcPr>
          <w:p w14:paraId="34276EB5"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Racing</w:t>
            </w:r>
          </w:p>
        </w:tc>
        <w:tc>
          <w:tcPr>
            <w:tcW w:w="867" w:type="dxa"/>
            <w:tcBorders>
              <w:top w:val="nil"/>
              <w:left w:val="nil"/>
              <w:bottom w:val="nil"/>
              <w:right w:val="nil"/>
            </w:tcBorders>
            <w:shd w:val="clear" w:color="000000" w:fill="FFFFFF"/>
            <w:noWrap/>
            <w:vAlign w:val="center"/>
            <w:hideMark/>
          </w:tcPr>
          <w:p w14:paraId="67CED8AA" w14:textId="5BD0C96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256</w:t>
            </w:r>
          </w:p>
        </w:tc>
        <w:tc>
          <w:tcPr>
            <w:tcW w:w="867" w:type="dxa"/>
            <w:tcBorders>
              <w:top w:val="nil"/>
              <w:left w:val="nil"/>
              <w:bottom w:val="nil"/>
              <w:right w:val="nil"/>
            </w:tcBorders>
            <w:shd w:val="clear" w:color="000000" w:fill="FFFFFF"/>
            <w:noWrap/>
            <w:vAlign w:val="center"/>
            <w:hideMark/>
          </w:tcPr>
          <w:p w14:paraId="055AD378" w14:textId="098C428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371</w:t>
            </w:r>
          </w:p>
        </w:tc>
        <w:tc>
          <w:tcPr>
            <w:tcW w:w="867" w:type="dxa"/>
            <w:tcBorders>
              <w:top w:val="nil"/>
              <w:left w:val="nil"/>
              <w:bottom w:val="nil"/>
              <w:right w:val="nil"/>
            </w:tcBorders>
            <w:shd w:val="clear" w:color="000000" w:fill="F2F2F2"/>
            <w:noWrap/>
            <w:vAlign w:val="center"/>
            <w:hideMark/>
          </w:tcPr>
          <w:p w14:paraId="086F50AE" w14:textId="64E0D72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395</w:t>
            </w:r>
          </w:p>
        </w:tc>
        <w:tc>
          <w:tcPr>
            <w:tcW w:w="867" w:type="dxa"/>
            <w:tcBorders>
              <w:top w:val="nil"/>
              <w:left w:val="nil"/>
              <w:bottom w:val="nil"/>
              <w:right w:val="nil"/>
            </w:tcBorders>
            <w:shd w:val="clear" w:color="000000" w:fill="F2F2F2"/>
            <w:noWrap/>
            <w:vAlign w:val="center"/>
            <w:hideMark/>
          </w:tcPr>
          <w:p w14:paraId="3176CB86" w14:textId="3A8057A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418</w:t>
            </w:r>
          </w:p>
        </w:tc>
        <w:tc>
          <w:tcPr>
            <w:tcW w:w="867" w:type="dxa"/>
            <w:tcBorders>
              <w:top w:val="nil"/>
              <w:left w:val="nil"/>
              <w:bottom w:val="nil"/>
              <w:right w:val="nil"/>
            </w:tcBorders>
            <w:shd w:val="clear" w:color="000000" w:fill="F2F2F2"/>
            <w:noWrap/>
            <w:vAlign w:val="center"/>
            <w:hideMark/>
          </w:tcPr>
          <w:p w14:paraId="356AA2E1" w14:textId="68AFFF2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439</w:t>
            </w:r>
          </w:p>
        </w:tc>
        <w:tc>
          <w:tcPr>
            <w:tcW w:w="868" w:type="dxa"/>
            <w:tcBorders>
              <w:top w:val="nil"/>
              <w:left w:val="nil"/>
              <w:bottom w:val="nil"/>
              <w:right w:val="nil"/>
            </w:tcBorders>
            <w:shd w:val="clear" w:color="000000" w:fill="F2F2F2"/>
            <w:noWrap/>
            <w:vAlign w:val="center"/>
            <w:hideMark/>
          </w:tcPr>
          <w:p w14:paraId="56F76B5A" w14:textId="42DC78A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459</w:t>
            </w:r>
          </w:p>
        </w:tc>
        <w:tc>
          <w:tcPr>
            <w:tcW w:w="1169" w:type="dxa"/>
            <w:tcBorders>
              <w:top w:val="nil"/>
              <w:left w:val="nil"/>
              <w:bottom w:val="nil"/>
              <w:right w:val="nil"/>
            </w:tcBorders>
            <w:shd w:val="clear" w:color="000000" w:fill="FFFFFF"/>
            <w:noWrap/>
            <w:vAlign w:val="center"/>
            <w:hideMark/>
          </w:tcPr>
          <w:p w14:paraId="6CDE3ED3"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w:t>
            </w:r>
          </w:p>
        </w:tc>
      </w:tr>
      <w:tr w:rsidR="00B43D87" w:rsidRPr="00B43D87" w14:paraId="5846BF57" w14:textId="77777777" w:rsidTr="00014057">
        <w:trPr>
          <w:trHeight w:val="188"/>
        </w:trPr>
        <w:tc>
          <w:tcPr>
            <w:tcW w:w="3301" w:type="dxa"/>
            <w:tcBorders>
              <w:top w:val="nil"/>
              <w:left w:val="nil"/>
              <w:bottom w:val="nil"/>
              <w:right w:val="nil"/>
            </w:tcBorders>
            <w:shd w:val="clear" w:color="000000" w:fill="FFFFFF"/>
            <w:noWrap/>
            <w:vAlign w:val="center"/>
            <w:hideMark/>
          </w:tcPr>
          <w:p w14:paraId="6625050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Club gaming devices</w:t>
            </w:r>
          </w:p>
        </w:tc>
        <w:tc>
          <w:tcPr>
            <w:tcW w:w="867" w:type="dxa"/>
            <w:tcBorders>
              <w:top w:val="nil"/>
              <w:left w:val="nil"/>
              <w:bottom w:val="nil"/>
              <w:right w:val="nil"/>
            </w:tcBorders>
            <w:shd w:val="clear" w:color="000000" w:fill="FFFFFF"/>
            <w:noWrap/>
            <w:vAlign w:val="center"/>
            <w:hideMark/>
          </w:tcPr>
          <w:p w14:paraId="353EE829" w14:textId="1F0E41D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633</w:t>
            </w:r>
          </w:p>
        </w:tc>
        <w:tc>
          <w:tcPr>
            <w:tcW w:w="867" w:type="dxa"/>
            <w:tcBorders>
              <w:top w:val="nil"/>
              <w:left w:val="nil"/>
              <w:bottom w:val="nil"/>
              <w:right w:val="nil"/>
            </w:tcBorders>
            <w:shd w:val="clear" w:color="000000" w:fill="FFFFFF"/>
            <w:noWrap/>
            <w:vAlign w:val="center"/>
            <w:hideMark/>
          </w:tcPr>
          <w:p w14:paraId="495D4815" w14:textId="0100A96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939</w:t>
            </w:r>
          </w:p>
        </w:tc>
        <w:tc>
          <w:tcPr>
            <w:tcW w:w="867" w:type="dxa"/>
            <w:tcBorders>
              <w:top w:val="nil"/>
              <w:left w:val="nil"/>
              <w:bottom w:val="nil"/>
              <w:right w:val="nil"/>
            </w:tcBorders>
            <w:shd w:val="clear" w:color="000000" w:fill="F2F2F2"/>
            <w:noWrap/>
            <w:vAlign w:val="center"/>
            <w:hideMark/>
          </w:tcPr>
          <w:p w14:paraId="1AA329A5" w14:textId="00B9F6F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921</w:t>
            </w:r>
          </w:p>
        </w:tc>
        <w:tc>
          <w:tcPr>
            <w:tcW w:w="867" w:type="dxa"/>
            <w:tcBorders>
              <w:top w:val="nil"/>
              <w:left w:val="nil"/>
              <w:bottom w:val="nil"/>
              <w:right w:val="nil"/>
            </w:tcBorders>
            <w:shd w:val="clear" w:color="000000" w:fill="F2F2F2"/>
            <w:noWrap/>
            <w:vAlign w:val="center"/>
            <w:hideMark/>
          </w:tcPr>
          <w:p w14:paraId="00815485" w14:textId="794492D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947</w:t>
            </w:r>
          </w:p>
        </w:tc>
        <w:tc>
          <w:tcPr>
            <w:tcW w:w="867" w:type="dxa"/>
            <w:tcBorders>
              <w:top w:val="nil"/>
              <w:left w:val="nil"/>
              <w:bottom w:val="nil"/>
              <w:right w:val="nil"/>
            </w:tcBorders>
            <w:shd w:val="clear" w:color="000000" w:fill="F2F2F2"/>
            <w:noWrap/>
            <w:vAlign w:val="center"/>
            <w:hideMark/>
          </w:tcPr>
          <w:p w14:paraId="7C9420EB" w14:textId="56C17B1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973</w:t>
            </w:r>
          </w:p>
        </w:tc>
        <w:tc>
          <w:tcPr>
            <w:tcW w:w="868" w:type="dxa"/>
            <w:tcBorders>
              <w:top w:val="nil"/>
              <w:left w:val="nil"/>
              <w:bottom w:val="nil"/>
              <w:right w:val="nil"/>
            </w:tcBorders>
            <w:shd w:val="clear" w:color="000000" w:fill="F2F2F2"/>
            <w:noWrap/>
            <w:vAlign w:val="center"/>
            <w:hideMark/>
          </w:tcPr>
          <w:p w14:paraId="59BFD6D3" w14:textId="579CD5A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999</w:t>
            </w:r>
          </w:p>
        </w:tc>
        <w:tc>
          <w:tcPr>
            <w:tcW w:w="1169" w:type="dxa"/>
            <w:tcBorders>
              <w:top w:val="nil"/>
              <w:left w:val="nil"/>
              <w:bottom w:val="nil"/>
              <w:right w:val="nil"/>
            </w:tcBorders>
            <w:shd w:val="clear" w:color="000000" w:fill="FFFFFF"/>
            <w:noWrap/>
            <w:vAlign w:val="center"/>
            <w:hideMark/>
          </w:tcPr>
          <w:p w14:paraId="2FA140FC"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w:t>
            </w:r>
          </w:p>
        </w:tc>
      </w:tr>
      <w:tr w:rsidR="00B43D87" w:rsidRPr="00B43D87" w14:paraId="4CAD3BA7" w14:textId="77777777" w:rsidTr="00014057">
        <w:trPr>
          <w:trHeight w:val="188"/>
        </w:trPr>
        <w:tc>
          <w:tcPr>
            <w:tcW w:w="3301" w:type="dxa"/>
            <w:tcBorders>
              <w:top w:val="nil"/>
              <w:left w:val="nil"/>
              <w:bottom w:val="nil"/>
              <w:right w:val="nil"/>
            </w:tcBorders>
            <w:shd w:val="clear" w:color="000000" w:fill="FFFFFF"/>
            <w:noWrap/>
            <w:vAlign w:val="center"/>
            <w:hideMark/>
          </w:tcPr>
          <w:p w14:paraId="2D27447F"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Hotel gaming devices</w:t>
            </w:r>
          </w:p>
        </w:tc>
        <w:tc>
          <w:tcPr>
            <w:tcW w:w="867" w:type="dxa"/>
            <w:tcBorders>
              <w:top w:val="nil"/>
              <w:left w:val="nil"/>
              <w:bottom w:val="nil"/>
              <w:right w:val="nil"/>
            </w:tcBorders>
            <w:shd w:val="clear" w:color="000000" w:fill="FFFFFF"/>
            <w:noWrap/>
            <w:vAlign w:val="center"/>
            <w:hideMark/>
          </w:tcPr>
          <w:p w14:paraId="567B9873" w14:textId="36BE85B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824</w:t>
            </w:r>
          </w:p>
        </w:tc>
        <w:tc>
          <w:tcPr>
            <w:tcW w:w="867" w:type="dxa"/>
            <w:tcBorders>
              <w:top w:val="nil"/>
              <w:left w:val="nil"/>
              <w:bottom w:val="nil"/>
              <w:right w:val="nil"/>
            </w:tcBorders>
            <w:shd w:val="clear" w:color="000000" w:fill="FFFFFF"/>
            <w:noWrap/>
            <w:vAlign w:val="center"/>
            <w:hideMark/>
          </w:tcPr>
          <w:p w14:paraId="5E944539" w14:textId="5BEFC2D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1,293</w:t>
            </w:r>
          </w:p>
        </w:tc>
        <w:tc>
          <w:tcPr>
            <w:tcW w:w="867" w:type="dxa"/>
            <w:tcBorders>
              <w:top w:val="nil"/>
              <w:left w:val="nil"/>
              <w:bottom w:val="nil"/>
              <w:right w:val="nil"/>
            </w:tcBorders>
            <w:shd w:val="clear" w:color="000000" w:fill="F2F2F2"/>
            <w:noWrap/>
            <w:vAlign w:val="center"/>
            <w:hideMark/>
          </w:tcPr>
          <w:p w14:paraId="7930868D" w14:textId="200A557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1,337</w:t>
            </w:r>
          </w:p>
        </w:tc>
        <w:tc>
          <w:tcPr>
            <w:tcW w:w="867" w:type="dxa"/>
            <w:tcBorders>
              <w:top w:val="nil"/>
              <w:left w:val="nil"/>
              <w:bottom w:val="nil"/>
              <w:right w:val="nil"/>
            </w:tcBorders>
            <w:shd w:val="clear" w:color="000000" w:fill="F2F2F2"/>
            <w:noWrap/>
            <w:vAlign w:val="center"/>
            <w:hideMark/>
          </w:tcPr>
          <w:p w14:paraId="55A6D02C" w14:textId="45CDEA4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1,445</w:t>
            </w:r>
          </w:p>
        </w:tc>
        <w:tc>
          <w:tcPr>
            <w:tcW w:w="867" w:type="dxa"/>
            <w:tcBorders>
              <w:top w:val="nil"/>
              <w:left w:val="nil"/>
              <w:bottom w:val="nil"/>
              <w:right w:val="nil"/>
            </w:tcBorders>
            <w:shd w:val="clear" w:color="000000" w:fill="F2F2F2"/>
            <w:noWrap/>
            <w:vAlign w:val="center"/>
            <w:hideMark/>
          </w:tcPr>
          <w:p w14:paraId="7B8D190C" w14:textId="58B8C66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1,555</w:t>
            </w:r>
          </w:p>
        </w:tc>
        <w:tc>
          <w:tcPr>
            <w:tcW w:w="868" w:type="dxa"/>
            <w:tcBorders>
              <w:top w:val="nil"/>
              <w:left w:val="nil"/>
              <w:bottom w:val="nil"/>
              <w:right w:val="nil"/>
            </w:tcBorders>
            <w:shd w:val="clear" w:color="000000" w:fill="F2F2F2"/>
            <w:noWrap/>
            <w:vAlign w:val="center"/>
            <w:hideMark/>
          </w:tcPr>
          <w:p w14:paraId="6F06E53B" w14:textId="5D86F8B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1,670</w:t>
            </w:r>
          </w:p>
        </w:tc>
        <w:tc>
          <w:tcPr>
            <w:tcW w:w="1169" w:type="dxa"/>
            <w:tcBorders>
              <w:top w:val="nil"/>
              <w:left w:val="nil"/>
              <w:bottom w:val="nil"/>
              <w:right w:val="nil"/>
            </w:tcBorders>
            <w:shd w:val="clear" w:color="000000" w:fill="FFFFFF"/>
            <w:noWrap/>
            <w:vAlign w:val="center"/>
            <w:hideMark/>
          </w:tcPr>
          <w:p w14:paraId="7694FCA5"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6.6</w:t>
            </w:r>
          </w:p>
        </w:tc>
      </w:tr>
      <w:tr w:rsidR="00B43D87" w:rsidRPr="00B43D87" w14:paraId="58DF9FFB" w14:textId="77777777" w:rsidTr="00014057">
        <w:trPr>
          <w:trHeight w:val="188"/>
        </w:trPr>
        <w:tc>
          <w:tcPr>
            <w:tcW w:w="3301" w:type="dxa"/>
            <w:tcBorders>
              <w:top w:val="nil"/>
              <w:left w:val="nil"/>
              <w:bottom w:val="nil"/>
              <w:right w:val="nil"/>
            </w:tcBorders>
            <w:shd w:val="clear" w:color="000000" w:fill="FFFFFF"/>
            <w:noWrap/>
            <w:vAlign w:val="center"/>
            <w:hideMark/>
          </w:tcPr>
          <w:p w14:paraId="2CD65D4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Lotteries and lotto</w:t>
            </w:r>
          </w:p>
        </w:tc>
        <w:tc>
          <w:tcPr>
            <w:tcW w:w="867" w:type="dxa"/>
            <w:tcBorders>
              <w:top w:val="nil"/>
              <w:left w:val="nil"/>
              <w:bottom w:val="nil"/>
              <w:right w:val="nil"/>
            </w:tcBorders>
            <w:shd w:val="clear" w:color="000000" w:fill="FFFFFF"/>
            <w:noWrap/>
            <w:vAlign w:val="center"/>
            <w:hideMark/>
          </w:tcPr>
          <w:p w14:paraId="36C5E81A" w14:textId="1E0104F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578</w:t>
            </w:r>
          </w:p>
        </w:tc>
        <w:tc>
          <w:tcPr>
            <w:tcW w:w="867" w:type="dxa"/>
            <w:tcBorders>
              <w:top w:val="nil"/>
              <w:left w:val="nil"/>
              <w:bottom w:val="nil"/>
              <w:right w:val="nil"/>
            </w:tcBorders>
            <w:shd w:val="clear" w:color="000000" w:fill="FFFFFF"/>
            <w:noWrap/>
            <w:vAlign w:val="center"/>
            <w:hideMark/>
          </w:tcPr>
          <w:p w14:paraId="61660FD3" w14:textId="26A7121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561</w:t>
            </w:r>
          </w:p>
        </w:tc>
        <w:tc>
          <w:tcPr>
            <w:tcW w:w="867" w:type="dxa"/>
            <w:tcBorders>
              <w:top w:val="nil"/>
              <w:left w:val="nil"/>
              <w:bottom w:val="nil"/>
              <w:right w:val="nil"/>
            </w:tcBorders>
            <w:shd w:val="clear" w:color="000000" w:fill="F2F2F2"/>
            <w:noWrap/>
            <w:vAlign w:val="center"/>
            <w:hideMark/>
          </w:tcPr>
          <w:p w14:paraId="2379FE73" w14:textId="7D23524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516</w:t>
            </w:r>
          </w:p>
        </w:tc>
        <w:tc>
          <w:tcPr>
            <w:tcW w:w="867" w:type="dxa"/>
            <w:tcBorders>
              <w:top w:val="nil"/>
              <w:left w:val="nil"/>
              <w:bottom w:val="nil"/>
              <w:right w:val="nil"/>
            </w:tcBorders>
            <w:shd w:val="clear" w:color="000000" w:fill="F2F2F2"/>
            <w:noWrap/>
            <w:vAlign w:val="center"/>
            <w:hideMark/>
          </w:tcPr>
          <w:p w14:paraId="1A2351BA" w14:textId="4F18BEE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530</w:t>
            </w:r>
          </w:p>
        </w:tc>
        <w:tc>
          <w:tcPr>
            <w:tcW w:w="867" w:type="dxa"/>
            <w:tcBorders>
              <w:top w:val="nil"/>
              <w:left w:val="nil"/>
              <w:bottom w:val="nil"/>
              <w:right w:val="nil"/>
            </w:tcBorders>
            <w:shd w:val="clear" w:color="000000" w:fill="F2F2F2"/>
            <w:noWrap/>
            <w:vAlign w:val="center"/>
            <w:hideMark/>
          </w:tcPr>
          <w:p w14:paraId="58031F24" w14:textId="036115B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544</w:t>
            </w:r>
          </w:p>
        </w:tc>
        <w:tc>
          <w:tcPr>
            <w:tcW w:w="868" w:type="dxa"/>
            <w:tcBorders>
              <w:top w:val="nil"/>
              <w:left w:val="nil"/>
              <w:bottom w:val="nil"/>
              <w:right w:val="nil"/>
            </w:tcBorders>
            <w:shd w:val="clear" w:color="000000" w:fill="F2F2F2"/>
            <w:noWrap/>
            <w:vAlign w:val="center"/>
            <w:hideMark/>
          </w:tcPr>
          <w:p w14:paraId="0ACE885D" w14:textId="3E8AC6E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558</w:t>
            </w:r>
          </w:p>
        </w:tc>
        <w:tc>
          <w:tcPr>
            <w:tcW w:w="1169" w:type="dxa"/>
            <w:tcBorders>
              <w:top w:val="nil"/>
              <w:left w:val="nil"/>
              <w:bottom w:val="nil"/>
              <w:right w:val="nil"/>
            </w:tcBorders>
            <w:shd w:val="clear" w:color="000000" w:fill="FFFFFF"/>
            <w:noWrap/>
            <w:vAlign w:val="center"/>
            <w:hideMark/>
          </w:tcPr>
          <w:p w14:paraId="30521AEC"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(0.1)</w:t>
            </w:r>
          </w:p>
        </w:tc>
      </w:tr>
      <w:tr w:rsidR="00B43D87" w:rsidRPr="00B43D87" w14:paraId="24AE2CAD" w14:textId="77777777" w:rsidTr="00014057">
        <w:trPr>
          <w:trHeight w:val="188"/>
        </w:trPr>
        <w:tc>
          <w:tcPr>
            <w:tcW w:w="3301" w:type="dxa"/>
            <w:tcBorders>
              <w:top w:val="nil"/>
              <w:left w:val="nil"/>
              <w:bottom w:val="nil"/>
              <w:right w:val="nil"/>
            </w:tcBorders>
            <w:shd w:val="clear" w:color="000000" w:fill="FFFFFF"/>
            <w:noWrap/>
            <w:vAlign w:val="center"/>
            <w:hideMark/>
          </w:tcPr>
          <w:p w14:paraId="16094EA1"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Casino</w:t>
            </w:r>
          </w:p>
        </w:tc>
        <w:tc>
          <w:tcPr>
            <w:tcW w:w="867" w:type="dxa"/>
            <w:tcBorders>
              <w:top w:val="nil"/>
              <w:left w:val="nil"/>
              <w:bottom w:val="nil"/>
              <w:right w:val="nil"/>
            </w:tcBorders>
            <w:shd w:val="clear" w:color="000000" w:fill="FFFFFF"/>
            <w:noWrap/>
            <w:vAlign w:val="center"/>
            <w:hideMark/>
          </w:tcPr>
          <w:p w14:paraId="7E1A4649" w14:textId="28C09B9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129</w:t>
            </w:r>
          </w:p>
        </w:tc>
        <w:tc>
          <w:tcPr>
            <w:tcW w:w="867" w:type="dxa"/>
            <w:tcBorders>
              <w:top w:val="nil"/>
              <w:left w:val="nil"/>
              <w:bottom w:val="nil"/>
              <w:right w:val="nil"/>
            </w:tcBorders>
            <w:shd w:val="clear" w:color="000000" w:fill="FFFFFF"/>
            <w:noWrap/>
            <w:vAlign w:val="center"/>
            <w:hideMark/>
          </w:tcPr>
          <w:p w14:paraId="51074984" w14:textId="2000DFD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195</w:t>
            </w:r>
          </w:p>
        </w:tc>
        <w:tc>
          <w:tcPr>
            <w:tcW w:w="867" w:type="dxa"/>
            <w:tcBorders>
              <w:top w:val="nil"/>
              <w:left w:val="nil"/>
              <w:bottom w:val="nil"/>
              <w:right w:val="nil"/>
            </w:tcBorders>
            <w:shd w:val="clear" w:color="000000" w:fill="F2F2F2"/>
            <w:noWrap/>
            <w:vAlign w:val="center"/>
            <w:hideMark/>
          </w:tcPr>
          <w:p w14:paraId="1F9C357B" w14:textId="5C99296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235</w:t>
            </w:r>
          </w:p>
        </w:tc>
        <w:tc>
          <w:tcPr>
            <w:tcW w:w="867" w:type="dxa"/>
            <w:tcBorders>
              <w:top w:val="nil"/>
              <w:left w:val="nil"/>
              <w:bottom w:val="nil"/>
              <w:right w:val="nil"/>
            </w:tcBorders>
            <w:shd w:val="clear" w:color="000000" w:fill="F2F2F2"/>
            <w:noWrap/>
            <w:vAlign w:val="center"/>
            <w:hideMark/>
          </w:tcPr>
          <w:p w14:paraId="46BC7212" w14:textId="7AD74AC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249</w:t>
            </w:r>
          </w:p>
        </w:tc>
        <w:tc>
          <w:tcPr>
            <w:tcW w:w="867" w:type="dxa"/>
            <w:tcBorders>
              <w:top w:val="nil"/>
              <w:left w:val="nil"/>
              <w:bottom w:val="nil"/>
              <w:right w:val="nil"/>
            </w:tcBorders>
            <w:shd w:val="clear" w:color="000000" w:fill="F2F2F2"/>
            <w:noWrap/>
            <w:vAlign w:val="center"/>
            <w:hideMark/>
          </w:tcPr>
          <w:p w14:paraId="4670F3D5" w14:textId="305BE09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254</w:t>
            </w:r>
          </w:p>
        </w:tc>
        <w:tc>
          <w:tcPr>
            <w:tcW w:w="868" w:type="dxa"/>
            <w:tcBorders>
              <w:top w:val="nil"/>
              <w:left w:val="nil"/>
              <w:bottom w:val="nil"/>
              <w:right w:val="nil"/>
            </w:tcBorders>
            <w:shd w:val="clear" w:color="000000" w:fill="F2F2F2"/>
            <w:noWrap/>
            <w:vAlign w:val="center"/>
            <w:hideMark/>
          </w:tcPr>
          <w:p w14:paraId="7646FD4E" w14:textId="4FC42B9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265</w:t>
            </w:r>
          </w:p>
        </w:tc>
        <w:tc>
          <w:tcPr>
            <w:tcW w:w="1169" w:type="dxa"/>
            <w:tcBorders>
              <w:top w:val="nil"/>
              <w:left w:val="nil"/>
              <w:bottom w:val="nil"/>
              <w:right w:val="nil"/>
            </w:tcBorders>
            <w:shd w:val="clear" w:color="000000" w:fill="FFFFFF"/>
            <w:noWrap/>
            <w:vAlign w:val="center"/>
            <w:hideMark/>
          </w:tcPr>
          <w:p w14:paraId="1C708BC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8.0</w:t>
            </w:r>
          </w:p>
        </w:tc>
      </w:tr>
      <w:tr w:rsidR="00B43D87" w:rsidRPr="00B43D87" w14:paraId="1DBA7FAD" w14:textId="77777777" w:rsidTr="00014057">
        <w:trPr>
          <w:trHeight w:val="188"/>
        </w:trPr>
        <w:tc>
          <w:tcPr>
            <w:tcW w:w="3301" w:type="dxa"/>
            <w:tcBorders>
              <w:top w:val="nil"/>
              <w:left w:val="nil"/>
              <w:bottom w:val="nil"/>
              <w:right w:val="nil"/>
            </w:tcBorders>
            <w:shd w:val="clear" w:color="000000" w:fill="FFFFFF"/>
            <w:noWrap/>
            <w:vAlign w:val="center"/>
            <w:hideMark/>
          </w:tcPr>
          <w:p w14:paraId="48F4C037"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 gambling &amp; betting</w:t>
            </w:r>
          </w:p>
        </w:tc>
        <w:tc>
          <w:tcPr>
            <w:tcW w:w="867" w:type="dxa"/>
            <w:tcBorders>
              <w:top w:val="nil"/>
              <w:left w:val="nil"/>
              <w:bottom w:val="nil"/>
              <w:right w:val="nil"/>
            </w:tcBorders>
            <w:shd w:val="clear" w:color="000000" w:fill="FFFFFF"/>
            <w:noWrap/>
            <w:vAlign w:val="center"/>
            <w:hideMark/>
          </w:tcPr>
          <w:p w14:paraId="707ECFE0" w14:textId="62040E8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w:t>
            </w:r>
          </w:p>
        </w:tc>
        <w:tc>
          <w:tcPr>
            <w:tcW w:w="867" w:type="dxa"/>
            <w:tcBorders>
              <w:top w:val="nil"/>
              <w:left w:val="nil"/>
              <w:bottom w:val="nil"/>
              <w:right w:val="nil"/>
            </w:tcBorders>
            <w:shd w:val="clear" w:color="000000" w:fill="FFFFFF"/>
            <w:noWrap/>
            <w:vAlign w:val="center"/>
            <w:hideMark/>
          </w:tcPr>
          <w:p w14:paraId="4BF9B2AB" w14:textId="3688F40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17</w:t>
            </w:r>
          </w:p>
        </w:tc>
        <w:tc>
          <w:tcPr>
            <w:tcW w:w="867" w:type="dxa"/>
            <w:tcBorders>
              <w:top w:val="nil"/>
              <w:left w:val="nil"/>
              <w:bottom w:val="nil"/>
              <w:right w:val="nil"/>
            </w:tcBorders>
            <w:shd w:val="clear" w:color="000000" w:fill="F2F2F2"/>
            <w:noWrap/>
            <w:vAlign w:val="center"/>
            <w:hideMark/>
          </w:tcPr>
          <w:p w14:paraId="45483259" w14:textId="2062258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2F2F2"/>
            <w:noWrap/>
            <w:vAlign w:val="center"/>
            <w:hideMark/>
          </w:tcPr>
          <w:p w14:paraId="7DC04D34" w14:textId="67D7186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w:t>
            </w:r>
          </w:p>
        </w:tc>
        <w:tc>
          <w:tcPr>
            <w:tcW w:w="867" w:type="dxa"/>
            <w:tcBorders>
              <w:top w:val="nil"/>
              <w:left w:val="nil"/>
              <w:bottom w:val="nil"/>
              <w:right w:val="nil"/>
            </w:tcBorders>
            <w:shd w:val="clear" w:color="000000" w:fill="F2F2F2"/>
            <w:noWrap/>
            <w:vAlign w:val="center"/>
            <w:hideMark/>
          </w:tcPr>
          <w:p w14:paraId="555ED207" w14:textId="53AE0B9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20</w:t>
            </w:r>
          </w:p>
        </w:tc>
        <w:tc>
          <w:tcPr>
            <w:tcW w:w="868" w:type="dxa"/>
            <w:tcBorders>
              <w:top w:val="nil"/>
              <w:left w:val="nil"/>
              <w:bottom w:val="nil"/>
              <w:right w:val="nil"/>
            </w:tcBorders>
            <w:shd w:val="clear" w:color="000000" w:fill="F2F2F2"/>
            <w:noWrap/>
            <w:vAlign w:val="center"/>
            <w:hideMark/>
          </w:tcPr>
          <w:p w14:paraId="31AC4669" w14:textId="32E11E5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21</w:t>
            </w:r>
          </w:p>
        </w:tc>
        <w:tc>
          <w:tcPr>
            <w:tcW w:w="1169" w:type="dxa"/>
            <w:tcBorders>
              <w:top w:val="nil"/>
              <w:left w:val="nil"/>
              <w:bottom w:val="nil"/>
              <w:right w:val="nil"/>
            </w:tcBorders>
            <w:shd w:val="clear" w:color="000000" w:fill="FFFFFF"/>
            <w:noWrap/>
            <w:vAlign w:val="center"/>
            <w:hideMark/>
          </w:tcPr>
          <w:p w14:paraId="39160B4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6.4</w:t>
            </w:r>
          </w:p>
        </w:tc>
      </w:tr>
      <w:tr w:rsidR="00B43D87" w:rsidRPr="00B43D87" w14:paraId="46F8D73A" w14:textId="77777777" w:rsidTr="00B5513D">
        <w:trPr>
          <w:trHeight w:val="283"/>
        </w:trPr>
        <w:tc>
          <w:tcPr>
            <w:tcW w:w="3301" w:type="dxa"/>
            <w:tcBorders>
              <w:top w:val="nil"/>
              <w:left w:val="nil"/>
              <w:bottom w:val="nil"/>
              <w:right w:val="nil"/>
            </w:tcBorders>
            <w:shd w:val="clear" w:color="000000" w:fill="FFFFFF"/>
            <w:noWrap/>
            <w:vAlign w:val="center"/>
            <w:hideMark/>
          </w:tcPr>
          <w:p w14:paraId="16C0D921"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7F56933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2,431</w:t>
            </w:r>
          </w:p>
        </w:tc>
        <w:tc>
          <w:tcPr>
            <w:tcW w:w="867" w:type="dxa"/>
            <w:tcBorders>
              <w:top w:val="single" w:sz="4" w:space="0" w:color="auto"/>
              <w:left w:val="nil"/>
              <w:bottom w:val="single" w:sz="4" w:space="0" w:color="auto"/>
              <w:right w:val="nil"/>
            </w:tcBorders>
            <w:shd w:val="clear" w:color="000000" w:fill="FFFFFF"/>
            <w:noWrap/>
            <w:vAlign w:val="center"/>
            <w:hideMark/>
          </w:tcPr>
          <w:p w14:paraId="37598E3A"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3,374</w:t>
            </w:r>
          </w:p>
        </w:tc>
        <w:tc>
          <w:tcPr>
            <w:tcW w:w="867" w:type="dxa"/>
            <w:tcBorders>
              <w:top w:val="single" w:sz="4" w:space="0" w:color="auto"/>
              <w:left w:val="nil"/>
              <w:bottom w:val="single" w:sz="4" w:space="0" w:color="auto"/>
              <w:right w:val="nil"/>
            </w:tcBorders>
            <w:shd w:val="clear" w:color="000000" w:fill="F2F2F2"/>
            <w:noWrap/>
            <w:vAlign w:val="center"/>
            <w:hideMark/>
          </w:tcPr>
          <w:p w14:paraId="01B20F3B"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3,421</w:t>
            </w:r>
          </w:p>
        </w:tc>
        <w:tc>
          <w:tcPr>
            <w:tcW w:w="867" w:type="dxa"/>
            <w:tcBorders>
              <w:top w:val="single" w:sz="4" w:space="0" w:color="auto"/>
              <w:left w:val="nil"/>
              <w:bottom w:val="single" w:sz="4" w:space="0" w:color="auto"/>
              <w:right w:val="nil"/>
            </w:tcBorders>
            <w:shd w:val="clear" w:color="000000" w:fill="F2F2F2"/>
            <w:noWrap/>
            <w:vAlign w:val="center"/>
            <w:hideMark/>
          </w:tcPr>
          <w:p w14:paraId="26FEFAD7"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3,608</w:t>
            </w:r>
          </w:p>
        </w:tc>
        <w:tc>
          <w:tcPr>
            <w:tcW w:w="867" w:type="dxa"/>
            <w:tcBorders>
              <w:top w:val="single" w:sz="4" w:space="0" w:color="auto"/>
              <w:left w:val="nil"/>
              <w:bottom w:val="single" w:sz="4" w:space="0" w:color="auto"/>
              <w:right w:val="nil"/>
            </w:tcBorders>
            <w:shd w:val="clear" w:color="000000" w:fill="F2F2F2"/>
            <w:noWrap/>
            <w:vAlign w:val="center"/>
            <w:hideMark/>
          </w:tcPr>
          <w:p w14:paraId="1EE9CAA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3,784</w:t>
            </w:r>
          </w:p>
        </w:tc>
        <w:tc>
          <w:tcPr>
            <w:tcW w:w="868" w:type="dxa"/>
            <w:tcBorders>
              <w:top w:val="single" w:sz="4" w:space="0" w:color="auto"/>
              <w:left w:val="nil"/>
              <w:bottom w:val="single" w:sz="4" w:space="0" w:color="auto"/>
              <w:right w:val="nil"/>
            </w:tcBorders>
            <w:shd w:val="clear" w:color="000000" w:fill="F2F2F2"/>
            <w:noWrap/>
            <w:vAlign w:val="center"/>
            <w:hideMark/>
          </w:tcPr>
          <w:p w14:paraId="0A0F0F4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3,972</w:t>
            </w:r>
          </w:p>
        </w:tc>
        <w:tc>
          <w:tcPr>
            <w:tcW w:w="1169" w:type="dxa"/>
            <w:tcBorders>
              <w:top w:val="single" w:sz="4" w:space="0" w:color="auto"/>
              <w:left w:val="nil"/>
              <w:bottom w:val="single" w:sz="4" w:space="0" w:color="auto"/>
              <w:right w:val="nil"/>
            </w:tcBorders>
            <w:shd w:val="clear" w:color="auto" w:fill="auto"/>
            <w:noWrap/>
            <w:vAlign w:val="center"/>
            <w:hideMark/>
          </w:tcPr>
          <w:p w14:paraId="7ECAD92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4.2</w:t>
            </w:r>
          </w:p>
        </w:tc>
      </w:tr>
      <w:tr w:rsidR="00B43D87" w:rsidRPr="00B43D87" w14:paraId="4337C60B" w14:textId="77777777" w:rsidTr="00014057">
        <w:trPr>
          <w:trHeight w:val="96"/>
        </w:trPr>
        <w:tc>
          <w:tcPr>
            <w:tcW w:w="3301" w:type="dxa"/>
            <w:tcBorders>
              <w:top w:val="nil"/>
              <w:left w:val="nil"/>
              <w:bottom w:val="nil"/>
              <w:right w:val="nil"/>
            </w:tcBorders>
            <w:shd w:val="clear" w:color="000000" w:fill="FFFFFF"/>
            <w:noWrap/>
            <w:vAlign w:val="center"/>
            <w:hideMark/>
          </w:tcPr>
          <w:p w14:paraId="536598DF"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7BA683D1" w14:textId="0156DBB0"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FFFFF"/>
            <w:noWrap/>
            <w:vAlign w:val="center"/>
            <w:hideMark/>
          </w:tcPr>
          <w:p w14:paraId="3E1BDCD7" w14:textId="7C3692C0"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2F2F2"/>
            <w:noWrap/>
            <w:vAlign w:val="center"/>
            <w:hideMark/>
          </w:tcPr>
          <w:p w14:paraId="4DF3FDF2" w14:textId="54A8C936"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2F2F2"/>
            <w:noWrap/>
            <w:vAlign w:val="center"/>
            <w:hideMark/>
          </w:tcPr>
          <w:p w14:paraId="2461FE97" w14:textId="6A3BEC90"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2F2F2"/>
            <w:noWrap/>
            <w:vAlign w:val="center"/>
            <w:hideMark/>
          </w:tcPr>
          <w:p w14:paraId="5E7099E1" w14:textId="17EF4940" w:rsidR="00B43D87" w:rsidRPr="00B43D87" w:rsidRDefault="00B43D87" w:rsidP="00B43D87">
            <w:pPr>
              <w:jc w:val="right"/>
              <w:rPr>
                <w:rFonts w:ascii="Public Sans" w:hAnsi="Public Sans" w:cs="Calibri"/>
                <w:b/>
                <w:bCs/>
                <w:sz w:val="16"/>
                <w:szCs w:val="16"/>
                <w:lang w:val="en-AU" w:eastAsia="en-AU"/>
              </w:rPr>
            </w:pPr>
          </w:p>
        </w:tc>
        <w:tc>
          <w:tcPr>
            <w:tcW w:w="868" w:type="dxa"/>
            <w:tcBorders>
              <w:top w:val="nil"/>
              <w:left w:val="nil"/>
              <w:bottom w:val="nil"/>
              <w:right w:val="nil"/>
            </w:tcBorders>
            <w:shd w:val="clear" w:color="000000" w:fill="F2F2F2"/>
            <w:noWrap/>
            <w:vAlign w:val="center"/>
            <w:hideMark/>
          </w:tcPr>
          <w:p w14:paraId="20CC4154" w14:textId="51D9D62B" w:rsidR="00B43D87" w:rsidRPr="00B43D87" w:rsidRDefault="00B43D87" w:rsidP="00B43D87">
            <w:pPr>
              <w:jc w:val="right"/>
              <w:rPr>
                <w:rFonts w:ascii="Public Sans" w:hAnsi="Public Sans" w:cs="Calibri"/>
                <w:b/>
                <w:bCs/>
                <w:sz w:val="16"/>
                <w:szCs w:val="16"/>
                <w:lang w:val="en-AU" w:eastAsia="en-AU"/>
              </w:rPr>
            </w:pPr>
          </w:p>
        </w:tc>
        <w:tc>
          <w:tcPr>
            <w:tcW w:w="1169" w:type="dxa"/>
            <w:tcBorders>
              <w:top w:val="nil"/>
              <w:left w:val="nil"/>
              <w:bottom w:val="nil"/>
              <w:right w:val="nil"/>
            </w:tcBorders>
            <w:shd w:val="clear" w:color="000000" w:fill="FFFFFF"/>
            <w:noWrap/>
            <w:vAlign w:val="center"/>
            <w:hideMark/>
          </w:tcPr>
          <w:p w14:paraId="56F2FF44" w14:textId="2CFA191F" w:rsidR="00B43D87" w:rsidRPr="00B43D87" w:rsidRDefault="00B43D87" w:rsidP="00B43D87">
            <w:pPr>
              <w:jc w:val="right"/>
              <w:rPr>
                <w:rFonts w:ascii="Public Sans" w:hAnsi="Public Sans" w:cs="Calibri"/>
                <w:sz w:val="16"/>
                <w:szCs w:val="16"/>
                <w:lang w:val="en-AU" w:eastAsia="en-AU"/>
              </w:rPr>
            </w:pPr>
          </w:p>
        </w:tc>
      </w:tr>
      <w:tr w:rsidR="00B43D87" w:rsidRPr="00B43D87" w14:paraId="6D53C927" w14:textId="77777777" w:rsidTr="00014057">
        <w:trPr>
          <w:trHeight w:val="188"/>
        </w:trPr>
        <w:tc>
          <w:tcPr>
            <w:tcW w:w="3301" w:type="dxa"/>
            <w:tcBorders>
              <w:top w:val="nil"/>
              <w:left w:val="nil"/>
              <w:bottom w:val="nil"/>
              <w:right w:val="nil"/>
            </w:tcBorders>
            <w:shd w:val="clear" w:color="000000" w:fill="FFFFFF"/>
            <w:noWrap/>
            <w:vAlign w:val="center"/>
            <w:hideMark/>
          </w:tcPr>
          <w:p w14:paraId="4DB574E1"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Other taxes and levies</w:t>
            </w:r>
          </w:p>
        </w:tc>
        <w:tc>
          <w:tcPr>
            <w:tcW w:w="867" w:type="dxa"/>
            <w:tcBorders>
              <w:top w:val="nil"/>
              <w:left w:val="nil"/>
              <w:bottom w:val="nil"/>
              <w:right w:val="nil"/>
            </w:tcBorders>
            <w:shd w:val="clear" w:color="000000" w:fill="FFFFFF"/>
            <w:noWrap/>
            <w:vAlign w:val="center"/>
            <w:hideMark/>
          </w:tcPr>
          <w:p w14:paraId="4551B042" w14:textId="11A28A8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69E3A99E" w14:textId="23A88BAC"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DEF03D7" w14:textId="1403154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5732918" w14:textId="5554562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1DFC5D54" w14:textId="1F79FEB2"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759530A9" w14:textId="262CB50D"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7778B8BB" w14:textId="1C2A8B04" w:rsidR="00B43D87" w:rsidRPr="00B43D87" w:rsidRDefault="00B43D87" w:rsidP="00B43D87">
            <w:pPr>
              <w:jc w:val="right"/>
              <w:rPr>
                <w:rFonts w:ascii="Public Sans" w:hAnsi="Public Sans" w:cs="Calibri"/>
                <w:sz w:val="16"/>
                <w:szCs w:val="16"/>
                <w:lang w:val="en-AU" w:eastAsia="en-AU"/>
              </w:rPr>
            </w:pPr>
          </w:p>
        </w:tc>
      </w:tr>
      <w:tr w:rsidR="00B43D87" w:rsidRPr="00B43D87" w14:paraId="77C2411C" w14:textId="77777777" w:rsidTr="00014057">
        <w:trPr>
          <w:trHeight w:val="188"/>
        </w:trPr>
        <w:tc>
          <w:tcPr>
            <w:tcW w:w="3301" w:type="dxa"/>
            <w:tcBorders>
              <w:top w:val="nil"/>
              <w:left w:val="nil"/>
              <w:bottom w:val="nil"/>
              <w:right w:val="nil"/>
            </w:tcBorders>
            <w:shd w:val="clear" w:color="000000" w:fill="FFFFFF"/>
            <w:noWrap/>
            <w:vAlign w:val="center"/>
            <w:hideMark/>
          </w:tcPr>
          <w:p w14:paraId="4258DAA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xml:space="preserve">Health insurance levy </w:t>
            </w:r>
          </w:p>
        </w:tc>
        <w:tc>
          <w:tcPr>
            <w:tcW w:w="867" w:type="dxa"/>
            <w:tcBorders>
              <w:top w:val="nil"/>
              <w:left w:val="nil"/>
              <w:bottom w:val="nil"/>
              <w:right w:val="nil"/>
            </w:tcBorders>
            <w:shd w:val="clear" w:color="000000" w:fill="FFFFFF"/>
            <w:noWrap/>
            <w:vAlign w:val="center"/>
            <w:hideMark/>
          </w:tcPr>
          <w:p w14:paraId="65C9DBEA" w14:textId="2723E36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263</w:t>
            </w:r>
          </w:p>
        </w:tc>
        <w:tc>
          <w:tcPr>
            <w:tcW w:w="867" w:type="dxa"/>
            <w:tcBorders>
              <w:top w:val="nil"/>
              <w:left w:val="nil"/>
              <w:bottom w:val="nil"/>
              <w:right w:val="nil"/>
            </w:tcBorders>
            <w:shd w:val="clear" w:color="000000" w:fill="FFFFFF"/>
            <w:noWrap/>
            <w:vAlign w:val="center"/>
            <w:hideMark/>
          </w:tcPr>
          <w:p w14:paraId="0C067B46" w14:textId="26D6F2A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236</w:t>
            </w:r>
          </w:p>
        </w:tc>
        <w:tc>
          <w:tcPr>
            <w:tcW w:w="867" w:type="dxa"/>
            <w:tcBorders>
              <w:top w:val="nil"/>
              <w:left w:val="nil"/>
              <w:bottom w:val="nil"/>
              <w:right w:val="nil"/>
            </w:tcBorders>
            <w:shd w:val="clear" w:color="000000" w:fill="F2F2F2"/>
            <w:noWrap/>
            <w:vAlign w:val="center"/>
            <w:hideMark/>
          </w:tcPr>
          <w:p w14:paraId="6FB3E90B" w14:textId="1F27D88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253</w:t>
            </w:r>
          </w:p>
        </w:tc>
        <w:tc>
          <w:tcPr>
            <w:tcW w:w="867" w:type="dxa"/>
            <w:tcBorders>
              <w:top w:val="nil"/>
              <w:left w:val="nil"/>
              <w:bottom w:val="nil"/>
              <w:right w:val="nil"/>
            </w:tcBorders>
            <w:shd w:val="clear" w:color="000000" w:fill="F2F2F2"/>
            <w:noWrap/>
            <w:vAlign w:val="center"/>
            <w:hideMark/>
          </w:tcPr>
          <w:p w14:paraId="6400492C" w14:textId="56AA36B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268</w:t>
            </w:r>
          </w:p>
        </w:tc>
        <w:tc>
          <w:tcPr>
            <w:tcW w:w="867" w:type="dxa"/>
            <w:tcBorders>
              <w:top w:val="nil"/>
              <w:left w:val="nil"/>
              <w:bottom w:val="nil"/>
              <w:right w:val="nil"/>
            </w:tcBorders>
            <w:shd w:val="clear" w:color="000000" w:fill="F2F2F2"/>
            <w:noWrap/>
            <w:vAlign w:val="center"/>
            <w:hideMark/>
          </w:tcPr>
          <w:p w14:paraId="7A0418B0" w14:textId="5B01E07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286</w:t>
            </w:r>
          </w:p>
        </w:tc>
        <w:tc>
          <w:tcPr>
            <w:tcW w:w="868" w:type="dxa"/>
            <w:tcBorders>
              <w:top w:val="nil"/>
              <w:left w:val="nil"/>
              <w:bottom w:val="nil"/>
              <w:right w:val="nil"/>
            </w:tcBorders>
            <w:shd w:val="clear" w:color="000000" w:fill="F2F2F2"/>
            <w:noWrap/>
            <w:vAlign w:val="center"/>
            <w:hideMark/>
          </w:tcPr>
          <w:p w14:paraId="0A3413DF" w14:textId="720E560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304</w:t>
            </w:r>
          </w:p>
        </w:tc>
        <w:tc>
          <w:tcPr>
            <w:tcW w:w="1169" w:type="dxa"/>
            <w:tcBorders>
              <w:top w:val="nil"/>
              <w:left w:val="nil"/>
              <w:bottom w:val="nil"/>
              <w:right w:val="nil"/>
            </w:tcBorders>
            <w:shd w:val="clear" w:color="000000" w:fill="FFFFFF"/>
            <w:noWrap/>
            <w:vAlign w:val="center"/>
            <w:hideMark/>
          </w:tcPr>
          <w:p w14:paraId="0AEB1646"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6.5</w:t>
            </w:r>
          </w:p>
        </w:tc>
      </w:tr>
      <w:tr w:rsidR="00B43D87" w:rsidRPr="00B43D87" w14:paraId="65EEC377" w14:textId="77777777" w:rsidTr="00014057">
        <w:trPr>
          <w:trHeight w:val="188"/>
        </w:trPr>
        <w:tc>
          <w:tcPr>
            <w:tcW w:w="3301" w:type="dxa"/>
            <w:tcBorders>
              <w:top w:val="nil"/>
              <w:left w:val="nil"/>
              <w:bottom w:val="nil"/>
              <w:right w:val="nil"/>
            </w:tcBorders>
            <w:shd w:val="clear" w:color="000000" w:fill="FFFFFF"/>
            <w:noWrap/>
            <w:vAlign w:val="center"/>
            <w:hideMark/>
          </w:tcPr>
          <w:p w14:paraId="7248CC86"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Parking space levy</w:t>
            </w:r>
          </w:p>
        </w:tc>
        <w:tc>
          <w:tcPr>
            <w:tcW w:w="867" w:type="dxa"/>
            <w:tcBorders>
              <w:top w:val="nil"/>
              <w:left w:val="nil"/>
              <w:bottom w:val="nil"/>
              <w:right w:val="nil"/>
            </w:tcBorders>
            <w:shd w:val="clear" w:color="000000" w:fill="FFFFFF"/>
            <w:noWrap/>
            <w:vAlign w:val="center"/>
            <w:hideMark/>
          </w:tcPr>
          <w:p w14:paraId="6DDB2C89" w14:textId="76F8C70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102</w:t>
            </w:r>
          </w:p>
        </w:tc>
        <w:tc>
          <w:tcPr>
            <w:tcW w:w="867" w:type="dxa"/>
            <w:tcBorders>
              <w:top w:val="nil"/>
              <w:left w:val="nil"/>
              <w:bottom w:val="nil"/>
              <w:right w:val="nil"/>
            </w:tcBorders>
            <w:shd w:val="clear" w:color="000000" w:fill="FFFFFF"/>
            <w:noWrap/>
            <w:vAlign w:val="center"/>
            <w:hideMark/>
          </w:tcPr>
          <w:p w14:paraId="0C48675A" w14:textId="273C45B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95</w:t>
            </w:r>
          </w:p>
        </w:tc>
        <w:tc>
          <w:tcPr>
            <w:tcW w:w="867" w:type="dxa"/>
            <w:tcBorders>
              <w:top w:val="nil"/>
              <w:left w:val="nil"/>
              <w:bottom w:val="nil"/>
              <w:right w:val="nil"/>
            </w:tcBorders>
            <w:shd w:val="clear" w:color="000000" w:fill="F2F2F2"/>
            <w:noWrap/>
            <w:vAlign w:val="center"/>
            <w:hideMark/>
          </w:tcPr>
          <w:p w14:paraId="50B1AA9B" w14:textId="47CFC74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102</w:t>
            </w:r>
          </w:p>
        </w:tc>
        <w:tc>
          <w:tcPr>
            <w:tcW w:w="867" w:type="dxa"/>
            <w:tcBorders>
              <w:top w:val="nil"/>
              <w:left w:val="nil"/>
              <w:bottom w:val="nil"/>
              <w:right w:val="nil"/>
            </w:tcBorders>
            <w:shd w:val="clear" w:color="000000" w:fill="F2F2F2"/>
            <w:noWrap/>
            <w:vAlign w:val="center"/>
            <w:hideMark/>
          </w:tcPr>
          <w:p w14:paraId="4AEADE04" w14:textId="4D72D0A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107</w:t>
            </w:r>
          </w:p>
        </w:tc>
        <w:tc>
          <w:tcPr>
            <w:tcW w:w="867" w:type="dxa"/>
            <w:tcBorders>
              <w:top w:val="nil"/>
              <w:left w:val="nil"/>
              <w:bottom w:val="nil"/>
              <w:right w:val="nil"/>
            </w:tcBorders>
            <w:shd w:val="clear" w:color="000000" w:fill="F2F2F2"/>
            <w:noWrap/>
            <w:vAlign w:val="center"/>
            <w:hideMark/>
          </w:tcPr>
          <w:p w14:paraId="2F5413E6" w14:textId="78761A3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111</w:t>
            </w:r>
          </w:p>
        </w:tc>
        <w:tc>
          <w:tcPr>
            <w:tcW w:w="868" w:type="dxa"/>
            <w:tcBorders>
              <w:top w:val="nil"/>
              <w:left w:val="nil"/>
              <w:bottom w:val="nil"/>
              <w:right w:val="nil"/>
            </w:tcBorders>
            <w:shd w:val="clear" w:color="000000" w:fill="F2F2F2"/>
            <w:noWrap/>
            <w:vAlign w:val="center"/>
            <w:hideMark/>
          </w:tcPr>
          <w:p w14:paraId="478C2D3B" w14:textId="343EB9D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114</w:t>
            </w:r>
          </w:p>
        </w:tc>
        <w:tc>
          <w:tcPr>
            <w:tcW w:w="1169" w:type="dxa"/>
            <w:tcBorders>
              <w:top w:val="nil"/>
              <w:left w:val="nil"/>
              <w:bottom w:val="nil"/>
              <w:right w:val="nil"/>
            </w:tcBorders>
            <w:shd w:val="clear" w:color="000000" w:fill="FFFFFF"/>
            <w:noWrap/>
            <w:vAlign w:val="center"/>
            <w:hideMark/>
          </w:tcPr>
          <w:p w14:paraId="67AFFFA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4.6</w:t>
            </w:r>
          </w:p>
        </w:tc>
      </w:tr>
      <w:tr w:rsidR="00B43D87" w:rsidRPr="00B43D87" w14:paraId="62AC94AC" w14:textId="77777777" w:rsidTr="00014057">
        <w:trPr>
          <w:trHeight w:val="188"/>
        </w:trPr>
        <w:tc>
          <w:tcPr>
            <w:tcW w:w="3301" w:type="dxa"/>
            <w:tcBorders>
              <w:top w:val="nil"/>
              <w:left w:val="nil"/>
              <w:bottom w:val="nil"/>
              <w:right w:val="nil"/>
            </w:tcBorders>
            <w:shd w:val="clear" w:color="000000" w:fill="FFFFFF"/>
            <w:noWrap/>
            <w:vAlign w:val="center"/>
            <w:hideMark/>
          </w:tcPr>
          <w:p w14:paraId="13CD8F5D"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Emergency services levy contributions</w:t>
            </w:r>
          </w:p>
        </w:tc>
        <w:tc>
          <w:tcPr>
            <w:tcW w:w="867" w:type="dxa"/>
            <w:tcBorders>
              <w:top w:val="nil"/>
              <w:left w:val="nil"/>
              <w:bottom w:val="nil"/>
              <w:right w:val="nil"/>
            </w:tcBorders>
            <w:shd w:val="clear" w:color="000000" w:fill="FFFFFF"/>
            <w:noWrap/>
            <w:vAlign w:val="center"/>
            <w:hideMark/>
          </w:tcPr>
          <w:p w14:paraId="5001A22D" w14:textId="656D3D2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909</w:t>
            </w:r>
          </w:p>
        </w:tc>
        <w:tc>
          <w:tcPr>
            <w:tcW w:w="867" w:type="dxa"/>
            <w:tcBorders>
              <w:top w:val="nil"/>
              <w:left w:val="nil"/>
              <w:bottom w:val="nil"/>
              <w:right w:val="nil"/>
            </w:tcBorders>
            <w:shd w:val="clear" w:color="000000" w:fill="FFFFFF"/>
            <w:noWrap/>
            <w:vAlign w:val="center"/>
            <w:hideMark/>
          </w:tcPr>
          <w:p w14:paraId="69B76572" w14:textId="1A120EC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1,171</w:t>
            </w:r>
          </w:p>
        </w:tc>
        <w:tc>
          <w:tcPr>
            <w:tcW w:w="867" w:type="dxa"/>
            <w:tcBorders>
              <w:top w:val="nil"/>
              <w:left w:val="nil"/>
              <w:bottom w:val="nil"/>
              <w:right w:val="nil"/>
            </w:tcBorders>
            <w:shd w:val="clear" w:color="000000" w:fill="F2F2F2"/>
            <w:noWrap/>
            <w:vAlign w:val="center"/>
            <w:hideMark/>
          </w:tcPr>
          <w:p w14:paraId="3BBBC318" w14:textId="1D1F116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1,392</w:t>
            </w:r>
          </w:p>
        </w:tc>
        <w:tc>
          <w:tcPr>
            <w:tcW w:w="867" w:type="dxa"/>
            <w:tcBorders>
              <w:top w:val="nil"/>
              <w:left w:val="nil"/>
              <w:bottom w:val="nil"/>
              <w:right w:val="nil"/>
            </w:tcBorders>
            <w:shd w:val="clear" w:color="000000" w:fill="F2F2F2"/>
            <w:noWrap/>
            <w:vAlign w:val="center"/>
            <w:hideMark/>
          </w:tcPr>
          <w:p w14:paraId="2D385326" w14:textId="438F3E4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1,334</w:t>
            </w:r>
          </w:p>
        </w:tc>
        <w:tc>
          <w:tcPr>
            <w:tcW w:w="867" w:type="dxa"/>
            <w:tcBorders>
              <w:top w:val="nil"/>
              <w:left w:val="nil"/>
              <w:bottom w:val="nil"/>
              <w:right w:val="nil"/>
            </w:tcBorders>
            <w:shd w:val="clear" w:color="000000" w:fill="F2F2F2"/>
            <w:noWrap/>
            <w:vAlign w:val="center"/>
            <w:hideMark/>
          </w:tcPr>
          <w:p w14:paraId="64DAB411" w14:textId="082C944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1,205</w:t>
            </w:r>
          </w:p>
        </w:tc>
        <w:tc>
          <w:tcPr>
            <w:tcW w:w="868" w:type="dxa"/>
            <w:tcBorders>
              <w:top w:val="nil"/>
              <w:left w:val="nil"/>
              <w:bottom w:val="nil"/>
              <w:right w:val="nil"/>
            </w:tcBorders>
            <w:shd w:val="clear" w:color="000000" w:fill="F2F2F2"/>
            <w:noWrap/>
            <w:vAlign w:val="center"/>
            <w:hideMark/>
          </w:tcPr>
          <w:p w14:paraId="353AD328" w14:textId="7534329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1,178</w:t>
            </w:r>
          </w:p>
        </w:tc>
        <w:tc>
          <w:tcPr>
            <w:tcW w:w="1169" w:type="dxa"/>
            <w:tcBorders>
              <w:top w:val="nil"/>
              <w:left w:val="nil"/>
              <w:bottom w:val="nil"/>
              <w:right w:val="nil"/>
            </w:tcBorders>
            <w:shd w:val="clear" w:color="000000" w:fill="FFFFFF"/>
            <w:noWrap/>
            <w:vAlign w:val="center"/>
            <w:hideMark/>
          </w:tcPr>
          <w:p w14:paraId="2CC37D59"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0.1</w:t>
            </w:r>
          </w:p>
        </w:tc>
      </w:tr>
      <w:tr w:rsidR="00B43D87" w:rsidRPr="00B43D87" w14:paraId="384FF30B" w14:textId="77777777" w:rsidTr="00014057">
        <w:trPr>
          <w:trHeight w:val="188"/>
        </w:trPr>
        <w:tc>
          <w:tcPr>
            <w:tcW w:w="3301" w:type="dxa"/>
            <w:tcBorders>
              <w:top w:val="nil"/>
              <w:left w:val="nil"/>
              <w:bottom w:val="nil"/>
              <w:right w:val="nil"/>
            </w:tcBorders>
            <w:shd w:val="clear" w:color="000000" w:fill="FFFFFF"/>
            <w:noWrap/>
            <w:vAlign w:val="center"/>
            <w:hideMark/>
          </w:tcPr>
          <w:p w14:paraId="11D0866B" w14:textId="77777777" w:rsidR="00B43D87" w:rsidRPr="00B43D87" w:rsidRDefault="00B43D87" w:rsidP="00733AC4">
            <w:pPr>
              <w:ind w:left="113" w:hanging="113"/>
              <w:rPr>
                <w:rFonts w:ascii="Public Sans" w:hAnsi="Public Sans" w:cs="Calibri"/>
                <w:sz w:val="16"/>
                <w:szCs w:val="16"/>
                <w:lang w:val="en-AU" w:eastAsia="en-AU"/>
              </w:rPr>
            </w:pPr>
            <w:r w:rsidRPr="00B43D87">
              <w:rPr>
                <w:rFonts w:ascii="Public Sans" w:hAnsi="Public Sans" w:cs="Calibri"/>
                <w:sz w:val="16"/>
                <w:szCs w:val="16"/>
                <w:lang w:val="en-AU" w:eastAsia="en-AU"/>
              </w:rPr>
              <w:t>Emergency services council contributions</w:t>
            </w:r>
          </w:p>
        </w:tc>
        <w:tc>
          <w:tcPr>
            <w:tcW w:w="867" w:type="dxa"/>
            <w:tcBorders>
              <w:top w:val="nil"/>
              <w:left w:val="nil"/>
              <w:bottom w:val="nil"/>
              <w:right w:val="nil"/>
            </w:tcBorders>
            <w:shd w:val="clear" w:color="000000" w:fill="FFFFFF"/>
            <w:noWrap/>
            <w:vAlign w:val="center"/>
            <w:hideMark/>
          </w:tcPr>
          <w:p w14:paraId="07C17AFC" w14:textId="337D565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186</w:t>
            </w:r>
          </w:p>
        </w:tc>
        <w:tc>
          <w:tcPr>
            <w:tcW w:w="867" w:type="dxa"/>
            <w:tcBorders>
              <w:top w:val="nil"/>
              <w:left w:val="nil"/>
              <w:bottom w:val="nil"/>
              <w:right w:val="nil"/>
            </w:tcBorders>
            <w:shd w:val="clear" w:color="000000" w:fill="FFFFFF"/>
            <w:noWrap/>
            <w:vAlign w:val="center"/>
            <w:hideMark/>
          </w:tcPr>
          <w:p w14:paraId="2497CD4C" w14:textId="6A66135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220</w:t>
            </w:r>
          </w:p>
        </w:tc>
        <w:tc>
          <w:tcPr>
            <w:tcW w:w="867" w:type="dxa"/>
            <w:tcBorders>
              <w:top w:val="nil"/>
              <w:left w:val="nil"/>
              <w:bottom w:val="nil"/>
              <w:right w:val="nil"/>
            </w:tcBorders>
            <w:shd w:val="clear" w:color="000000" w:fill="F2F2F2"/>
            <w:noWrap/>
            <w:vAlign w:val="center"/>
            <w:hideMark/>
          </w:tcPr>
          <w:p w14:paraId="6EAB957A" w14:textId="31380CB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211</w:t>
            </w:r>
          </w:p>
        </w:tc>
        <w:tc>
          <w:tcPr>
            <w:tcW w:w="867" w:type="dxa"/>
            <w:tcBorders>
              <w:top w:val="nil"/>
              <w:left w:val="nil"/>
              <w:bottom w:val="nil"/>
              <w:right w:val="nil"/>
            </w:tcBorders>
            <w:shd w:val="clear" w:color="000000" w:fill="F2F2F2"/>
            <w:noWrap/>
            <w:vAlign w:val="center"/>
            <w:hideMark/>
          </w:tcPr>
          <w:p w14:paraId="4792645A" w14:textId="5FF5CF5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191</w:t>
            </w:r>
          </w:p>
        </w:tc>
        <w:tc>
          <w:tcPr>
            <w:tcW w:w="867" w:type="dxa"/>
            <w:tcBorders>
              <w:top w:val="nil"/>
              <w:left w:val="nil"/>
              <w:bottom w:val="nil"/>
              <w:right w:val="nil"/>
            </w:tcBorders>
            <w:shd w:val="clear" w:color="000000" w:fill="F2F2F2"/>
            <w:noWrap/>
            <w:vAlign w:val="center"/>
            <w:hideMark/>
          </w:tcPr>
          <w:p w14:paraId="5620B46D" w14:textId="0EE73B2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187</w:t>
            </w:r>
          </w:p>
        </w:tc>
        <w:tc>
          <w:tcPr>
            <w:tcW w:w="868" w:type="dxa"/>
            <w:tcBorders>
              <w:top w:val="nil"/>
              <w:left w:val="nil"/>
              <w:bottom w:val="nil"/>
              <w:right w:val="nil"/>
            </w:tcBorders>
            <w:shd w:val="clear" w:color="000000" w:fill="F2F2F2"/>
            <w:noWrap/>
            <w:vAlign w:val="center"/>
            <w:hideMark/>
          </w:tcPr>
          <w:p w14:paraId="3FB68A5F" w14:textId="0243BB5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189</w:t>
            </w:r>
          </w:p>
        </w:tc>
        <w:tc>
          <w:tcPr>
            <w:tcW w:w="1169" w:type="dxa"/>
            <w:tcBorders>
              <w:top w:val="nil"/>
              <w:left w:val="nil"/>
              <w:bottom w:val="nil"/>
              <w:right w:val="nil"/>
            </w:tcBorders>
            <w:shd w:val="clear" w:color="000000" w:fill="FFFFFF"/>
            <w:noWrap/>
            <w:vAlign w:val="center"/>
            <w:hideMark/>
          </w:tcPr>
          <w:p w14:paraId="58E73102"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(3.7)</w:t>
            </w:r>
          </w:p>
        </w:tc>
      </w:tr>
      <w:tr w:rsidR="00B43D87" w:rsidRPr="00B43D87" w14:paraId="0DE84376" w14:textId="77777777" w:rsidTr="00014057">
        <w:trPr>
          <w:trHeight w:val="188"/>
        </w:trPr>
        <w:tc>
          <w:tcPr>
            <w:tcW w:w="3301" w:type="dxa"/>
            <w:tcBorders>
              <w:top w:val="nil"/>
              <w:left w:val="nil"/>
              <w:bottom w:val="nil"/>
              <w:right w:val="nil"/>
            </w:tcBorders>
            <w:shd w:val="clear" w:color="000000" w:fill="FFFFFF"/>
            <w:noWrap/>
            <w:vAlign w:val="center"/>
            <w:hideMark/>
          </w:tcPr>
          <w:p w14:paraId="6E2BB440"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Waste and environment levy</w:t>
            </w:r>
          </w:p>
        </w:tc>
        <w:tc>
          <w:tcPr>
            <w:tcW w:w="867" w:type="dxa"/>
            <w:tcBorders>
              <w:top w:val="nil"/>
              <w:left w:val="nil"/>
              <w:bottom w:val="nil"/>
              <w:right w:val="nil"/>
            </w:tcBorders>
            <w:shd w:val="clear" w:color="000000" w:fill="FFFFFF"/>
            <w:noWrap/>
            <w:vAlign w:val="center"/>
            <w:hideMark/>
          </w:tcPr>
          <w:p w14:paraId="1DAEF17D" w14:textId="6D16E48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719</w:t>
            </w:r>
          </w:p>
        </w:tc>
        <w:tc>
          <w:tcPr>
            <w:tcW w:w="867" w:type="dxa"/>
            <w:tcBorders>
              <w:top w:val="nil"/>
              <w:left w:val="nil"/>
              <w:bottom w:val="nil"/>
              <w:right w:val="nil"/>
            </w:tcBorders>
            <w:shd w:val="clear" w:color="000000" w:fill="FFFFFF"/>
            <w:noWrap/>
            <w:vAlign w:val="center"/>
            <w:hideMark/>
          </w:tcPr>
          <w:p w14:paraId="5B731429" w14:textId="224A93B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873</w:t>
            </w:r>
          </w:p>
        </w:tc>
        <w:tc>
          <w:tcPr>
            <w:tcW w:w="867" w:type="dxa"/>
            <w:tcBorders>
              <w:top w:val="nil"/>
              <w:left w:val="nil"/>
              <w:bottom w:val="nil"/>
              <w:right w:val="nil"/>
            </w:tcBorders>
            <w:shd w:val="clear" w:color="000000" w:fill="F2F2F2"/>
            <w:noWrap/>
            <w:vAlign w:val="center"/>
            <w:hideMark/>
          </w:tcPr>
          <w:p w14:paraId="68D95B3C" w14:textId="2211D0F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894</w:t>
            </w:r>
          </w:p>
        </w:tc>
        <w:tc>
          <w:tcPr>
            <w:tcW w:w="867" w:type="dxa"/>
            <w:tcBorders>
              <w:top w:val="nil"/>
              <w:left w:val="nil"/>
              <w:bottom w:val="nil"/>
              <w:right w:val="nil"/>
            </w:tcBorders>
            <w:shd w:val="clear" w:color="000000" w:fill="F2F2F2"/>
            <w:noWrap/>
            <w:vAlign w:val="center"/>
            <w:hideMark/>
          </w:tcPr>
          <w:p w14:paraId="758DEDAD" w14:textId="208B36E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940</w:t>
            </w:r>
          </w:p>
        </w:tc>
        <w:tc>
          <w:tcPr>
            <w:tcW w:w="867" w:type="dxa"/>
            <w:tcBorders>
              <w:top w:val="nil"/>
              <w:left w:val="nil"/>
              <w:bottom w:val="nil"/>
              <w:right w:val="nil"/>
            </w:tcBorders>
            <w:shd w:val="clear" w:color="000000" w:fill="F2F2F2"/>
            <w:noWrap/>
            <w:vAlign w:val="center"/>
            <w:hideMark/>
          </w:tcPr>
          <w:p w14:paraId="60E400BA" w14:textId="2468CEB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971</w:t>
            </w:r>
          </w:p>
        </w:tc>
        <w:tc>
          <w:tcPr>
            <w:tcW w:w="868" w:type="dxa"/>
            <w:tcBorders>
              <w:top w:val="nil"/>
              <w:left w:val="nil"/>
              <w:bottom w:val="nil"/>
              <w:right w:val="nil"/>
            </w:tcBorders>
            <w:shd w:val="clear" w:color="000000" w:fill="F2F2F2"/>
            <w:noWrap/>
            <w:vAlign w:val="center"/>
            <w:hideMark/>
          </w:tcPr>
          <w:p w14:paraId="25FCDB94" w14:textId="63CF404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998</w:t>
            </w:r>
          </w:p>
        </w:tc>
        <w:tc>
          <w:tcPr>
            <w:tcW w:w="1169" w:type="dxa"/>
            <w:tcBorders>
              <w:top w:val="nil"/>
              <w:left w:val="nil"/>
              <w:bottom w:val="nil"/>
              <w:right w:val="nil"/>
            </w:tcBorders>
            <w:shd w:val="clear" w:color="000000" w:fill="FFFFFF"/>
            <w:noWrap/>
            <w:vAlign w:val="center"/>
            <w:hideMark/>
          </w:tcPr>
          <w:p w14:paraId="708087D7"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3.4</w:t>
            </w:r>
          </w:p>
        </w:tc>
      </w:tr>
      <w:tr w:rsidR="00B43D87" w:rsidRPr="00B43D87" w14:paraId="3A83E934" w14:textId="77777777" w:rsidTr="00014057">
        <w:trPr>
          <w:trHeight w:val="188"/>
        </w:trPr>
        <w:tc>
          <w:tcPr>
            <w:tcW w:w="3301" w:type="dxa"/>
            <w:tcBorders>
              <w:top w:val="nil"/>
              <w:left w:val="nil"/>
              <w:bottom w:val="nil"/>
              <w:right w:val="nil"/>
            </w:tcBorders>
            <w:shd w:val="clear" w:color="000000" w:fill="FFFFFF"/>
            <w:vAlign w:val="center"/>
            <w:hideMark/>
          </w:tcPr>
          <w:p w14:paraId="2270BF31"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Government guarantee fee</w:t>
            </w:r>
          </w:p>
        </w:tc>
        <w:tc>
          <w:tcPr>
            <w:tcW w:w="867" w:type="dxa"/>
            <w:tcBorders>
              <w:top w:val="nil"/>
              <w:left w:val="nil"/>
              <w:bottom w:val="nil"/>
              <w:right w:val="nil"/>
            </w:tcBorders>
            <w:shd w:val="clear" w:color="000000" w:fill="FFFFFF"/>
            <w:noWrap/>
            <w:vAlign w:val="center"/>
            <w:hideMark/>
          </w:tcPr>
          <w:p w14:paraId="5A636C8D" w14:textId="1A8EDEC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321</w:t>
            </w:r>
          </w:p>
        </w:tc>
        <w:tc>
          <w:tcPr>
            <w:tcW w:w="867" w:type="dxa"/>
            <w:tcBorders>
              <w:top w:val="nil"/>
              <w:left w:val="nil"/>
              <w:bottom w:val="nil"/>
              <w:right w:val="nil"/>
            </w:tcBorders>
            <w:shd w:val="clear" w:color="000000" w:fill="FFFFFF"/>
            <w:noWrap/>
            <w:vAlign w:val="center"/>
            <w:hideMark/>
          </w:tcPr>
          <w:p w14:paraId="33484E71" w14:textId="76053A8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324</w:t>
            </w:r>
          </w:p>
        </w:tc>
        <w:tc>
          <w:tcPr>
            <w:tcW w:w="867" w:type="dxa"/>
            <w:tcBorders>
              <w:top w:val="nil"/>
              <w:left w:val="nil"/>
              <w:bottom w:val="nil"/>
              <w:right w:val="nil"/>
            </w:tcBorders>
            <w:shd w:val="clear" w:color="000000" w:fill="F2F2F2"/>
            <w:noWrap/>
            <w:vAlign w:val="center"/>
            <w:hideMark/>
          </w:tcPr>
          <w:p w14:paraId="77F60A22" w14:textId="41A33CC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390</w:t>
            </w:r>
          </w:p>
        </w:tc>
        <w:tc>
          <w:tcPr>
            <w:tcW w:w="867" w:type="dxa"/>
            <w:tcBorders>
              <w:top w:val="nil"/>
              <w:left w:val="nil"/>
              <w:bottom w:val="nil"/>
              <w:right w:val="nil"/>
            </w:tcBorders>
            <w:shd w:val="clear" w:color="000000" w:fill="F2F2F2"/>
            <w:noWrap/>
            <w:vAlign w:val="center"/>
            <w:hideMark/>
          </w:tcPr>
          <w:p w14:paraId="34EFA653" w14:textId="2E5ED81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458</w:t>
            </w:r>
          </w:p>
        </w:tc>
        <w:tc>
          <w:tcPr>
            <w:tcW w:w="867" w:type="dxa"/>
            <w:tcBorders>
              <w:top w:val="nil"/>
              <w:left w:val="nil"/>
              <w:bottom w:val="nil"/>
              <w:right w:val="nil"/>
            </w:tcBorders>
            <w:shd w:val="clear" w:color="000000" w:fill="F2F2F2"/>
            <w:noWrap/>
            <w:vAlign w:val="center"/>
            <w:hideMark/>
          </w:tcPr>
          <w:p w14:paraId="68CC8E40" w14:textId="0794964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500</w:t>
            </w:r>
          </w:p>
        </w:tc>
        <w:tc>
          <w:tcPr>
            <w:tcW w:w="868" w:type="dxa"/>
            <w:tcBorders>
              <w:top w:val="nil"/>
              <w:left w:val="nil"/>
              <w:bottom w:val="nil"/>
              <w:right w:val="nil"/>
            </w:tcBorders>
            <w:shd w:val="clear" w:color="000000" w:fill="F2F2F2"/>
            <w:noWrap/>
            <w:vAlign w:val="center"/>
            <w:hideMark/>
          </w:tcPr>
          <w:p w14:paraId="0A7A0DC3" w14:textId="6A55731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537</w:t>
            </w:r>
          </w:p>
        </w:tc>
        <w:tc>
          <w:tcPr>
            <w:tcW w:w="1169" w:type="dxa"/>
            <w:tcBorders>
              <w:top w:val="nil"/>
              <w:left w:val="nil"/>
              <w:bottom w:val="nil"/>
              <w:right w:val="nil"/>
            </w:tcBorders>
            <w:shd w:val="clear" w:color="000000" w:fill="FFFFFF"/>
            <w:noWrap/>
            <w:vAlign w:val="center"/>
            <w:hideMark/>
          </w:tcPr>
          <w:p w14:paraId="076EA385"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13.5</w:t>
            </w:r>
          </w:p>
        </w:tc>
      </w:tr>
      <w:tr w:rsidR="00B43D87" w:rsidRPr="00B43D87" w14:paraId="46BCD23C" w14:textId="77777777" w:rsidTr="00014057">
        <w:trPr>
          <w:trHeight w:val="188"/>
        </w:trPr>
        <w:tc>
          <w:tcPr>
            <w:tcW w:w="3301" w:type="dxa"/>
            <w:tcBorders>
              <w:top w:val="nil"/>
              <w:left w:val="nil"/>
              <w:bottom w:val="nil"/>
              <w:right w:val="nil"/>
            </w:tcBorders>
            <w:shd w:val="clear" w:color="000000" w:fill="FFFFFF"/>
            <w:vAlign w:val="center"/>
            <w:hideMark/>
          </w:tcPr>
          <w:p w14:paraId="7196391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Private transport operators levy</w:t>
            </w:r>
          </w:p>
        </w:tc>
        <w:tc>
          <w:tcPr>
            <w:tcW w:w="867" w:type="dxa"/>
            <w:tcBorders>
              <w:top w:val="nil"/>
              <w:left w:val="nil"/>
              <w:bottom w:val="nil"/>
              <w:right w:val="nil"/>
            </w:tcBorders>
            <w:shd w:val="clear" w:color="000000" w:fill="FFFFFF"/>
            <w:noWrap/>
            <w:vAlign w:val="center"/>
            <w:hideMark/>
          </w:tcPr>
          <w:p w14:paraId="2B193951" w14:textId="514AF98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47</w:t>
            </w:r>
          </w:p>
        </w:tc>
        <w:tc>
          <w:tcPr>
            <w:tcW w:w="867" w:type="dxa"/>
            <w:tcBorders>
              <w:top w:val="nil"/>
              <w:left w:val="nil"/>
              <w:bottom w:val="nil"/>
              <w:right w:val="nil"/>
            </w:tcBorders>
            <w:shd w:val="clear" w:color="000000" w:fill="FFFFFF"/>
            <w:noWrap/>
            <w:vAlign w:val="center"/>
            <w:hideMark/>
          </w:tcPr>
          <w:p w14:paraId="01B8ABFA" w14:textId="56FB749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67</w:t>
            </w:r>
          </w:p>
        </w:tc>
        <w:tc>
          <w:tcPr>
            <w:tcW w:w="867" w:type="dxa"/>
            <w:tcBorders>
              <w:top w:val="nil"/>
              <w:left w:val="nil"/>
              <w:bottom w:val="nil"/>
              <w:right w:val="nil"/>
            </w:tcBorders>
            <w:shd w:val="clear" w:color="000000" w:fill="F2F2F2"/>
            <w:noWrap/>
            <w:vAlign w:val="center"/>
            <w:hideMark/>
          </w:tcPr>
          <w:p w14:paraId="24AA373E" w14:textId="33D1AD5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70</w:t>
            </w:r>
          </w:p>
        </w:tc>
        <w:tc>
          <w:tcPr>
            <w:tcW w:w="867" w:type="dxa"/>
            <w:tcBorders>
              <w:top w:val="nil"/>
              <w:left w:val="nil"/>
              <w:bottom w:val="nil"/>
              <w:right w:val="nil"/>
            </w:tcBorders>
            <w:shd w:val="clear" w:color="000000" w:fill="F2F2F2"/>
            <w:noWrap/>
            <w:vAlign w:val="center"/>
            <w:hideMark/>
          </w:tcPr>
          <w:p w14:paraId="3115F974" w14:textId="6BF3812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76</w:t>
            </w:r>
          </w:p>
        </w:tc>
        <w:tc>
          <w:tcPr>
            <w:tcW w:w="867" w:type="dxa"/>
            <w:tcBorders>
              <w:top w:val="nil"/>
              <w:left w:val="nil"/>
              <w:bottom w:val="nil"/>
              <w:right w:val="nil"/>
            </w:tcBorders>
            <w:shd w:val="clear" w:color="000000" w:fill="F2F2F2"/>
            <w:noWrap/>
            <w:vAlign w:val="center"/>
            <w:hideMark/>
          </w:tcPr>
          <w:p w14:paraId="330F9CE6" w14:textId="05D96A9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83</w:t>
            </w:r>
          </w:p>
        </w:tc>
        <w:tc>
          <w:tcPr>
            <w:tcW w:w="868" w:type="dxa"/>
            <w:tcBorders>
              <w:top w:val="nil"/>
              <w:left w:val="nil"/>
              <w:bottom w:val="nil"/>
              <w:right w:val="nil"/>
            </w:tcBorders>
            <w:shd w:val="clear" w:color="000000" w:fill="F2F2F2"/>
            <w:noWrap/>
            <w:vAlign w:val="center"/>
            <w:hideMark/>
          </w:tcPr>
          <w:p w14:paraId="79030183" w14:textId="7294717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89</w:t>
            </w:r>
          </w:p>
        </w:tc>
        <w:tc>
          <w:tcPr>
            <w:tcW w:w="1169" w:type="dxa"/>
            <w:tcBorders>
              <w:top w:val="nil"/>
              <w:left w:val="nil"/>
              <w:bottom w:val="nil"/>
              <w:right w:val="nil"/>
            </w:tcBorders>
            <w:shd w:val="clear" w:color="000000" w:fill="FFFFFF"/>
            <w:noWrap/>
            <w:vAlign w:val="center"/>
            <w:hideMark/>
          </w:tcPr>
          <w:p w14:paraId="035DF64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7.5</w:t>
            </w:r>
          </w:p>
        </w:tc>
      </w:tr>
      <w:tr w:rsidR="00B43D87" w:rsidRPr="00B43D87" w14:paraId="79D810E9" w14:textId="77777777" w:rsidTr="00014057">
        <w:trPr>
          <w:trHeight w:val="188"/>
        </w:trPr>
        <w:tc>
          <w:tcPr>
            <w:tcW w:w="3301" w:type="dxa"/>
            <w:tcBorders>
              <w:top w:val="nil"/>
              <w:left w:val="nil"/>
              <w:bottom w:val="nil"/>
              <w:right w:val="nil"/>
            </w:tcBorders>
            <w:shd w:val="clear" w:color="000000" w:fill="FFFFFF"/>
            <w:noWrap/>
            <w:vAlign w:val="center"/>
            <w:hideMark/>
          </w:tcPr>
          <w:p w14:paraId="54DA319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Pollution control licences</w:t>
            </w:r>
          </w:p>
        </w:tc>
        <w:tc>
          <w:tcPr>
            <w:tcW w:w="867" w:type="dxa"/>
            <w:tcBorders>
              <w:top w:val="nil"/>
              <w:left w:val="nil"/>
              <w:bottom w:val="nil"/>
              <w:right w:val="nil"/>
            </w:tcBorders>
            <w:shd w:val="clear" w:color="000000" w:fill="FFFFFF"/>
            <w:noWrap/>
            <w:vAlign w:val="center"/>
            <w:hideMark/>
          </w:tcPr>
          <w:p w14:paraId="51AD8057" w14:textId="0A7A902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FFFFF"/>
            <w:noWrap/>
            <w:vAlign w:val="center"/>
            <w:hideMark/>
          </w:tcPr>
          <w:p w14:paraId="08216792" w14:textId="0F2BA43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w:t>
            </w:r>
          </w:p>
        </w:tc>
        <w:tc>
          <w:tcPr>
            <w:tcW w:w="867" w:type="dxa"/>
            <w:tcBorders>
              <w:top w:val="nil"/>
              <w:left w:val="nil"/>
              <w:bottom w:val="nil"/>
              <w:right w:val="nil"/>
            </w:tcBorders>
            <w:shd w:val="clear" w:color="000000" w:fill="F2F2F2"/>
            <w:noWrap/>
            <w:vAlign w:val="center"/>
            <w:hideMark/>
          </w:tcPr>
          <w:p w14:paraId="048EF6FA" w14:textId="2D8E3B1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2F2F2"/>
            <w:noWrap/>
            <w:vAlign w:val="center"/>
            <w:hideMark/>
          </w:tcPr>
          <w:p w14:paraId="7BA58B5D" w14:textId="77D32A6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2F2F2"/>
            <w:noWrap/>
            <w:vAlign w:val="center"/>
            <w:hideMark/>
          </w:tcPr>
          <w:p w14:paraId="18E077FB" w14:textId="5E0CAAB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8" w:type="dxa"/>
            <w:tcBorders>
              <w:top w:val="nil"/>
              <w:left w:val="nil"/>
              <w:bottom w:val="nil"/>
              <w:right w:val="nil"/>
            </w:tcBorders>
            <w:shd w:val="clear" w:color="000000" w:fill="F2F2F2"/>
            <w:noWrap/>
            <w:vAlign w:val="center"/>
            <w:hideMark/>
          </w:tcPr>
          <w:p w14:paraId="7667A223" w14:textId="3CAB45A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1169" w:type="dxa"/>
            <w:tcBorders>
              <w:top w:val="nil"/>
              <w:left w:val="nil"/>
              <w:bottom w:val="nil"/>
              <w:right w:val="nil"/>
            </w:tcBorders>
            <w:shd w:val="clear" w:color="000000" w:fill="FFFFFF"/>
            <w:noWrap/>
            <w:vAlign w:val="center"/>
            <w:hideMark/>
          </w:tcPr>
          <w:p w14:paraId="00C3FD46"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w:t>
            </w:r>
          </w:p>
        </w:tc>
      </w:tr>
      <w:tr w:rsidR="00B43D87" w:rsidRPr="00B43D87" w14:paraId="0277A839" w14:textId="77777777" w:rsidTr="00014057">
        <w:trPr>
          <w:trHeight w:val="188"/>
        </w:trPr>
        <w:tc>
          <w:tcPr>
            <w:tcW w:w="3301" w:type="dxa"/>
            <w:tcBorders>
              <w:top w:val="nil"/>
              <w:left w:val="nil"/>
              <w:bottom w:val="nil"/>
              <w:right w:val="nil"/>
            </w:tcBorders>
            <w:shd w:val="clear" w:color="000000" w:fill="FFFFFF"/>
            <w:noWrap/>
            <w:vAlign w:val="center"/>
            <w:hideMark/>
          </w:tcPr>
          <w:p w14:paraId="710DBA7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36B794B1" w14:textId="119BE02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3BD010F5" w14:textId="23F1F7E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8276BDC" w14:textId="14C02F5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B619D21" w14:textId="2BE3D41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4AD5DC65" w14:textId="5E4C9A39"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0974EDA1" w14:textId="3BC56010"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65CCF248" w14:textId="1E031A1C" w:rsidR="00B43D87" w:rsidRPr="00B43D87" w:rsidRDefault="00B43D87" w:rsidP="00B43D87">
            <w:pPr>
              <w:jc w:val="right"/>
              <w:rPr>
                <w:rFonts w:ascii="Public Sans" w:hAnsi="Public Sans" w:cs="Calibri"/>
                <w:sz w:val="16"/>
                <w:szCs w:val="16"/>
                <w:lang w:val="en-AU" w:eastAsia="en-AU"/>
              </w:rPr>
            </w:pPr>
          </w:p>
        </w:tc>
      </w:tr>
      <w:tr w:rsidR="00B43D87" w:rsidRPr="00B43D87" w14:paraId="50F9CA18" w14:textId="77777777" w:rsidTr="00014057">
        <w:trPr>
          <w:trHeight w:val="188"/>
        </w:trPr>
        <w:tc>
          <w:tcPr>
            <w:tcW w:w="3301" w:type="dxa"/>
            <w:tcBorders>
              <w:top w:val="nil"/>
              <w:left w:val="nil"/>
              <w:bottom w:val="nil"/>
              <w:right w:val="nil"/>
            </w:tcBorders>
            <w:shd w:val="clear" w:color="000000" w:fill="FFFFFF"/>
            <w:noWrap/>
            <w:vAlign w:val="center"/>
            <w:hideMark/>
          </w:tcPr>
          <w:p w14:paraId="437D540B"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 taxes</w:t>
            </w:r>
          </w:p>
        </w:tc>
        <w:tc>
          <w:tcPr>
            <w:tcW w:w="867" w:type="dxa"/>
            <w:tcBorders>
              <w:top w:val="nil"/>
              <w:left w:val="nil"/>
              <w:bottom w:val="nil"/>
              <w:right w:val="nil"/>
            </w:tcBorders>
            <w:shd w:val="clear" w:color="000000" w:fill="FFFFFF"/>
            <w:noWrap/>
            <w:vAlign w:val="center"/>
            <w:hideMark/>
          </w:tcPr>
          <w:p w14:paraId="3A0E12D3" w14:textId="780D64E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923</w:t>
            </w:r>
          </w:p>
        </w:tc>
        <w:tc>
          <w:tcPr>
            <w:tcW w:w="867" w:type="dxa"/>
            <w:tcBorders>
              <w:top w:val="nil"/>
              <w:left w:val="nil"/>
              <w:bottom w:val="nil"/>
              <w:right w:val="nil"/>
            </w:tcBorders>
            <w:shd w:val="clear" w:color="000000" w:fill="FFFFFF"/>
            <w:noWrap/>
            <w:vAlign w:val="center"/>
            <w:hideMark/>
          </w:tcPr>
          <w:p w14:paraId="48F4F78D" w14:textId="34E5161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783</w:t>
            </w:r>
          </w:p>
        </w:tc>
        <w:tc>
          <w:tcPr>
            <w:tcW w:w="867" w:type="dxa"/>
            <w:tcBorders>
              <w:top w:val="nil"/>
              <w:left w:val="nil"/>
              <w:bottom w:val="nil"/>
              <w:right w:val="nil"/>
            </w:tcBorders>
            <w:shd w:val="clear" w:color="000000" w:fill="F2F2F2"/>
            <w:noWrap/>
            <w:vAlign w:val="center"/>
            <w:hideMark/>
          </w:tcPr>
          <w:p w14:paraId="78C9C053" w14:textId="538D22E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946</w:t>
            </w:r>
          </w:p>
        </w:tc>
        <w:tc>
          <w:tcPr>
            <w:tcW w:w="867" w:type="dxa"/>
            <w:tcBorders>
              <w:top w:val="nil"/>
              <w:left w:val="nil"/>
              <w:bottom w:val="nil"/>
              <w:right w:val="nil"/>
            </w:tcBorders>
            <w:shd w:val="clear" w:color="000000" w:fill="F2F2F2"/>
            <w:noWrap/>
            <w:vAlign w:val="center"/>
            <w:hideMark/>
          </w:tcPr>
          <w:p w14:paraId="6EE423C4" w14:textId="6881F59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967</w:t>
            </w:r>
          </w:p>
        </w:tc>
        <w:tc>
          <w:tcPr>
            <w:tcW w:w="867" w:type="dxa"/>
            <w:tcBorders>
              <w:top w:val="nil"/>
              <w:left w:val="nil"/>
              <w:bottom w:val="nil"/>
              <w:right w:val="nil"/>
            </w:tcBorders>
            <w:shd w:val="clear" w:color="000000" w:fill="F2F2F2"/>
            <w:noWrap/>
            <w:vAlign w:val="center"/>
            <w:hideMark/>
          </w:tcPr>
          <w:p w14:paraId="413CFA88" w14:textId="5CB7F96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995</w:t>
            </w:r>
          </w:p>
        </w:tc>
        <w:tc>
          <w:tcPr>
            <w:tcW w:w="868" w:type="dxa"/>
            <w:tcBorders>
              <w:top w:val="nil"/>
              <w:left w:val="nil"/>
              <w:bottom w:val="nil"/>
              <w:right w:val="nil"/>
            </w:tcBorders>
            <w:shd w:val="clear" w:color="000000" w:fill="F2F2F2"/>
            <w:noWrap/>
            <w:vAlign w:val="center"/>
            <w:hideMark/>
          </w:tcPr>
          <w:p w14:paraId="5B6415A3" w14:textId="2D8F2A2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1,020</w:t>
            </w:r>
          </w:p>
        </w:tc>
        <w:tc>
          <w:tcPr>
            <w:tcW w:w="1169" w:type="dxa"/>
            <w:tcBorders>
              <w:top w:val="nil"/>
              <w:left w:val="nil"/>
              <w:bottom w:val="nil"/>
              <w:right w:val="nil"/>
            </w:tcBorders>
            <w:shd w:val="clear" w:color="000000" w:fill="FFFFFF"/>
            <w:noWrap/>
            <w:vAlign w:val="center"/>
            <w:hideMark/>
          </w:tcPr>
          <w:p w14:paraId="299EED13"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6.8</w:t>
            </w:r>
          </w:p>
        </w:tc>
      </w:tr>
      <w:tr w:rsidR="00B43D87" w:rsidRPr="00B43D87" w14:paraId="51D60E10" w14:textId="77777777" w:rsidTr="00B5513D">
        <w:trPr>
          <w:trHeight w:val="283"/>
        </w:trPr>
        <w:tc>
          <w:tcPr>
            <w:tcW w:w="3301" w:type="dxa"/>
            <w:tcBorders>
              <w:top w:val="nil"/>
              <w:left w:val="nil"/>
              <w:bottom w:val="nil"/>
              <w:right w:val="nil"/>
            </w:tcBorders>
            <w:shd w:val="clear" w:color="000000" w:fill="FFFFFF"/>
            <w:noWrap/>
            <w:vAlign w:val="center"/>
            <w:hideMark/>
          </w:tcPr>
          <w:p w14:paraId="19CACC8B"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1415B17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3,487</w:t>
            </w:r>
          </w:p>
        </w:tc>
        <w:tc>
          <w:tcPr>
            <w:tcW w:w="867" w:type="dxa"/>
            <w:tcBorders>
              <w:top w:val="single" w:sz="4" w:space="0" w:color="auto"/>
              <w:left w:val="nil"/>
              <w:bottom w:val="single" w:sz="4" w:space="0" w:color="auto"/>
              <w:right w:val="nil"/>
            </w:tcBorders>
            <w:shd w:val="clear" w:color="000000" w:fill="FFFFFF"/>
            <w:noWrap/>
            <w:vAlign w:val="center"/>
            <w:hideMark/>
          </w:tcPr>
          <w:p w14:paraId="1F45C1DA"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3,789</w:t>
            </w:r>
          </w:p>
        </w:tc>
        <w:tc>
          <w:tcPr>
            <w:tcW w:w="867" w:type="dxa"/>
            <w:tcBorders>
              <w:top w:val="single" w:sz="4" w:space="0" w:color="auto"/>
              <w:left w:val="nil"/>
              <w:bottom w:val="single" w:sz="4" w:space="0" w:color="auto"/>
              <w:right w:val="nil"/>
            </w:tcBorders>
            <w:shd w:val="clear" w:color="000000" w:fill="F2F2F2"/>
            <w:noWrap/>
            <w:vAlign w:val="center"/>
            <w:hideMark/>
          </w:tcPr>
          <w:p w14:paraId="522A94B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4,277</w:t>
            </w:r>
          </w:p>
        </w:tc>
        <w:tc>
          <w:tcPr>
            <w:tcW w:w="867" w:type="dxa"/>
            <w:tcBorders>
              <w:top w:val="single" w:sz="4" w:space="0" w:color="auto"/>
              <w:left w:val="nil"/>
              <w:bottom w:val="single" w:sz="4" w:space="0" w:color="auto"/>
              <w:right w:val="nil"/>
            </w:tcBorders>
            <w:shd w:val="clear" w:color="000000" w:fill="F2F2F2"/>
            <w:noWrap/>
            <w:vAlign w:val="center"/>
            <w:hideMark/>
          </w:tcPr>
          <w:p w14:paraId="46975BF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4,360</w:t>
            </w:r>
          </w:p>
        </w:tc>
        <w:tc>
          <w:tcPr>
            <w:tcW w:w="867" w:type="dxa"/>
            <w:tcBorders>
              <w:top w:val="single" w:sz="4" w:space="0" w:color="auto"/>
              <w:left w:val="nil"/>
              <w:bottom w:val="single" w:sz="4" w:space="0" w:color="auto"/>
              <w:right w:val="nil"/>
            </w:tcBorders>
            <w:shd w:val="clear" w:color="000000" w:fill="F2F2F2"/>
            <w:noWrap/>
            <w:vAlign w:val="center"/>
            <w:hideMark/>
          </w:tcPr>
          <w:p w14:paraId="37AFCA67"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4,355</w:t>
            </w:r>
          </w:p>
        </w:tc>
        <w:tc>
          <w:tcPr>
            <w:tcW w:w="868" w:type="dxa"/>
            <w:tcBorders>
              <w:top w:val="single" w:sz="4" w:space="0" w:color="auto"/>
              <w:left w:val="nil"/>
              <w:bottom w:val="single" w:sz="4" w:space="0" w:color="auto"/>
              <w:right w:val="nil"/>
            </w:tcBorders>
            <w:shd w:val="clear" w:color="000000" w:fill="F2F2F2"/>
            <w:noWrap/>
            <w:vAlign w:val="center"/>
            <w:hideMark/>
          </w:tcPr>
          <w:p w14:paraId="6DF4A9A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4,447</w:t>
            </w:r>
          </w:p>
        </w:tc>
        <w:tc>
          <w:tcPr>
            <w:tcW w:w="1169" w:type="dxa"/>
            <w:tcBorders>
              <w:top w:val="single" w:sz="4" w:space="0" w:color="auto"/>
              <w:left w:val="nil"/>
              <w:bottom w:val="single" w:sz="4" w:space="0" w:color="auto"/>
              <w:right w:val="nil"/>
            </w:tcBorders>
            <w:shd w:val="clear" w:color="auto" w:fill="auto"/>
            <w:noWrap/>
            <w:vAlign w:val="center"/>
            <w:hideMark/>
          </w:tcPr>
          <w:p w14:paraId="5E1E775D"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4.1</w:t>
            </w:r>
          </w:p>
        </w:tc>
      </w:tr>
      <w:tr w:rsidR="00B43D87" w:rsidRPr="00B43D87" w14:paraId="3838C084" w14:textId="77777777" w:rsidTr="00B5513D">
        <w:trPr>
          <w:trHeight w:val="283"/>
        </w:trPr>
        <w:tc>
          <w:tcPr>
            <w:tcW w:w="3301" w:type="dxa"/>
            <w:tcBorders>
              <w:top w:val="nil"/>
              <w:left w:val="nil"/>
              <w:bottom w:val="nil"/>
              <w:right w:val="nil"/>
            </w:tcBorders>
            <w:shd w:val="clear" w:color="000000" w:fill="FFFFFF"/>
            <w:noWrap/>
            <w:vAlign w:val="center"/>
            <w:hideMark/>
          </w:tcPr>
          <w:p w14:paraId="1BE66F81"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Total taxation revenue</w:t>
            </w:r>
          </w:p>
        </w:tc>
        <w:tc>
          <w:tcPr>
            <w:tcW w:w="867" w:type="dxa"/>
            <w:tcBorders>
              <w:top w:val="nil"/>
              <w:left w:val="nil"/>
              <w:bottom w:val="nil"/>
              <w:right w:val="nil"/>
            </w:tcBorders>
            <w:shd w:val="clear" w:color="000000" w:fill="FFFFFF"/>
            <w:noWrap/>
            <w:vAlign w:val="center"/>
            <w:hideMark/>
          </w:tcPr>
          <w:p w14:paraId="72506CB8"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39,007</w:t>
            </w:r>
          </w:p>
        </w:tc>
        <w:tc>
          <w:tcPr>
            <w:tcW w:w="867" w:type="dxa"/>
            <w:tcBorders>
              <w:top w:val="nil"/>
              <w:left w:val="nil"/>
              <w:bottom w:val="nil"/>
              <w:right w:val="nil"/>
            </w:tcBorders>
            <w:shd w:val="clear" w:color="000000" w:fill="FFFFFF"/>
            <w:noWrap/>
            <w:vAlign w:val="center"/>
            <w:hideMark/>
          </w:tcPr>
          <w:p w14:paraId="1267CC47"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39,861</w:t>
            </w:r>
          </w:p>
        </w:tc>
        <w:tc>
          <w:tcPr>
            <w:tcW w:w="867" w:type="dxa"/>
            <w:tcBorders>
              <w:top w:val="nil"/>
              <w:left w:val="nil"/>
              <w:bottom w:val="nil"/>
              <w:right w:val="nil"/>
            </w:tcBorders>
            <w:shd w:val="clear" w:color="000000" w:fill="F2F2F2"/>
            <w:noWrap/>
            <w:vAlign w:val="center"/>
            <w:hideMark/>
          </w:tcPr>
          <w:p w14:paraId="331475F8"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44,862</w:t>
            </w:r>
          </w:p>
        </w:tc>
        <w:tc>
          <w:tcPr>
            <w:tcW w:w="867" w:type="dxa"/>
            <w:tcBorders>
              <w:top w:val="nil"/>
              <w:left w:val="nil"/>
              <w:bottom w:val="nil"/>
              <w:right w:val="nil"/>
            </w:tcBorders>
            <w:shd w:val="clear" w:color="000000" w:fill="F2F2F2"/>
            <w:noWrap/>
            <w:vAlign w:val="center"/>
            <w:hideMark/>
          </w:tcPr>
          <w:p w14:paraId="32FE6B15"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46,474</w:t>
            </w:r>
          </w:p>
        </w:tc>
        <w:tc>
          <w:tcPr>
            <w:tcW w:w="867" w:type="dxa"/>
            <w:tcBorders>
              <w:top w:val="nil"/>
              <w:left w:val="nil"/>
              <w:bottom w:val="nil"/>
              <w:right w:val="nil"/>
            </w:tcBorders>
            <w:shd w:val="clear" w:color="000000" w:fill="F2F2F2"/>
            <w:noWrap/>
            <w:vAlign w:val="center"/>
            <w:hideMark/>
          </w:tcPr>
          <w:p w14:paraId="655EE31D"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47,737</w:t>
            </w:r>
          </w:p>
        </w:tc>
        <w:tc>
          <w:tcPr>
            <w:tcW w:w="868" w:type="dxa"/>
            <w:tcBorders>
              <w:top w:val="nil"/>
              <w:left w:val="nil"/>
              <w:bottom w:val="nil"/>
              <w:right w:val="nil"/>
            </w:tcBorders>
            <w:shd w:val="clear" w:color="000000" w:fill="F2F2F2"/>
            <w:noWrap/>
            <w:vAlign w:val="center"/>
            <w:hideMark/>
          </w:tcPr>
          <w:p w14:paraId="043BAB4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49,297</w:t>
            </w:r>
          </w:p>
        </w:tc>
        <w:tc>
          <w:tcPr>
            <w:tcW w:w="1169" w:type="dxa"/>
            <w:tcBorders>
              <w:top w:val="nil"/>
              <w:left w:val="nil"/>
              <w:bottom w:val="nil"/>
              <w:right w:val="nil"/>
            </w:tcBorders>
            <w:shd w:val="clear" w:color="auto" w:fill="auto"/>
            <w:noWrap/>
            <w:vAlign w:val="center"/>
            <w:hideMark/>
          </w:tcPr>
          <w:p w14:paraId="00257651"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5.5</w:t>
            </w:r>
          </w:p>
        </w:tc>
      </w:tr>
      <w:tr w:rsidR="00B43D87" w:rsidRPr="00B43D87" w14:paraId="313B5065" w14:textId="77777777" w:rsidTr="00014057">
        <w:trPr>
          <w:trHeight w:val="211"/>
        </w:trPr>
        <w:tc>
          <w:tcPr>
            <w:tcW w:w="3301" w:type="dxa"/>
            <w:tcBorders>
              <w:top w:val="nil"/>
              <w:left w:val="nil"/>
              <w:bottom w:val="single" w:sz="4" w:space="0" w:color="auto"/>
              <w:right w:val="nil"/>
            </w:tcBorders>
            <w:shd w:val="clear" w:color="000000" w:fill="FFFFFF"/>
            <w:noWrap/>
            <w:vAlign w:val="bottom"/>
            <w:hideMark/>
          </w:tcPr>
          <w:p w14:paraId="743E5F8B" w14:textId="77777777" w:rsidR="00B43D87" w:rsidRPr="00B43D87" w:rsidRDefault="00B43D87" w:rsidP="00B43D87">
            <w:pPr>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Annual change</w:t>
            </w:r>
          </w:p>
        </w:tc>
        <w:tc>
          <w:tcPr>
            <w:tcW w:w="867" w:type="dxa"/>
            <w:tcBorders>
              <w:top w:val="nil"/>
              <w:left w:val="nil"/>
              <w:bottom w:val="single" w:sz="4" w:space="0" w:color="auto"/>
              <w:right w:val="nil"/>
            </w:tcBorders>
            <w:shd w:val="clear" w:color="000000" w:fill="FFFFFF"/>
            <w:noWrap/>
            <w:vAlign w:val="bottom"/>
            <w:hideMark/>
          </w:tcPr>
          <w:p w14:paraId="17E44CB0" w14:textId="68516A51"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13.4%</w:t>
            </w:r>
          </w:p>
        </w:tc>
        <w:tc>
          <w:tcPr>
            <w:tcW w:w="867" w:type="dxa"/>
            <w:tcBorders>
              <w:top w:val="nil"/>
              <w:left w:val="nil"/>
              <w:bottom w:val="single" w:sz="4" w:space="0" w:color="auto"/>
              <w:right w:val="nil"/>
            </w:tcBorders>
            <w:shd w:val="clear" w:color="000000" w:fill="FFFFFF"/>
            <w:noWrap/>
            <w:vAlign w:val="bottom"/>
            <w:hideMark/>
          </w:tcPr>
          <w:p w14:paraId="2C5EB2B6"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2.2%</w:t>
            </w:r>
          </w:p>
        </w:tc>
        <w:tc>
          <w:tcPr>
            <w:tcW w:w="867" w:type="dxa"/>
            <w:tcBorders>
              <w:top w:val="nil"/>
              <w:left w:val="nil"/>
              <w:bottom w:val="single" w:sz="4" w:space="0" w:color="auto"/>
              <w:right w:val="nil"/>
            </w:tcBorders>
            <w:shd w:val="clear" w:color="000000" w:fill="F2F2F2"/>
            <w:noWrap/>
            <w:vAlign w:val="bottom"/>
            <w:hideMark/>
          </w:tcPr>
          <w:p w14:paraId="47FAC17D"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12.5%</w:t>
            </w:r>
          </w:p>
        </w:tc>
        <w:tc>
          <w:tcPr>
            <w:tcW w:w="867" w:type="dxa"/>
            <w:tcBorders>
              <w:top w:val="nil"/>
              <w:left w:val="nil"/>
              <w:bottom w:val="single" w:sz="4" w:space="0" w:color="auto"/>
              <w:right w:val="nil"/>
            </w:tcBorders>
            <w:shd w:val="clear" w:color="000000" w:fill="F2F2F2"/>
            <w:noWrap/>
            <w:vAlign w:val="bottom"/>
            <w:hideMark/>
          </w:tcPr>
          <w:p w14:paraId="79DDBC49"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3.6%</w:t>
            </w:r>
          </w:p>
        </w:tc>
        <w:tc>
          <w:tcPr>
            <w:tcW w:w="867" w:type="dxa"/>
            <w:tcBorders>
              <w:top w:val="nil"/>
              <w:left w:val="nil"/>
              <w:bottom w:val="single" w:sz="4" w:space="0" w:color="auto"/>
              <w:right w:val="nil"/>
            </w:tcBorders>
            <w:shd w:val="clear" w:color="000000" w:fill="F2F2F2"/>
            <w:noWrap/>
            <w:vAlign w:val="bottom"/>
            <w:hideMark/>
          </w:tcPr>
          <w:p w14:paraId="4A8D4198"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2.7%</w:t>
            </w:r>
          </w:p>
        </w:tc>
        <w:tc>
          <w:tcPr>
            <w:tcW w:w="868" w:type="dxa"/>
            <w:tcBorders>
              <w:top w:val="nil"/>
              <w:left w:val="nil"/>
              <w:bottom w:val="single" w:sz="4" w:space="0" w:color="auto"/>
              <w:right w:val="nil"/>
            </w:tcBorders>
            <w:shd w:val="clear" w:color="000000" w:fill="F2F2F2"/>
            <w:noWrap/>
            <w:vAlign w:val="bottom"/>
            <w:hideMark/>
          </w:tcPr>
          <w:p w14:paraId="281A2E79"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3.3%</w:t>
            </w:r>
          </w:p>
        </w:tc>
        <w:tc>
          <w:tcPr>
            <w:tcW w:w="1169" w:type="dxa"/>
            <w:tcBorders>
              <w:top w:val="nil"/>
              <w:left w:val="nil"/>
              <w:bottom w:val="single" w:sz="4" w:space="0" w:color="auto"/>
              <w:right w:val="nil"/>
            </w:tcBorders>
            <w:shd w:val="clear" w:color="000000" w:fill="FFFFFF"/>
            <w:noWrap/>
            <w:vAlign w:val="bottom"/>
            <w:hideMark/>
          </w:tcPr>
          <w:p w14:paraId="0F75B206" w14:textId="16689632" w:rsidR="00B43D87" w:rsidRPr="00B43D87" w:rsidRDefault="00B43D87" w:rsidP="00B43D87">
            <w:pPr>
              <w:jc w:val="right"/>
              <w:rPr>
                <w:rFonts w:ascii="Public Sans" w:hAnsi="Public Sans" w:cs="Calibri"/>
                <w:i/>
                <w:iCs/>
                <w:sz w:val="16"/>
                <w:szCs w:val="16"/>
                <w:lang w:val="en-AU" w:eastAsia="en-AU"/>
              </w:rPr>
            </w:pPr>
          </w:p>
        </w:tc>
      </w:tr>
    </w:tbl>
    <w:p w14:paraId="532FFE81" w14:textId="77777777" w:rsidR="0097505C" w:rsidRDefault="0097505C" w:rsidP="0097505C">
      <w:pPr>
        <w:rPr>
          <w:lang w:val="en-AU"/>
        </w:rPr>
      </w:pPr>
    </w:p>
    <w:p w14:paraId="3892D2C2" w14:textId="77777777" w:rsidR="00E90BEE" w:rsidRPr="00D809BE" w:rsidRDefault="00E90BEE" w:rsidP="00E90BEE">
      <w:pPr>
        <w:pStyle w:val="Heading3"/>
        <w:ind w:left="737" w:hanging="737"/>
      </w:pPr>
      <w:r w:rsidRPr="00D809BE">
        <w:t>Payroll tax</w:t>
      </w:r>
    </w:p>
    <w:p w14:paraId="548123F2" w14:textId="62FEFAEF" w:rsidR="00F7139A" w:rsidRPr="00452AC3" w:rsidRDefault="5A2CBAA9" w:rsidP="00E4551D">
      <w:pPr>
        <w:pStyle w:val="BodyText"/>
      </w:pPr>
      <w:r>
        <w:t xml:space="preserve">A resilient labour market </w:t>
      </w:r>
      <w:r w:rsidR="2D4592EF">
        <w:t>and rising wage</w:t>
      </w:r>
      <w:r w:rsidR="2981CFC4">
        <w:t>s</w:t>
      </w:r>
      <w:r w:rsidR="2D4592EF">
        <w:t xml:space="preserve"> ha</w:t>
      </w:r>
      <w:r w:rsidR="00DA4127">
        <w:t>ve</w:t>
      </w:r>
      <w:r w:rsidR="2D4592EF">
        <w:t xml:space="preserve"> resulted in a $</w:t>
      </w:r>
      <w:r w:rsidR="005F0FE6" w:rsidRPr="00813871">
        <w:t>2.</w:t>
      </w:r>
      <w:r w:rsidR="001C1955">
        <w:t>8</w:t>
      </w:r>
      <w:r w:rsidR="2D4592EF">
        <w:t xml:space="preserve"> billion upgrade to </w:t>
      </w:r>
      <w:r w:rsidR="7FB9267E">
        <w:t>p</w:t>
      </w:r>
      <w:r w:rsidR="63890141">
        <w:t xml:space="preserve">ayroll tax </w:t>
      </w:r>
      <w:r w:rsidR="74887640">
        <w:t>revenue over the four years to 2026</w:t>
      </w:r>
      <w:r w:rsidR="00F52B99">
        <w:t>-27</w:t>
      </w:r>
      <w:r w:rsidR="5ED5A1F6">
        <w:t xml:space="preserve"> </w:t>
      </w:r>
      <w:r w:rsidR="5E7D425F">
        <w:t>compared to</w:t>
      </w:r>
      <w:r w:rsidR="5ED5A1F6">
        <w:t xml:space="preserve"> the</w:t>
      </w:r>
      <w:r w:rsidR="10DF9D4A">
        <w:t xml:space="preserve"> forecast in the</w:t>
      </w:r>
      <w:r w:rsidR="5ED5A1F6">
        <w:t xml:space="preserve"> 2023 Pre-election Budget Update. Additional compliance activity is also expected to contribute an additional $</w:t>
      </w:r>
      <w:r w:rsidR="00AE6726" w:rsidRPr="00813871">
        <w:t>337</w:t>
      </w:r>
      <w:r w:rsidR="005F0FE6" w:rsidRPr="00813871">
        <w:t>.0</w:t>
      </w:r>
      <w:r w:rsidR="6BB563CD">
        <w:t xml:space="preserve"> million</w:t>
      </w:r>
      <w:r w:rsidR="5ED5A1F6">
        <w:t xml:space="preserve"> over the four years to 2026-27. </w:t>
      </w:r>
      <w:r w:rsidR="59B9CA9C">
        <w:t xml:space="preserve">With the demand for labour showing </w:t>
      </w:r>
      <w:r w:rsidR="05F40257">
        <w:t>tentative</w:t>
      </w:r>
      <w:r w:rsidR="59B9CA9C">
        <w:t xml:space="preserve"> signs of </w:t>
      </w:r>
      <w:r w:rsidR="4B05FE41">
        <w:t>easing</w:t>
      </w:r>
      <w:r w:rsidR="59B9CA9C">
        <w:t>, payroll tax growth is expected to moderate over the forward estimates</w:t>
      </w:r>
      <w:r w:rsidR="3648092B">
        <w:t xml:space="preserve">. </w:t>
      </w:r>
    </w:p>
    <w:p w14:paraId="31700A4E" w14:textId="69253C24" w:rsidR="00E90BEE" w:rsidRDefault="00E90BEE" w:rsidP="00A01FA0">
      <w:pPr>
        <w:pStyle w:val="Heading3"/>
        <w:ind w:left="737" w:hanging="737"/>
      </w:pPr>
      <w:r w:rsidRPr="005A5666">
        <w:t xml:space="preserve">Transfer duty </w:t>
      </w:r>
    </w:p>
    <w:p w14:paraId="001BB166" w14:textId="30AB3042" w:rsidR="00E649D1" w:rsidRPr="00E649D1" w:rsidRDefault="00BC7F25" w:rsidP="00E4551D">
      <w:pPr>
        <w:pStyle w:val="BodyText"/>
      </w:pPr>
      <w:r>
        <w:t>The outlook for the property market has improved considerably since the 2023 Pre-election Budget Update, increasing transfer duty revenue by $</w:t>
      </w:r>
      <w:r w:rsidR="00362A6A" w:rsidRPr="00813871">
        <w:t>9.5</w:t>
      </w:r>
      <w:r w:rsidR="00D7088B">
        <w:t xml:space="preserve"> </w:t>
      </w:r>
      <w:r>
        <w:t>billion over the four years to 2026</w:t>
      </w:r>
      <w:r w:rsidR="00FE26E6">
        <w:noBreakHyphen/>
      </w:r>
      <w:r w:rsidR="00D7088B">
        <w:t>27</w:t>
      </w:r>
      <w:r>
        <w:t xml:space="preserve">. </w:t>
      </w:r>
      <w:r w:rsidR="00FA6A5F">
        <w:t>A cyclical recovery in transaction volumes has supported rising prices, d</w:t>
      </w:r>
      <w:r w:rsidR="02FE7825">
        <w:t>espite high</w:t>
      </w:r>
      <w:r w:rsidR="00FA6A5F">
        <w:t>er</w:t>
      </w:r>
      <w:r w:rsidR="02FE7825">
        <w:t xml:space="preserve"> interest rates</w:t>
      </w:r>
      <w:r w:rsidR="00C37116">
        <w:t>.</w:t>
      </w:r>
      <w:r w:rsidR="00C867BB">
        <w:t xml:space="preserve"> </w:t>
      </w:r>
    </w:p>
    <w:p w14:paraId="6B4E5EE3" w14:textId="77777777" w:rsidR="00204291" w:rsidRDefault="00204291" w:rsidP="00E4551D">
      <w:pPr>
        <w:pStyle w:val="BodyText"/>
      </w:pPr>
    </w:p>
    <w:p w14:paraId="7F24FD04" w14:textId="1B80FFA7" w:rsidR="00044E9B" w:rsidRDefault="00044E9B" w:rsidP="00E4551D">
      <w:pPr>
        <w:pStyle w:val="BodyText"/>
      </w:pPr>
      <w:r>
        <w:lastRenderedPageBreak/>
        <w:t>Residential transactional activity has increased sooner than expected at the 2023 Pre</w:t>
      </w:r>
      <w:r w:rsidR="00697236">
        <w:noBreakHyphen/>
      </w:r>
      <w:r>
        <w:t>election Budget Update</w:t>
      </w:r>
      <w:r w:rsidR="008F248F">
        <w:t xml:space="preserve"> (see Chart 4.</w:t>
      </w:r>
      <w:r w:rsidR="007D1D91">
        <w:t>2</w:t>
      </w:r>
      <w:r w:rsidR="008F248F">
        <w:t>)</w:t>
      </w:r>
      <w:r>
        <w:t>. Strong momentum in transaction volumes is expected to continue in the near term. This is a result of property owners, who had delayed the decision to transact, re-entering the property market as interest rate expectations start to stabilise</w:t>
      </w:r>
      <w:r w:rsidR="001F1B01">
        <w:t>.</w:t>
      </w:r>
    </w:p>
    <w:p w14:paraId="332DA18B" w14:textId="2669EC10" w:rsidR="006D0CC3" w:rsidRDefault="0066472E" w:rsidP="00E4551D">
      <w:pPr>
        <w:pStyle w:val="BodyText"/>
      </w:pPr>
      <w:r>
        <w:t xml:space="preserve">Having fallen sharply in 2022, </w:t>
      </w:r>
      <w:r w:rsidR="1CC1F1CC">
        <w:t xml:space="preserve">residential property </w:t>
      </w:r>
      <w:r w:rsidR="00F53405">
        <w:t>prices</w:t>
      </w:r>
      <w:r w:rsidR="1CC1F1CC">
        <w:t xml:space="preserve"> ha</w:t>
      </w:r>
      <w:r w:rsidR="00386BDB">
        <w:t>ve</w:t>
      </w:r>
      <w:r w:rsidR="1CC1F1CC">
        <w:t xml:space="preserve"> </w:t>
      </w:r>
      <w:r w:rsidR="00A41123">
        <w:t>increased</w:t>
      </w:r>
      <w:r w:rsidR="009A0F8C">
        <w:t xml:space="preserve"> </w:t>
      </w:r>
      <w:r w:rsidR="00C123CA">
        <w:t xml:space="preserve">by </w:t>
      </w:r>
      <w:r w:rsidR="006D248C" w:rsidRPr="00813871">
        <w:t>8.8</w:t>
      </w:r>
      <w:r w:rsidR="00C123CA">
        <w:t xml:space="preserve"> per cent since January 2023.</w:t>
      </w:r>
      <w:r w:rsidR="00A41123">
        <w:t xml:space="preserve"> </w:t>
      </w:r>
      <w:r w:rsidR="1CC1F1CC" w:rsidDel="009A0F8C">
        <w:t xml:space="preserve">Despite </w:t>
      </w:r>
      <w:r w:rsidR="00500543">
        <w:t xml:space="preserve">affordability </w:t>
      </w:r>
      <w:r w:rsidR="00E879D5">
        <w:t>pressures</w:t>
      </w:r>
      <w:r w:rsidR="00500543">
        <w:t xml:space="preserve">, property prices have </w:t>
      </w:r>
      <w:r w:rsidR="00213E2F">
        <w:t xml:space="preserve">been </w:t>
      </w:r>
      <w:r w:rsidR="00353974">
        <w:t xml:space="preserve">elevated </w:t>
      </w:r>
      <w:r w:rsidR="00213E2F">
        <w:t>by</w:t>
      </w:r>
      <w:r w:rsidR="1CC1F1CC">
        <w:t xml:space="preserve"> low listings, </w:t>
      </w:r>
      <w:r w:rsidR="00EB667D">
        <w:t>strong</w:t>
      </w:r>
      <w:r w:rsidR="1CC1F1CC">
        <w:t xml:space="preserve"> population growth and </w:t>
      </w:r>
      <w:r w:rsidR="00EB667D">
        <w:t>a</w:t>
      </w:r>
      <w:r w:rsidR="1CC1F1CC">
        <w:t xml:space="preserve"> low rental vacancy rate. </w:t>
      </w:r>
      <w:r w:rsidR="0089756E" w:rsidRPr="0089756E">
        <w:rPr>
          <w:lang w:val="en-US"/>
        </w:rPr>
        <w:t xml:space="preserve">Looking ahead, the pace of property price </w:t>
      </w:r>
      <w:r w:rsidR="00EB667D">
        <w:rPr>
          <w:lang w:val="en-US"/>
        </w:rPr>
        <w:t>growth</w:t>
      </w:r>
      <w:r w:rsidR="0089756E" w:rsidRPr="0089756E">
        <w:rPr>
          <w:lang w:val="en-US"/>
        </w:rPr>
        <w:t xml:space="preserve"> is forecast to be more subdued. Residential property prices are expected to increase by </w:t>
      </w:r>
      <w:r w:rsidR="0089756E" w:rsidRPr="00813871">
        <w:rPr>
          <w:lang w:val="en-US"/>
        </w:rPr>
        <w:t>2.</w:t>
      </w:r>
      <w:r w:rsidR="00E13813">
        <w:rPr>
          <w:lang w:val="en-US"/>
        </w:rPr>
        <w:t>3</w:t>
      </w:r>
      <w:r w:rsidR="0089756E" w:rsidRPr="0089756E">
        <w:rPr>
          <w:lang w:val="en-US"/>
        </w:rPr>
        <w:t xml:space="preserve"> per cent each year on average over the forward estimates.</w:t>
      </w:r>
    </w:p>
    <w:p w14:paraId="3C7EEE8E" w14:textId="77777777" w:rsidR="006D0CC3" w:rsidRPr="008D7D8D" w:rsidRDefault="006D0CC3" w:rsidP="006D0CC3">
      <w:pPr>
        <w:pStyle w:val="Chart4X"/>
      </w:pPr>
      <w:r w:rsidRPr="008D7D8D">
        <w:t>Residential property transactions (seasonally adjusted</w:t>
      </w:r>
      <w:r w:rsidRPr="005F0A18">
        <w:t>; quarterly</w:t>
      </w:r>
      <w:r w:rsidRPr="008D7D8D">
        <w:t>)</w:t>
      </w:r>
    </w:p>
    <w:p w14:paraId="6C929C5E" w14:textId="77777777" w:rsidR="006D0CC3" w:rsidRPr="005F5955" w:rsidRDefault="006D0CC3" w:rsidP="00C3683B">
      <w:pPr>
        <w:rPr>
          <w:highlight w:val="yellow"/>
        </w:rPr>
      </w:pPr>
      <w:r>
        <w:rPr>
          <w:noProof/>
        </w:rPr>
        <w:drawing>
          <wp:inline distT="0" distB="0" distL="0" distR="0" wp14:anchorId="4F85B9BC" wp14:editId="16BB7B73">
            <wp:extent cx="5638800" cy="2590800"/>
            <wp:effectExtent l="0" t="0" r="0" b="0"/>
            <wp:docPr id="1" name="Chart 1" descr="Chart 4.2: Residential property transactions (seasonally adjusted; quarterly)">
              <a:extLst xmlns:a="http://schemas.openxmlformats.org/drawingml/2006/main">
                <a:ext uri="{FF2B5EF4-FFF2-40B4-BE49-F238E27FC236}">
                  <a16:creationId xmlns:a16="http://schemas.microsoft.com/office/drawing/2014/main" id="{0C423742-7CC5-4E81-959F-6532BBD55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87B988" w14:textId="39615F4C" w:rsidR="002F5961" w:rsidRPr="00E649D1" w:rsidRDefault="002F5961" w:rsidP="00C3683B"/>
    <w:p w14:paraId="6C7F51F4" w14:textId="77777777" w:rsidR="009C5279" w:rsidRPr="008D7D8D" w:rsidRDefault="009C5279" w:rsidP="00302C53">
      <w:pPr>
        <w:pStyle w:val="Chart4X"/>
      </w:pPr>
      <w:r>
        <w:t>Sydney hedonic dwelling price index</w:t>
      </w:r>
      <w:r w:rsidRPr="008D7D8D">
        <w:t xml:space="preserve"> (</w:t>
      </w:r>
      <w:r w:rsidRPr="005F0A18">
        <w:t>quarterly</w:t>
      </w:r>
      <w:r w:rsidRPr="008D7D8D">
        <w:t>)</w:t>
      </w:r>
    </w:p>
    <w:p w14:paraId="446E5CA5" w14:textId="19EF89EF" w:rsidR="00F33904" w:rsidRDefault="009C5279" w:rsidP="00E4551D">
      <w:pPr>
        <w:pStyle w:val="BodyText"/>
        <w:rPr>
          <w:rFonts w:eastAsiaTheme="minorHAnsi"/>
        </w:rPr>
      </w:pPr>
      <w:r>
        <w:rPr>
          <w:noProof/>
        </w:rPr>
        <w:drawing>
          <wp:inline distT="0" distB="0" distL="0" distR="0" wp14:anchorId="1991FC4F" wp14:editId="50FA9600">
            <wp:extent cx="5734050" cy="2679700"/>
            <wp:effectExtent l="0" t="0" r="0" b="0"/>
            <wp:docPr id="11" name="Chart 11" descr="Chart 4.3: Sydney hedonic dwelling price index (quarterly)">
              <a:extLst xmlns:a="http://schemas.openxmlformats.org/drawingml/2006/main">
                <a:ext uri="{FF2B5EF4-FFF2-40B4-BE49-F238E27FC236}">
                  <a16:creationId xmlns:a16="http://schemas.microsoft.com/office/drawing/2014/main" id="{0D2DFF66-C938-4FCC-951F-7CE9B0F95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36D120" w14:textId="77777777" w:rsidR="000C4529" w:rsidRDefault="000C4529">
      <w:pPr>
        <w:rPr>
          <w:rFonts w:ascii="Public Sans SemiBold" w:eastAsiaTheme="minorHAnsi" w:hAnsi="Public Sans SemiBold"/>
          <w:b/>
          <w:color w:val="22272B"/>
          <w:kern w:val="28"/>
          <w:sz w:val="26"/>
          <w:szCs w:val="36"/>
          <w:lang w:val="en-AU"/>
        </w:rPr>
      </w:pPr>
      <w:r>
        <w:rPr>
          <w:rFonts w:eastAsiaTheme="minorHAnsi"/>
        </w:rPr>
        <w:br w:type="page"/>
      </w:r>
    </w:p>
    <w:p w14:paraId="1B2CCFEE" w14:textId="1452B820" w:rsidR="00E90BEE" w:rsidRPr="008F0B8B" w:rsidRDefault="00E90BEE" w:rsidP="00A01FA0">
      <w:pPr>
        <w:pStyle w:val="Heading3"/>
        <w:rPr>
          <w:rFonts w:eastAsiaTheme="minorHAnsi"/>
        </w:rPr>
      </w:pPr>
      <w:r w:rsidRPr="008F0B8B">
        <w:rPr>
          <w:rFonts w:eastAsiaTheme="minorHAnsi"/>
        </w:rPr>
        <w:lastRenderedPageBreak/>
        <w:t xml:space="preserve">Land tax </w:t>
      </w:r>
    </w:p>
    <w:p w14:paraId="0328A01A" w14:textId="12AB4198" w:rsidR="009330F3" w:rsidRPr="00B67DB9" w:rsidRDefault="49E6E783" w:rsidP="00E4551D">
      <w:pPr>
        <w:pStyle w:val="BodyText"/>
      </w:pPr>
      <w:bookmarkStart w:id="3" w:name="_Hlk9948191"/>
      <w:r>
        <w:t xml:space="preserve">Land tax revenue </w:t>
      </w:r>
      <w:r w:rsidR="003240A3">
        <w:t>is forecast to be</w:t>
      </w:r>
      <w:r>
        <w:t xml:space="preserve"> </w:t>
      </w:r>
      <w:r w:rsidRPr="00B67DB9">
        <w:t>$</w:t>
      </w:r>
      <w:r w:rsidR="00813DD4" w:rsidRPr="00813871">
        <w:t>6.9</w:t>
      </w:r>
      <w:r>
        <w:t xml:space="preserve"> billion in 2</w:t>
      </w:r>
      <w:r w:rsidR="00D7088B">
        <w:t>0</w:t>
      </w:r>
      <w:r>
        <w:t>23</w:t>
      </w:r>
      <w:r w:rsidR="00D7088B">
        <w:t>-24</w:t>
      </w:r>
      <w:r w:rsidRPr="00B67DB9">
        <w:t>, $</w:t>
      </w:r>
      <w:r w:rsidR="00B02729" w:rsidRPr="00813871">
        <w:t>44</w:t>
      </w:r>
      <w:r w:rsidR="00CF0104">
        <w:t>6</w:t>
      </w:r>
      <w:r w:rsidR="00B02729" w:rsidRPr="00813871">
        <w:t>.</w:t>
      </w:r>
      <w:r w:rsidR="00CF0104">
        <w:t>9</w:t>
      </w:r>
      <w:r>
        <w:t xml:space="preserve"> million</w:t>
      </w:r>
      <w:r w:rsidDel="00C478CD">
        <w:t xml:space="preserve"> </w:t>
      </w:r>
      <w:r w:rsidR="00610A57">
        <w:t>above</w:t>
      </w:r>
      <w:r>
        <w:t xml:space="preserve"> previous expectations. </w:t>
      </w:r>
      <w:r w:rsidR="74009077">
        <w:t>Over the four years to 2026</w:t>
      </w:r>
      <w:r w:rsidR="00ED4116">
        <w:t>-27</w:t>
      </w:r>
      <w:r w:rsidR="74009077">
        <w:t xml:space="preserve">, land tax revenue </w:t>
      </w:r>
      <w:r w:rsidR="7A6726DB">
        <w:t xml:space="preserve">is forecast to be </w:t>
      </w:r>
      <w:r w:rsidRPr="00B67DB9">
        <w:t>$</w:t>
      </w:r>
      <w:r w:rsidR="004B4F0A" w:rsidRPr="00813871">
        <w:t>4.9</w:t>
      </w:r>
      <w:r>
        <w:t> billion higher than expected at the 2023 Pre-election Budget Update. This uplift is due to expectations for higher</w:t>
      </w:r>
      <w:r w:rsidDel="00C478CD">
        <w:t xml:space="preserve"> </w:t>
      </w:r>
      <w:r>
        <w:t xml:space="preserve">land values </w:t>
      </w:r>
      <w:r w:rsidR="28A7B400">
        <w:t>following the recent recovery in property prices</w:t>
      </w:r>
      <w:r>
        <w:t xml:space="preserve">. </w:t>
      </w:r>
      <w:r w:rsidR="002C0EB8" w:rsidRPr="002C0EB8">
        <w:t xml:space="preserve">In addition, </w:t>
      </w:r>
      <w:r w:rsidR="004E0A1F">
        <w:t>correction</w:t>
      </w:r>
      <w:r w:rsidR="002C0EB8" w:rsidRPr="002C0EB8" w:rsidDel="0003231A">
        <w:t>s</w:t>
      </w:r>
      <w:r w:rsidR="002C0EB8" w:rsidRPr="002C0EB8">
        <w:t xml:space="preserve"> to the operation of the land tax thresholds are estimated to increase land tax revenue (see Section 4.2 above). This is partially offset by </w:t>
      </w:r>
      <w:r w:rsidR="005268D8" w:rsidRPr="005268D8">
        <w:t>a</w:t>
      </w:r>
      <w:r w:rsidR="000D65CB">
        <w:t>n estimated</w:t>
      </w:r>
      <w:r w:rsidR="002C0EB8" w:rsidRPr="002C0EB8">
        <w:t xml:space="preserve"> reduction in land tax </w:t>
      </w:r>
      <w:r w:rsidR="005268D8" w:rsidRPr="005268D8">
        <w:t xml:space="preserve">of $85.0 million per year from 2024-25 </w:t>
      </w:r>
      <w:r w:rsidR="002C0EB8" w:rsidRPr="002C0EB8">
        <w:t xml:space="preserve">due to the decision to </w:t>
      </w:r>
      <w:r w:rsidR="005268D8" w:rsidRPr="005268D8">
        <w:t>transition TAHE from a SOC to</w:t>
      </w:r>
      <w:r w:rsidR="002C0EB8" w:rsidRPr="002C0EB8">
        <w:t xml:space="preserve"> a </w:t>
      </w:r>
      <w:r w:rsidR="005268D8" w:rsidRPr="005268D8">
        <w:t xml:space="preserve">non-commercial PNFC. As part of </w:t>
      </w:r>
      <w:r w:rsidR="002C0EB8" w:rsidRPr="002C0EB8">
        <w:t xml:space="preserve">the </w:t>
      </w:r>
      <w:r w:rsidR="005268D8" w:rsidRPr="005268D8">
        <w:t xml:space="preserve">transition, TAHE will no longer be subject to </w:t>
      </w:r>
      <w:r w:rsidR="002C0EB8" w:rsidRPr="002C0EB8">
        <w:t>land tax on land used for railway purposes.</w:t>
      </w:r>
    </w:p>
    <w:p w14:paraId="0749E514" w14:textId="77777777" w:rsidR="00E90BEE" w:rsidRPr="007C4B6E" w:rsidRDefault="00E90BEE" w:rsidP="00E90BEE">
      <w:pPr>
        <w:pStyle w:val="Heading3"/>
        <w:ind w:left="737" w:hanging="737"/>
      </w:pPr>
      <w:r w:rsidRPr="007C4B6E">
        <w:t>Gambling and betting taxes</w:t>
      </w:r>
    </w:p>
    <w:p w14:paraId="5B4A89EF" w14:textId="057129FB" w:rsidR="00A00CEB" w:rsidRPr="00A00CEB" w:rsidRDefault="575B42DB" w:rsidP="00E4551D">
      <w:pPr>
        <w:pStyle w:val="BodyText"/>
      </w:pPr>
      <w:r>
        <w:t xml:space="preserve">Gambling tax revenue </w:t>
      </w:r>
      <w:r w:rsidR="005E6CF4" w:rsidDel="575B42DB">
        <w:t xml:space="preserve">is </w:t>
      </w:r>
      <w:r w:rsidR="0098595B">
        <w:t>forecast to be</w:t>
      </w:r>
      <w:r>
        <w:t xml:space="preserve"> $</w:t>
      </w:r>
      <w:r w:rsidR="00606CDF" w:rsidRPr="00813871">
        <w:t>3.4</w:t>
      </w:r>
      <w:r w:rsidR="0098595B">
        <w:t xml:space="preserve"> </w:t>
      </w:r>
      <w:r>
        <w:t>billion in 2023</w:t>
      </w:r>
      <w:r w:rsidR="0098595B">
        <w:t>-24</w:t>
      </w:r>
      <w:r w:rsidR="6CE47082">
        <w:t>. This is</w:t>
      </w:r>
      <w:r w:rsidR="0098595B">
        <w:t xml:space="preserve"> </w:t>
      </w:r>
      <w:r>
        <w:t>$</w:t>
      </w:r>
      <w:r w:rsidR="00056E1B" w:rsidRPr="00813871">
        <w:t>346.8</w:t>
      </w:r>
      <w:r w:rsidRPr="00813871">
        <w:t xml:space="preserve"> </w:t>
      </w:r>
      <w:r>
        <w:t>million</w:t>
      </w:r>
      <w:r w:rsidDel="00F3607E">
        <w:t xml:space="preserve"> </w:t>
      </w:r>
      <w:r w:rsidR="2B1C4CE5">
        <w:t>lower than forecast at</w:t>
      </w:r>
      <w:r>
        <w:t xml:space="preserve"> the </w:t>
      </w:r>
      <w:r w:rsidR="42DDD8C6">
        <w:t xml:space="preserve">2023 </w:t>
      </w:r>
      <w:r>
        <w:t>Pre-election Budget Update. Over the four years to 2026</w:t>
      </w:r>
      <w:r w:rsidR="0098595B">
        <w:t>-27</w:t>
      </w:r>
      <w:r>
        <w:t xml:space="preserve">, forecast gambling </w:t>
      </w:r>
      <w:r w:rsidR="43295C51">
        <w:t>tax revenue</w:t>
      </w:r>
      <w:r>
        <w:t xml:space="preserve"> h</w:t>
      </w:r>
      <w:r w:rsidR="51BA48D9">
        <w:t>as</w:t>
      </w:r>
      <w:r>
        <w:t xml:space="preserve"> been revised down by $</w:t>
      </w:r>
      <w:r w:rsidR="00E55AAB" w:rsidRPr="00813871">
        <w:t>1.5</w:t>
      </w:r>
      <w:r w:rsidR="00E55AAB" w:rsidRPr="00B67DB9">
        <w:t xml:space="preserve"> </w:t>
      </w:r>
      <w:r w:rsidR="00E55AAB">
        <w:t>b</w:t>
      </w:r>
      <w:r>
        <w:t>illion. Th</w:t>
      </w:r>
      <w:r w:rsidR="18B1FF2E">
        <w:t>is reflects</w:t>
      </w:r>
      <w:r w:rsidR="005E6CF4" w:rsidDel="575B42DB">
        <w:t xml:space="preserve"> </w:t>
      </w:r>
      <w:r>
        <w:t xml:space="preserve">lower </w:t>
      </w:r>
      <w:r w:rsidR="56BB5277">
        <w:t xml:space="preserve">gaming machine </w:t>
      </w:r>
      <w:r>
        <w:t xml:space="preserve">activity </w:t>
      </w:r>
      <w:r w:rsidR="55A5A861">
        <w:t>in both</w:t>
      </w:r>
      <w:r>
        <w:t xml:space="preserve"> club</w:t>
      </w:r>
      <w:r w:rsidR="2E440C75">
        <w:t>s</w:t>
      </w:r>
      <w:r>
        <w:t xml:space="preserve"> and hotel</w:t>
      </w:r>
      <w:r w:rsidR="7522368F">
        <w:t xml:space="preserve">s, </w:t>
      </w:r>
      <w:r w:rsidR="2BCAE22A">
        <w:t xml:space="preserve">a </w:t>
      </w:r>
      <w:r w:rsidR="76DF6FEC">
        <w:t>more subdued outlook for Sydney’s casinos</w:t>
      </w:r>
      <w:r w:rsidR="00F2159F">
        <w:t xml:space="preserve"> and lower casino tax rates</w:t>
      </w:r>
      <w:r w:rsidR="76DF6FEC">
        <w:t xml:space="preserve">. </w:t>
      </w:r>
      <w:r w:rsidR="7522368F">
        <w:t xml:space="preserve"> </w:t>
      </w:r>
      <w:r>
        <w:t xml:space="preserve"> </w:t>
      </w:r>
    </w:p>
    <w:p w14:paraId="3DAB9AB4" w14:textId="616445FE" w:rsidR="00AA53A9" w:rsidRPr="00AA53A9" w:rsidRDefault="486B02D3" w:rsidP="00E4551D">
      <w:pPr>
        <w:pStyle w:val="BodyText"/>
      </w:pPr>
      <w:r>
        <w:t xml:space="preserve">The recent </w:t>
      </w:r>
      <w:r w:rsidR="575B42DB">
        <w:t xml:space="preserve">announcement by the Government </w:t>
      </w:r>
      <w:r w:rsidR="591A967D">
        <w:t>to</w:t>
      </w:r>
      <w:r w:rsidR="575B42DB">
        <w:t xml:space="preserve"> </w:t>
      </w:r>
      <w:r w:rsidR="00AA53A9" w:rsidRPr="00AA53A9">
        <w:t>revise</w:t>
      </w:r>
      <w:r w:rsidR="00A00CEB" w:rsidDel="575B42DB">
        <w:t xml:space="preserve"> </w:t>
      </w:r>
      <w:r w:rsidR="575B42DB">
        <w:t>the casino tax rate</w:t>
      </w:r>
      <w:r w:rsidR="00ED3588">
        <w:t>s</w:t>
      </w:r>
      <w:r w:rsidR="0CE810B7" w:rsidDel="00ED3588">
        <w:t xml:space="preserve"> </w:t>
      </w:r>
      <w:r w:rsidR="0CE810B7">
        <w:t>announced in the 2022-23 Half-Yearly Review</w:t>
      </w:r>
      <w:r w:rsidR="5B860EE2">
        <w:t xml:space="preserve"> contribute</w:t>
      </w:r>
      <w:r w:rsidR="6BBCFF26">
        <w:t>s</w:t>
      </w:r>
      <w:r w:rsidR="5B860EE2">
        <w:t xml:space="preserve"> </w:t>
      </w:r>
      <w:r w:rsidR="4C66DA71">
        <w:t>$</w:t>
      </w:r>
      <w:r w:rsidR="4C66DA71" w:rsidRPr="00813871">
        <w:t>432.0</w:t>
      </w:r>
      <w:r w:rsidR="4C66DA71">
        <w:t xml:space="preserve"> million </w:t>
      </w:r>
      <w:r w:rsidR="30546735">
        <w:t xml:space="preserve">to the downgrade </w:t>
      </w:r>
      <w:r w:rsidR="4C66DA71">
        <w:t>in forecast</w:t>
      </w:r>
      <w:r w:rsidR="5B860EE2">
        <w:t xml:space="preserve"> </w:t>
      </w:r>
      <w:r w:rsidR="575B42DB">
        <w:t xml:space="preserve">casino duty </w:t>
      </w:r>
      <w:r w:rsidR="7F8C9701">
        <w:t xml:space="preserve">over the </w:t>
      </w:r>
      <w:r w:rsidR="00776F72">
        <w:t>four years to 2026-27</w:t>
      </w:r>
      <w:r w:rsidR="7F8C9701">
        <w:t xml:space="preserve">. </w:t>
      </w:r>
      <w:r w:rsidR="575B42DB">
        <w:t xml:space="preserve">For further discussion on the impact of the Government’s casino tax rate changes, please refer to </w:t>
      </w:r>
      <w:r w:rsidR="2B71EE7E">
        <w:t>Box 4.</w:t>
      </w:r>
      <w:r w:rsidR="00CE240C">
        <w:t>1</w:t>
      </w:r>
      <w:r w:rsidR="2B71EE7E">
        <w:t xml:space="preserve"> below.</w:t>
      </w:r>
    </w:p>
    <w:p w14:paraId="1E1E893D" w14:textId="375F182F" w:rsidR="00211D9F" w:rsidRDefault="00211D9F" w:rsidP="00207CEA"/>
    <w:tbl>
      <w:tblPr>
        <w:tblW w:w="9639" w:type="dxa"/>
        <w:shd w:val="pct5" w:color="auto" w:fill="auto"/>
        <w:tblLayout w:type="fixed"/>
        <w:tblCellMar>
          <w:left w:w="0" w:type="dxa"/>
          <w:right w:w="0" w:type="dxa"/>
        </w:tblCellMar>
        <w:tblLook w:val="04A0" w:firstRow="1" w:lastRow="0" w:firstColumn="1" w:lastColumn="0" w:noHBand="0" w:noVBand="1"/>
        <w:tblCaption w:val="Box 4.1: Changes to casino tax rates to ensure an orderly transition for casino operators"/>
        <w:tblDescription w:val="Box 4.1: Changes to casino tax rates to ensure an orderly transition for casino operators"/>
      </w:tblPr>
      <w:tblGrid>
        <w:gridCol w:w="9639"/>
      </w:tblGrid>
      <w:tr w:rsidR="00211D9F" w:rsidRPr="008F0B8B" w14:paraId="49D74A83" w14:textId="77777777" w:rsidTr="00652504">
        <w:trPr>
          <w:trHeight w:val="653"/>
        </w:trPr>
        <w:tc>
          <w:tcPr>
            <w:tcW w:w="9639" w:type="dxa"/>
            <w:shd w:val="pct5" w:color="auto" w:fill="auto"/>
            <w:tcMar>
              <w:top w:w="0" w:type="dxa"/>
              <w:left w:w="108" w:type="dxa"/>
              <w:bottom w:w="0" w:type="dxa"/>
              <w:right w:w="108" w:type="dxa"/>
            </w:tcMar>
          </w:tcPr>
          <w:p w14:paraId="583D40F9" w14:textId="266D0222" w:rsidR="00211D9F" w:rsidRPr="00C20D6D" w:rsidRDefault="00211D9F" w:rsidP="007D5981">
            <w:pPr>
              <w:pStyle w:val="Box4XBoxHeading"/>
            </w:pPr>
            <w:r w:rsidRPr="00C20D6D">
              <w:rPr>
                <w:sz w:val="18"/>
                <w:szCs w:val="18"/>
              </w:rPr>
              <w:br w:type="page"/>
            </w:r>
            <w:r w:rsidR="00A9685A" w:rsidRPr="00A9685A">
              <w:t>Changes to casino tax rates to ensure an orderly transition for casino operators</w:t>
            </w:r>
          </w:p>
          <w:p w14:paraId="5C28D668" w14:textId="277CB824" w:rsidR="00823D9A" w:rsidRDefault="009B6CB3" w:rsidP="00E4551D">
            <w:pPr>
              <w:pStyle w:val="BodyText"/>
            </w:pPr>
            <w:r>
              <w:t>In December</w:t>
            </w:r>
            <w:r w:rsidR="0029683C">
              <w:t> </w:t>
            </w:r>
            <w:r>
              <w:t xml:space="preserve">2022 the former Government announced increases to casino tax rates. </w:t>
            </w:r>
            <w:r w:rsidR="001509FA">
              <w:t xml:space="preserve">Subsequent </w:t>
            </w:r>
            <w:r w:rsidR="000064EF">
              <w:t xml:space="preserve">Treasury analysis of The Star’s financial situation </w:t>
            </w:r>
            <w:r w:rsidR="003D62DB">
              <w:t>indicated</w:t>
            </w:r>
            <w:r w:rsidR="000064EF">
              <w:t xml:space="preserve"> those previously announced rates could threaten The Star’s ongoing financial viability.</w:t>
            </w:r>
            <w:r w:rsidR="00773B34" w:rsidRPr="00773B34">
              <w:t xml:space="preserve"> </w:t>
            </w:r>
          </w:p>
          <w:p w14:paraId="6545A06D" w14:textId="4D8128D5" w:rsidR="00773B34" w:rsidRPr="00773B34" w:rsidRDefault="001806F2" w:rsidP="00E4551D">
            <w:pPr>
              <w:pStyle w:val="BodyText"/>
            </w:pPr>
            <w:r>
              <w:t>In August 2023 the Government announced r</w:t>
            </w:r>
            <w:r w:rsidR="006864F6">
              <w:t>evised</w:t>
            </w:r>
            <w:r w:rsidR="002E1027">
              <w:t xml:space="preserve"> </w:t>
            </w:r>
            <w:r w:rsidR="00D83035">
              <w:t>casino duty</w:t>
            </w:r>
            <w:r w:rsidR="002E1027">
              <w:t xml:space="preserve"> rates</w:t>
            </w:r>
            <w:r w:rsidR="004A0D7C">
              <w:t>,</w:t>
            </w:r>
            <w:r w:rsidR="002E1027">
              <w:t xml:space="preserve"> to </w:t>
            </w:r>
            <w:r w:rsidR="006864F6">
              <w:t xml:space="preserve">deliver </w:t>
            </w:r>
            <w:r w:rsidR="00743810">
              <w:t>an</w:t>
            </w:r>
            <w:r w:rsidR="006864F6">
              <w:t xml:space="preserve"> increase</w:t>
            </w:r>
            <w:r w:rsidR="00743810">
              <w:t xml:space="preserve"> in </w:t>
            </w:r>
            <w:r w:rsidR="00F16DC3">
              <w:t>tax</w:t>
            </w:r>
            <w:r w:rsidR="006864F6">
              <w:t xml:space="preserve"> revenue </w:t>
            </w:r>
            <w:r w:rsidR="00743810">
              <w:t>that is</w:t>
            </w:r>
            <w:r w:rsidR="006864F6">
              <w:t xml:space="preserve"> consistent with The Star’s</w:t>
            </w:r>
            <w:r w:rsidR="002E1027">
              <w:t xml:space="preserve"> </w:t>
            </w:r>
            <w:r w:rsidR="00743810">
              <w:t xml:space="preserve">ongoing </w:t>
            </w:r>
            <w:r w:rsidR="002E1027">
              <w:t>viability</w:t>
            </w:r>
            <w:r w:rsidR="006864F6">
              <w:t>.</w:t>
            </w:r>
            <w:r w:rsidR="006A078F">
              <w:t xml:space="preserve"> </w:t>
            </w:r>
            <w:r w:rsidR="00E96F2E">
              <w:t xml:space="preserve">This </w:t>
            </w:r>
            <w:r w:rsidR="001123CA">
              <w:t xml:space="preserve">agreement has been made on the basis of a jobs guarantee that will provide protection for more than 3,000 jobs over the next </w:t>
            </w:r>
            <w:r w:rsidR="00E52875">
              <w:t>six years.</w:t>
            </w:r>
            <w:r w:rsidR="006A078F">
              <w:t xml:space="preserve"> As part of this agreement, </w:t>
            </w:r>
            <w:r w:rsidR="00B00220">
              <w:t xml:space="preserve">The Star has also </w:t>
            </w:r>
            <w:r w:rsidR="0079609C">
              <w:t>agreed to contribute to the industry transition to cashless gaming.</w:t>
            </w:r>
          </w:p>
          <w:p w14:paraId="5B9B569F" w14:textId="51DAF347" w:rsidR="00B13B18" w:rsidRPr="0040285E" w:rsidRDefault="00AF00E5" w:rsidP="00E4551D">
            <w:pPr>
              <w:pStyle w:val="Headinginbox"/>
            </w:pPr>
            <w:r w:rsidRPr="0040285E">
              <w:t>Increased t</w:t>
            </w:r>
            <w:r w:rsidR="00B13B18" w:rsidRPr="0040285E">
              <w:t xml:space="preserve">able game </w:t>
            </w:r>
            <w:r w:rsidRPr="0040285E">
              <w:t>duty</w:t>
            </w:r>
            <w:r w:rsidR="00B13B18" w:rsidRPr="0040285E">
              <w:t xml:space="preserve"> rates</w:t>
            </w:r>
          </w:p>
          <w:p w14:paraId="25456803" w14:textId="08C2F511" w:rsidR="00C1693E" w:rsidRPr="00773B34" w:rsidRDefault="00C35A12" w:rsidP="00E4551D">
            <w:pPr>
              <w:pStyle w:val="BodyText"/>
            </w:pPr>
            <w:r>
              <w:t xml:space="preserve">The Star </w:t>
            </w:r>
            <w:r w:rsidR="00D15202">
              <w:t>will</w:t>
            </w:r>
            <w:r>
              <w:t xml:space="preserve"> </w:t>
            </w:r>
            <w:r w:rsidR="00B21699">
              <w:t xml:space="preserve">pay increased duty </w:t>
            </w:r>
            <w:r w:rsidR="005A7E85">
              <w:t>on table games</w:t>
            </w:r>
            <w:r w:rsidR="00136E08">
              <w:t>,</w:t>
            </w:r>
            <w:r w:rsidR="00DD2BF8">
              <w:t xml:space="preserve"> with effect from </w:t>
            </w:r>
            <w:r w:rsidR="001C54DF">
              <w:t xml:space="preserve">1 July 2023. </w:t>
            </w:r>
            <w:r w:rsidR="00256F3B">
              <w:t>The revised table game</w:t>
            </w:r>
            <w:r w:rsidR="00F62A8B">
              <w:t xml:space="preserve"> rates </w:t>
            </w:r>
            <w:r w:rsidR="00256F3B">
              <w:t>are 12.5 per cent</w:t>
            </w:r>
            <w:r w:rsidR="00F62A8B">
              <w:t xml:space="preserve"> for </w:t>
            </w:r>
            <w:r w:rsidR="00DC1243">
              <w:t xml:space="preserve">rebate play and </w:t>
            </w:r>
            <w:r w:rsidR="00256F3B">
              <w:t>20.25</w:t>
            </w:r>
            <w:r w:rsidR="000E2FAE">
              <w:t> </w:t>
            </w:r>
            <w:r w:rsidR="00256F3B">
              <w:t xml:space="preserve">per cent for </w:t>
            </w:r>
            <w:r w:rsidR="00DC1243">
              <w:t xml:space="preserve">non-rebate play. </w:t>
            </w:r>
            <w:r w:rsidR="00376932">
              <w:t>A r</w:t>
            </w:r>
            <w:r w:rsidR="001513A9">
              <w:t>ebate play</w:t>
            </w:r>
            <w:r w:rsidR="00376932">
              <w:t xml:space="preserve">er is a premium gambler </w:t>
            </w:r>
            <w:r w:rsidR="00E52B88">
              <w:t>who does not live in N</w:t>
            </w:r>
            <w:r w:rsidR="00531BC5">
              <w:t xml:space="preserve">ew </w:t>
            </w:r>
            <w:r w:rsidR="00E52B88">
              <w:t>S</w:t>
            </w:r>
            <w:r w:rsidR="00531BC5">
              <w:t xml:space="preserve">outh </w:t>
            </w:r>
            <w:r w:rsidR="00E52B88">
              <w:t>W</w:t>
            </w:r>
            <w:r w:rsidR="00531BC5">
              <w:t>ales</w:t>
            </w:r>
            <w:r w:rsidR="004B061D">
              <w:t>.</w:t>
            </w:r>
          </w:p>
          <w:p w14:paraId="3B286145" w14:textId="21F64D1E" w:rsidR="00773B34" w:rsidRPr="00773B34" w:rsidRDefault="2FDD8149" w:rsidP="00E4551D">
            <w:pPr>
              <w:pStyle w:val="BodyText"/>
            </w:pPr>
            <w:r>
              <w:t>The final gaming machine tax rates will deliver the same effective rates as Victoria</w:t>
            </w:r>
            <w:r w:rsidR="38317715">
              <w:t>.</w:t>
            </w:r>
          </w:p>
          <w:p w14:paraId="61BFD538" w14:textId="0AC7017A" w:rsidR="000D26C2" w:rsidRDefault="2FDD8149" w:rsidP="00E4551D">
            <w:pPr>
              <w:pStyle w:val="BodyText"/>
            </w:pPr>
            <w:r>
              <w:t xml:space="preserve">The </w:t>
            </w:r>
            <w:r w:rsidR="00AF0E5F" w:rsidRPr="00AF0E5F">
              <w:t xml:space="preserve">duty rate </w:t>
            </w:r>
            <w:r w:rsidR="0084542D">
              <w:t>for The Star’s gaming machines is currently</w:t>
            </w:r>
            <w:r w:rsidR="007338C0">
              <w:t xml:space="preserve"> 20.91 per cent</w:t>
            </w:r>
            <w:r w:rsidR="00A62EEA">
              <w:t>, rising</w:t>
            </w:r>
            <w:r w:rsidR="00AF0E5F" w:rsidRPr="00AF0E5F">
              <w:t xml:space="preserve"> to 21.91</w:t>
            </w:r>
            <w:r w:rsidR="004D4A49">
              <w:t> </w:t>
            </w:r>
            <w:r w:rsidR="00AF0E5F" w:rsidRPr="00AF0E5F">
              <w:t>per</w:t>
            </w:r>
            <w:r w:rsidR="004D4A49">
              <w:t> </w:t>
            </w:r>
            <w:r w:rsidR="00AF0E5F" w:rsidRPr="00AF0E5F">
              <w:t>cent from 1 July 2024, and then to 22.91 per cent from 1 July 2027.</w:t>
            </w:r>
            <w:r w:rsidR="009B6520">
              <w:t xml:space="preserve"> </w:t>
            </w:r>
            <w:r>
              <w:t>From 1</w:t>
            </w:r>
            <w:r w:rsidR="0007243E">
              <w:t> </w:t>
            </w:r>
            <w:r>
              <w:t>July</w:t>
            </w:r>
            <w:r w:rsidR="0007243E">
              <w:t> </w:t>
            </w:r>
            <w:r>
              <w:t>2030, the following marginal duty rates will be applied to electronic gaming machines:</w:t>
            </w:r>
          </w:p>
          <w:tbl>
            <w:tblPr>
              <w:tblStyle w:val="TableGrid"/>
              <w:tblW w:w="0" w:type="auto"/>
              <w:jc w:val="center"/>
              <w:tblLayout w:type="fixed"/>
              <w:tblLook w:val="04A0" w:firstRow="1" w:lastRow="0" w:firstColumn="1" w:lastColumn="0" w:noHBand="0" w:noVBand="1"/>
            </w:tblPr>
            <w:tblGrid>
              <w:gridCol w:w="4508"/>
              <w:gridCol w:w="4508"/>
            </w:tblGrid>
            <w:tr w:rsidR="00204291" w:rsidRPr="00773B34" w14:paraId="4DBC3CDD" w14:textId="77777777">
              <w:trPr>
                <w:jc w:val="center"/>
              </w:trPr>
              <w:tc>
                <w:tcPr>
                  <w:tcW w:w="4508" w:type="dxa"/>
                </w:tcPr>
                <w:p w14:paraId="6AD45955" w14:textId="77777777" w:rsidR="00204291" w:rsidRPr="00F7139A" w:rsidRDefault="00204291" w:rsidP="00204291">
                  <w:pPr>
                    <w:rPr>
                      <w:rFonts w:ascii="Public Sans" w:hAnsi="Public Sans"/>
                      <w:sz w:val="18"/>
                      <w:szCs w:val="18"/>
                    </w:rPr>
                  </w:pPr>
                  <w:r>
                    <w:rPr>
                      <w:rFonts w:ascii="Public Sans" w:hAnsi="Public Sans"/>
                      <w:sz w:val="18"/>
                      <w:szCs w:val="18"/>
                    </w:rPr>
                    <w:t>Monthly</w:t>
                  </w:r>
                  <w:r w:rsidRPr="00F7139A">
                    <w:rPr>
                      <w:rFonts w:ascii="Public Sans" w:hAnsi="Public Sans"/>
                      <w:sz w:val="18"/>
                      <w:szCs w:val="18"/>
                    </w:rPr>
                    <w:t xml:space="preserve"> Average</w:t>
                  </w:r>
                  <w:r>
                    <w:rPr>
                      <w:rFonts w:ascii="Public Sans" w:hAnsi="Public Sans"/>
                      <w:sz w:val="18"/>
                      <w:szCs w:val="18"/>
                    </w:rPr>
                    <w:t xml:space="preserve"> Revenue (applied per</w:t>
                  </w:r>
                  <w:r w:rsidRPr="00F7139A">
                    <w:rPr>
                      <w:rFonts w:ascii="Public Sans" w:hAnsi="Public Sans"/>
                      <w:sz w:val="18"/>
                      <w:szCs w:val="18"/>
                    </w:rPr>
                    <w:t xml:space="preserve"> </w:t>
                  </w:r>
                  <w:r>
                    <w:rPr>
                      <w:rFonts w:ascii="Public Sans" w:hAnsi="Public Sans"/>
                      <w:sz w:val="18"/>
                      <w:szCs w:val="18"/>
                    </w:rPr>
                    <w:t>g</w:t>
                  </w:r>
                  <w:r w:rsidRPr="00F7139A">
                    <w:rPr>
                      <w:rFonts w:ascii="Public Sans" w:hAnsi="Public Sans"/>
                      <w:sz w:val="18"/>
                      <w:szCs w:val="18"/>
                    </w:rPr>
                    <w:t xml:space="preserve">aming </w:t>
                  </w:r>
                  <w:r>
                    <w:rPr>
                      <w:rFonts w:ascii="Public Sans" w:hAnsi="Public Sans"/>
                      <w:sz w:val="18"/>
                      <w:szCs w:val="18"/>
                    </w:rPr>
                    <w:t>m</w:t>
                  </w:r>
                  <w:r w:rsidRPr="00F7139A">
                    <w:rPr>
                      <w:rFonts w:ascii="Public Sans" w:hAnsi="Public Sans"/>
                      <w:sz w:val="18"/>
                      <w:szCs w:val="18"/>
                    </w:rPr>
                    <w:t>achine</w:t>
                  </w:r>
                  <w:r>
                    <w:rPr>
                      <w:rFonts w:ascii="Public Sans" w:hAnsi="Public Sans"/>
                      <w:sz w:val="18"/>
                      <w:szCs w:val="18"/>
                    </w:rPr>
                    <w:t>)</w:t>
                  </w:r>
                </w:p>
              </w:tc>
              <w:tc>
                <w:tcPr>
                  <w:tcW w:w="4508" w:type="dxa"/>
                </w:tcPr>
                <w:p w14:paraId="6F73EF9D" w14:textId="77777777" w:rsidR="00204291" w:rsidRPr="00F7139A" w:rsidRDefault="00204291" w:rsidP="00204291">
                  <w:pPr>
                    <w:rPr>
                      <w:rFonts w:ascii="Public Sans" w:hAnsi="Public Sans"/>
                      <w:sz w:val="18"/>
                      <w:szCs w:val="18"/>
                    </w:rPr>
                  </w:pPr>
                  <w:r>
                    <w:rPr>
                      <w:rFonts w:ascii="Public Sans" w:hAnsi="Public Sans"/>
                      <w:sz w:val="18"/>
                      <w:szCs w:val="18"/>
                    </w:rPr>
                    <w:t>Tax</w:t>
                  </w:r>
                  <w:r w:rsidRPr="00F7139A">
                    <w:rPr>
                      <w:rFonts w:ascii="Public Sans" w:hAnsi="Public Sans"/>
                      <w:sz w:val="18"/>
                      <w:szCs w:val="18"/>
                    </w:rPr>
                    <w:t xml:space="preserve"> Rate (excluding GST)</w:t>
                  </w:r>
                </w:p>
              </w:tc>
            </w:tr>
            <w:tr w:rsidR="00204291" w:rsidRPr="00773B34" w14:paraId="1F0D4133" w14:textId="77777777">
              <w:trPr>
                <w:jc w:val="center"/>
              </w:trPr>
              <w:tc>
                <w:tcPr>
                  <w:tcW w:w="4508" w:type="dxa"/>
                </w:tcPr>
                <w:p w14:paraId="4977DA9A"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Less than $2,666</w:t>
                  </w:r>
                </w:p>
              </w:tc>
              <w:tc>
                <w:tcPr>
                  <w:tcW w:w="4508" w:type="dxa"/>
                </w:tcPr>
                <w:p w14:paraId="160A2A81"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0.0 per cent</w:t>
                  </w:r>
                </w:p>
              </w:tc>
            </w:tr>
            <w:tr w:rsidR="00204291" w:rsidRPr="00773B34" w14:paraId="1ADA6E90" w14:textId="77777777">
              <w:trPr>
                <w:jc w:val="center"/>
              </w:trPr>
              <w:tc>
                <w:tcPr>
                  <w:tcW w:w="4508" w:type="dxa"/>
                </w:tcPr>
                <w:p w14:paraId="5A8B0D0E"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 xml:space="preserve">$2,666 or more and less than $6,667 </w:t>
                  </w:r>
                </w:p>
              </w:tc>
              <w:tc>
                <w:tcPr>
                  <w:tcW w:w="4508" w:type="dxa"/>
                </w:tcPr>
                <w:p w14:paraId="2380AF86"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37.6 per cent</w:t>
                  </w:r>
                </w:p>
              </w:tc>
            </w:tr>
            <w:tr w:rsidR="00204291" w:rsidRPr="00773B34" w14:paraId="4BD567E6" w14:textId="77777777">
              <w:trPr>
                <w:jc w:val="center"/>
              </w:trPr>
              <w:tc>
                <w:tcPr>
                  <w:tcW w:w="4508" w:type="dxa"/>
                </w:tcPr>
                <w:p w14:paraId="48D05DB5"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 xml:space="preserve">$6,667 or more and less than $12,500 </w:t>
                  </w:r>
                </w:p>
              </w:tc>
              <w:tc>
                <w:tcPr>
                  <w:tcW w:w="4508" w:type="dxa"/>
                </w:tcPr>
                <w:p w14:paraId="7CA7C8F5"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42.1 per cent</w:t>
                  </w:r>
                </w:p>
              </w:tc>
            </w:tr>
            <w:tr w:rsidR="00204291" w:rsidRPr="00773B34" w14:paraId="6543410B" w14:textId="77777777">
              <w:trPr>
                <w:jc w:val="center"/>
              </w:trPr>
              <w:tc>
                <w:tcPr>
                  <w:tcW w:w="4508" w:type="dxa"/>
                </w:tcPr>
                <w:p w14:paraId="54FFB6FF"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$12,500 or more</w:t>
                  </w:r>
                </w:p>
              </w:tc>
              <w:tc>
                <w:tcPr>
                  <w:tcW w:w="4508" w:type="dxa"/>
                </w:tcPr>
                <w:p w14:paraId="711C49AC"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51.6 per cent</w:t>
                  </w:r>
                </w:p>
              </w:tc>
            </w:tr>
          </w:tbl>
          <w:p w14:paraId="7CB8326C" w14:textId="455B97EE" w:rsidR="00F7139A" w:rsidRPr="00773B34" w:rsidRDefault="00F7139A" w:rsidP="00014057"/>
          <w:p w14:paraId="2712573A" w14:textId="6E4D2F1C" w:rsidR="00773B34" w:rsidRPr="00773B34" w:rsidRDefault="2FDD8149" w:rsidP="00E4551D">
            <w:pPr>
              <w:pStyle w:val="BodyText"/>
            </w:pPr>
            <w:r>
              <w:lastRenderedPageBreak/>
              <w:t xml:space="preserve">The agreement includes an additional levy of 35 per cent on total gaming revenue that exceeds $1.125 billion in a financial year. This levy applies in addition to other duty rates and will operate </w:t>
            </w:r>
            <w:r w:rsidR="005E631F">
              <w:t>from</w:t>
            </w:r>
            <w:r>
              <w:t xml:space="preserve"> 1 July 2023 to 30 June 2030. </w:t>
            </w:r>
            <w:r w:rsidR="000A389E">
              <w:t>This structure preserves a base level of revenue for The Star, while providing the Government with a share of any upside in The</w:t>
            </w:r>
            <w:r w:rsidR="00097239">
              <w:t> </w:t>
            </w:r>
            <w:r w:rsidR="000A389E">
              <w:t>Star’s financial performance.</w:t>
            </w:r>
            <w:r>
              <w:t xml:space="preserve"> </w:t>
            </w:r>
          </w:p>
          <w:p w14:paraId="4279CBD6" w14:textId="5E7EE603" w:rsidR="00773B34" w:rsidRPr="00D10D16" w:rsidRDefault="2FDD8149" w:rsidP="00E4551D">
            <w:pPr>
              <w:pStyle w:val="Headinginbox"/>
            </w:pPr>
            <w:r w:rsidRPr="00D10D16">
              <w:t>Supporting more than 3</w:t>
            </w:r>
            <w:r w:rsidR="725F5348" w:rsidRPr="00D10D16">
              <w:t>,</w:t>
            </w:r>
            <w:r w:rsidRPr="00D10D16">
              <w:t>000 N</w:t>
            </w:r>
            <w:r w:rsidR="000F56A2">
              <w:t xml:space="preserve">ew </w:t>
            </w:r>
            <w:r w:rsidRPr="00D10D16">
              <w:t>S</w:t>
            </w:r>
            <w:r w:rsidR="000F56A2">
              <w:t xml:space="preserve">outh </w:t>
            </w:r>
            <w:r w:rsidRPr="00D10D16">
              <w:t>W</w:t>
            </w:r>
            <w:r w:rsidR="000F56A2">
              <w:t>ales</w:t>
            </w:r>
            <w:r w:rsidRPr="00D10D16">
              <w:t xml:space="preserve"> jobs with a jobs guarantee</w:t>
            </w:r>
          </w:p>
          <w:p w14:paraId="558DB79E" w14:textId="3EA25544" w:rsidR="00773B34" w:rsidRPr="00773B34" w:rsidRDefault="00773B34" w:rsidP="00E4551D">
            <w:pPr>
              <w:pStyle w:val="BodyText"/>
            </w:pPr>
            <w:r w:rsidRPr="00773B34">
              <w:t xml:space="preserve">As part of the </w:t>
            </w:r>
            <w:r w:rsidR="00A76600">
              <w:t>agreement</w:t>
            </w:r>
            <w:r w:rsidRPr="00773B34">
              <w:t xml:space="preserve"> with </w:t>
            </w:r>
            <w:r w:rsidR="00A76600">
              <w:t>T</w:t>
            </w:r>
            <w:r w:rsidRPr="00773B34">
              <w:t>he Star, more than 3,000 N</w:t>
            </w:r>
            <w:r w:rsidR="000F56A2">
              <w:t xml:space="preserve">ew </w:t>
            </w:r>
            <w:r w:rsidRPr="00773B34">
              <w:t>S</w:t>
            </w:r>
            <w:r w:rsidR="000F56A2">
              <w:t xml:space="preserve">outh </w:t>
            </w:r>
            <w:r w:rsidRPr="00773B34">
              <w:t>W</w:t>
            </w:r>
            <w:r w:rsidR="000F56A2">
              <w:t>ales</w:t>
            </w:r>
            <w:r w:rsidRPr="00773B34">
              <w:t xml:space="preserve"> jobs will be protected by the jobs guarantee agreement. If The Star became unviable, jobs in businesses that provide goods and services to the </w:t>
            </w:r>
            <w:r w:rsidR="00F16DC3">
              <w:t>c</w:t>
            </w:r>
            <w:r w:rsidRPr="00773B34">
              <w:t>asino would also be at risk</w:t>
            </w:r>
            <w:r w:rsidR="00CB19BA">
              <w:t xml:space="preserve">, including those in </w:t>
            </w:r>
            <w:r w:rsidR="00F470C2">
              <w:t xml:space="preserve">other sectors of the economy </w:t>
            </w:r>
            <w:r w:rsidR="00C5520F">
              <w:t>that</w:t>
            </w:r>
            <w:r w:rsidR="00F470C2">
              <w:t xml:space="preserve"> service </w:t>
            </w:r>
            <w:r w:rsidR="00C11F8A">
              <w:t>its hotel and restaurants.</w:t>
            </w:r>
          </w:p>
          <w:p w14:paraId="38CA114C" w14:textId="389D78B3" w:rsidR="00773B34" w:rsidRDefault="00D949DB" w:rsidP="00E4551D">
            <w:pPr>
              <w:pStyle w:val="BodyText"/>
            </w:pPr>
            <w:r>
              <w:t xml:space="preserve">Under the jobs guarantee, </w:t>
            </w:r>
            <w:r w:rsidR="00773B34" w:rsidRPr="00773B34">
              <w:t xml:space="preserve">The </w:t>
            </w:r>
            <w:r w:rsidR="00A87176">
              <w:t xml:space="preserve">Star </w:t>
            </w:r>
            <w:r>
              <w:t>will</w:t>
            </w:r>
            <w:r w:rsidR="00A87176">
              <w:t xml:space="preserve"> maintain an agreed number of employees and an agreed mix </w:t>
            </w:r>
            <w:r w:rsidR="0078622B">
              <w:t xml:space="preserve">of </w:t>
            </w:r>
            <w:r>
              <w:t xml:space="preserve">full-time, part-time and casual workers. </w:t>
            </w:r>
            <w:r w:rsidR="00C93AC9">
              <w:t xml:space="preserve">If </w:t>
            </w:r>
            <w:r w:rsidR="00971423">
              <w:t xml:space="preserve">the </w:t>
            </w:r>
            <w:r w:rsidR="00971423" w:rsidRPr="00971423">
              <w:t>agreement</w:t>
            </w:r>
            <w:r w:rsidR="00971423">
              <w:t xml:space="preserve"> is not maintained</w:t>
            </w:r>
            <w:r w:rsidR="00CB2AEF">
              <w:t xml:space="preserve">, </w:t>
            </w:r>
            <w:r w:rsidR="00773B34" w:rsidRPr="00773B34">
              <w:t xml:space="preserve">The Star will </w:t>
            </w:r>
            <w:r w:rsidR="007E1B93">
              <w:t xml:space="preserve">pay </w:t>
            </w:r>
            <w:r>
              <w:t>the Government</w:t>
            </w:r>
            <w:r w:rsidR="007E1B93">
              <w:t xml:space="preserve"> up to</w:t>
            </w:r>
            <w:r w:rsidR="00773B34" w:rsidRPr="00773B34">
              <w:t xml:space="preserve"> $100,000 per quarter for each job and up to $1</w:t>
            </w:r>
            <w:r w:rsidR="0078622B">
              <w:t> </w:t>
            </w:r>
            <w:r w:rsidR="00773B34" w:rsidRPr="00773B34">
              <w:t xml:space="preserve">million per quarter if the </w:t>
            </w:r>
            <w:r w:rsidR="00D93AB0">
              <w:t xml:space="preserve">agreed mix of workers is </w:t>
            </w:r>
            <w:r w:rsidR="00773B34" w:rsidRPr="00773B34">
              <w:t xml:space="preserve">not maintained. </w:t>
            </w:r>
          </w:p>
          <w:p w14:paraId="3E156376" w14:textId="36871416" w:rsidR="00837FA5" w:rsidRPr="00D10D16" w:rsidRDefault="00DA632C" w:rsidP="00E4551D">
            <w:pPr>
              <w:pStyle w:val="Headinginbox"/>
            </w:pPr>
            <w:r w:rsidRPr="00D10D16">
              <w:t>Cashless gaming</w:t>
            </w:r>
          </w:p>
          <w:p w14:paraId="6AF811FF" w14:textId="314F37B1" w:rsidR="00211D9F" w:rsidRPr="00C20D6D" w:rsidRDefault="00DA632C" w:rsidP="00E4551D">
            <w:pPr>
              <w:pStyle w:val="BodyText"/>
            </w:pPr>
            <w:r>
              <w:t xml:space="preserve">The Star has agreed to introduce </w:t>
            </w:r>
            <w:r w:rsidR="001D4DCD">
              <w:t>50</w:t>
            </w:r>
            <w:r>
              <w:t xml:space="preserve"> cashless gaming </w:t>
            </w:r>
            <w:r w:rsidR="008400B1" w:rsidRPr="008400B1">
              <w:t xml:space="preserve">machines and </w:t>
            </w:r>
            <w:r w:rsidR="00F5553E">
              <w:t>eight</w:t>
            </w:r>
            <w:r w:rsidR="008400B1" w:rsidRPr="008400B1">
              <w:t xml:space="preserve"> cashless gaming tables in high-traffic areas from 31 October 2023.</w:t>
            </w:r>
            <w:r w:rsidR="004674CE">
              <w:t xml:space="preserve"> </w:t>
            </w:r>
            <w:r w:rsidR="004674CE" w:rsidRPr="004674CE">
              <w:rPr>
                <w:lang w:val="en-US"/>
              </w:rPr>
              <w:t>This commitment is in addition to existing legislative requirements that all gaming machines at The Star will be cashless by 30</w:t>
            </w:r>
            <w:r w:rsidR="00F97CC7">
              <w:rPr>
                <w:lang w:val="en-US"/>
              </w:rPr>
              <w:t> </w:t>
            </w:r>
            <w:r w:rsidR="004674CE" w:rsidRPr="004674CE">
              <w:rPr>
                <w:lang w:val="en-US"/>
              </w:rPr>
              <w:t>August</w:t>
            </w:r>
            <w:r w:rsidR="00F97CC7">
              <w:rPr>
                <w:lang w:val="en-US"/>
              </w:rPr>
              <w:t> </w:t>
            </w:r>
            <w:r w:rsidR="004674CE" w:rsidRPr="004674CE">
              <w:rPr>
                <w:lang w:val="en-US"/>
              </w:rPr>
              <w:t>2024.</w:t>
            </w:r>
            <w:r w:rsidR="008400B1" w:rsidRPr="008400B1">
              <w:t> </w:t>
            </w:r>
            <w:r w:rsidR="009F3892">
              <w:t xml:space="preserve"> </w:t>
            </w:r>
          </w:p>
        </w:tc>
      </w:tr>
    </w:tbl>
    <w:p w14:paraId="2CA74DE4" w14:textId="77777777" w:rsidR="00E20E38" w:rsidRDefault="00E20E38" w:rsidP="000E1196">
      <w:pPr>
        <w:rPr>
          <w:rFonts w:eastAsiaTheme="minorEastAsia"/>
        </w:rPr>
      </w:pPr>
    </w:p>
    <w:p w14:paraId="36ED5FE1" w14:textId="77777777" w:rsidR="00E90BEE" w:rsidRPr="00343FA3" w:rsidRDefault="00E90BEE" w:rsidP="00E90BEE">
      <w:pPr>
        <w:pStyle w:val="Heading3"/>
        <w:rPr>
          <w:rFonts w:eastAsiaTheme="minorHAnsi"/>
        </w:rPr>
      </w:pPr>
      <w:r w:rsidRPr="00343FA3">
        <w:rPr>
          <w:rFonts w:eastAsiaTheme="minorEastAsia"/>
        </w:rPr>
        <w:t xml:space="preserve">Taxes on motor vehicle ownership and operation </w:t>
      </w:r>
    </w:p>
    <w:p w14:paraId="7A52A890" w14:textId="25B13918" w:rsidR="007A3BB1" w:rsidRPr="00452AC3" w:rsidRDefault="26CC3622" w:rsidP="00452AC3">
      <w:pPr>
        <w:pStyle w:val="Heading3"/>
        <w:rPr>
          <w:rFonts w:ascii="Public Sans" w:hAnsi="Public Sans" w:cs="Arial"/>
          <w:b w:val="0"/>
          <w:color w:val="auto"/>
          <w:kern w:val="0"/>
          <w:sz w:val="22"/>
          <w:szCs w:val="22"/>
        </w:rPr>
      </w:pPr>
      <w:r w:rsidRPr="00A65FD1">
        <w:rPr>
          <w:rFonts w:ascii="Public Sans" w:hAnsi="Public Sans" w:cs="Arial"/>
          <w:b w:val="0"/>
          <w:color w:val="auto"/>
          <w:sz w:val="22"/>
          <w:szCs w:val="22"/>
        </w:rPr>
        <w:t>Motor vehicle taxes are expected to be $</w:t>
      </w:r>
      <w:r w:rsidRPr="00813871">
        <w:rPr>
          <w:rFonts w:ascii="Public Sans" w:hAnsi="Public Sans" w:cs="Arial"/>
          <w:b w:val="0"/>
          <w:color w:val="auto"/>
          <w:sz w:val="22"/>
          <w:szCs w:val="22"/>
        </w:rPr>
        <w:t>3.1</w:t>
      </w:r>
      <w:r w:rsidRPr="00A65FD1">
        <w:rPr>
          <w:rFonts w:ascii="Public Sans" w:hAnsi="Public Sans" w:cs="Arial"/>
          <w:b w:val="0"/>
          <w:color w:val="auto"/>
          <w:sz w:val="22"/>
          <w:szCs w:val="22"/>
        </w:rPr>
        <w:t xml:space="preserve"> billion in 2023-24, </w:t>
      </w:r>
      <w:r w:rsidR="00422EEF">
        <w:rPr>
          <w:rFonts w:ascii="Public Sans" w:hAnsi="Public Sans" w:cs="Arial"/>
          <w:b w:val="0"/>
          <w:color w:val="auto"/>
          <w:sz w:val="22"/>
          <w:szCs w:val="22"/>
        </w:rPr>
        <w:t>marking an increase of</w:t>
      </w:r>
      <w:r w:rsidRPr="00A65FD1">
        <w:rPr>
          <w:rFonts w:ascii="Public Sans" w:hAnsi="Public Sans" w:cs="Arial"/>
          <w:b w:val="0"/>
          <w:color w:val="auto"/>
          <w:sz w:val="22"/>
          <w:szCs w:val="22"/>
        </w:rPr>
        <w:t xml:space="preserve"> $</w:t>
      </w:r>
      <w:r w:rsidR="00753D67">
        <w:rPr>
          <w:rFonts w:ascii="Public Sans" w:hAnsi="Public Sans" w:cs="Arial"/>
          <w:b w:val="0"/>
          <w:color w:val="auto"/>
          <w:sz w:val="22"/>
          <w:szCs w:val="22"/>
        </w:rPr>
        <w:t>71</w:t>
      </w:r>
      <w:r w:rsidR="00BC6C68" w:rsidRPr="00813871">
        <w:rPr>
          <w:rFonts w:ascii="Public Sans" w:hAnsi="Public Sans" w:cs="Arial"/>
          <w:b w:val="0"/>
          <w:color w:val="auto"/>
          <w:sz w:val="22"/>
          <w:szCs w:val="22"/>
        </w:rPr>
        <w:t>.7</w:t>
      </w:r>
      <w:r w:rsidR="007A3BB1">
        <w:rPr>
          <w:rFonts w:ascii="Public Sans" w:hAnsi="Public Sans" w:cs="Arial"/>
          <w:b w:val="0"/>
          <w:color w:val="auto"/>
          <w:sz w:val="22"/>
          <w:szCs w:val="22"/>
        </w:rPr>
        <w:t> </w:t>
      </w:r>
      <w:r w:rsidRPr="005F5955">
        <w:rPr>
          <w:rFonts w:ascii="Public Sans" w:hAnsi="Public Sans" w:cs="Arial"/>
          <w:b w:val="0"/>
          <w:color w:val="auto"/>
          <w:sz w:val="22"/>
          <w:szCs w:val="22"/>
        </w:rPr>
        <w:t>million</w:t>
      </w:r>
      <w:r w:rsidRPr="005F5955" w:rsidDel="00260545">
        <w:rPr>
          <w:rFonts w:ascii="Public Sans" w:hAnsi="Public Sans" w:cs="Arial"/>
          <w:b w:val="0"/>
          <w:color w:val="auto"/>
          <w:sz w:val="22"/>
          <w:szCs w:val="22"/>
        </w:rPr>
        <w:t xml:space="preserve"> </w:t>
      </w:r>
      <w:r w:rsidR="53077796" w:rsidRPr="1ED9FEAA">
        <w:rPr>
          <w:rFonts w:ascii="Public Sans" w:hAnsi="Public Sans" w:cs="Arial"/>
          <w:b w:val="0"/>
          <w:color w:val="auto"/>
          <w:sz w:val="22"/>
          <w:szCs w:val="22"/>
        </w:rPr>
        <w:t>compared to the 2023 Pre-election Budget Update</w:t>
      </w:r>
      <w:r w:rsidRPr="005F5955">
        <w:rPr>
          <w:rFonts w:ascii="Public Sans" w:hAnsi="Public Sans" w:cs="Arial"/>
          <w:b w:val="0"/>
          <w:color w:val="auto"/>
          <w:sz w:val="22"/>
          <w:szCs w:val="22"/>
        </w:rPr>
        <w:t xml:space="preserve">. </w:t>
      </w:r>
      <w:r w:rsidR="00565036" w:rsidRPr="00565036">
        <w:rPr>
          <w:rFonts w:ascii="Public Sans" w:hAnsi="Public Sans" w:cs="Arial"/>
          <w:b w:val="0"/>
          <w:color w:val="auto"/>
          <w:sz w:val="22"/>
          <w:szCs w:val="22"/>
          <w:lang w:val="en-US"/>
        </w:rPr>
        <w:t>Projections for</w:t>
      </w:r>
      <w:r w:rsidRPr="00565036">
        <w:rPr>
          <w:rFonts w:ascii="Public Sans" w:hAnsi="Public Sans" w:cs="Arial"/>
          <w:b w:val="0"/>
          <w:color w:val="auto"/>
          <w:sz w:val="22"/>
          <w:szCs w:val="22"/>
          <w:lang w:val="en-US"/>
        </w:rPr>
        <w:t xml:space="preserve"> motor vehicle taxes have </w:t>
      </w:r>
      <w:r w:rsidR="465010F8" w:rsidRPr="00565036">
        <w:rPr>
          <w:rFonts w:ascii="Public Sans" w:hAnsi="Public Sans" w:cs="Arial"/>
          <w:b w:val="0"/>
          <w:color w:val="auto"/>
          <w:sz w:val="22"/>
          <w:szCs w:val="22"/>
          <w:lang w:val="en-US"/>
        </w:rPr>
        <w:t xml:space="preserve">been </w:t>
      </w:r>
      <w:r w:rsidR="465010F8">
        <w:rPr>
          <w:rFonts w:ascii="Public Sans" w:hAnsi="Public Sans" w:cs="Arial"/>
          <w:b w:val="0"/>
          <w:color w:val="auto"/>
          <w:sz w:val="22"/>
          <w:szCs w:val="22"/>
          <w:lang w:val="en-US"/>
        </w:rPr>
        <w:t xml:space="preserve">revised </w:t>
      </w:r>
      <w:r w:rsidR="00B61306">
        <w:rPr>
          <w:rFonts w:ascii="Public Sans" w:hAnsi="Public Sans" w:cs="Arial"/>
          <w:b w:val="0"/>
          <w:color w:val="auto"/>
          <w:sz w:val="22"/>
          <w:szCs w:val="22"/>
          <w:lang w:val="en-US"/>
        </w:rPr>
        <w:t>up</w:t>
      </w:r>
      <w:r w:rsidRPr="00565036">
        <w:rPr>
          <w:rFonts w:ascii="Public Sans" w:hAnsi="Public Sans" w:cs="Arial"/>
          <w:b w:val="0"/>
          <w:color w:val="auto"/>
          <w:sz w:val="22"/>
          <w:szCs w:val="22"/>
          <w:lang w:val="en-US"/>
        </w:rPr>
        <w:t xml:space="preserve"> by $</w:t>
      </w:r>
      <w:r w:rsidR="00753D67">
        <w:rPr>
          <w:rFonts w:ascii="Public Sans" w:hAnsi="Public Sans" w:cs="Arial"/>
          <w:b w:val="0"/>
          <w:color w:val="auto"/>
          <w:sz w:val="22"/>
          <w:szCs w:val="22"/>
          <w:lang w:val="en-US"/>
        </w:rPr>
        <w:t>531.0</w:t>
      </w:r>
      <w:r w:rsidRPr="00565036">
        <w:rPr>
          <w:rFonts w:ascii="Public Sans" w:hAnsi="Public Sans" w:cs="Arial"/>
          <w:b w:val="0"/>
          <w:color w:val="auto"/>
          <w:sz w:val="22"/>
          <w:szCs w:val="22"/>
          <w:lang w:val="en-US"/>
        </w:rPr>
        <w:t xml:space="preserve"> million</w:t>
      </w:r>
      <w:r w:rsidRPr="00565036" w:rsidDel="00260545">
        <w:rPr>
          <w:rFonts w:ascii="Public Sans" w:hAnsi="Public Sans" w:cs="Arial"/>
          <w:b w:val="0"/>
          <w:color w:val="auto"/>
          <w:sz w:val="22"/>
          <w:szCs w:val="22"/>
          <w:lang w:val="en-US"/>
        </w:rPr>
        <w:t xml:space="preserve"> </w:t>
      </w:r>
      <w:r w:rsidRPr="00565036">
        <w:rPr>
          <w:rFonts w:ascii="Public Sans" w:hAnsi="Public Sans" w:cs="Arial"/>
          <w:b w:val="0"/>
          <w:color w:val="auto"/>
          <w:sz w:val="22"/>
          <w:szCs w:val="22"/>
          <w:lang w:val="en-US"/>
        </w:rPr>
        <w:t>over f</w:t>
      </w:r>
      <w:r w:rsidR="2EFAA0C3" w:rsidRPr="00565036">
        <w:rPr>
          <w:rFonts w:ascii="Public Sans" w:hAnsi="Public Sans" w:cs="Arial"/>
          <w:b w:val="0"/>
          <w:color w:val="auto"/>
          <w:sz w:val="22"/>
          <w:szCs w:val="22"/>
          <w:lang w:val="en-US"/>
        </w:rPr>
        <w:t>our</w:t>
      </w:r>
      <w:r w:rsidRPr="00565036">
        <w:rPr>
          <w:rFonts w:ascii="Public Sans" w:hAnsi="Public Sans" w:cs="Arial"/>
          <w:b w:val="0"/>
          <w:color w:val="auto"/>
          <w:sz w:val="22"/>
          <w:szCs w:val="22"/>
          <w:lang w:val="en-US"/>
        </w:rPr>
        <w:t xml:space="preserve"> years</w:t>
      </w:r>
      <w:r>
        <w:rPr>
          <w:rFonts w:ascii="Public Sans" w:hAnsi="Public Sans" w:cs="Arial"/>
          <w:b w:val="0"/>
          <w:color w:val="auto"/>
          <w:sz w:val="22"/>
          <w:szCs w:val="22"/>
          <w:lang w:val="en-US"/>
        </w:rPr>
        <w:t xml:space="preserve"> </w:t>
      </w:r>
      <w:r w:rsidRPr="00565036">
        <w:rPr>
          <w:rFonts w:ascii="Public Sans" w:hAnsi="Public Sans" w:cs="Arial"/>
          <w:b w:val="0"/>
          <w:color w:val="auto"/>
          <w:sz w:val="22"/>
          <w:szCs w:val="22"/>
          <w:lang w:val="en-US"/>
        </w:rPr>
        <w:t>to 202</w:t>
      </w:r>
      <w:r w:rsidR="43F44D9A" w:rsidRPr="00565036">
        <w:rPr>
          <w:rFonts w:ascii="Public Sans" w:hAnsi="Public Sans" w:cs="Arial"/>
          <w:b w:val="0"/>
          <w:color w:val="auto"/>
          <w:sz w:val="22"/>
          <w:szCs w:val="22"/>
          <w:lang w:val="en-US"/>
        </w:rPr>
        <w:t>6</w:t>
      </w:r>
      <w:r w:rsidR="00E86EF2" w:rsidRPr="00565036">
        <w:rPr>
          <w:rFonts w:ascii="Public Sans" w:hAnsi="Public Sans" w:cs="Arial"/>
          <w:b w:val="0"/>
          <w:color w:val="auto"/>
          <w:sz w:val="22"/>
          <w:szCs w:val="22"/>
          <w:lang w:val="en-US"/>
        </w:rPr>
        <w:t>-27</w:t>
      </w:r>
      <w:r w:rsidR="00565036" w:rsidRPr="00565036">
        <w:rPr>
          <w:rFonts w:ascii="Public Sans" w:hAnsi="Public Sans" w:cs="Arial"/>
          <w:b w:val="0"/>
          <w:color w:val="auto"/>
          <w:sz w:val="22"/>
          <w:szCs w:val="22"/>
          <w:lang w:val="en-US"/>
        </w:rPr>
        <w:t>. Th</w:t>
      </w:r>
      <w:r w:rsidR="00E84424">
        <w:rPr>
          <w:rFonts w:ascii="Public Sans" w:hAnsi="Public Sans" w:cs="Arial"/>
          <w:b w:val="0"/>
          <w:color w:val="auto"/>
          <w:sz w:val="22"/>
          <w:szCs w:val="22"/>
          <w:lang w:val="en-US"/>
        </w:rPr>
        <w:t>e</w:t>
      </w:r>
      <w:r w:rsidR="00565036" w:rsidRPr="00565036">
        <w:rPr>
          <w:rFonts w:ascii="Public Sans" w:hAnsi="Public Sans" w:cs="Arial"/>
          <w:b w:val="0"/>
          <w:color w:val="auto"/>
          <w:sz w:val="22"/>
          <w:szCs w:val="22"/>
          <w:lang w:val="en-US"/>
        </w:rPr>
        <w:t xml:space="preserve"> revision can be primarily attributed to </w:t>
      </w:r>
      <w:r w:rsidR="00956BDC">
        <w:rPr>
          <w:rFonts w:ascii="Public Sans" w:hAnsi="Public Sans" w:cs="Arial"/>
          <w:b w:val="0"/>
          <w:color w:val="auto"/>
          <w:sz w:val="22"/>
          <w:szCs w:val="22"/>
          <w:lang w:val="en-US"/>
        </w:rPr>
        <w:t xml:space="preserve">strong </w:t>
      </w:r>
      <w:r w:rsidR="00565036" w:rsidRPr="00565036">
        <w:rPr>
          <w:rFonts w:ascii="Public Sans" w:hAnsi="Public Sans" w:cs="Arial"/>
          <w:b w:val="0"/>
          <w:color w:val="auto"/>
          <w:sz w:val="22"/>
          <w:szCs w:val="22"/>
          <w:lang w:val="en-US"/>
        </w:rPr>
        <w:t xml:space="preserve">growth in the </w:t>
      </w:r>
      <w:r w:rsidRPr="00565036">
        <w:rPr>
          <w:rFonts w:ascii="Public Sans" w:hAnsi="Public Sans" w:cs="Arial"/>
          <w:b w:val="0"/>
          <w:color w:val="auto"/>
          <w:sz w:val="22"/>
          <w:szCs w:val="22"/>
          <w:lang w:val="en-US"/>
        </w:rPr>
        <w:t xml:space="preserve">vehicle fleet </w:t>
      </w:r>
      <w:r w:rsidR="2D6E4CA3" w:rsidRPr="00565036">
        <w:rPr>
          <w:rFonts w:ascii="Public Sans" w:hAnsi="Public Sans" w:cs="Arial"/>
          <w:b w:val="0"/>
          <w:color w:val="auto"/>
          <w:sz w:val="22"/>
          <w:szCs w:val="22"/>
          <w:lang w:val="en-US"/>
        </w:rPr>
        <w:t xml:space="preserve">and </w:t>
      </w:r>
      <w:r w:rsidR="00565036" w:rsidRPr="00565036">
        <w:rPr>
          <w:rFonts w:ascii="Public Sans" w:hAnsi="Public Sans" w:cs="Arial"/>
          <w:b w:val="0"/>
          <w:color w:val="auto"/>
          <w:sz w:val="22"/>
          <w:szCs w:val="22"/>
          <w:lang w:val="en-US"/>
        </w:rPr>
        <w:t xml:space="preserve">the </w:t>
      </w:r>
      <w:r w:rsidR="00A143C8">
        <w:rPr>
          <w:rFonts w:ascii="Public Sans" w:hAnsi="Public Sans" w:cs="Arial"/>
          <w:b w:val="0"/>
          <w:color w:val="auto"/>
          <w:sz w:val="22"/>
          <w:szCs w:val="22"/>
          <w:lang w:val="en-US"/>
        </w:rPr>
        <w:t>forecast</w:t>
      </w:r>
      <w:r w:rsidR="00A143C8" w:rsidRPr="00565036">
        <w:rPr>
          <w:rFonts w:ascii="Public Sans" w:hAnsi="Public Sans" w:cs="Arial"/>
          <w:b w:val="0"/>
          <w:color w:val="auto"/>
          <w:sz w:val="22"/>
          <w:szCs w:val="22"/>
          <w:lang w:val="en-US"/>
        </w:rPr>
        <w:t xml:space="preserve"> </w:t>
      </w:r>
      <w:r w:rsidRPr="00565036">
        <w:rPr>
          <w:rFonts w:ascii="Public Sans" w:hAnsi="Public Sans" w:cs="Arial"/>
          <w:b w:val="0"/>
          <w:color w:val="auto"/>
          <w:sz w:val="22"/>
          <w:szCs w:val="22"/>
          <w:lang w:val="en-US"/>
        </w:rPr>
        <w:t xml:space="preserve">inflation </w:t>
      </w:r>
      <w:r w:rsidR="00565036" w:rsidRPr="00565036">
        <w:rPr>
          <w:rFonts w:ascii="Public Sans" w:hAnsi="Public Sans" w:cs="Arial"/>
          <w:b w:val="0"/>
          <w:color w:val="auto"/>
          <w:sz w:val="22"/>
          <w:szCs w:val="22"/>
          <w:lang w:val="en-US"/>
        </w:rPr>
        <w:t>rate</w:t>
      </w:r>
      <w:r w:rsidR="00956BDC">
        <w:rPr>
          <w:rFonts w:ascii="Public Sans" w:hAnsi="Public Sans" w:cs="Arial"/>
          <w:b w:val="0"/>
          <w:color w:val="auto"/>
          <w:sz w:val="22"/>
          <w:szCs w:val="22"/>
          <w:lang w:val="en-US"/>
        </w:rPr>
        <w:t xml:space="preserve"> which feeds directly </w:t>
      </w:r>
      <w:r w:rsidR="00FA07C5">
        <w:rPr>
          <w:rFonts w:ascii="Public Sans" w:hAnsi="Public Sans" w:cs="Arial"/>
          <w:b w:val="0"/>
          <w:color w:val="auto"/>
          <w:sz w:val="22"/>
          <w:szCs w:val="22"/>
          <w:lang w:val="en-US"/>
        </w:rPr>
        <w:t>into</w:t>
      </w:r>
      <w:r w:rsidR="00956BDC">
        <w:rPr>
          <w:rFonts w:ascii="Public Sans" w:hAnsi="Public Sans" w:cs="Arial"/>
          <w:b w:val="0"/>
          <w:color w:val="auto"/>
          <w:sz w:val="22"/>
          <w:szCs w:val="22"/>
          <w:lang w:val="en-US"/>
        </w:rPr>
        <w:t xml:space="preserve"> indexation of wei</w:t>
      </w:r>
      <w:r w:rsidR="000A1120">
        <w:rPr>
          <w:rFonts w:ascii="Public Sans" w:hAnsi="Public Sans" w:cs="Arial"/>
          <w:b w:val="0"/>
          <w:color w:val="auto"/>
          <w:sz w:val="22"/>
          <w:szCs w:val="22"/>
          <w:lang w:val="en-US"/>
        </w:rPr>
        <w:t>ght tax rates</w:t>
      </w:r>
      <w:r w:rsidR="00565036" w:rsidRPr="00565036">
        <w:rPr>
          <w:rFonts w:ascii="Public Sans" w:hAnsi="Public Sans" w:cs="Arial"/>
          <w:b w:val="0"/>
          <w:color w:val="auto"/>
          <w:sz w:val="22"/>
          <w:szCs w:val="22"/>
          <w:lang w:val="en-US"/>
        </w:rPr>
        <w:t xml:space="preserve">. </w:t>
      </w:r>
    </w:p>
    <w:p w14:paraId="23197A55" w14:textId="4EC1C295" w:rsidR="00E90BEE" w:rsidRPr="00D02939" w:rsidRDefault="00E90BEE" w:rsidP="00E90BEE">
      <w:pPr>
        <w:pStyle w:val="Heading3"/>
        <w:ind w:left="737" w:hanging="737"/>
      </w:pPr>
      <w:r w:rsidRPr="00D02939">
        <w:t>Other stamp duties</w:t>
      </w:r>
    </w:p>
    <w:bookmarkEnd w:id="3"/>
    <w:p w14:paraId="6460849C" w14:textId="7161F0C0" w:rsidR="00ED2C17" w:rsidRPr="00ED2C17" w:rsidRDefault="00ED2C17" w:rsidP="00E4551D">
      <w:pPr>
        <w:pStyle w:val="BodyText"/>
        <w:rPr>
          <w:i/>
        </w:rPr>
      </w:pPr>
      <w:r>
        <w:t xml:space="preserve">This category incorporates insurance duty and motor vehicle registration duty. </w:t>
      </w:r>
    </w:p>
    <w:p w14:paraId="2AAC7E3D" w14:textId="3D265AC9" w:rsidR="00382F52" w:rsidRDefault="37124276" w:rsidP="00E4551D">
      <w:pPr>
        <w:pStyle w:val="BodyText"/>
      </w:pPr>
      <w:r>
        <w:t xml:space="preserve">Insurance duty revenue is forecast to grow at an average annual rate of </w:t>
      </w:r>
      <w:r w:rsidRPr="00813871">
        <w:t>6.0</w:t>
      </w:r>
      <w:r>
        <w:t xml:space="preserve"> per cent over the four years to 2026-27. </w:t>
      </w:r>
    </w:p>
    <w:p w14:paraId="3BE3CA9C" w14:textId="0BEA027A" w:rsidR="003737E6" w:rsidRPr="003737E6" w:rsidRDefault="007A7D05" w:rsidP="003737E6">
      <w:pPr>
        <w:rPr>
          <w:rFonts w:ascii="Public Sans" w:hAnsi="Public Sans" w:cs="Arial"/>
          <w:sz w:val="22"/>
          <w:lang w:val="en-AU"/>
        </w:rPr>
      </w:pPr>
      <w:r w:rsidRPr="003737E6">
        <w:rPr>
          <w:rFonts w:ascii="Public Sans" w:hAnsi="Public Sans" w:cs="Arial"/>
          <w:sz w:val="22"/>
          <w:lang w:val="en-AU"/>
        </w:rPr>
        <w:t>Motor vehicle registration duty has been revised up by $</w:t>
      </w:r>
      <w:r w:rsidRPr="00813871">
        <w:rPr>
          <w:rFonts w:ascii="Public Sans" w:hAnsi="Public Sans" w:cs="Arial"/>
          <w:sz w:val="22"/>
          <w:lang w:val="en-AU"/>
        </w:rPr>
        <w:t>821.5</w:t>
      </w:r>
      <w:r w:rsidRPr="003737E6">
        <w:rPr>
          <w:rFonts w:ascii="Public Sans" w:hAnsi="Public Sans" w:cs="Arial"/>
          <w:sz w:val="22"/>
          <w:lang w:val="en-AU"/>
        </w:rPr>
        <w:t xml:space="preserve"> million over the four years to 2026-27</w:t>
      </w:r>
      <w:r w:rsidR="003737E6" w:rsidRPr="003737E6">
        <w:rPr>
          <w:rFonts w:ascii="Public Sans" w:hAnsi="Public Sans" w:cs="Arial"/>
          <w:sz w:val="22"/>
          <w:lang w:val="en-AU"/>
        </w:rPr>
        <w:t>, compared to 2023 Pre-</w:t>
      </w:r>
      <w:r w:rsidR="00AA611F">
        <w:rPr>
          <w:rFonts w:ascii="Public Sans" w:hAnsi="Public Sans" w:cs="Arial"/>
          <w:sz w:val="22"/>
          <w:lang w:val="en-AU"/>
        </w:rPr>
        <w:t>e</w:t>
      </w:r>
      <w:r w:rsidR="003737E6" w:rsidRPr="003737E6">
        <w:rPr>
          <w:rFonts w:ascii="Public Sans" w:hAnsi="Public Sans" w:cs="Arial"/>
          <w:sz w:val="22"/>
          <w:lang w:val="en-AU"/>
        </w:rPr>
        <w:t>lection Budget Update.</w:t>
      </w:r>
      <w:r w:rsidRPr="003737E6">
        <w:rPr>
          <w:rFonts w:ascii="Public Sans" w:hAnsi="Public Sans" w:cs="Arial"/>
          <w:sz w:val="22"/>
          <w:lang w:val="en-AU"/>
        </w:rPr>
        <w:t xml:space="preserve"> This </w:t>
      </w:r>
      <w:r w:rsidR="003737E6" w:rsidRPr="003737E6">
        <w:rPr>
          <w:rFonts w:ascii="Public Sans" w:hAnsi="Public Sans" w:cs="Arial"/>
          <w:sz w:val="22"/>
          <w:lang w:val="en-AU"/>
        </w:rPr>
        <w:t xml:space="preserve">movement is attributed </w:t>
      </w:r>
      <w:r w:rsidR="000A1120">
        <w:rPr>
          <w:rFonts w:ascii="Public Sans" w:hAnsi="Public Sans" w:cs="Arial"/>
          <w:sz w:val="22"/>
          <w:lang w:val="en-AU"/>
        </w:rPr>
        <w:t>to</w:t>
      </w:r>
      <w:r w:rsidR="003737E6" w:rsidRPr="003737E6">
        <w:rPr>
          <w:rFonts w:ascii="Public Sans" w:hAnsi="Public Sans" w:cs="Arial"/>
          <w:sz w:val="22"/>
          <w:lang w:val="en-AU"/>
        </w:rPr>
        <w:t xml:space="preserve"> a</w:t>
      </w:r>
      <w:r w:rsidR="001C4655">
        <w:rPr>
          <w:rFonts w:ascii="Public Sans" w:hAnsi="Public Sans" w:cs="Arial"/>
          <w:sz w:val="22"/>
          <w:lang w:val="en-AU"/>
        </w:rPr>
        <w:t>n</w:t>
      </w:r>
      <w:r w:rsidR="003737E6" w:rsidRPr="003737E6">
        <w:rPr>
          <w:rFonts w:ascii="Public Sans" w:hAnsi="Public Sans" w:cs="Arial"/>
          <w:sz w:val="22"/>
          <w:lang w:val="en-AU"/>
        </w:rPr>
        <w:t xml:space="preserve"> adjustment resulting from changes in </w:t>
      </w:r>
      <w:r w:rsidR="00222FBD">
        <w:rPr>
          <w:rFonts w:ascii="Public Sans" w:hAnsi="Public Sans" w:cs="Arial"/>
          <w:sz w:val="22"/>
          <w:lang w:val="en-AU"/>
        </w:rPr>
        <w:t xml:space="preserve">forecast </w:t>
      </w:r>
      <w:r w:rsidR="003737E6" w:rsidRPr="003737E6">
        <w:rPr>
          <w:rFonts w:ascii="Public Sans" w:hAnsi="Public Sans" w:cs="Arial"/>
          <w:sz w:val="22"/>
          <w:lang w:val="en-AU"/>
        </w:rPr>
        <w:t xml:space="preserve">vehicle prices and </w:t>
      </w:r>
      <w:r w:rsidR="00222FBD">
        <w:rPr>
          <w:rFonts w:ascii="Public Sans" w:hAnsi="Public Sans" w:cs="Arial"/>
          <w:sz w:val="22"/>
          <w:lang w:val="en-AU"/>
        </w:rPr>
        <w:t xml:space="preserve">the </w:t>
      </w:r>
      <w:r w:rsidR="003737E6" w:rsidRPr="003737E6">
        <w:rPr>
          <w:rFonts w:ascii="Public Sans" w:hAnsi="Public Sans" w:cs="Arial"/>
          <w:sz w:val="22"/>
          <w:lang w:val="en-AU"/>
        </w:rPr>
        <w:t xml:space="preserve">removal of </w:t>
      </w:r>
      <w:r w:rsidR="00222FBD">
        <w:rPr>
          <w:rFonts w:ascii="Public Sans" w:hAnsi="Public Sans" w:cs="Arial"/>
          <w:sz w:val="22"/>
          <w:lang w:val="en-AU"/>
        </w:rPr>
        <w:t>the EV</w:t>
      </w:r>
      <w:r w:rsidR="003737E6" w:rsidRPr="003737E6">
        <w:rPr>
          <w:rFonts w:ascii="Public Sans" w:hAnsi="Public Sans" w:cs="Arial"/>
          <w:sz w:val="22"/>
          <w:lang w:val="en-AU"/>
        </w:rPr>
        <w:t xml:space="preserve"> stamp duty exemption.</w:t>
      </w:r>
    </w:p>
    <w:p w14:paraId="33D1A7B6" w14:textId="7D0BB06C" w:rsidR="00D02D4F" w:rsidRPr="00D02D4F" w:rsidRDefault="0066526C" w:rsidP="00D02D4F">
      <w:pPr>
        <w:pStyle w:val="Heading3"/>
      </w:pPr>
      <w:r>
        <w:t>Levies</w:t>
      </w:r>
    </w:p>
    <w:p w14:paraId="50FB33DF" w14:textId="73A4E4AE" w:rsidR="00934C61" w:rsidRPr="00011D7F" w:rsidRDefault="00965978" w:rsidP="00E4551D">
      <w:pPr>
        <w:pStyle w:val="BodyText"/>
      </w:pPr>
      <w:r w:rsidRPr="005F5955">
        <w:t xml:space="preserve">Health </w:t>
      </w:r>
      <w:r w:rsidR="2B2E4BC9" w:rsidRPr="1ED9FEAA">
        <w:t>I</w:t>
      </w:r>
      <w:r w:rsidRPr="00011D7F">
        <w:t xml:space="preserve">nsurance </w:t>
      </w:r>
      <w:r w:rsidR="25941D1D" w:rsidRPr="1ED9FEAA">
        <w:t>L</w:t>
      </w:r>
      <w:r w:rsidRPr="00011D7F">
        <w:t xml:space="preserve">evy is forecast to grow at an average annual rate of </w:t>
      </w:r>
      <w:r w:rsidRPr="00813871">
        <w:t>6.5</w:t>
      </w:r>
      <w:r w:rsidRPr="00011D7F">
        <w:t xml:space="preserve"> per cent over the four years to 2026-27. Since the 2023 Pre-election Budget Update revenue from Health Insurance </w:t>
      </w:r>
      <w:r w:rsidR="7E422020" w:rsidRPr="1ED9FEAA">
        <w:t>L</w:t>
      </w:r>
      <w:r w:rsidRPr="00011D7F">
        <w:t>evy remains broadly unchanged over the four years to 2</w:t>
      </w:r>
      <w:r w:rsidR="00F52B99">
        <w:t>0</w:t>
      </w:r>
      <w:r w:rsidRPr="00011D7F">
        <w:t>26</w:t>
      </w:r>
      <w:r w:rsidR="00F52B99">
        <w:t>-27</w:t>
      </w:r>
      <w:r w:rsidRPr="00011D7F">
        <w:t xml:space="preserve">. </w:t>
      </w:r>
    </w:p>
    <w:p w14:paraId="5001C2A2" w14:textId="1C6EC514" w:rsidR="00934C61" w:rsidRDefault="00934C61" w:rsidP="00E4551D">
      <w:pPr>
        <w:pStyle w:val="BodyText"/>
      </w:pPr>
      <w:r w:rsidRPr="00011D7F">
        <w:t xml:space="preserve">Parking space levy has been revised down by </w:t>
      </w:r>
      <w:r w:rsidRPr="00813871">
        <w:t>$40.</w:t>
      </w:r>
      <w:r w:rsidR="00A26350">
        <w:t>5</w:t>
      </w:r>
      <w:r w:rsidRPr="00011D7F">
        <w:t xml:space="preserve"> million over the four years to 2026</w:t>
      </w:r>
      <w:r w:rsidR="00453B35">
        <w:t>-27</w:t>
      </w:r>
      <w:r w:rsidRPr="00011D7F">
        <w:t xml:space="preserve"> since the 2023 Pre-election Budget Update. This is primarily due to weaker-than-expected collections in 2022-23. </w:t>
      </w:r>
    </w:p>
    <w:p w14:paraId="672C0F8D" w14:textId="77777777" w:rsidR="00204291" w:rsidRPr="00011D7F" w:rsidRDefault="00204291" w:rsidP="00E4551D">
      <w:pPr>
        <w:pStyle w:val="BodyText"/>
      </w:pPr>
    </w:p>
    <w:p w14:paraId="1F157CE8" w14:textId="77777777" w:rsidR="00445C73" w:rsidRDefault="00445C73">
      <w:pPr>
        <w:rPr>
          <w:rFonts w:ascii="Public Sans SemiBold" w:hAnsi="Public Sans SemiBold"/>
          <w:b/>
          <w:color w:val="22272B"/>
          <w:kern w:val="28"/>
          <w:sz w:val="26"/>
          <w:szCs w:val="36"/>
          <w:lang w:val="en-AU"/>
        </w:rPr>
      </w:pPr>
      <w:r>
        <w:br w:type="page"/>
      </w:r>
    </w:p>
    <w:p w14:paraId="63FC6F5C" w14:textId="7953CE12" w:rsidR="00E90BEE" w:rsidRPr="00DB4512" w:rsidRDefault="00E90BEE" w:rsidP="00E90BEE">
      <w:pPr>
        <w:pStyle w:val="Heading3"/>
        <w:ind w:left="737" w:hanging="737"/>
      </w:pPr>
      <w:r w:rsidRPr="00DB4512">
        <w:lastRenderedPageBreak/>
        <w:t>Other taxes and levies</w:t>
      </w:r>
    </w:p>
    <w:p w14:paraId="3FD0DD32" w14:textId="58D14C1D" w:rsidR="00961B4B" w:rsidRDefault="00D54B70" w:rsidP="00E4551D">
      <w:pPr>
        <w:pStyle w:val="BodyText"/>
      </w:pPr>
      <w:r>
        <w:t>Revenue from the Emergency Services Levy</w:t>
      </w:r>
      <w:r w:rsidR="008C5E95">
        <w:t xml:space="preserve"> insurer contribution</w:t>
      </w:r>
      <w:r w:rsidR="00CC5907">
        <w:t xml:space="preserve"> and the </w:t>
      </w:r>
      <w:r w:rsidR="00CC5907" w:rsidRPr="00CC5907">
        <w:rPr>
          <w:lang w:val="en-US"/>
        </w:rPr>
        <w:t xml:space="preserve">Emergency Services council contribution </w:t>
      </w:r>
      <w:r w:rsidR="0055243D">
        <w:t xml:space="preserve">is forecast to </w:t>
      </w:r>
      <w:r w:rsidR="00EE0F83">
        <w:t xml:space="preserve">increase </w:t>
      </w:r>
      <w:r w:rsidR="00B5421A">
        <w:t>by</w:t>
      </w:r>
      <w:r w:rsidR="00D94A02" w:rsidRPr="000176E8">
        <w:t xml:space="preserve"> $</w:t>
      </w:r>
      <w:r w:rsidR="00A16B6C">
        <w:t>83.8</w:t>
      </w:r>
      <w:r w:rsidR="00C7592E">
        <w:t xml:space="preserve"> million over the four years to 2026-27</w:t>
      </w:r>
      <w:r w:rsidR="00B5421A">
        <w:t xml:space="preserve"> compared to </w:t>
      </w:r>
      <w:r w:rsidR="003C620A">
        <w:t>previous expectations</w:t>
      </w:r>
      <w:r w:rsidR="00D94A02" w:rsidRPr="000176E8">
        <w:t>.</w:t>
      </w:r>
      <w:r w:rsidR="00EE0F83">
        <w:t xml:space="preserve"> </w:t>
      </w:r>
      <w:r w:rsidR="00EE0F83" w:rsidDel="00D9347D">
        <w:t>Th</w:t>
      </w:r>
      <w:r w:rsidR="00235CEA" w:rsidDel="00D9347D">
        <w:t>e</w:t>
      </w:r>
      <w:r w:rsidR="00EE0F83" w:rsidDel="00D9347D">
        <w:t xml:space="preserve"> </w:t>
      </w:r>
      <w:r w:rsidR="00D94A02" w:rsidRPr="000176E8">
        <w:t>overall increase across the four years is driven pri</w:t>
      </w:r>
      <w:r w:rsidR="009125E9">
        <w:t>marily</w:t>
      </w:r>
      <w:r w:rsidR="00D94A02" w:rsidRPr="000176E8">
        <w:t xml:space="preserve"> by higher</w:t>
      </w:r>
      <w:r w:rsidR="003C620A" w:rsidRPr="000176E8">
        <w:t>-than-expected</w:t>
      </w:r>
      <w:r w:rsidR="00D94A02" w:rsidRPr="000176E8">
        <w:t xml:space="preserve"> prior years’ expenditures and service enhancements for the emergency services agencies</w:t>
      </w:r>
      <w:r w:rsidR="000176E8" w:rsidRPr="000176E8">
        <w:t xml:space="preserve">. </w:t>
      </w:r>
    </w:p>
    <w:p w14:paraId="49706D9C" w14:textId="7B0384C5" w:rsidR="00390CE4" w:rsidRDefault="00E52896" w:rsidP="00E4551D">
      <w:pPr>
        <w:pStyle w:val="BodyText"/>
      </w:pPr>
      <w:r w:rsidRPr="00E52896">
        <w:t>R</w:t>
      </w:r>
      <w:r w:rsidR="00551CED">
        <w:t xml:space="preserve">evised expectations for indexation of </w:t>
      </w:r>
      <w:r w:rsidR="002D2B78">
        <w:t xml:space="preserve">the </w:t>
      </w:r>
      <w:r w:rsidRPr="00E52896">
        <w:t xml:space="preserve">waste and environment levy </w:t>
      </w:r>
      <w:r w:rsidR="00D54DA9">
        <w:t>have</w:t>
      </w:r>
      <w:r w:rsidR="006324BC">
        <w:t xml:space="preserve"> increased </w:t>
      </w:r>
      <w:r w:rsidRPr="00E52896">
        <w:t xml:space="preserve">forecast </w:t>
      </w:r>
      <w:r w:rsidR="006324BC">
        <w:t>revenue</w:t>
      </w:r>
      <w:r w:rsidRPr="00E52896">
        <w:t xml:space="preserve"> </w:t>
      </w:r>
      <w:r w:rsidR="006324BC">
        <w:t>by</w:t>
      </w:r>
      <w:r w:rsidRPr="00E52896">
        <w:t xml:space="preserve"> $</w:t>
      </w:r>
      <w:r w:rsidRPr="00813871">
        <w:t>476.3</w:t>
      </w:r>
      <w:r w:rsidRPr="00E52896">
        <w:t xml:space="preserve"> million over the four years to 2026-27</w:t>
      </w:r>
      <w:r w:rsidR="000701AC">
        <w:t>,</w:t>
      </w:r>
      <w:r w:rsidRPr="00E52896">
        <w:t xml:space="preserve"> compared to the 2023 Pre</w:t>
      </w:r>
      <w:r w:rsidR="0060625D">
        <w:noBreakHyphen/>
      </w:r>
      <w:r w:rsidRPr="00E52896">
        <w:t>election Budget Update.</w:t>
      </w:r>
    </w:p>
    <w:p w14:paraId="0826CFD3" w14:textId="70610AB1" w:rsidR="00187552" w:rsidRPr="00390CE4" w:rsidRDefault="00187552" w:rsidP="00E4551D">
      <w:pPr>
        <w:pStyle w:val="BodyText"/>
        <w:rPr>
          <w:i/>
        </w:rPr>
      </w:pPr>
      <w:r>
        <w:t xml:space="preserve">Government guarantee fee revenue has been revised up by </w:t>
      </w:r>
      <w:r w:rsidR="00E36936">
        <w:t>$</w:t>
      </w:r>
      <w:r w:rsidR="00E36936" w:rsidRPr="00813871">
        <w:t>316.6</w:t>
      </w:r>
      <w:r w:rsidR="00E36936">
        <w:t xml:space="preserve"> million over the four years to 2026-27 since the 2023 Pre-election Budget Update. </w:t>
      </w:r>
      <w:r w:rsidR="00B20BBB">
        <w:t xml:space="preserve">This is primarily due to </w:t>
      </w:r>
      <w:r w:rsidR="00B20BBB" w:rsidRPr="00C3683B">
        <w:t>higher borrowings</w:t>
      </w:r>
      <w:r w:rsidR="00B20BBB">
        <w:t xml:space="preserve"> by Sydney Water</w:t>
      </w:r>
      <w:r w:rsidR="00B20BBB" w:rsidRPr="00C3683B">
        <w:t xml:space="preserve"> required to fund new capital projects to service growth, particularly in the Western Sydney Aerotropolis Growth Area and South West Growth Area.</w:t>
      </w:r>
    </w:p>
    <w:p w14:paraId="1EB7AD74" w14:textId="7A2D1A4E" w:rsidR="00E90BEE" w:rsidRPr="009054A1" w:rsidRDefault="00E90BEE" w:rsidP="00136D15">
      <w:pPr>
        <w:pStyle w:val="41Heading2"/>
      </w:pPr>
      <w:r w:rsidRPr="009054A1">
        <w:t>Grant revenue</w:t>
      </w:r>
    </w:p>
    <w:p w14:paraId="565B94CC" w14:textId="31FCC92A" w:rsidR="009C400D" w:rsidRPr="009C400D" w:rsidRDefault="369B8CB0" w:rsidP="00E4551D">
      <w:pPr>
        <w:pStyle w:val="BodyText"/>
      </w:pPr>
      <w:r>
        <w:t>G</w:t>
      </w:r>
      <w:r w:rsidR="009C400D">
        <w:t xml:space="preserve">rant revenue is </w:t>
      </w:r>
      <w:r w:rsidR="6ED9DB7D">
        <w:t xml:space="preserve">primarily </w:t>
      </w:r>
      <w:r w:rsidR="009C400D">
        <w:t xml:space="preserve">from the </w:t>
      </w:r>
      <w:r w:rsidR="003216C3">
        <w:t xml:space="preserve">Australian Government </w:t>
      </w:r>
      <w:r w:rsidR="3D1FE2F5">
        <w:t>and c</w:t>
      </w:r>
      <w:r w:rsidR="009C400D">
        <w:t>onsist</w:t>
      </w:r>
      <w:r w:rsidR="679DB3A7">
        <w:t>s</w:t>
      </w:r>
      <w:r w:rsidR="009C400D">
        <w:t xml:space="preserve"> of:</w:t>
      </w:r>
    </w:p>
    <w:p w14:paraId="12684C20" w14:textId="77777777" w:rsidR="009C400D" w:rsidRPr="00BB0E01" w:rsidRDefault="009C400D" w:rsidP="00E4551D">
      <w:pPr>
        <w:pStyle w:val="Bullet1"/>
      </w:pPr>
      <w:r w:rsidRPr="00BB0E01">
        <w:t xml:space="preserve">general purpose grants (including GST) </w:t>
      </w:r>
    </w:p>
    <w:p w14:paraId="463D1E53" w14:textId="77777777" w:rsidR="009C400D" w:rsidRPr="00BB0E01" w:rsidRDefault="009C400D" w:rsidP="00E4551D">
      <w:pPr>
        <w:pStyle w:val="Bullet1"/>
      </w:pPr>
      <w:r w:rsidRPr="00BB0E01">
        <w:t xml:space="preserve">specific purpose payments, in the form of National Agreements and Federation Funding Agreements (formerly National Partnerships and Project Agreements). </w:t>
      </w:r>
    </w:p>
    <w:p w14:paraId="3CA78928" w14:textId="32CDA0E3" w:rsidR="00BB0E01" w:rsidRDefault="009C400D" w:rsidP="00E4551D">
      <w:pPr>
        <w:pStyle w:val="BodyText"/>
      </w:pPr>
      <w:r>
        <w:t xml:space="preserve">Grant revenue is expected to </w:t>
      </w:r>
      <w:r w:rsidR="001A42B5" w:rsidRPr="00813871">
        <w:t>increase</w:t>
      </w:r>
      <w:r>
        <w:t xml:space="preserve"> by $</w:t>
      </w:r>
      <w:r w:rsidR="00A16B6C">
        <w:t>868.9</w:t>
      </w:r>
      <w:r w:rsidRPr="00813871">
        <w:t xml:space="preserve"> </w:t>
      </w:r>
      <w:r w:rsidR="00C666D3">
        <w:t>m</w:t>
      </w:r>
      <w:r>
        <w:t>illion in 2023-24 to $</w:t>
      </w:r>
      <w:r w:rsidR="002B7B1A" w:rsidRPr="00813871">
        <w:t>46.</w:t>
      </w:r>
      <w:r w:rsidR="00FF7325">
        <w:t>6</w:t>
      </w:r>
      <w:r w:rsidRPr="00813871">
        <w:t xml:space="preserve"> </w:t>
      </w:r>
      <w:r>
        <w:t>billion before reaching $</w:t>
      </w:r>
      <w:r w:rsidR="002B7B1A" w:rsidRPr="00813871">
        <w:t>49.</w:t>
      </w:r>
      <w:r w:rsidR="00330497">
        <w:t>2</w:t>
      </w:r>
      <w:r w:rsidRPr="00813871">
        <w:t xml:space="preserve"> </w:t>
      </w:r>
      <w:r>
        <w:t>billion in 202</w:t>
      </w:r>
      <w:r w:rsidR="610C240A">
        <w:t>6</w:t>
      </w:r>
      <w:r w:rsidR="00113293">
        <w:t>-2</w:t>
      </w:r>
      <w:r w:rsidR="623A6A3A">
        <w:t>7</w:t>
      </w:r>
      <w:r>
        <w:t>.</w:t>
      </w:r>
      <w:r w:rsidR="00E545FA">
        <w:t xml:space="preserve"> </w:t>
      </w:r>
    </w:p>
    <w:p w14:paraId="7EDFDA0B" w14:textId="77777777" w:rsidR="00E90BEE" w:rsidRPr="007C1163" w:rsidRDefault="00E90BEE" w:rsidP="00BD535E">
      <w:pPr>
        <w:pStyle w:val="Table4X"/>
      </w:pPr>
      <w:r w:rsidRPr="007C1163">
        <w:t xml:space="preserve">Grant revenue  </w:t>
      </w:r>
    </w:p>
    <w:tbl>
      <w:tblPr>
        <w:tblW w:w="9863" w:type="dxa"/>
        <w:tblLook w:val="04A0" w:firstRow="1" w:lastRow="0" w:firstColumn="1" w:lastColumn="0" w:noHBand="0" w:noVBand="1"/>
        <w:tblCaption w:val="Table 4.5: Grant revenue  "/>
        <w:tblDescription w:val="Table 4.5: Grant revenue  "/>
      </w:tblPr>
      <w:tblGrid>
        <w:gridCol w:w="3544"/>
        <w:gridCol w:w="846"/>
        <w:gridCol w:w="848"/>
        <w:gridCol w:w="848"/>
        <w:gridCol w:w="842"/>
        <w:gridCol w:w="844"/>
        <w:gridCol w:w="836"/>
        <w:gridCol w:w="1255"/>
      </w:tblGrid>
      <w:tr w:rsidR="00D047EA" w:rsidRPr="00D047EA" w14:paraId="4AFCDB2C" w14:textId="77777777" w:rsidTr="003D35A3">
        <w:trPr>
          <w:trHeight w:val="283"/>
        </w:trPr>
        <w:tc>
          <w:tcPr>
            <w:tcW w:w="3544" w:type="dxa"/>
            <w:tcBorders>
              <w:top w:val="nil"/>
              <w:left w:val="nil"/>
              <w:bottom w:val="nil"/>
              <w:right w:val="nil"/>
            </w:tcBorders>
            <w:shd w:val="clear" w:color="000000" w:fill="EBEBEB"/>
            <w:vAlign w:val="center"/>
            <w:hideMark/>
          </w:tcPr>
          <w:p w14:paraId="2C4733E9" w14:textId="77777777" w:rsidR="00D047EA" w:rsidRPr="00445C73" w:rsidRDefault="00D047EA" w:rsidP="00D047EA">
            <w:pPr>
              <w:jc w:val="center"/>
              <w:rPr>
                <w:rFonts w:ascii="Public Sans" w:hAnsi="Public Sans" w:cs="Calibri"/>
                <w:i/>
                <w:color w:val="000000"/>
                <w:sz w:val="17"/>
                <w:szCs w:val="17"/>
                <w:lang w:val="en-AU" w:eastAsia="en-AU"/>
              </w:rPr>
            </w:pPr>
            <w:r w:rsidRPr="00445C73">
              <w:rPr>
                <w:rFonts w:ascii="Public Sans" w:hAnsi="Public Sans" w:cs="Calibri"/>
                <w:i/>
                <w:color w:val="000000"/>
                <w:sz w:val="17"/>
                <w:szCs w:val="17"/>
                <w:lang w:val="en-AU" w:eastAsia="en-AU"/>
              </w:rPr>
              <w:t> </w:t>
            </w:r>
          </w:p>
        </w:tc>
        <w:tc>
          <w:tcPr>
            <w:tcW w:w="846" w:type="dxa"/>
            <w:tcBorders>
              <w:top w:val="nil"/>
              <w:left w:val="nil"/>
              <w:bottom w:val="nil"/>
              <w:right w:val="nil"/>
            </w:tcBorders>
            <w:shd w:val="clear" w:color="000000" w:fill="EBEBEB"/>
            <w:vAlign w:val="bottom"/>
            <w:hideMark/>
          </w:tcPr>
          <w:p w14:paraId="429F408B"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2021-22</w:t>
            </w:r>
          </w:p>
        </w:tc>
        <w:tc>
          <w:tcPr>
            <w:tcW w:w="848" w:type="dxa"/>
            <w:tcBorders>
              <w:top w:val="nil"/>
              <w:left w:val="nil"/>
              <w:bottom w:val="nil"/>
              <w:right w:val="nil"/>
            </w:tcBorders>
            <w:shd w:val="clear" w:color="000000" w:fill="EBEBEB"/>
            <w:vAlign w:val="bottom"/>
            <w:hideMark/>
          </w:tcPr>
          <w:p w14:paraId="727BF899"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2022-23</w:t>
            </w:r>
          </w:p>
        </w:tc>
        <w:tc>
          <w:tcPr>
            <w:tcW w:w="848" w:type="dxa"/>
            <w:tcBorders>
              <w:top w:val="nil"/>
              <w:left w:val="nil"/>
              <w:bottom w:val="nil"/>
              <w:right w:val="nil"/>
            </w:tcBorders>
            <w:shd w:val="clear" w:color="000000" w:fill="EBEBEB"/>
            <w:vAlign w:val="bottom"/>
            <w:hideMark/>
          </w:tcPr>
          <w:p w14:paraId="18FCF933"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2023-24</w:t>
            </w:r>
          </w:p>
        </w:tc>
        <w:tc>
          <w:tcPr>
            <w:tcW w:w="842" w:type="dxa"/>
            <w:tcBorders>
              <w:top w:val="nil"/>
              <w:left w:val="nil"/>
              <w:bottom w:val="nil"/>
              <w:right w:val="nil"/>
            </w:tcBorders>
            <w:shd w:val="clear" w:color="000000" w:fill="EBEBEB"/>
            <w:vAlign w:val="bottom"/>
            <w:hideMark/>
          </w:tcPr>
          <w:p w14:paraId="3BF0D77E"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2024-25</w:t>
            </w:r>
          </w:p>
        </w:tc>
        <w:tc>
          <w:tcPr>
            <w:tcW w:w="844" w:type="dxa"/>
            <w:tcBorders>
              <w:top w:val="nil"/>
              <w:left w:val="nil"/>
              <w:bottom w:val="nil"/>
              <w:right w:val="nil"/>
            </w:tcBorders>
            <w:shd w:val="clear" w:color="000000" w:fill="EBEBEB"/>
            <w:vAlign w:val="bottom"/>
            <w:hideMark/>
          </w:tcPr>
          <w:p w14:paraId="2187DEEF"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2025-26</w:t>
            </w:r>
          </w:p>
        </w:tc>
        <w:tc>
          <w:tcPr>
            <w:tcW w:w="836" w:type="dxa"/>
            <w:tcBorders>
              <w:top w:val="nil"/>
              <w:left w:val="nil"/>
              <w:bottom w:val="nil"/>
              <w:right w:val="nil"/>
            </w:tcBorders>
            <w:shd w:val="clear" w:color="000000" w:fill="EBEBEB"/>
            <w:vAlign w:val="bottom"/>
            <w:hideMark/>
          </w:tcPr>
          <w:p w14:paraId="74802859"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2026-27</w:t>
            </w:r>
          </w:p>
        </w:tc>
        <w:tc>
          <w:tcPr>
            <w:tcW w:w="1255" w:type="dxa"/>
            <w:vMerge w:val="restart"/>
            <w:tcBorders>
              <w:top w:val="nil"/>
              <w:left w:val="nil"/>
              <w:bottom w:val="nil"/>
              <w:right w:val="nil"/>
            </w:tcBorders>
            <w:shd w:val="clear" w:color="000000" w:fill="4F4F4F"/>
            <w:vAlign w:val="center"/>
            <w:hideMark/>
          </w:tcPr>
          <w:p w14:paraId="7398E101" w14:textId="77777777" w:rsidR="00D047EA" w:rsidRPr="00445C73" w:rsidRDefault="00D047EA" w:rsidP="00D047EA">
            <w:pPr>
              <w:jc w:val="center"/>
              <w:rPr>
                <w:rFonts w:ascii="Public Sans" w:hAnsi="Public Sans" w:cs="Calibri"/>
                <w:color w:val="FFFFFF"/>
                <w:sz w:val="17"/>
                <w:szCs w:val="17"/>
                <w:lang w:val="en-AU" w:eastAsia="en-AU"/>
              </w:rPr>
            </w:pPr>
            <w:r w:rsidRPr="00445C73">
              <w:rPr>
                <w:rFonts w:ascii="Public Sans" w:hAnsi="Public Sans" w:cs="Calibri"/>
                <w:color w:val="FFFFFF"/>
                <w:sz w:val="17"/>
                <w:szCs w:val="17"/>
                <w:lang w:val="en-AU" w:eastAsia="en-AU"/>
              </w:rPr>
              <w:t>% Average growth p.a.</w:t>
            </w:r>
            <w:r w:rsidRPr="00445C73">
              <w:rPr>
                <w:rFonts w:ascii="Public Sans" w:hAnsi="Public Sans" w:cs="Calibri"/>
                <w:color w:val="FFFFFF"/>
                <w:sz w:val="17"/>
                <w:szCs w:val="17"/>
                <w:lang w:val="en-AU" w:eastAsia="en-AU"/>
              </w:rPr>
              <w:br/>
              <w:t xml:space="preserve">2022-23 to </w:t>
            </w:r>
            <w:r w:rsidRPr="00445C73">
              <w:rPr>
                <w:rFonts w:ascii="Public Sans" w:hAnsi="Public Sans" w:cs="Calibri"/>
                <w:color w:val="FFFFFF"/>
                <w:sz w:val="17"/>
                <w:szCs w:val="17"/>
                <w:lang w:val="en-AU" w:eastAsia="en-AU"/>
              </w:rPr>
              <w:br/>
              <w:t>2026-27</w:t>
            </w:r>
          </w:p>
        </w:tc>
      </w:tr>
      <w:tr w:rsidR="00D047EA" w:rsidRPr="00D047EA" w14:paraId="30A1B012" w14:textId="77777777" w:rsidTr="003D35A3">
        <w:trPr>
          <w:trHeight w:val="227"/>
        </w:trPr>
        <w:tc>
          <w:tcPr>
            <w:tcW w:w="3544" w:type="dxa"/>
            <w:tcBorders>
              <w:top w:val="nil"/>
              <w:left w:val="nil"/>
              <w:bottom w:val="nil"/>
              <w:right w:val="nil"/>
            </w:tcBorders>
            <w:shd w:val="clear" w:color="000000" w:fill="EBEBEB"/>
            <w:vAlign w:val="center"/>
            <w:hideMark/>
          </w:tcPr>
          <w:p w14:paraId="617111E8" w14:textId="77777777" w:rsidR="00D047EA" w:rsidRPr="00445C73" w:rsidRDefault="00D047EA" w:rsidP="00D047EA">
            <w:pPr>
              <w:jc w:val="center"/>
              <w:rPr>
                <w:rFonts w:ascii="Public Sans" w:hAnsi="Public Sans" w:cs="Calibri"/>
                <w:i/>
                <w:color w:val="000000"/>
                <w:sz w:val="17"/>
                <w:szCs w:val="17"/>
                <w:lang w:val="en-AU" w:eastAsia="en-AU"/>
              </w:rPr>
            </w:pPr>
            <w:r w:rsidRPr="00445C73">
              <w:rPr>
                <w:rFonts w:ascii="Public Sans" w:hAnsi="Public Sans" w:cs="Calibri"/>
                <w:i/>
                <w:color w:val="000000"/>
                <w:sz w:val="17"/>
                <w:szCs w:val="17"/>
                <w:lang w:val="en-AU" w:eastAsia="en-AU"/>
              </w:rPr>
              <w:t> </w:t>
            </w:r>
          </w:p>
        </w:tc>
        <w:tc>
          <w:tcPr>
            <w:tcW w:w="846" w:type="dxa"/>
            <w:tcBorders>
              <w:top w:val="nil"/>
              <w:left w:val="nil"/>
              <w:bottom w:val="nil"/>
              <w:right w:val="nil"/>
            </w:tcBorders>
            <w:shd w:val="clear" w:color="000000" w:fill="EBEBEB"/>
            <w:vAlign w:val="center"/>
            <w:hideMark/>
          </w:tcPr>
          <w:p w14:paraId="49C8D2D6"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Actual</w:t>
            </w:r>
          </w:p>
        </w:tc>
        <w:tc>
          <w:tcPr>
            <w:tcW w:w="848" w:type="dxa"/>
            <w:tcBorders>
              <w:top w:val="nil"/>
              <w:left w:val="nil"/>
              <w:bottom w:val="nil"/>
              <w:right w:val="nil"/>
            </w:tcBorders>
            <w:shd w:val="clear" w:color="000000" w:fill="EBEBEB"/>
            <w:vAlign w:val="center"/>
            <w:hideMark/>
          </w:tcPr>
          <w:p w14:paraId="384D489D"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Est. Actual</w:t>
            </w:r>
          </w:p>
        </w:tc>
        <w:tc>
          <w:tcPr>
            <w:tcW w:w="848" w:type="dxa"/>
            <w:tcBorders>
              <w:top w:val="nil"/>
              <w:left w:val="nil"/>
              <w:bottom w:val="nil"/>
              <w:right w:val="nil"/>
            </w:tcBorders>
            <w:shd w:val="clear" w:color="000000" w:fill="EBEBEB"/>
            <w:vAlign w:val="center"/>
            <w:hideMark/>
          </w:tcPr>
          <w:p w14:paraId="07E785F5"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Budget</w:t>
            </w:r>
          </w:p>
        </w:tc>
        <w:tc>
          <w:tcPr>
            <w:tcW w:w="2522" w:type="dxa"/>
            <w:gridSpan w:val="3"/>
            <w:tcBorders>
              <w:top w:val="nil"/>
              <w:left w:val="nil"/>
              <w:bottom w:val="nil"/>
              <w:right w:val="nil"/>
            </w:tcBorders>
            <w:shd w:val="clear" w:color="000000" w:fill="EBEBEB"/>
            <w:vAlign w:val="center"/>
            <w:hideMark/>
          </w:tcPr>
          <w:p w14:paraId="580AB017"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Forward Estimates</w:t>
            </w:r>
          </w:p>
        </w:tc>
        <w:tc>
          <w:tcPr>
            <w:tcW w:w="1255" w:type="dxa"/>
            <w:vMerge/>
            <w:tcBorders>
              <w:top w:val="nil"/>
              <w:left w:val="nil"/>
              <w:bottom w:val="nil"/>
              <w:right w:val="nil"/>
            </w:tcBorders>
            <w:vAlign w:val="center"/>
            <w:hideMark/>
          </w:tcPr>
          <w:p w14:paraId="2D124304" w14:textId="77777777" w:rsidR="00D047EA" w:rsidRPr="00445C73" w:rsidRDefault="00D047EA" w:rsidP="00D047EA">
            <w:pPr>
              <w:rPr>
                <w:rFonts w:ascii="Public Sans" w:hAnsi="Public Sans" w:cs="Calibri"/>
                <w:color w:val="FFFFFF"/>
                <w:sz w:val="17"/>
                <w:szCs w:val="17"/>
                <w:lang w:val="en-AU" w:eastAsia="en-AU"/>
              </w:rPr>
            </w:pPr>
          </w:p>
        </w:tc>
      </w:tr>
      <w:tr w:rsidR="00D047EA" w:rsidRPr="00D047EA" w14:paraId="19D5CC25" w14:textId="77777777" w:rsidTr="003D35A3">
        <w:trPr>
          <w:trHeight w:val="283"/>
        </w:trPr>
        <w:tc>
          <w:tcPr>
            <w:tcW w:w="3544" w:type="dxa"/>
            <w:tcBorders>
              <w:top w:val="nil"/>
              <w:left w:val="nil"/>
              <w:bottom w:val="nil"/>
              <w:right w:val="nil"/>
            </w:tcBorders>
            <w:shd w:val="clear" w:color="000000" w:fill="EBEBEB"/>
            <w:vAlign w:val="center"/>
            <w:hideMark/>
          </w:tcPr>
          <w:p w14:paraId="45EC5E2F" w14:textId="77777777" w:rsidR="00D047EA" w:rsidRPr="00445C73" w:rsidRDefault="00D047EA" w:rsidP="00D047EA">
            <w:pPr>
              <w:jc w:val="center"/>
              <w:rPr>
                <w:rFonts w:ascii="Public Sans" w:hAnsi="Public Sans" w:cs="Calibri"/>
                <w:i/>
                <w:color w:val="000000"/>
                <w:sz w:val="17"/>
                <w:szCs w:val="17"/>
                <w:lang w:val="en-AU" w:eastAsia="en-AU"/>
              </w:rPr>
            </w:pPr>
            <w:r w:rsidRPr="00445C73">
              <w:rPr>
                <w:rFonts w:ascii="Public Sans" w:hAnsi="Public Sans" w:cs="Calibri"/>
                <w:i/>
                <w:color w:val="000000"/>
                <w:sz w:val="17"/>
                <w:szCs w:val="17"/>
                <w:lang w:val="en-AU" w:eastAsia="en-AU"/>
              </w:rPr>
              <w:t> </w:t>
            </w:r>
          </w:p>
        </w:tc>
        <w:tc>
          <w:tcPr>
            <w:tcW w:w="846" w:type="dxa"/>
            <w:tcBorders>
              <w:top w:val="nil"/>
              <w:left w:val="nil"/>
              <w:bottom w:val="nil"/>
              <w:right w:val="nil"/>
            </w:tcBorders>
            <w:shd w:val="clear" w:color="000000" w:fill="EBEBEB"/>
            <w:hideMark/>
          </w:tcPr>
          <w:p w14:paraId="17E5FB08"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8" w:type="dxa"/>
            <w:tcBorders>
              <w:top w:val="nil"/>
              <w:left w:val="nil"/>
              <w:bottom w:val="nil"/>
              <w:right w:val="nil"/>
            </w:tcBorders>
            <w:shd w:val="clear" w:color="000000" w:fill="EBEBEB"/>
            <w:hideMark/>
          </w:tcPr>
          <w:p w14:paraId="6CDC2018"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8" w:type="dxa"/>
            <w:tcBorders>
              <w:top w:val="nil"/>
              <w:left w:val="nil"/>
              <w:bottom w:val="nil"/>
              <w:right w:val="nil"/>
            </w:tcBorders>
            <w:shd w:val="clear" w:color="000000" w:fill="EBEBEB"/>
            <w:hideMark/>
          </w:tcPr>
          <w:p w14:paraId="53C82FC7"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2" w:type="dxa"/>
            <w:tcBorders>
              <w:top w:val="nil"/>
              <w:left w:val="nil"/>
              <w:bottom w:val="nil"/>
              <w:right w:val="nil"/>
            </w:tcBorders>
            <w:shd w:val="clear" w:color="000000" w:fill="EBEBEB"/>
            <w:hideMark/>
          </w:tcPr>
          <w:p w14:paraId="41DDD742"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4" w:type="dxa"/>
            <w:tcBorders>
              <w:top w:val="nil"/>
              <w:left w:val="nil"/>
              <w:bottom w:val="nil"/>
              <w:right w:val="nil"/>
            </w:tcBorders>
            <w:shd w:val="clear" w:color="000000" w:fill="EBEBEB"/>
            <w:hideMark/>
          </w:tcPr>
          <w:p w14:paraId="7697E361"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36" w:type="dxa"/>
            <w:tcBorders>
              <w:top w:val="nil"/>
              <w:left w:val="nil"/>
              <w:bottom w:val="nil"/>
              <w:right w:val="nil"/>
            </w:tcBorders>
            <w:shd w:val="clear" w:color="000000" w:fill="EBEBEB"/>
            <w:hideMark/>
          </w:tcPr>
          <w:p w14:paraId="3BFAE95D"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1255" w:type="dxa"/>
            <w:vMerge/>
            <w:tcBorders>
              <w:top w:val="nil"/>
              <w:left w:val="nil"/>
              <w:bottom w:val="nil"/>
              <w:right w:val="nil"/>
            </w:tcBorders>
            <w:vAlign w:val="center"/>
            <w:hideMark/>
          </w:tcPr>
          <w:p w14:paraId="23D768A2" w14:textId="77777777" w:rsidR="00D047EA" w:rsidRPr="00445C73" w:rsidRDefault="00D047EA" w:rsidP="00D047EA">
            <w:pPr>
              <w:rPr>
                <w:rFonts w:ascii="Public Sans" w:hAnsi="Public Sans" w:cs="Calibri"/>
                <w:color w:val="FFFFFF"/>
                <w:sz w:val="17"/>
                <w:szCs w:val="17"/>
                <w:lang w:val="en-AU" w:eastAsia="en-AU"/>
              </w:rPr>
            </w:pPr>
          </w:p>
        </w:tc>
      </w:tr>
      <w:tr w:rsidR="00D047EA" w:rsidRPr="00D047EA" w14:paraId="2BF49D5C" w14:textId="77777777" w:rsidTr="003D35A3">
        <w:trPr>
          <w:trHeight w:val="296"/>
        </w:trPr>
        <w:tc>
          <w:tcPr>
            <w:tcW w:w="3544" w:type="dxa"/>
            <w:tcBorders>
              <w:top w:val="nil"/>
              <w:left w:val="nil"/>
              <w:bottom w:val="nil"/>
              <w:right w:val="nil"/>
            </w:tcBorders>
            <w:shd w:val="clear" w:color="000000" w:fill="FFFFFF"/>
            <w:vAlign w:val="center"/>
            <w:hideMark/>
          </w:tcPr>
          <w:p w14:paraId="3A05713F" w14:textId="5F843A0C"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Australian Government - general purpose </w:t>
            </w:r>
            <w:r w:rsidR="003D35A3">
              <w:rPr>
                <w:rFonts w:ascii="Public Sans" w:hAnsi="Public Sans" w:cs="Calibri"/>
                <w:sz w:val="16"/>
                <w:szCs w:val="16"/>
                <w:lang w:val="en-AU" w:eastAsia="en-AU"/>
              </w:rPr>
              <w:br/>
              <w:t xml:space="preserve">  </w:t>
            </w:r>
            <w:r w:rsidRPr="00D047EA">
              <w:rPr>
                <w:rFonts w:ascii="Public Sans" w:hAnsi="Public Sans" w:cs="Calibri"/>
                <w:sz w:val="16"/>
                <w:szCs w:val="16"/>
                <w:lang w:val="en-AU" w:eastAsia="en-AU"/>
              </w:rPr>
              <w:t>grants</w:t>
            </w:r>
          </w:p>
        </w:tc>
        <w:tc>
          <w:tcPr>
            <w:tcW w:w="846" w:type="dxa"/>
            <w:tcBorders>
              <w:top w:val="nil"/>
              <w:left w:val="nil"/>
              <w:bottom w:val="nil"/>
              <w:right w:val="nil"/>
            </w:tcBorders>
            <w:shd w:val="clear" w:color="000000" w:fill="FFFFFF"/>
            <w:noWrap/>
            <w:vAlign w:val="center"/>
            <w:hideMark/>
          </w:tcPr>
          <w:p w14:paraId="7DD65480"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23,298</w:t>
            </w:r>
          </w:p>
        </w:tc>
        <w:tc>
          <w:tcPr>
            <w:tcW w:w="848" w:type="dxa"/>
            <w:tcBorders>
              <w:top w:val="nil"/>
              <w:left w:val="nil"/>
              <w:bottom w:val="nil"/>
              <w:right w:val="nil"/>
            </w:tcBorders>
            <w:shd w:val="clear" w:color="000000" w:fill="F2F2F2"/>
            <w:noWrap/>
            <w:vAlign w:val="center"/>
            <w:hideMark/>
          </w:tcPr>
          <w:p w14:paraId="2274B1CE"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26,024</w:t>
            </w:r>
          </w:p>
        </w:tc>
        <w:tc>
          <w:tcPr>
            <w:tcW w:w="848" w:type="dxa"/>
            <w:tcBorders>
              <w:top w:val="nil"/>
              <w:left w:val="nil"/>
              <w:bottom w:val="nil"/>
              <w:right w:val="nil"/>
            </w:tcBorders>
            <w:shd w:val="clear" w:color="000000" w:fill="F2F2F2"/>
            <w:noWrap/>
            <w:vAlign w:val="center"/>
            <w:hideMark/>
          </w:tcPr>
          <w:p w14:paraId="71D5F6B0"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26,193</w:t>
            </w:r>
          </w:p>
        </w:tc>
        <w:tc>
          <w:tcPr>
            <w:tcW w:w="842" w:type="dxa"/>
            <w:tcBorders>
              <w:top w:val="nil"/>
              <w:left w:val="nil"/>
              <w:bottom w:val="nil"/>
              <w:right w:val="nil"/>
            </w:tcBorders>
            <w:shd w:val="clear" w:color="000000" w:fill="F2F2F2"/>
            <w:noWrap/>
            <w:vAlign w:val="center"/>
            <w:hideMark/>
          </w:tcPr>
          <w:p w14:paraId="3865A963"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27,246</w:t>
            </w:r>
          </w:p>
        </w:tc>
        <w:tc>
          <w:tcPr>
            <w:tcW w:w="844" w:type="dxa"/>
            <w:tcBorders>
              <w:top w:val="nil"/>
              <w:left w:val="nil"/>
              <w:bottom w:val="nil"/>
              <w:right w:val="nil"/>
            </w:tcBorders>
            <w:shd w:val="clear" w:color="000000" w:fill="F2F2F2"/>
            <w:noWrap/>
            <w:vAlign w:val="center"/>
            <w:hideMark/>
          </w:tcPr>
          <w:p w14:paraId="2F2000B9"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27,680</w:t>
            </w:r>
          </w:p>
        </w:tc>
        <w:tc>
          <w:tcPr>
            <w:tcW w:w="836" w:type="dxa"/>
            <w:tcBorders>
              <w:top w:val="nil"/>
              <w:left w:val="nil"/>
              <w:bottom w:val="nil"/>
              <w:right w:val="nil"/>
            </w:tcBorders>
            <w:shd w:val="clear" w:color="000000" w:fill="F2F2F2"/>
            <w:noWrap/>
            <w:vAlign w:val="center"/>
            <w:hideMark/>
          </w:tcPr>
          <w:p w14:paraId="79C8972A"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28,896</w:t>
            </w:r>
          </w:p>
        </w:tc>
        <w:tc>
          <w:tcPr>
            <w:tcW w:w="1255" w:type="dxa"/>
            <w:tcBorders>
              <w:top w:val="nil"/>
              <w:left w:val="nil"/>
              <w:bottom w:val="nil"/>
              <w:right w:val="nil"/>
            </w:tcBorders>
            <w:shd w:val="clear" w:color="000000" w:fill="FFFFFF"/>
            <w:vAlign w:val="center"/>
            <w:hideMark/>
          </w:tcPr>
          <w:p w14:paraId="1F5C1DEC"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2.7</w:t>
            </w:r>
          </w:p>
        </w:tc>
      </w:tr>
      <w:tr w:rsidR="00D047EA" w:rsidRPr="00D047EA" w14:paraId="1AEC64A9" w14:textId="77777777" w:rsidTr="003D35A3">
        <w:trPr>
          <w:trHeight w:val="333"/>
        </w:trPr>
        <w:tc>
          <w:tcPr>
            <w:tcW w:w="3544" w:type="dxa"/>
            <w:tcBorders>
              <w:top w:val="nil"/>
              <w:left w:val="nil"/>
              <w:bottom w:val="nil"/>
              <w:right w:val="nil"/>
            </w:tcBorders>
            <w:shd w:val="clear" w:color="000000" w:fill="FFFFFF"/>
            <w:vAlign w:val="center"/>
            <w:hideMark/>
          </w:tcPr>
          <w:p w14:paraId="624595DB" w14:textId="77777777" w:rsidR="00D047EA" w:rsidRPr="00D047EA" w:rsidRDefault="00D047EA" w:rsidP="00733AC4">
            <w:pPr>
              <w:ind w:left="431" w:hanging="113"/>
              <w:rPr>
                <w:rFonts w:ascii="Public Sans" w:hAnsi="Public Sans" w:cs="Calibri"/>
                <w:sz w:val="16"/>
                <w:szCs w:val="16"/>
                <w:lang w:val="en-AU" w:eastAsia="en-AU"/>
              </w:rPr>
            </w:pPr>
            <w:r w:rsidRPr="00D047EA">
              <w:rPr>
                <w:rFonts w:ascii="Public Sans" w:hAnsi="Public Sans" w:cs="Calibri"/>
                <w:sz w:val="16"/>
                <w:szCs w:val="16"/>
                <w:lang w:val="en-AU" w:eastAsia="en-AU"/>
              </w:rPr>
              <w:t>GST revenue (including "no worse off" payments)</w:t>
            </w:r>
          </w:p>
        </w:tc>
        <w:tc>
          <w:tcPr>
            <w:tcW w:w="846" w:type="dxa"/>
            <w:tcBorders>
              <w:top w:val="nil"/>
              <w:left w:val="nil"/>
              <w:bottom w:val="nil"/>
              <w:right w:val="nil"/>
            </w:tcBorders>
            <w:shd w:val="clear" w:color="000000" w:fill="FFFFFF"/>
            <w:noWrap/>
            <w:vAlign w:val="center"/>
            <w:hideMark/>
          </w:tcPr>
          <w:p w14:paraId="2292DEAF" w14:textId="4634412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23,297 </w:t>
            </w:r>
          </w:p>
        </w:tc>
        <w:tc>
          <w:tcPr>
            <w:tcW w:w="848" w:type="dxa"/>
            <w:tcBorders>
              <w:top w:val="nil"/>
              <w:left w:val="nil"/>
              <w:bottom w:val="nil"/>
              <w:right w:val="nil"/>
            </w:tcBorders>
            <w:shd w:val="clear" w:color="000000" w:fill="F2F2F2"/>
            <w:noWrap/>
            <w:vAlign w:val="center"/>
            <w:hideMark/>
          </w:tcPr>
          <w:p w14:paraId="7775972B" w14:textId="5DB4C7B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26,024 </w:t>
            </w:r>
          </w:p>
        </w:tc>
        <w:tc>
          <w:tcPr>
            <w:tcW w:w="848" w:type="dxa"/>
            <w:tcBorders>
              <w:top w:val="nil"/>
              <w:left w:val="nil"/>
              <w:bottom w:val="nil"/>
              <w:right w:val="nil"/>
            </w:tcBorders>
            <w:shd w:val="clear" w:color="000000" w:fill="F2F2F2"/>
            <w:noWrap/>
            <w:vAlign w:val="center"/>
            <w:hideMark/>
          </w:tcPr>
          <w:p w14:paraId="75354447" w14:textId="7B5EA10D"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26,179 </w:t>
            </w:r>
          </w:p>
        </w:tc>
        <w:tc>
          <w:tcPr>
            <w:tcW w:w="842" w:type="dxa"/>
            <w:tcBorders>
              <w:top w:val="nil"/>
              <w:left w:val="nil"/>
              <w:bottom w:val="nil"/>
              <w:right w:val="nil"/>
            </w:tcBorders>
            <w:shd w:val="clear" w:color="000000" w:fill="F2F2F2"/>
            <w:noWrap/>
            <w:vAlign w:val="center"/>
            <w:hideMark/>
          </w:tcPr>
          <w:p w14:paraId="17895B25" w14:textId="78556D4D"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27,241 </w:t>
            </w:r>
          </w:p>
        </w:tc>
        <w:tc>
          <w:tcPr>
            <w:tcW w:w="844" w:type="dxa"/>
            <w:tcBorders>
              <w:top w:val="nil"/>
              <w:left w:val="nil"/>
              <w:bottom w:val="nil"/>
              <w:right w:val="nil"/>
            </w:tcBorders>
            <w:shd w:val="clear" w:color="000000" w:fill="F2F2F2"/>
            <w:noWrap/>
            <w:vAlign w:val="center"/>
            <w:hideMark/>
          </w:tcPr>
          <w:p w14:paraId="0B7A5DF5" w14:textId="004F0D4D"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27,679 </w:t>
            </w:r>
          </w:p>
        </w:tc>
        <w:tc>
          <w:tcPr>
            <w:tcW w:w="836" w:type="dxa"/>
            <w:tcBorders>
              <w:top w:val="nil"/>
              <w:left w:val="nil"/>
              <w:bottom w:val="nil"/>
              <w:right w:val="nil"/>
            </w:tcBorders>
            <w:shd w:val="clear" w:color="000000" w:fill="F2F2F2"/>
            <w:noWrap/>
            <w:vAlign w:val="center"/>
            <w:hideMark/>
          </w:tcPr>
          <w:p w14:paraId="7073265D" w14:textId="73BDECDB"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28,895 </w:t>
            </w:r>
          </w:p>
        </w:tc>
        <w:tc>
          <w:tcPr>
            <w:tcW w:w="1255" w:type="dxa"/>
            <w:tcBorders>
              <w:top w:val="nil"/>
              <w:left w:val="nil"/>
              <w:bottom w:val="nil"/>
              <w:right w:val="nil"/>
            </w:tcBorders>
            <w:shd w:val="clear" w:color="000000" w:fill="FFFFFF"/>
            <w:vAlign w:val="center"/>
            <w:hideMark/>
          </w:tcPr>
          <w:p w14:paraId="0C93BDFE"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2.7</w:t>
            </w:r>
          </w:p>
        </w:tc>
      </w:tr>
      <w:tr w:rsidR="00D047EA" w:rsidRPr="00D047EA" w14:paraId="674B9EE3" w14:textId="77777777" w:rsidTr="003D35A3">
        <w:trPr>
          <w:trHeight w:val="221"/>
        </w:trPr>
        <w:tc>
          <w:tcPr>
            <w:tcW w:w="3544" w:type="dxa"/>
            <w:tcBorders>
              <w:top w:val="nil"/>
              <w:left w:val="nil"/>
              <w:bottom w:val="nil"/>
              <w:right w:val="nil"/>
            </w:tcBorders>
            <w:shd w:val="clear" w:color="000000" w:fill="FFFFFF"/>
            <w:vAlign w:val="center"/>
            <w:hideMark/>
          </w:tcPr>
          <w:p w14:paraId="79DE6163" w14:textId="77777777" w:rsidR="00D047EA" w:rsidRPr="00D047EA" w:rsidRDefault="00D047EA" w:rsidP="00D047EA">
            <w:pPr>
              <w:ind w:firstLineChars="200" w:firstLine="320"/>
              <w:rPr>
                <w:rFonts w:ascii="Public Sans" w:hAnsi="Public Sans" w:cs="Calibri"/>
                <w:sz w:val="16"/>
                <w:szCs w:val="16"/>
                <w:lang w:val="en-AU" w:eastAsia="en-AU"/>
              </w:rPr>
            </w:pPr>
            <w:r w:rsidRPr="00D047EA">
              <w:rPr>
                <w:rFonts w:ascii="Public Sans" w:hAnsi="Public Sans" w:cs="Calibri"/>
                <w:sz w:val="16"/>
                <w:szCs w:val="16"/>
                <w:lang w:val="en-AU" w:eastAsia="en-AU"/>
              </w:rPr>
              <w:t>Other general purpose grants</w:t>
            </w:r>
          </w:p>
        </w:tc>
        <w:tc>
          <w:tcPr>
            <w:tcW w:w="846" w:type="dxa"/>
            <w:tcBorders>
              <w:top w:val="nil"/>
              <w:left w:val="nil"/>
              <w:bottom w:val="nil"/>
              <w:right w:val="nil"/>
            </w:tcBorders>
            <w:shd w:val="clear" w:color="000000" w:fill="FFFFFF"/>
            <w:noWrap/>
            <w:vAlign w:val="center"/>
            <w:hideMark/>
          </w:tcPr>
          <w:p w14:paraId="634B036E" w14:textId="007A4461"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 </w:t>
            </w:r>
          </w:p>
        </w:tc>
        <w:tc>
          <w:tcPr>
            <w:tcW w:w="848" w:type="dxa"/>
            <w:tcBorders>
              <w:top w:val="nil"/>
              <w:left w:val="nil"/>
              <w:bottom w:val="nil"/>
              <w:right w:val="nil"/>
            </w:tcBorders>
            <w:shd w:val="clear" w:color="000000" w:fill="F2F2F2"/>
            <w:noWrap/>
            <w:vAlign w:val="center"/>
            <w:hideMark/>
          </w:tcPr>
          <w:p w14:paraId="4FCF8587" w14:textId="32201491"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0 </w:t>
            </w:r>
          </w:p>
        </w:tc>
        <w:tc>
          <w:tcPr>
            <w:tcW w:w="848" w:type="dxa"/>
            <w:tcBorders>
              <w:top w:val="nil"/>
              <w:left w:val="nil"/>
              <w:bottom w:val="nil"/>
              <w:right w:val="nil"/>
            </w:tcBorders>
            <w:shd w:val="clear" w:color="000000" w:fill="F2F2F2"/>
            <w:noWrap/>
            <w:vAlign w:val="center"/>
            <w:hideMark/>
          </w:tcPr>
          <w:p w14:paraId="67425B77" w14:textId="0DE9FB5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14 </w:t>
            </w:r>
          </w:p>
        </w:tc>
        <w:tc>
          <w:tcPr>
            <w:tcW w:w="842" w:type="dxa"/>
            <w:tcBorders>
              <w:top w:val="nil"/>
              <w:left w:val="nil"/>
              <w:bottom w:val="nil"/>
              <w:right w:val="nil"/>
            </w:tcBorders>
            <w:shd w:val="clear" w:color="000000" w:fill="F2F2F2"/>
            <w:noWrap/>
            <w:vAlign w:val="center"/>
            <w:hideMark/>
          </w:tcPr>
          <w:p w14:paraId="77BBD2BF" w14:textId="0DA0140B"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5 </w:t>
            </w:r>
          </w:p>
        </w:tc>
        <w:tc>
          <w:tcPr>
            <w:tcW w:w="844" w:type="dxa"/>
            <w:tcBorders>
              <w:top w:val="nil"/>
              <w:left w:val="nil"/>
              <w:bottom w:val="nil"/>
              <w:right w:val="nil"/>
            </w:tcBorders>
            <w:shd w:val="clear" w:color="000000" w:fill="F2F2F2"/>
            <w:noWrap/>
            <w:vAlign w:val="center"/>
            <w:hideMark/>
          </w:tcPr>
          <w:p w14:paraId="7B90E683" w14:textId="0F7261D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 </w:t>
            </w:r>
          </w:p>
        </w:tc>
        <w:tc>
          <w:tcPr>
            <w:tcW w:w="836" w:type="dxa"/>
            <w:tcBorders>
              <w:top w:val="nil"/>
              <w:left w:val="nil"/>
              <w:bottom w:val="nil"/>
              <w:right w:val="nil"/>
            </w:tcBorders>
            <w:shd w:val="clear" w:color="000000" w:fill="F2F2F2"/>
            <w:noWrap/>
            <w:vAlign w:val="center"/>
            <w:hideMark/>
          </w:tcPr>
          <w:p w14:paraId="00E83CFC" w14:textId="50605225"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 </w:t>
            </w:r>
          </w:p>
        </w:tc>
        <w:tc>
          <w:tcPr>
            <w:tcW w:w="1255" w:type="dxa"/>
            <w:tcBorders>
              <w:top w:val="nil"/>
              <w:left w:val="nil"/>
              <w:bottom w:val="nil"/>
              <w:right w:val="nil"/>
            </w:tcBorders>
            <w:shd w:val="clear" w:color="000000" w:fill="FFFFFF"/>
            <w:vAlign w:val="center"/>
            <w:hideMark/>
          </w:tcPr>
          <w:p w14:paraId="687839BB"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57.2</w:t>
            </w:r>
          </w:p>
        </w:tc>
      </w:tr>
      <w:tr w:rsidR="00D047EA" w:rsidRPr="00D047EA" w14:paraId="0C6F6BD9" w14:textId="77777777" w:rsidTr="003D35A3">
        <w:trPr>
          <w:trHeight w:val="221"/>
        </w:trPr>
        <w:tc>
          <w:tcPr>
            <w:tcW w:w="3544" w:type="dxa"/>
            <w:tcBorders>
              <w:top w:val="nil"/>
              <w:left w:val="nil"/>
              <w:bottom w:val="nil"/>
              <w:right w:val="nil"/>
            </w:tcBorders>
            <w:shd w:val="clear" w:color="000000" w:fill="FFFFFF"/>
            <w:vAlign w:val="center"/>
            <w:hideMark/>
          </w:tcPr>
          <w:p w14:paraId="5B1B5B9B" w14:textId="77777777"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Australian Government - National Agreements</w:t>
            </w:r>
          </w:p>
        </w:tc>
        <w:tc>
          <w:tcPr>
            <w:tcW w:w="846" w:type="dxa"/>
            <w:tcBorders>
              <w:top w:val="nil"/>
              <w:left w:val="nil"/>
              <w:bottom w:val="nil"/>
              <w:right w:val="nil"/>
            </w:tcBorders>
            <w:shd w:val="clear" w:color="000000" w:fill="FFFFFF"/>
            <w:noWrap/>
            <w:vAlign w:val="center"/>
            <w:hideMark/>
          </w:tcPr>
          <w:p w14:paraId="43962DCA" w14:textId="11BDD108"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11,100 </w:t>
            </w:r>
          </w:p>
        </w:tc>
        <w:tc>
          <w:tcPr>
            <w:tcW w:w="848" w:type="dxa"/>
            <w:tcBorders>
              <w:top w:val="nil"/>
              <w:left w:val="nil"/>
              <w:bottom w:val="nil"/>
              <w:right w:val="nil"/>
            </w:tcBorders>
            <w:shd w:val="clear" w:color="000000" w:fill="F2F2F2"/>
            <w:noWrap/>
            <w:vAlign w:val="center"/>
            <w:hideMark/>
          </w:tcPr>
          <w:p w14:paraId="7367681C" w14:textId="3A08CC44"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12,286 </w:t>
            </w:r>
          </w:p>
        </w:tc>
        <w:tc>
          <w:tcPr>
            <w:tcW w:w="848" w:type="dxa"/>
            <w:tcBorders>
              <w:top w:val="nil"/>
              <w:left w:val="nil"/>
              <w:bottom w:val="nil"/>
              <w:right w:val="nil"/>
            </w:tcBorders>
            <w:shd w:val="clear" w:color="000000" w:fill="F2F2F2"/>
            <w:noWrap/>
            <w:vAlign w:val="center"/>
            <w:hideMark/>
          </w:tcPr>
          <w:p w14:paraId="6111F02F" w14:textId="7E91148E"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12,644 </w:t>
            </w:r>
          </w:p>
        </w:tc>
        <w:tc>
          <w:tcPr>
            <w:tcW w:w="842" w:type="dxa"/>
            <w:tcBorders>
              <w:top w:val="nil"/>
              <w:left w:val="nil"/>
              <w:bottom w:val="nil"/>
              <w:right w:val="nil"/>
            </w:tcBorders>
            <w:shd w:val="clear" w:color="000000" w:fill="F2F2F2"/>
            <w:noWrap/>
            <w:vAlign w:val="center"/>
            <w:hideMark/>
          </w:tcPr>
          <w:p w14:paraId="08381837" w14:textId="1ECE9335"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13,306 </w:t>
            </w:r>
          </w:p>
        </w:tc>
        <w:tc>
          <w:tcPr>
            <w:tcW w:w="844" w:type="dxa"/>
            <w:tcBorders>
              <w:top w:val="nil"/>
              <w:left w:val="nil"/>
              <w:bottom w:val="nil"/>
              <w:right w:val="nil"/>
            </w:tcBorders>
            <w:shd w:val="clear" w:color="000000" w:fill="F2F2F2"/>
            <w:noWrap/>
            <w:vAlign w:val="center"/>
            <w:hideMark/>
          </w:tcPr>
          <w:p w14:paraId="6B05A0FD" w14:textId="75F22966"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14,003 </w:t>
            </w:r>
          </w:p>
        </w:tc>
        <w:tc>
          <w:tcPr>
            <w:tcW w:w="836" w:type="dxa"/>
            <w:tcBorders>
              <w:top w:val="nil"/>
              <w:left w:val="nil"/>
              <w:bottom w:val="nil"/>
              <w:right w:val="nil"/>
            </w:tcBorders>
            <w:shd w:val="clear" w:color="000000" w:fill="F2F2F2"/>
            <w:noWrap/>
            <w:vAlign w:val="center"/>
            <w:hideMark/>
          </w:tcPr>
          <w:p w14:paraId="51FDEDCA" w14:textId="662B2364"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14,736 </w:t>
            </w:r>
          </w:p>
        </w:tc>
        <w:tc>
          <w:tcPr>
            <w:tcW w:w="1255" w:type="dxa"/>
            <w:tcBorders>
              <w:top w:val="nil"/>
              <w:left w:val="nil"/>
              <w:bottom w:val="nil"/>
              <w:right w:val="nil"/>
            </w:tcBorders>
            <w:shd w:val="clear" w:color="000000" w:fill="FFFFFF"/>
            <w:vAlign w:val="center"/>
            <w:hideMark/>
          </w:tcPr>
          <w:p w14:paraId="15983D2C"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4.7</w:t>
            </w:r>
          </w:p>
        </w:tc>
      </w:tr>
      <w:tr w:rsidR="00D047EA" w:rsidRPr="00D047EA" w14:paraId="74D1B7D2" w14:textId="77777777" w:rsidTr="003D35A3">
        <w:trPr>
          <w:trHeight w:val="221"/>
        </w:trPr>
        <w:tc>
          <w:tcPr>
            <w:tcW w:w="3544" w:type="dxa"/>
            <w:tcBorders>
              <w:top w:val="nil"/>
              <w:left w:val="nil"/>
              <w:bottom w:val="nil"/>
              <w:right w:val="nil"/>
            </w:tcBorders>
            <w:shd w:val="clear" w:color="000000" w:fill="FFFFFF"/>
            <w:vAlign w:val="center"/>
            <w:hideMark/>
          </w:tcPr>
          <w:p w14:paraId="2989136A" w14:textId="77777777" w:rsidR="00D047EA" w:rsidRPr="00D047EA" w:rsidRDefault="00D047EA" w:rsidP="00733AC4">
            <w:pPr>
              <w:ind w:left="113" w:hanging="113"/>
              <w:rPr>
                <w:rFonts w:ascii="Public Sans" w:hAnsi="Public Sans" w:cs="Calibri"/>
                <w:sz w:val="16"/>
                <w:szCs w:val="16"/>
                <w:lang w:val="en-AU" w:eastAsia="en-AU"/>
              </w:rPr>
            </w:pPr>
            <w:r w:rsidRPr="00D047EA">
              <w:rPr>
                <w:rFonts w:ascii="Public Sans" w:hAnsi="Public Sans" w:cs="Calibri"/>
                <w:sz w:val="16"/>
                <w:szCs w:val="16"/>
                <w:lang w:val="en-AU" w:eastAsia="en-AU"/>
              </w:rPr>
              <w:t>Australian Government - Federation Funding Agreements</w:t>
            </w:r>
          </w:p>
        </w:tc>
        <w:tc>
          <w:tcPr>
            <w:tcW w:w="846" w:type="dxa"/>
            <w:tcBorders>
              <w:top w:val="nil"/>
              <w:left w:val="nil"/>
              <w:bottom w:val="nil"/>
              <w:right w:val="nil"/>
            </w:tcBorders>
            <w:shd w:val="clear" w:color="000000" w:fill="FFFFFF"/>
            <w:noWrap/>
            <w:vAlign w:val="center"/>
            <w:hideMark/>
          </w:tcPr>
          <w:p w14:paraId="0ABA8A19" w14:textId="46445E4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9,220 </w:t>
            </w:r>
          </w:p>
        </w:tc>
        <w:tc>
          <w:tcPr>
            <w:tcW w:w="848" w:type="dxa"/>
            <w:tcBorders>
              <w:top w:val="nil"/>
              <w:left w:val="nil"/>
              <w:bottom w:val="nil"/>
              <w:right w:val="nil"/>
            </w:tcBorders>
            <w:shd w:val="clear" w:color="000000" w:fill="F2F2F2"/>
            <w:noWrap/>
            <w:vAlign w:val="center"/>
            <w:hideMark/>
          </w:tcPr>
          <w:p w14:paraId="3150AA97" w14:textId="47F0447B"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5,837 </w:t>
            </w:r>
          </w:p>
        </w:tc>
        <w:tc>
          <w:tcPr>
            <w:tcW w:w="848" w:type="dxa"/>
            <w:tcBorders>
              <w:top w:val="nil"/>
              <w:left w:val="nil"/>
              <w:bottom w:val="nil"/>
              <w:right w:val="nil"/>
            </w:tcBorders>
            <w:shd w:val="clear" w:color="000000" w:fill="F2F2F2"/>
            <w:noWrap/>
            <w:vAlign w:val="center"/>
            <w:hideMark/>
          </w:tcPr>
          <w:p w14:paraId="7EAD1D99" w14:textId="35F5DC1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6,279 </w:t>
            </w:r>
          </w:p>
        </w:tc>
        <w:tc>
          <w:tcPr>
            <w:tcW w:w="842" w:type="dxa"/>
            <w:tcBorders>
              <w:top w:val="nil"/>
              <w:left w:val="nil"/>
              <w:bottom w:val="nil"/>
              <w:right w:val="nil"/>
            </w:tcBorders>
            <w:shd w:val="clear" w:color="000000" w:fill="F2F2F2"/>
            <w:noWrap/>
            <w:vAlign w:val="center"/>
            <w:hideMark/>
          </w:tcPr>
          <w:p w14:paraId="52556001" w14:textId="7AADBD1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6,354 </w:t>
            </w:r>
          </w:p>
        </w:tc>
        <w:tc>
          <w:tcPr>
            <w:tcW w:w="844" w:type="dxa"/>
            <w:tcBorders>
              <w:top w:val="nil"/>
              <w:left w:val="nil"/>
              <w:bottom w:val="nil"/>
              <w:right w:val="nil"/>
            </w:tcBorders>
            <w:shd w:val="clear" w:color="000000" w:fill="F2F2F2"/>
            <w:noWrap/>
            <w:vAlign w:val="center"/>
            <w:hideMark/>
          </w:tcPr>
          <w:p w14:paraId="3050F615" w14:textId="7A14190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5,344 </w:t>
            </w:r>
          </w:p>
        </w:tc>
        <w:tc>
          <w:tcPr>
            <w:tcW w:w="836" w:type="dxa"/>
            <w:tcBorders>
              <w:top w:val="nil"/>
              <w:left w:val="nil"/>
              <w:bottom w:val="nil"/>
              <w:right w:val="nil"/>
            </w:tcBorders>
            <w:shd w:val="clear" w:color="000000" w:fill="F2F2F2"/>
            <w:noWrap/>
            <w:vAlign w:val="center"/>
            <w:hideMark/>
          </w:tcPr>
          <w:p w14:paraId="2CFD56CD" w14:textId="6C2EB701"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4,076 </w:t>
            </w:r>
          </w:p>
        </w:tc>
        <w:tc>
          <w:tcPr>
            <w:tcW w:w="1255" w:type="dxa"/>
            <w:tcBorders>
              <w:top w:val="nil"/>
              <w:left w:val="nil"/>
              <w:bottom w:val="nil"/>
              <w:right w:val="nil"/>
            </w:tcBorders>
            <w:shd w:val="clear" w:color="000000" w:fill="FFFFFF"/>
            <w:vAlign w:val="center"/>
            <w:hideMark/>
          </w:tcPr>
          <w:p w14:paraId="0DF7C1C7"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(8.6)</w:t>
            </w:r>
          </w:p>
        </w:tc>
      </w:tr>
      <w:tr w:rsidR="00D047EA" w:rsidRPr="00D047EA" w14:paraId="47A9E561" w14:textId="77777777" w:rsidTr="003D35A3">
        <w:trPr>
          <w:trHeight w:val="221"/>
        </w:trPr>
        <w:tc>
          <w:tcPr>
            <w:tcW w:w="3544" w:type="dxa"/>
            <w:tcBorders>
              <w:top w:val="nil"/>
              <w:left w:val="nil"/>
              <w:bottom w:val="nil"/>
              <w:right w:val="nil"/>
            </w:tcBorders>
            <w:shd w:val="clear" w:color="000000" w:fill="FFFFFF"/>
            <w:vAlign w:val="center"/>
            <w:hideMark/>
          </w:tcPr>
          <w:p w14:paraId="2C85ECE6" w14:textId="77777777"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Other Australian Government payments </w:t>
            </w:r>
          </w:p>
        </w:tc>
        <w:tc>
          <w:tcPr>
            <w:tcW w:w="846" w:type="dxa"/>
            <w:tcBorders>
              <w:top w:val="nil"/>
              <w:left w:val="nil"/>
              <w:bottom w:val="nil"/>
              <w:right w:val="nil"/>
            </w:tcBorders>
            <w:shd w:val="clear" w:color="000000" w:fill="FFFFFF"/>
            <w:noWrap/>
            <w:vAlign w:val="center"/>
            <w:hideMark/>
          </w:tcPr>
          <w:p w14:paraId="28DE05E7" w14:textId="1D819119"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475 </w:t>
            </w:r>
          </w:p>
        </w:tc>
        <w:tc>
          <w:tcPr>
            <w:tcW w:w="848" w:type="dxa"/>
            <w:tcBorders>
              <w:top w:val="nil"/>
              <w:left w:val="nil"/>
              <w:bottom w:val="nil"/>
              <w:right w:val="nil"/>
            </w:tcBorders>
            <w:shd w:val="clear" w:color="000000" w:fill="F2F2F2"/>
            <w:noWrap/>
            <w:vAlign w:val="center"/>
            <w:hideMark/>
          </w:tcPr>
          <w:p w14:paraId="68953A4B" w14:textId="4412389E"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459 </w:t>
            </w:r>
          </w:p>
        </w:tc>
        <w:tc>
          <w:tcPr>
            <w:tcW w:w="848" w:type="dxa"/>
            <w:tcBorders>
              <w:top w:val="nil"/>
              <w:left w:val="nil"/>
              <w:bottom w:val="nil"/>
              <w:right w:val="nil"/>
            </w:tcBorders>
            <w:shd w:val="clear" w:color="000000" w:fill="F2F2F2"/>
            <w:noWrap/>
            <w:vAlign w:val="center"/>
            <w:hideMark/>
          </w:tcPr>
          <w:p w14:paraId="3FEA451C" w14:textId="04671F13"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457 </w:t>
            </w:r>
          </w:p>
        </w:tc>
        <w:tc>
          <w:tcPr>
            <w:tcW w:w="842" w:type="dxa"/>
            <w:tcBorders>
              <w:top w:val="nil"/>
              <w:left w:val="nil"/>
              <w:bottom w:val="nil"/>
              <w:right w:val="nil"/>
            </w:tcBorders>
            <w:shd w:val="clear" w:color="000000" w:fill="F2F2F2"/>
            <w:noWrap/>
            <w:vAlign w:val="center"/>
            <w:hideMark/>
          </w:tcPr>
          <w:p w14:paraId="196A124D" w14:textId="07F96379"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498 </w:t>
            </w:r>
          </w:p>
        </w:tc>
        <w:tc>
          <w:tcPr>
            <w:tcW w:w="844" w:type="dxa"/>
            <w:tcBorders>
              <w:top w:val="nil"/>
              <w:left w:val="nil"/>
              <w:bottom w:val="nil"/>
              <w:right w:val="nil"/>
            </w:tcBorders>
            <w:shd w:val="clear" w:color="000000" w:fill="F2F2F2"/>
            <w:noWrap/>
            <w:vAlign w:val="center"/>
            <w:hideMark/>
          </w:tcPr>
          <w:p w14:paraId="154CC042" w14:textId="1CBEAA9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524 </w:t>
            </w:r>
          </w:p>
        </w:tc>
        <w:tc>
          <w:tcPr>
            <w:tcW w:w="836" w:type="dxa"/>
            <w:tcBorders>
              <w:top w:val="nil"/>
              <w:left w:val="nil"/>
              <w:bottom w:val="nil"/>
              <w:right w:val="nil"/>
            </w:tcBorders>
            <w:shd w:val="clear" w:color="000000" w:fill="F2F2F2"/>
            <w:noWrap/>
            <w:vAlign w:val="center"/>
            <w:hideMark/>
          </w:tcPr>
          <w:p w14:paraId="3C7864DD" w14:textId="567AC764"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564 </w:t>
            </w:r>
          </w:p>
        </w:tc>
        <w:tc>
          <w:tcPr>
            <w:tcW w:w="1255" w:type="dxa"/>
            <w:tcBorders>
              <w:top w:val="nil"/>
              <w:left w:val="nil"/>
              <w:bottom w:val="nil"/>
              <w:right w:val="nil"/>
            </w:tcBorders>
            <w:shd w:val="clear" w:color="000000" w:fill="FFFFFF"/>
            <w:vAlign w:val="center"/>
            <w:hideMark/>
          </w:tcPr>
          <w:p w14:paraId="71C257A9"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5.3</w:t>
            </w:r>
          </w:p>
        </w:tc>
      </w:tr>
      <w:tr w:rsidR="00D047EA" w:rsidRPr="00D047EA" w14:paraId="1B7D4EC8" w14:textId="77777777" w:rsidTr="003D35A3">
        <w:trPr>
          <w:trHeight w:val="221"/>
        </w:trPr>
        <w:tc>
          <w:tcPr>
            <w:tcW w:w="3544" w:type="dxa"/>
            <w:tcBorders>
              <w:top w:val="nil"/>
              <w:left w:val="nil"/>
              <w:bottom w:val="nil"/>
              <w:right w:val="nil"/>
            </w:tcBorders>
            <w:shd w:val="clear" w:color="000000" w:fill="FFFFFF"/>
            <w:vAlign w:val="center"/>
            <w:hideMark/>
          </w:tcPr>
          <w:p w14:paraId="5BD1A529" w14:textId="77777777" w:rsidR="00D047EA" w:rsidRPr="00D047EA" w:rsidRDefault="00D047EA" w:rsidP="00D047EA">
            <w:pPr>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Total Australian Government grants</w:t>
            </w:r>
          </w:p>
        </w:tc>
        <w:tc>
          <w:tcPr>
            <w:tcW w:w="846" w:type="dxa"/>
            <w:tcBorders>
              <w:top w:val="nil"/>
              <w:left w:val="nil"/>
              <w:bottom w:val="nil"/>
              <w:right w:val="nil"/>
            </w:tcBorders>
            <w:shd w:val="clear" w:color="000000" w:fill="FFFFFF"/>
            <w:noWrap/>
            <w:vAlign w:val="center"/>
            <w:hideMark/>
          </w:tcPr>
          <w:p w14:paraId="14B9F774"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44,092</w:t>
            </w:r>
          </w:p>
        </w:tc>
        <w:tc>
          <w:tcPr>
            <w:tcW w:w="848" w:type="dxa"/>
            <w:tcBorders>
              <w:top w:val="nil"/>
              <w:left w:val="nil"/>
              <w:bottom w:val="nil"/>
              <w:right w:val="nil"/>
            </w:tcBorders>
            <w:shd w:val="clear" w:color="000000" w:fill="F2F2F2"/>
            <w:noWrap/>
            <w:vAlign w:val="center"/>
            <w:hideMark/>
          </w:tcPr>
          <w:p w14:paraId="3D56E3A6"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44,605</w:t>
            </w:r>
          </w:p>
        </w:tc>
        <w:tc>
          <w:tcPr>
            <w:tcW w:w="848" w:type="dxa"/>
            <w:tcBorders>
              <w:top w:val="nil"/>
              <w:left w:val="nil"/>
              <w:bottom w:val="nil"/>
              <w:right w:val="nil"/>
            </w:tcBorders>
            <w:shd w:val="clear" w:color="000000" w:fill="F2F2F2"/>
            <w:noWrap/>
            <w:vAlign w:val="center"/>
            <w:hideMark/>
          </w:tcPr>
          <w:p w14:paraId="49682E39"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45,573</w:t>
            </w:r>
          </w:p>
        </w:tc>
        <w:tc>
          <w:tcPr>
            <w:tcW w:w="842" w:type="dxa"/>
            <w:tcBorders>
              <w:top w:val="nil"/>
              <w:left w:val="nil"/>
              <w:bottom w:val="nil"/>
              <w:right w:val="nil"/>
            </w:tcBorders>
            <w:shd w:val="clear" w:color="000000" w:fill="F2F2F2"/>
            <w:noWrap/>
            <w:vAlign w:val="center"/>
            <w:hideMark/>
          </w:tcPr>
          <w:p w14:paraId="3CC20F28"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47,405</w:t>
            </w:r>
          </w:p>
        </w:tc>
        <w:tc>
          <w:tcPr>
            <w:tcW w:w="844" w:type="dxa"/>
            <w:tcBorders>
              <w:top w:val="nil"/>
              <w:left w:val="nil"/>
              <w:bottom w:val="nil"/>
              <w:right w:val="nil"/>
            </w:tcBorders>
            <w:shd w:val="clear" w:color="000000" w:fill="F2F2F2"/>
            <w:noWrap/>
            <w:vAlign w:val="center"/>
            <w:hideMark/>
          </w:tcPr>
          <w:p w14:paraId="7BCC522F"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47,551</w:t>
            </w:r>
          </w:p>
        </w:tc>
        <w:tc>
          <w:tcPr>
            <w:tcW w:w="836" w:type="dxa"/>
            <w:tcBorders>
              <w:top w:val="nil"/>
              <w:left w:val="nil"/>
              <w:bottom w:val="nil"/>
              <w:right w:val="nil"/>
            </w:tcBorders>
            <w:shd w:val="clear" w:color="000000" w:fill="F2F2F2"/>
            <w:noWrap/>
            <w:vAlign w:val="center"/>
            <w:hideMark/>
          </w:tcPr>
          <w:p w14:paraId="6879E16A"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48,272</w:t>
            </w:r>
          </w:p>
        </w:tc>
        <w:tc>
          <w:tcPr>
            <w:tcW w:w="1255" w:type="dxa"/>
            <w:tcBorders>
              <w:top w:val="nil"/>
              <w:left w:val="nil"/>
              <w:bottom w:val="nil"/>
              <w:right w:val="nil"/>
            </w:tcBorders>
            <w:shd w:val="clear" w:color="000000" w:fill="FFFFFF"/>
            <w:vAlign w:val="center"/>
            <w:hideMark/>
          </w:tcPr>
          <w:p w14:paraId="26C98197"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2.0</w:t>
            </w:r>
          </w:p>
        </w:tc>
      </w:tr>
      <w:tr w:rsidR="00D047EA" w:rsidRPr="00D047EA" w14:paraId="0AD04251" w14:textId="77777777" w:rsidTr="003D35A3">
        <w:trPr>
          <w:trHeight w:val="296"/>
        </w:trPr>
        <w:tc>
          <w:tcPr>
            <w:tcW w:w="3544" w:type="dxa"/>
            <w:tcBorders>
              <w:top w:val="nil"/>
              <w:left w:val="nil"/>
              <w:bottom w:val="nil"/>
              <w:right w:val="nil"/>
            </w:tcBorders>
            <w:shd w:val="clear" w:color="000000" w:fill="FFFFFF"/>
            <w:vAlign w:val="bottom"/>
            <w:hideMark/>
          </w:tcPr>
          <w:p w14:paraId="314408BA" w14:textId="2D6A2A11" w:rsidR="00D047EA" w:rsidRPr="00D047EA" w:rsidRDefault="00D047EA" w:rsidP="00D047EA">
            <w:pPr>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 xml:space="preserve">Annual change in Australian Government </w:t>
            </w:r>
            <w:r w:rsidR="003D35A3">
              <w:rPr>
                <w:rFonts w:ascii="Public Sans" w:hAnsi="Public Sans" w:cs="Calibri"/>
                <w:i/>
                <w:iCs/>
                <w:sz w:val="16"/>
                <w:szCs w:val="16"/>
                <w:lang w:val="en-AU" w:eastAsia="en-AU"/>
              </w:rPr>
              <w:br/>
              <w:t xml:space="preserve">  </w:t>
            </w:r>
            <w:r w:rsidRPr="00D047EA">
              <w:rPr>
                <w:rFonts w:ascii="Public Sans" w:hAnsi="Public Sans" w:cs="Calibri"/>
                <w:i/>
                <w:iCs/>
                <w:sz w:val="16"/>
                <w:szCs w:val="16"/>
                <w:lang w:val="en-AU" w:eastAsia="en-AU"/>
              </w:rPr>
              <w:t>grants</w:t>
            </w:r>
          </w:p>
        </w:tc>
        <w:tc>
          <w:tcPr>
            <w:tcW w:w="846" w:type="dxa"/>
            <w:tcBorders>
              <w:top w:val="nil"/>
              <w:left w:val="nil"/>
              <w:bottom w:val="nil"/>
              <w:right w:val="nil"/>
            </w:tcBorders>
            <w:shd w:val="clear" w:color="000000" w:fill="FFFFFF"/>
            <w:noWrap/>
            <w:vAlign w:val="bottom"/>
            <w:hideMark/>
          </w:tcPr>
          <w:p w14:paraId="1A0F98A5"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26.1%</w:t>
            </w:r>
          </w:p>
        </w:tc>
        <w:tc>
          <w:tcPr>
            <w:tcW w:w="848" w:type="dxa"/>
            <w:tcBorders>
              <w:top w:val="nil"/>
              <w:left w:val="nil"/>
              <w:bottom w:val="nil"/>
              <w:right w:val="nil"/>
            </w:tcBorders>
            <w:shd w:val="clear" w:color="000000" w:fill="F2F2F2"/>
            <w:noWrap/>
            <w:vAlign w:val="bottom"/>
            <w:hideMark/>
          </w:tcPr>
          <w:p w14:paraId="635FB9F2"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1.2%</w:t>
            </w:r>
          </w:p>
        </w:tc>
        <w:tc>
          <w:tcPr>
            <w:tcW w:w="848" w:type="dxa"/>
            <w:tcBorders>
              <w:top w:val="nil"/>
              <w:left w:val="nil"/>
              <w:bottom w:val="nil"/>
              <w:right w:val="nil"/>
            </w:tcBorders>
            <w:shd w:val="clear" w:color="000000" w:fill="F2F2F2"/>
            <w:noWrap/>
            <w:vAlign w:val="bottom"/>
            <w:hideMark/>
          </w:tcPr>
          <w:p w14:paraId="6A6D681B"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2.2%</w:t>
            </w:r>
          </w:p>
        </w:tc>
        <w:tc>
          <w:tcPr>
            <w:tcW w:w="842" w:type="dxa"/>
            <w:tcBorders>
              <w:top w:val="nil"/>
              <w:left w:val="nil"/>
              <w:bottom w:val="nil"/>
              <w:right w:val="nil"/>
            </w:tcBorders>
            <w:shd w:val="clear" w:color="000000" w:fill="F2F2F2"/>
            <w:noWrap/>
            <w:vAlign w:val="bottom"/>
            <w:hideMark/>
          </w:tcPr>
          <w:p w14:paraId="023FC2EE"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4.0%</w:t>
            </w:r>
          </w:p>
        </w:tc>
        <w:tc>
          <w:tcPr>
            <w:tcW w:w="844" w:type="dxa"/>
            <w:tcBorders>
              <w:top w:val="nil"/>
              <w:left w:val="nil"/>
              <w:bottom w:val="nil"/>
              <w:right w:val="nil"/>
            </w:tcBorders>
            <w:shd w:val="clear" w:color="000000" w:fill="F2F2F2"/>
            <w:noWrap/>
            <w:vAlign w:val="bottom"/>
            <w:hideMark/>
          </w:tcPr>
          <w:p w14:paraId="6325E63F"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0.3%</w:t>
            </w:r>
          </w:p>
        </w:tc>
        <w:tc>
          <w:tcPr>
            <w:tcW w:w="836" w:type="dxa"/>
            <w:tcBorders>
              <w:top w:val="nil"/>
              <w:left w:val="nil"/>
              <w:bottom w:val="nil"/>
              <w:right w:val="nil"/>
            </w:tcBorders>
            <w:shd w:val="clear" w:color="000000" w:fill="F2F2F2"/>
            <w:noWrap/>
            <w:vAlign w:val="bottom"/>
            <w:hideMark/>
          </w:tcPr>
          <w:p w14:paraId="3FFEEB29"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1.5%</w:t>
            </w:r>
          </w:p>
        </w:tc>
        <w:tc>
          <w:tcPr>
            <w:tcW w:w="1255" w:type="dxa"/>
            <w:tcBorders>
              <w:top w:val="nil"/>
              <w:left w:val="nil"/>
              <w:bottom w:val="nil"/>
              <w:right w:val="nil"/>
            </w:tcBorders>
            <w:shd w:val="clear" w:color="000000" w:fill="FFFFFF"/>
            <w:vAlign w:val="center"/>
            <w:hideMark/>
          </w:tcPr>
          <w:p w14:paraId="3190606F"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 </w:t>
            </w:r>
          </w:p>
        </w:tc>
      </w:tr>
      <w:tr w:rsidR="00D047EA" w:rsidRPr="00D047EA" w14:paraId="48AE950A" w14:textId="77777777" w:rsidTr="003D35A3">
        <w:trPr>
          <w:trHeight w:val="221"/>
        </w:trPr>
        <w:tc>
          <w:tcPr>
            <w:tcW w:w="3544" w:type="dxa"/>
            <w:tcBorders>
              <w:top w:val="nil"/>
              <w:left w:val="nil"/>
              <w:bottom w:val="nil"/>
              <w:right w:val="nil"/>
            </w:tcBorders>
            <w:shd w:val="clear" w:color="000000" w:fill="FFFFFF"/>
            <w:vAlign w:val="center"/>
            <w:hideMark/>
          </w:tcPr>
          <w:p w14:paraId="728CD58B" w14:textId="77777777"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Other grants </w:t>
            </w:r>
          </w:p>
        </w:tc>
        <w:tc>
          <w:tcPr>
            <w:tcW w:w="846" w:type="dxa"/>
            <w:tcBorders>
              <w:top w:val="nil"/>
              <w:left w:val="nil"/>
              <w:bottom w:val="nil"/>
              <w:right w:val="nil"/>
            </w:tcBorders>
            <w:shd w:val="clear" w:color="000000" w:fill="FFFFFF"/>
            <w:noWrap/>
            <w:vAlign w:val="center"/>
            <w:hideMark/>
          </w:tcPr>
          <w:p w14:paraId="1FE93793" w14:textId="7F1C956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795 </w:t>
            </w:r>
          </w:p>
        </w:tc>
        <w:tc>
          <w:tcPr>
            <w:tcW w:w="848" w:type="dxa"/>
            <w:tcBorders>
              <w:top w:val="nil"/>
              <w:left w:val="nil"/>
              <w:bottom w:val="nil"/>
              <w:right w:val="nil"/>
            </w:tcBorders>
            <w:shd w:val="clear" w:color="000000" w:fill="F2F2F2"/>
            <w:noWrap/>
            <w:vAlign w:val="center"/>
            <w:hideMark/>
          </w:tcPr>
          <w:p w14:paraId="5105C277" w14:textId="57D4B16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967 </w:t>
            </w:r>
          </w:p>
        </w:tc>
        <w:tc>
          <w:tcPr>
            <w:tcW w:w="848" w:type="dxa"/>
            <w:tcBorders>
              <w:top w:val="nil"/>
              <w:left w:val="nil"/>
              <w:bottom w:val="nil"/>
              <w:right w:val="nil"/>
            </w:tcBorders>
            <w:shd w:val="clear" w:color="000000" w:fill="F2F2F2"/>
            <w:noWrap/>
            <w:vAlign w:val="center"/>
            <w:hideMark/>
          </w:tcPr>
          <w:p w14:paraId="650234AE" w14:textId="3568D66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1,044 </w:t>
            </w:r>
          </w:p>
        </w:tc>
        <w:tc>
          <w:tcPr>
            <w:tcW w:w="842" w:type="dxa"/>
            <w:tcBorders>
              <w:top w:val="nil"/>
              <w:left w:val="nil"/>
              <w:bottom w:val="nil"/>
              <w:right w:val="nil"/>
            </w:tcBorders>
            <w:shd w:val="clear" w:color="000000" w:fill="F2F2F2"/>
            <w:noWrap/>
            <w:vAlign w:val="center"/>
            <w:hideMark/>
          </w:tcPr>
          <w:p w14:paraId="20ABF52B" w14:textId="4707A9F9"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912 </w:t>
            </w:r>
          </w:p>
        </w:tc>
        <w:tc>
          <w:tcPr>
            <w:tcW w:w="844" w:type="dxa"/>
            <w:tcBorders>
              <w:top w:val="nil"/>
              <w:left w:val="nil"/>
              <w:bottom w:val="nil"/>
              <w:right w:val="nil"/>
            </w:tcBorders>
            <w:shd w:val="clear" w:color="000000" w:fill="F2F2F2"/>
            <w:noWrap/>
            <w:vAlign w:val="center"/>
            <w:hideMark/>
          </w:tcPr>
          <w:p w14:paraId="7FE9330E" w14:textId="7FCF8770"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946 </w:t>
            </w:r>
          </w:p>
        </w:tc>
        <w:tc>
          <w:tcPr>
            <w:tcW w:w="836" w:type="dxa"/>
            <w:tcBorders>
              <w:top w:val="nil"/>
              <w:left w:val="nil"/>
              <w:bottom w:val="nil"/>
              <w:right w:val="nil"/>
            </w:tcBorders>
            <w:shd w:val="clear" w:color="000000" w:fill="F2F2F2"/>
            <w:noWrap/>
            <w:vAlign w:val="center"/>
            <w:hideMark/>
          </w:tcPr>
          <w:p w14:paraId="3058A862" w14:textId="3BABD8F3"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940 </w:t>
            </w:r>
          </w:p>
        </w:tc>
        <w:tc>
          <w:tcPr>
            <w:tcW w:w="1255" w:type="dxa"/>
            <w:tcBorders>
              <w:top w:val="nil"/>
              <w:left w:val="nil"/>
              <w:bottom w:val="nil"/>
              <w:right w:val="nil"/>
            </w:tcBorders>
            <w:shd w:val="clear" w:color="000000" w:fill="FFFFFF"/>
            <w:vAlign w:val="center"/>
            <w:hideMark/>
          </w:tcPr>
          <w:p w14:paraId="54407AA9"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(0.7)</w:t>
            </w:r>
          </w:p>
        </w:tc>
      </w:tr>
      <w:tr w:rsidR="00D047EA" w:rsidRPr="00D047EA" w14:paraId="3ECFB191" w14:textId="77777777" w:rsidTr="003D35A3">
        <w:trPr>
          <w:trHeight w:val="340"/>
        </w:trPr>
        <w:tc>
          <w:tcPr>
            <w:tcW w:w="3544" w:type="dxa"/>
            <w:tcBorders>
              <w:top w:val="single" w:sz="4" w:space="0" w:color="auto"/>
              <w:left w:val="nil"/>
              <w:bottom w:val="single" w:sz="4" w:space="0" w:color="auto"/>
              <w:right w:val="nil"/>
            </w:tcBorders>
            <w:shd w:val="clear" w:color="000000" w:fill="FFFFFF"/>
            <w:noWrap/>
            <w:vAlign w:val="center"/>
            <w:hideMark/>
          </w:tcPr>
          <w:p w14:paraId="6C986CD5" w14:textId="77777777" w:rsidR="00D047EA" w:rsidRPr="00D047EA" w:rsidRDefault="00D047EA" w:rsidP="00D047EA">
            <w:pPr>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Total grant revenue</w:t>
            </w:r>
          </w:p>
        </w:tc>
        <w:tc>
          <w:tcPr>
            <w:tcW w:w="846" w:type="dxa"/>
            <w:tcBorders>
              <w:top w:val="single" w:sz="4" w:space="0" w:color="auto"/>
              <w:left w:val="nil"/>
              <w:bottom w:val="single" w:sz="4" w:space="0" w:color="auto"/>
              <w:right w:val="nil"/>
            </w:tcBorders>
            <w:shd w:val="clear" w:color="000000" w:fill="FFFFFF"/>
            <w:noWrap/>
            <w:vAlign w:val="center"/>
            <w:hideMark/>
          </w:tcPr>
          <w:p w14:paraId="2E941D2B"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44,887</w:t>
            </w:r>
          </w:p>
        </w:tc>
        <w:tc>
          <w:tcPr>
            <w:tcW w:w="848" w:type="dxa"/>
            <w:tcBorders>
              <w:top w:val="single" w:sz="4" w:space="0" w:color="auto"/>
              <w:left w:val="nil"/>
              <w:bottom w:val="single" w:sz="4" w:space="0" w:color="auto"/>
              <w:right w:val="nil"/>
            </w:tcBorders>
            <w:shd w:val="clear" w:color="000000" w:fill="F2F2F2"/>
            <w:noWrap/>
            <w:vAlign w:val="center"/>
            <w:hideMark/>
          </w:tcPr>
          <w:p w14:paraId="032FC2C8"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45,572</w:t>
            </w:r>
          </w:p>
        </w:tc>
        <w:tc>
          <w:tcPr>
            <w:tcW w:w="848" w:type="dxa"/>
            <w:tcBorders>
              <w:top w:val="single" w:sz="4" w:space="0" w:color="auto"/>
              <w:left w:val="nil"/>
              <w:bottom w:val="single" w:sz="4" w:space="0" w:color="auto"/>
              <w:right w:val="nil"/>
            </w:tcBorders>
            <w:shd w:val="clear" w:color="000000" w:fill="F2F2F2"/>
            <w:noWrap/>
            <w:vAlign w:val="center"/>
            <w:hideMark/>
          </w:tcPr>
          <w:p w14:paraId="5A50230F"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46,617</w:t>
            </w:r>
          </w:p>
        </w:tc>
        <w:tc>
          <w:tcPr>
            <w:tcW w:w="842" w:type="dxa"/>
            <w:tcBorders>
              <w:top w:val="single" w:sz="4" w:space="0" w:color="auto"/>
              <w:left w:val="nil"/>
              <w:bottom w:val="single" w:sz="4" w:space="0" w:color="auto"/>
              <w:right w:val="nil"/>
            </w:tcBorders>
            <w:shd w:val="clear" w:color="000000" w:fill="F2F2F2"/>
            <w:noWrap/>
            <w:vAlign w:val="center"/>
            <w:hideMark/>
          </w:tcPr>
          <w:p w14:paraId="4F5DDD54"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48,317</w:t>
            </w:r>
          </w:p>
        </w:tc>
        <w:tc>
          <w:tcPr>
            <w:tcW w:w="844" w:type="dxa"/>
            <w:tcBorders>
              <w:top w:val="single" w:sz="4" w:space="0" w:color="auto"/>
              <w:left w:val="nil"/>
              <w:bottom w:val="single" w:sz="4" w:space="0" w:color="auto"/>
              <w:right w:val="nil"/>
            </w:tcBorders>
            <w:shd w:val="clear" w:color="000000" w:fill="F2F2F2"/>
            <w:noWrap/>
            <w:vAlign w:val="center"/>
            <w:hideMark/>
          </w:tcPr>
          <w:p w14:paraId="5F00B90E"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48,497</w:t>
            </w:r>
          </w:p>
        </w:tc>
        <w:tc>
          <w:tcPr>
            <w:tcW w:w="836" w:type="dxa"/>
            <w:tcBorders>
              <w:top w:val="single" w:sz="4" w:space="0" w:color="auto"/>
              <w:left w:val="nil"/>
              <w:bottom w:val="single" w:sz="4" w:space="0" w:color="auto"/>
              <w:right w:val="nil"/>
            </w:tcBorders>
            <w:shd w:val="clear" w:color="000000" w:fill="F2F2F2"/>
            <w:noWrap/>
            <w:vAlign w:val="center"/>
            <w:hideMark/>
          </w:tcPr>
          <w:p w14:paraId="39C82A40"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49,213</w:t>
            </w:r>
          </w:p>
        </w:tc>
        <w:tc>
          <w:tcPr>
            <w:tcW w:w="1255" w:type="dxa"/>
            <w:tcBorders>
              <w:top w:val="single" w:sz="4" w:space="0" w:color="auto"/>
              <w:left w:val="nil"/>
              <w:bottom w:val="single" w:sz="4" w:space="0" w:color="auto"/>
              <w:right w:val="nil"/>
            </w:tcBorders>
            <w:shd w:val="clear" w:color="000000" w:fill="FFFFFF"/>
            <w:noWrap/>
            <w:vAlign w:val="center"/>
            <w:hideMark/>
          </w:tcPr>
          <w:p w14:paraId="4F099CC3" w14:textId="77777777" w:rsidR="00D047EA" w:rsidRPr="00D047EA" w:rsidRDefault="00D047EA" w:rsidP="00D047EA">
            <w:pPr>
              <w:jc w:val="center"/>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1.9</w:t>
            </w:r>
          </w:p>
        </w:tc>
      </w:tr>
    </w:tbl>
    <w:p w14:paraId="019883BE" w14:textId="77777777" w:rsidR="001E3840" w:rsidRDefault="001E3840" w:rsidP="00207CEA">
      <w:pPr>
        <w:rPr>
          <w:rFonts w:eastAsia="Arial Unicode MS"/>
        </w:rPr>
      </w:pPr>
    </w:p>
    <w:p w14:paraId="4EA4CC7F" w14:textId="77777777" w:rsidR="00E90BEE" w:rsidRPr="0001455D" w:rsidRDefault="00E90BEE" w:rsidP="00E90BEE">
      <w:pPr>
        <w:pStyle w:val="Heading3"/>
        <w:numPr>
          <w:ilvl w:val="2"/>
          <w:numId w:val="0"/>
        </w:numPr>
        <w:ind w:left="720" w:hanging="720"/>
        <w:rPr>
          <w:rFonts w:eastAsia="Arial Unicode MS"/>
        </w:rPr>
      </w:pPr>
      <w:r w:rsidRPr="0001455D">
        <w:rPr>
          <w:rFonts w:eastAsia="Arial Unicode MS"/>
        </w:rPr>
        <w:t>General purpose grants</w:t>
      </w:r>
    </w:p>
    <w:p w14:paraId="1884ADA9" w14:textId="51096862" w:rsidR="006839DA" w:rsidRDefault="006839DA" w:rsidP="00E4551D">
      <w:pPr>
        <w:pStyle w:val="BodyText"/>
      </w:pPr>
      <w:r w:rsidRPr="006839DA">
        <w:t>GST payments to N</w:t>
      </w:r>
      <w:r w:rsidR="007D5981">
        <w:t xml:space="preserve">ew </w:t>
      </w:r>
      <w:r w:rsidRPr="006839DA">
        <w:t>S</w:t>
      </w:r>
      <w:r w:rsidR="007D5981">
        <w:t xml:space="preserve">outh </w:t>
      </w:r>
      <w:r w:rsidRPr="006839DA">
        <w:t>W</w:t>
      </w:r>
      <w:r w:rsidR="007D5981">
        <w:t>ales</w:t>
      </w:r>
      <w:r w:rsidRPr="006839DA">
        <w:t xml:space="preserve"> have been revised down by $</w:t>
      </w:r>
      <w:r w:rsidR="00F61F39" w:rsidRPr="00813871">
        <w:t>1.9</w:t>
      </w:r>
      <w:r w:rsidRPr="006839DA">
        <w:t xml:space="preserve"> </w:t>
      </w:r>
      <w:r w:rsidR="00776F72">
        <w:t>b</w:t>
      </w:r>
      <w:r w:rsidRPr="006839DA">
        <w:t>illion over the four years to 2026</w:t>
      </w:r>
      <w:r w:rsidR="00B865FE" w:rsidRPr="00F37BA0">
        <w:t>-27</w:t>
      </w:r>
      <w:r w:rsidRPr="00F37BA0">
        <w:t xml:space="preserve">, </w:t>
      </w:r>
      <w:r w:rsidR="00F52B99" w:rsidRPr="00F37BA0">
        <w:t>largely</w:t>
      </w:r>
      <w:r w:rsidRPr="006839DA">
        <w:t xml:space="preserve"> reflecting a decline in the forecast </w:t>
      </w:r>
      <w:r w:rsidR="00083F76">
        <w:t xml:space="preserve">of the </w:t>
      </w:r>
      <w:r w:rsidRPr="006839DA">
        <w:t>national GST pool. These effects have been partially offset by higher forecasts for the NSW population</w:t>
      </w:r>
      <w:r w:rsidR="00083F76">
        <w:t xml:space="preserve"> share</w:t>
      </w:r>
      <w:r w:rsidRPr="006839DA">
        <w:t>. GST payments to N</w:t>
      </w:r>
      <w:r w:rsidR="00DE4DE5">
        <w:t xml:space="preserve">ew </w:t>
      </w:r>
      <w:r w:rsidRPr="006839DA">
        <w:t>S</w:t>
      </w:r>
      <w:r w:rsidR="00DE4DE5">
        <w:t xml:space="preserve">outh </w:t>
      </w:r>
      <w:r w:rsidRPr="006839DA">
        <w:t>W</w:t>
      </w:r>
      <w:r w:rsidR="00DE4DE5">
        <w:t>ales</w:t>
      </w:r>
      <w:r w:rsidRPr="006839DA">
        <w:t xml:space="preserve"> are forecast to grow by </w:t>
      </w:r>
      <w:r w:rsidR="000E60DA" w:rsidRPr="00813871">
        <w:t>2.</w:t>
      </w:r>
      <w:r w:rsidR="003340D7">
        <w:t>7</w:t>
      </w:r>
      <w:r w:rsidRPr="006839DA">
        <w:t xml:space="preserve"> per cent per year, on average, over the four years to 2026-27.</w:t>
      </w:r>
    </w:p>
    <w:p w14:paraId="33CF49DD" w14:textId="77777777" w:rsidR="00130C60" w:rsidRDefault="00130C60" w:rsidP="00E4551D">
      <w:pPr>
        <w:pStyle w:val="BodyText"/>
      </w:pPr>
    </w:p>
    <w:p w14:paraId="3F7986D6" w14:textId="77777777" w:rsidR="00130C60" w:rsidRPr="006839DA" w:rsidRDefault="00130C60" w:rsidP="00E4551D">
      <w:pPr>
        <w:pStyle w:val="BodyText"/>
      </w:pPr>
    </w:p>
    <w:p w14:paraId="2B774626" w14:textId="77777777" w:rsidR="0037556E" w:rsidRDefault="0037556E">
      <w:pPr>
        <w:rPr>
          <w:rFonts w:ascii="Public Sans" w:hAnsi="Public Sans" w:cs="Arial"/>
          <w:sz w:val="22"/>
          <w:lang w:val="en-AU"/>
        </w:rPr>
      </w:pPr>
      <w:r>
        <w:br w:type="page"/>
      </w:r>
    </w:p>
    <w:p w14:paraId="3506E138" w14:textId="1963F9EA" w:rsidR="006839DA" w:rsidRPr="006839DA" w:rsidRDefault="006839DA" w:rsidP="00E4551D">
      <w:pPr>
        <w:pStyle w:val="BodyText"/>
      </w:pPr>
      <w:r w:rsidRPr="006839DA">
        <w:lastRenderedPageBreak/>
        <w:t>The national GST pool is expected to be $</w:t>
      </w:r>
      <w:r w:rsidRPr="00813871">
        <w:t>2.</w:t>
      </w:r>
      <w:r w:rsidR="00176E7D" w:rsidRPr="00813871">
        <w:t>3</w:t>
      </w:r>
      <w:r w:rsidRPr="006839DA">
        <w:t xml:space="preserve"> billion lower over the four years to 2026</w:t>
      </w:r>
      <w:r w:rsidR="00176E7D" w:rsidRPr="00F37BA0">
        <w:t>-27</w:t>
      </w:r>
      <w:r w:rsidRPr="006839DA">
        <w:t xml:space="preserve">, compared </w:t>
      </w:r>
      <w:r w:rsidR="00787F21">
        <w:t xml:space="preserve">to </w:t>
      </w:r>
      <w:r w:rsidRPr="006839DA">
        <w:t>2023 Pre-</w:t>
      </w:r>
      <w:r w:rsidR="009C43F7">
        <w:t>e</w:t>
      </w:r>
      <w:r w:rsidRPr="006839DA">
        <w:t>lection Budget Update forecasts. This largely reflects downward revisions to expectations for the share of total consumption subject to GST, and slightly weaker n</w:t>
      </w:r>
      <w:r w:rsidR="00615EFA">
        <w:t>ational</w:t>
      </w:r>
      <w:r w:rsidRPr="006839DA">
        <w:t xml:space="preserve"> household consumption. </w:t>
      </w:r>
    </w:p>
    <w:p w14:paraId="0F286F77" w14:textId="67F5653D" w:rsidR="00DE4DE5" w:rsidRDefault="006839DA" w:rsidP="00E4551D">
      <w:pPr>
        <w:pStyle w:val="BodyText"/>
      </w:pPr>
      <w:r w:rsidRPr="006839DA">
        <w:t>N</w:t>
      </w:r>
      <w:r w:rsidR="004E2C7F">
        <w:t xml:space="preserve">ew </w:t>
      </w:r>
      <w:r w:rsidRPr="006839DA">
        <w:t>S</w:t>
      </w:r>
      <w:r w:rsidR="004E2C7F">
        <w:t xml:space="preserve">outh </w:t>
      </w:r>
      <w:r w:rsidRPr="006839DA">
        <w:t>W</w:t>
      </w:r>
      <w:r w:rsidR="004E2C7F">
        <w:t>ales</w:t>
      </w:r>
      <w:r w:rsidRPr="006839DA">
        <w:t xml:space="preserve">’ relativity </w:t>
      </w:r>
      <w:r w:rsidR="00063DEE">
        <w:t>(the per capita share of the national GST pool)</w:t>
      </w:r>
      <w:r w:rsidRPr="006839DA">
        <w:t xml:space="preserve"> is expected to be lower over the forecast period, notably in 2025-26 and 2026-27. This is largely due to the forecast </w:t>
      </w:r>
      <w:r w:rsidRPr="00F37BA0">
        <w:t>improvement</w:t>
      </w:r>
      <w:r w:rsidR="00E52047" w:rsidRPr="00F37BA0">
        <w:t>s</w:t>
      </w:r>
      <w:r w:rsidRPr="006839DA">
        <w:t xml:space="preserve"> in both transfer duty and land tax revenues</w:t>
      </w:r>
      <w:r w:rsidR="00E52047" w:rsidRPr="00F37BA0">
        <w:t>.</w:t>
      </w:r>
    </w:p>
    <w:p w14:paraId="3E17F95F" w14:textId="06890F1F" w:rsidR="00E90BEE" w:rsidRPr="00014057" w:rsidRDefault="00E90BEE" w:rsidP="00136D15">
      <w:pPr>
        <w:pStyle w:val="Table4X"/>
      </w:pPr>
      <w:r w:rsidRPr="00014057">
        <w:t>GST (including “no worse off”) revenues to New South Wales – reconciliation statement</w:t>
      </w:r>
      <w:r w:rsidRPr="00014057">
        <w:rPr>
          <w:vertAlign w:val="superscript"/>
        </w:rPr>
        <w:t>(a)</w:t>
      </w:r>
      <w:r w:rsidRPr="00014057">
        <w:t xml:space="preserve"> </w:t>
      </w:r>
    </w:p>
    <w:tbl>
      <w:tblPr>
        <w:tblW w:w="9845" w:type="dxa"/>
        <w:tblLook w:val="04A0" w:firstRow="1" w:lastRow="0" w:firstColumn="1" w:lastColumn="0" w:noHBand="0" w:noVBand="1"/>
        <w:tblCaption w:val="Table 4.6: GST (including “no worse off”) revenues to New South Wales – reconciliation statement "/>
        <w:tblDescription w:val="Table 4.6: GST (including “no worse off”) revenues to New South Wales – reconciliation statement "/>
      </w:tblPr>
      <w:tblGrid>
        <w:gridCol w:w="3544"/>
        <w:gridCol w:w="1295"/>
        <w:gridCol w:w="986"/>
        <w:gridCol w:w="960"/>
        <w:gridCol w:w="960"/>
        <w:gridCol w:w="960"/>
        <w:gridCol w:w="1140"/>
      </w:tblGrid>
      <w:tr w:rsidR="005D1FAE" w:rsidRPr="007979F4" w14:paraId="52BF8B9B" w14:textId="77777777" w:rsidTr="0037556E">
        <w:trPr>
          <w:trHeight w:val="283"/>
        </w:trPr>
        <w:tc>
          <w:tcPr>
            <w:tcW w:w="3544" w:type="dxa"/>
            <w:tcBorders>
              <w:top w:val="nil"/>
              <w:left w:val="nil"/>
              <w:bottom w:val="nil"/>
              <w:right w:val="nil"/>
            </w:tcBorders>
            <w:shd w:val="clear" w:color="000000" w:fill="EBEBEB"/>
            <w:vAlign w:val="center"/>
            <w:hideMark/>
          </w:tcPr>
          <w:p w14:paraId="700F7AD9" w14:textId="77777777" w:rsidR="007979F4" w:rsidRPr="0037556E" w:rsidRDefault="007979F4" w:rsidP="007979F4">
            <w:pPr>
              <w:jc w:val="center"/>
              <w:rPr>
                <w:rFonts w:ascii="Public Sans" w:hAnsi="Public Sans" w:cs="Calibri"/>
                <w:i/>
                <w:color w:val="000000"/>
                <w:sz w:val="17"/>
                <w:szCs w:val="17"/>
                <w:lang w:val="en-AU" w:eastAsia="en-AU"/>
              </w:rPr>
            </w:pPr>
            <w:r w:rsidRPr="0037556E">
              <w:rPr>
                <w:rFonts w:ascii="Public Sans" w:hAnsi="Public Sans" w:cs="Calibri"/>
                <w:i/>
                <w:color w:val="000000"/>
                <w:sz w:val="17"/>
                <w:szCs w:val="17"/>
                <w:lang w:val="en-AU" w:eastAsia="en-AU"/>
              </w:rPr>
              <w:t> </w:t>
            </w:r>
          </w:p>
        </w:tc>
        <w:tc>
          <w:tcPr>
            <w:tcW w:w="1295" w:type="dxa"/>
            <w:tcBorders>
              <w:top w:val="nil"/>
              <w:left w:val="nil"/>
              <w:bottom w:val="nil"/>
              <w:right w:val="nil"/>
            </w:tcBorders>
            <w:shd w:val="clear" w:color="000000" w:fill="EBEBEB"/>
            <w:vAlign w:val="bottom"/>
            <w:hideMark/>
          </w:tcPr>
          <w:p w14:paraId="1CE8D34A"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2022-23</w:t>
            </w:r>
          </w:p>
        </w:tc>
        <w:tc>
          <w:tcPr>
            <w:tcW w:w="986" w:type="dxa"/>
            <w:tcBorders>
              <w:top w:val="nil"/>
              <w:left w:val="nil"/>
              <w:bottom w:val="nil"/>
              <w:right w:val="nil"/>
            </w:tcBorders>
            <w:shd w:val="clear" w:color="000000" w:fill="EBEBEB"/>
            <w:vAlign w:val="bottom"/>
            <w:hideMark/>
          </w:tcPr>
          <w:p w14:paraId="2AFE8C7C"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2023-24</w:t>
            </w:r>
          </w:p>
        </w:tc>
        <w:tc>
          <w:tcPr>
            <w:tcW w:w="960" w:type="dxa"/>
            <w:tcBorders>
              <w:top w:val="nil"/>
              <w:left w:val="nil"/>
              <w:bottom w:val="nil"/>
              <w:right w:val="nil"/>
            </w:tcBorders>
            <w:shd w:val="clear" w:color="000000" w:fill="EBEBEB"/>
            <w:vAlign w:val="bottom"/>
            <w:hideMark/>
          </w:tcPr>
          <w:p w14:paraId="02603948"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2024-25</w:t>
            </w:r>
          </w:p>
        </w:tc>
        <w:tc>
          <w:tcPr>
            <w:tcW w:w="960" w:type="dxa"/>
            <w:tcBorders>
              <w:top w:val="nil"/>
              <w:left w:val="nil"/>
              <w:bottom w:val="nil"/>
              <w:right w:val="nil"/>
            </w:tcBorders>
            <w:shd w:val="clear" w:color="000000" w:fill="EBEBEB"/>
            <w:vAlign w:val="bottom"/>
            <w:hideMark/>
          </w:tcPr>
          <w:p w14:paraId="40823687"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2025-26</w:t>
            </w:r>
          </w:p>
        </w:tc>
        <w:tc>
          <w:tcPr>
            <w:tcW w:w="960" w:type="dxa"/>
            <w:tcBorders>
              <w:top w:val="nil"/>
              <w:left w:val="nil"/>
              <w:bottom w:val="nil"/>
              <w:right w:val="nil"/>
            </w:tcBorders>
            <w:shd w:val="clear" w:color="000000" w:fill="EBEBEB"/>
            <w:vAlign w:val="bottom"/>
            <w:hideMark/>
          </w:tcPr>
          <w:p w14:paraId="5E72BBCD"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2026-27</w:t>
            </w:r>
          </w:p>
        </w:tc>
        <w:tc>
          <w:tcPr>
            <w:tcW w:w="1140" w:type="dxa"/>
            <w:vMerge w:val="restart"/>
            <w:tcBorders>
              <w:top w:val="nil"/>
              <w:left w:val="nil"/>
              <w:bottom w:val="nil"/>
              <w:right w:val="nil"/>
            </w:tcBorders>
            <w:shd w:val="clear" w:color="000000" w:fill="4B5051"/>
            <w:vAlign w:val="bottom"/>
            <w:hideMark/>
          </w:tcPr>
          <w:p w14:paraId="729B8162" w14:textId="77777777" w:rsidR="007979F4" w:rsidRPr="0037556E" w:rsidRDefault="007979F4" w:rsidP="007979F4">
            <w:pPr>
              <w:jc w:val="center"/>
              <w:rPr>
                <w:rFonts w:ascii="Public Sans" w:hAnsi="Public Sans" w:cs="Calibri"/>
                <w:color w:val="FFFFFF"/>
                <w:sz w:val="17"/>
                <w:szCs w:val="17"/>
                <w:lang w:val="en-AU" w:eastAsia="en-AU"/>
              </w:rPr>
            </w:pPr>
            <w:r w:rsidRPr="0037556E">
              <w:rPr>
                <w:rFonts w:ascii="Public Sans" w:hAnsi="Public Sans" w:cs="Calibri"/>
                <w:color w:val="FFFFFF"/>
                <w:sz w:val="17"/>
                <w:szCs w:val="17"/>
                <w:lang w:val="en-AU" w:eastAsia="en-AU"/>
              </w:rPr>
              <w:t>Four years to 2026-27</w:t>
            </w:r>
          </w:p>
        </w:tc>
      </w:tr>
      <w:tr w:rsidR="00754236" w:rsidRPr="007979F4" w14:paraId="490F68CC" w14:textId="77777777" w:rsidTr="0037556E">
        <w:trPr>
          <w:trHeight w:val="227"/>
        </w:trPr>
        <w:tc>
          <w:tcPr>
            <w:tcW w:w="3544" w:type="dxa"/>
            <w:tcBorders>
              <w:top w:val="nil"/>
              <w:left w:val="nil"/>
              <w:bottom w:val="nil"/>
              <w:right w:val="nil"/>
            </w:tcBorders>
            <w:shd w:val="clear" w:color="000000" w:fill="EBEBEB"/>
            <w:vAlign w:val="center"/>
            <w:hideMark/>
          </w:tcPr>
          <w:p w14:paraId="195B8EA8" w14:textId="77777777" w:rsidR="007979F4" w:rsidRPr="0037556E" w:rsidRDefault="007979F4" w:rsidP="007979F4">
            <w:pPr>
              <w:jc w:val="center"/>
              <w:rPr>
                <w:rFonts w:ascii="Public Sans" w:hAnsi="Public Sans" w:cs="Calibri"/>
                <w:i/>
                <w:color w:val="000000"/>
                <w:sz w:val="17"/>
                <w:szCs w:val="17"/>
                <w:lang w:val="en-AU" w:eastAsia="en-AU"/>
              </w:rPr>
            </w:pPr>
            <w:r w:rsidRPr="0037556E">
              <w:rPr>
                <w:rFonts w:ascii="Public Sans" w:hAnsi="Public Sans" w:cs="Calibri"/>
                <w:i/>
                <w:color w:val="000000"/>
                <w:sz w:val="17"/>
                <w:szCs w:val="17"/>
                <w:lang w:val="en-AU" w:eastAsia="en-AU"/>
              </w:rPr>
              <w:t> </w:t>
            </w:r>
          </w:p>
        </w:tc>
        <w:tc>
          <w:tcPr>
            <w:tcW w:w="1295" w:type="dxa"/>
            <w:tcBorders>
              <w:top w:val="nil"/>
              <w:left w:val="nil"/>
              <w:bottom w:val="nil"/>
              <w:right w:val="nil"/>
            </w:tcBorders>
            <w:shd w:val="clear" w:color="000000" w:fill="EBEBEB"/>
            <w:vAlign w:val="center"/>
            <w:hideMark/>
          </w:tcPr>
          <w:p w14:paraId="687C723C" w14:textId="4C39BBF6" w:rsidR="007979F4" w:rsidRPr="0037556E" w:rsidRDefault="00AB516D" w:rsidP="00014057">
            <w:pP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Est. Actual</w:t>
            </w:r>
          </w:p>
        </w:tc>
        <w:tc>
          <w:tcPr>
            <w:tcW w:w="986" w:type="dxa"/>
            <w:tcBorders>
              <w:top w:val="nil"/>
              <w:left w:val="nil"/>
              <w:bottom w:val="nil"/>
              <w:right w:val="nil"/>
            </w:tcBorders>
            <w:shd w:val="clear" w:color="000000" w:fill="EBEBEB"/>
            <w:vAlign w:val="center"/>
            <w:hideMark/>
          </w:tcPr>
          <w:p w14:paraId="09375246" w14:textId="5DECAE4C" w:rsidR="007979F4" w:rsidRPr="0037556E" w:rsidRDefault="00AB516D" w:rsidP="00F63D42">
            <w:pPr>
              <w:ind w:left="-57" w:right="-57"/>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Budget</w:t>
            </w:r>
          </w:p>
        </w:tc>
        <w:tc>
          <w:tcPr>
            <w:tcW w:w="2880" w:type="dxa"/>
            <w:gridSpan w:val="3"/>
            <w:tcBorders>
              <w:top w:val="nil"/>
              <w:left w:val="nil"/>
              <w:bottom w:val="nil"/>
              <w:right w:val="nil"/>
            </w:tcBorders>
            <w:shd w:val="clear" w:color="000000" w:fill="EBEBEB"/>
            <w:vAlign w:val="center"/>
            <w:hideMark/>
          </w:tcPr>
          <w:p w14:paraId="2A5BFF2E"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Forward Estimates</w:t>
            </w:r>
          </w:p>
        </w:tc>
        <w:tc>
          <w:tcPr>
            <w:tcW w:w="1140" w:type="dxa"/>
            <w:vMerge/>
            <w:tcBorders>
              <w:top w:val="nil"/>
              <w:left w:val="nil"/>
              <w:bottom w:val="nil"/>
              <w:right w:val="nil"/>
            </w:tcBorders>
            <w:vAlign w:val="center"/>
            <w:hideMark/>
          </w:tcPr>
          <w:p w14:paraId="26594095" w14:textId="77777777" w:rsidR="007979F4" w:rsidRPr="0037556E" w:rsidRDefault="007979F4" w:rsidP="007979F4">
            <w:pPr>
              <w:rPr>
                <w:rFonts w:ascii="Public Sans" w:hAnsi="Public Sans" w:cs="Calibri"/>
                <w:color w:val="FFFFFF"/>
                <w:sz w:val="17"/>
                <w:szCs w:val="17"/>
                <w:lang w:val="en-AU" w:eastAsia="en-AU"/>
              </w:rPr>
            </w:pPr>
          </w:p>
        </w:tc>
      </w:tr>
      <w:tr w:rsidR="00324F86" w:rsidRPr="007979F4" w14:paraId="17B63D6C" w14:textId="77777777" w:rsidTr="0037556E">
        <w:trPr>
          <w:trHeight w:val="283"/>
        </w:trPr>
        <w:tc>
          <w:tcPr>
            <w:tcW w:w="3544" w:type="dxa"/>
            <w:tcBorders>
              <w:top w:val="nil"/>
              <w:left w:val="nil"/>
              <w:bottom w:val="nil"/>
              <w:right w:val="nil"/>
            </w:tcBorders>
            <w:shd w:val="clear" w:color="000000" w:fill="EBEBEB"/>
            <w:vAlign w:val="center"/>
            <w:hideMark/>
          </w:tcPr>
          <w:p w14:paraId="6F343DB0" w14:textId="77777777" w:rsidR="007979F4" w:rsidRPr="0037556E" w:rsidRDefault="007979F4" w:rsidP="007979F4">
            <w:pPr>
              <w:jc w:val="center"/>
              <w:rPr>
                <w:rFonts w:ascii="Public Sans" w:hAnsi="Public Sans" w:cs="Calibri"/>
                <w:i/>
                <w:color w:val="000000"/>
                <w:sz w:val="17"/>
                <w:szCs w:val="17"/>
                <w:lang w:val="en-AU" w:eastAsia="en-AU"/>
              </w:rPr>
            </w:pPr>
            <w:r w:rsidRPr="0037556E">
              <w:rPr>
                <w:rFonts w:ascii="Public Sans" w:hAnsi="Public Sans" w:cs="Calibri"/>
                <w:i/>
                <w:color w:val="000000"/>
                <w:sz w:val="17"/>
                <w:szCs w:val="17"/>
                <w:lang w:val="en-AU" w:eastAsia="en-AU"/>
              </w:rPr>
              <w:t> </w:t>
            </w:r>
          </w:p>
        </w:tc>
        <w:tc>
          <w:tcPr>
            <w:tcW w:w="1295" w:type="dxa"/>
            <w:tcBorders>
              <w:top w:val="nil"/>
              <w:left w:val="nil"/>
              <w:bottom w:val="nil"/>
              <w:right w:val="nil"/>
            </w:tcBorders>
            <w:shd w:val="clear" w:color="000000" w:fill="EBEBEB"/>
            <w:hideMark/>
          </w:tcPr>
          <w:p w14:paraId="422F7223"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86" w:type="dxa"/>
            <w:tcBorders>
              <w:top w:val="nil"/>
              <w:left w:val="nil"/>
              <w:bottom w:val="nil"/>
              <w:right w:val="nil"/>
            </w:tcBorders>
            <w:shd w:val="clear" w:color="000000" w:fill="EBEBEB"/>
            <w:hideMark/>
          </w:tcPr>
          <w:p w14:paraId="313A8374" w14:textId="77777777" w:rsidR="007979F4" w:rsidRPr="0037556E" w:rsidRDefault="007979F4" w:rsidP="000A0733">
            <w:pPr>
              <w:ind w:left="-57" w:right="-57"/>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2CD1D1B5"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0866DB0F"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60" w:type="dxa"/>
            <w:tcBorders>
              <w:top w:val="nil"/>
              <w:left w:val="nil"/>
              <w:bottom w:val="single" w:sz="4" w:space="0" w:color="auto"/>
              <w:right w:val="nil"/>
            </w:tcBorders>
            <w:shd w:val="clear" w:color="000000" w:fill="EBEBEB"/>
            <w:hideMark/>
          </w:tcPr>
          <w:p w14:paraId="6CEE7ACE"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1140" w:type="dxa"/>
            <w:tcBorders>
              <w:top w:val="nil"/>
              <w:left w:val="nil"/>
              <w:bottom w:val="single" w:sz="4" w:space="0" w:color="0579B9"/>
              <w:right w:val="nil"/>
            </w:tcBorders>
            <w:shd w:val="clear" w:color="000000" w:fill="4B5051"/>
            <w:hideMark/>
          </w:tcPr>
          <w:p w14:paraId="13EA1F0F" w14:textId="77777777" w:rsidR="007979F4" w:rsidRPr="0037556E" w:rsidRDefault="007979F4" w:rsidP="007979F4">
            <w:pPr>
              <w:jc w:val="center"/>
              <w:rPr>
                <w:rFonts w:ascii="Public Sans" w:hAnsi="Public Sans" w:cs="Calibri"/>
                <w:color w:val="FFFFFF"/>
                <w:sz w:val="17"/>
                <w:szCs w:val="17"/>
                <w:lang w:val="en-AU" w:eastAsia="en-AU"/>
              </w:rPr>
            </w:pPr>
            <w:r w:rsidRPr="0037556E">
              <w:rPr>
                <w:rFonts w:ascii="Public Sans" w:hAnsi="Public Sans" w:cs="Calibri"/>
                <w:color w:val="FFFFFF"/>
                <w:sz w:val="17"/>
                <w:szCs w:val="17"/>
                <w:lang w:val="en-AU" w:eastAsia="en-AU"/>
              </w:rPr>
              <w:t>$m</w:t>
            </w:r>
          </w:p>
        </w:tc>
      </w:tr>
      <w:tr w:rsidR="007979F4" w:rsidRPr="007979F4" w14:paraId="73DB8ECA" w14:textId="77777777" w:rsidTr="0061289B">
        <w:trPr>
          <w:trHeight w:val="340"/>
        </w:trPr>
        <w:tc>
          <w:tcPr>
            <w:tcW w:w="3544" w:type="dxa"/>
            <w:tcBorders>
              <w:top w:val="single" w:sz="4" w:space="0" w:color="auto"/>
              <w:left w:val="nil"/>
              <w:bottom w:val="single" w:sz="4" w:space="0" w:color="auto"/>
              <w:right w:val="nil"/>
            </w:tcBorders>
            <w:shd w:val="clear" w:color="000000" w:fill="FFFFFF"/>
            <w:vAlign w:val="center"/>
            <w:hideMark/>
          </w:tcPr>
          <w:p w14:paraId="38CE4B87" w14:textId="33766D4F" w:rsidR="007979F4" w:rsidRPr="007979F4" w:rsidRDefault="007979F4" w:rsidP="007979F4">
            <w:pPr>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2023 Pre-</w:t>
            </w:r>
            <w:r w:rsidR="0094467C">
              <w:rPr>
                <w:rFonts w:ascii="Public Sans" w:hAnsi="Public Sans" w:cs="Calibri"/>
                <w:b/>
                <w:bCs/>
                <w:sz w:val="16"/>
                <w:szCs w:val="16"/>
                <w:lang w:val="en-AU" w:eastAsia="en-AU"/>
              </w:rPr>
              <w:t>e</w:t>
            </w:r>
            <w:r w:rsidRPr="007979F4">
              <w:rPr>
                <w:rFonts w:ascii="Public Sans" w:hAnsi="Public Sans" w:cs="Calibri"/>
                <w:b/>
                <w:bCs/>
                <w:sz w:val="16"/>
                <w:szCs w:val="16"/>
                <w:lang w:val="en-AU" w:eastAsia="en-AU"/>
              </w:rPr>
              <w:t>lection Budget Update</w:t>
            </w:r>
          </w:p>
        </w:tc>
        <w:tc>
          <w:tcPr>
            <w:tcW w:w="1295" w:type="dxa"/>
            <w:tcBorders>
              <w:top w:val="single" w:sz="4" w:space="0" w:color="auto"/>
              <w:left w:val="nil"/>
              <w:bottom w:val="single" w:sz="4" w:space="0" w:color="auto"/>
              <w:right w:val="nil"/>
            </w:tcBorders>
            <w:shd w:val="clear" w:color="000000" w:fill="FFFFFF"/>
            <w:noWrap/>
            <w:vAlign w:val="center"/>
            <w:hideMark/>
          </w:tcPr>
          <w:p w14:paraId="5D345980"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26,207 </w:t>
            </w:r>
          </w:p>
        </w:tc>
        <w:tc>
          <w:tcPr>
            <w:tcW w:w="986" w:type="dxa"/>
            <w:tcBorders>
              <w:top w:val="single" w:sz="4" w:space="0" w:color="auto"/>
              <w:left w:val="nil"/>
              <w:bottom w:val="single" w:sz="4" w:space="0" w:color="auto"/>
              <w:right w:val="nil"/>
            </w:tcBorders>
            <w:shd w:val="clear" w:color="000000" w:fill="FFFFFF"/>
            <w:noWrap/>
            <w:vAlign w:val="center"/>
            <w:hideMark/>
          </w:tcPr>
          <w:p w14:paraId="3C5A6D13"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26,280 </w:t>
            </w:r>
          </w:p>
        </w:tc>
        <w:tc>
          <w:tcPr>
            <w:tcW w:w="960" w:type="dxa"/>
            <w:tcBorders>
              <w:top w:val="single" w:sz="4" w:space="0" w:color="auto"/>
              <w:left w:val="nil"/>
              <w:bottom w:val="single" w:sz="4" w:space="0" w:color="auto"/>
              <w:right w:val="nil"/>
            </w:tcBorders>
            <w:shd w:val="clear" w:color="000000" w:fill="FFFFFF"/>
            <w:noWrap/>
            <w:vAlign w:val="center"/>
            <w:hideMark/>
          </w:tcPr>
          <w:p w14:paraId="7417491E"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27,216 </w:t>
            </w:r>
          </w:p>
        </w:tc>
        <w:tc>
          <w:tcPr>
            <w:tcW w:w="960" w:type="dxa"/>
            <w:tcBorders>
              <w:top w:val="single" w:sz="4" w:space="0" w:color="auto"/>
              <w:left w:val="nil"/>
              <w:bottom w:val="single" w:sz="4" w:space="0" w:color="auto"/>
              <w:right w:val="nil"/>
            </w:tcBorders>
            <w:shd w:val="clear" w:color="000000" w:fill="FFFFFF"/>
            <w:noWrap/>
            <w:vAlign w:val="center"/>
            <w:hideMark/>
          </w:tcPr>
          <w:p w14:paraId="3C5CEE39"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28,289 </w:t>
            </w:r>
          </w:p>
        </w:tc>
        <w:tc>
          <w:tcPr>
            <w:tcW w:w="960" w:type="dxa"/>
            <w:tcBorders>
              <w:top w:val="single" w:sz="4" w:space="0" w:color="auto"/>
              <w:left w:val="nil"/>
              <w:bottom w:val="single" w:sz="4" w:space="0" w:color="auto"/>
              <w:right w:val="nil"/>
            </w:tcBorders>
            <w:shd w:val="clear" w:color="000000" w:fill="FFFFFF"/>
            <w:noWrap/>
            <w:vAlign w:val="center"/>
            <w:hideMark/>
          </w:tcPr>
          <w:p w14:paraId="542BD0F4"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30,118 </w:t>
            </w:r>
          </w:p>
        </w:tc>
        <w:tc>
          <w:tcPr>
            <w:tcW w:w="1140" w:type="dxa"/>
            <w:tcBorders>
              <w:top w:val="single" w:sz="4" w:space="0" w:color="auto"/>
              <w:left w:val="nil"/>
              <w:bottom w:val="single" w:sz="4" w:space="0" w:color="auto"/>
              <w:right w:val="nil"/>
            </w:tcBorders>
            <w:shd w:val="clear" w:color="000000" w:fill="FFFFFF"/>
            <w:noWrap/>
            <w:vAlign w:val="center"/>
            <w:hideMark/>
          </w:tcPr>
          <w:p w14:paraId="2FFC0F16"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111,903 </w:t>
            </w:r>
          </w:p>
        </w:tc>
      </w:tr>
      <w:tr w:rsidR="007979F4" w:rsidRPr="007979F4" w14:paraId="40893158" w14:textId="77777777" w:rsidTr="0061289B">
        <w:trPr>
          <w:trHeight w:val="227"/>
        </w:trPr>
        <w:tc>
          <w:tcPr>
            <w:tcW w:w="3544" w:type="dxa"/>
            <w:tcBorders>
              <w:top w:val="nil"/>
              <w:left w:val="nil"/>
              <w:bottom w:val="nil"/>
              <w:right w:val="nil"/>
            </w:tcBorders>
            <w:shd w:val="clear" w:color="000000" w:fill="FFFFFF"/>
            <w:noWrap/>
            <w:vAlign w:val="bottom"/>
            <w:hideMark/>
          </w:tcPr>
          <w:p w14:paraId="4901C661" w14:textId="77777777" w:rsidR="007979F4" w:rsidRPr="007979F4" w:rsidRDefault="007979F4" w:rsidP="007979F4">
            <w:pPr>
              <w:rPr>
                <w:rFonts w:ascii="Public Sans" w:hAnsi="Public Sans" w:cs="Calibri"/>
                <w:sz w:val="16"/>
                <w:szCs w:val="16"/>
                <w:lang w:val="en-AU" w:eastAsia="en-AU"/>
              </w:rPr>
            </w:pPr>
            <w:r w:rsidRPr="007979F4">
              <w:rPr>
                <w:rFonts w:ascii="Public Sans" w:hAnsi="Public Sans" w:cs="Calibri"/>
                <w:sz w:val="16"/>
                <w:szCs w:val="16"/>
                <w:lang w:val="en-AU" w:eastAsia="en-AU"/>
              </w:rPr>
              <w:t>Change due to: </w:t>
            </w:r>
          </w:p>
        </w:tc>
        <w:tc>
          <w:tcPr>
            <w:tcW w:w="1295" w:type="dxa"/>
            <w:tcBorders>
              <w:top w:val="nil"/>
              <w:left w:val="nil"/>
              <w:bottom w:val="nil"/>
              <w:right w:val="nil"/>
            </w:tcBorders>
            <w:shd w:val="clear" w:color="000000" w:fill="FFFFFF"/>
            <w:noWrap/>
            <w:vAlign w:val="bottom"/>
            <w:hideMark/>
          </w:tcPr>
          <w:p w14:paraId="64245FC3"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86" w:type="dxa"/>
            <w:tcBorders>
              <w:top w:val="nil"/>
              <w:left w:val="nil"/>
              <w:bottom w:val="nil"/>
              <w:right w:val="nil"/>
            </w:tcBorders>
            <w:shd w:val="clear" w:color="000000" w:fill="FFFFFF"/>
            <w:noWrap/>
            <w:vAlign w:val="bottom"/>
            <w:hideMark/>
          </w:tcPr>
          <w:p w14:paraId="627AA496"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60" w:type="dxa"/>
            <w:tcBorders>
              <w:top w:val="nil"/>
              <w:left w:val="nil"/>
              <w:bottom w:val="nil"/>
              <w:right w:val="nil"/>
            </w:tcBorders>
            <w:shd w:val="clear" w:color="000000" w:fill="FFFFFF"/>
            <w:noWrap/>
            <w:vAlign w:val="bottom"/>
            <w:hideMark/>
          </w:tcPr>
          <w:p w14:paraId="16090C26"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60" w:type="dxa"/>
            <w:tcBorders>
              <w:top w:val="nil"/>
              <w:left w:val="nil"/>
              <w:bottom w:val="nil"/>
              <w:right w:val="nil"/>
            </w:tcBorders>
            <w:shd w:val="clear" w:color="000000" w:fill="FFFFFF"/>
            <w:noWrap/>
            <w:vAlign w:val="bottom"/>
            <w:hideMark/>
          </w:tcPr>
          <w:p w14:paraId="7423D8BB"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60" w:type="dxa"/>
            <w:tcBorders>
              <w:top w:val="nil"/>
              <w:left w:val="nil"/>
              <w:bottom w:val="nil"/>
              <w:right w:val="nil"/>
            </w:tcBorders>
            <w:shd w:val="clear" w:color="000000" w:fill="FFFFFF"/>
            <w:noWrap/>
            <w:vAlign w:val="bottom"/>
            <w:hideMark/>
          </w:tcPr>
          <w:p w14:paraId="1E3E705A"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1140" w:type="dxa"/>
            <w:tcBorders>
              <w:top w:val="nil"/>
              <w:left w:val="nil"/>
              <w:bottom w:val="nil"/>
              <w:right w:val="nil"/>
            </w:tcBorders>
            <w:shd w:val="clear" w:color="000000" w:fill="FFFFFF"/>
            <w:noWrap/>
            <w:vAlign w:val="bottom"/>
            <w:hideMark/>
          </w:tcPr>
          <w:p w14:paraId="5C68EE42"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r>
      <w:tr w:rsidR="007979F4" w:rsidRPr="007979F4" w14:paraId="76BC1389" w14:textId="77777777" w:rsidTr="0061289B">
        <w:trPr>
          <w:trHeight w:val="227"/>
        </w:trPr>
        <w:tc>
          <w:tcPr>
            <w:tcW w:w="3544" w:type="dxa"/>
            <w:tcBorders>
              <w:top w:val="nil"/>
              <w:left w:val="nil"/>
              <w:bottom w:val="nil"/>
              <w:right w:val="nil"/>
            </w:tcBorders>
            <w:shd w:val="clear" w:color="000000" w:fill="FFFFFF"/>
            <w:noWrap/>
            <w:vAlign w:val="bottom"/>
            <w:hideMark/>
          </w:tcPr>
          <w:p w14:paraId="6A36CEDD"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Change in population </w:t>
            </w:r>
          </w:p>
        </w:tc>
        <w:tc>
          <w:tcPr>
            <w:tcW w:w="1295" w:type="dxa"/>
            <w:tcBorders>
              <w:top w:val="nil"/>
              <w:left w:val="nil"/>
              <w:bottom w:val="nil"/>
              <w:right w:val="nil"/>
            </w:tcBorders>
            <w:shd w:val="clear" w:color="000000" w:fill="FFFFFF"/>
            <w:noWrap/>
            <w:vAlign w:val="bottom"/>
            <w:hideMark/>
          </w:tcPr>
          <w:p w14:paraId="53AAE294"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32 </w:t>
            </w:r>
          </w:p>
        </w:tc>
        <w:tc>
          <w:tcPr>
            <w:tcW w:w="986" w:type="dxa"/>
            <w:tcBorders>
              <w:top w:val="nil"/>
              <w:left w:val="nil"/>
              <w:bottom w:val="nil"/>
              <w:right w:val="nil"/>
            </w:tcBorders>
            <w:shd w:val="clear" w:color="000000" w:fill="FFFFFF"/>
            <w:noWrap/>
            <w:vAlign w:val="bottom"/>
            <w:hideMark/>
          </w:tcPr>
          <w:p w14:paraId="5DC32FFD"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56 </w:t>
            </w:r>
          </w:p>
        </w:tc>
        <w:tc>
          <w:tcPr>
            <w:tcW w:w="960" w:type="dxa"/>
            <w:tcBorders>
              <w:top w:val="nil"/>
              <w:left w:val="nil"/>
              <w:bottom w:val="nil"/>
              <w:right w:val="nil"/>
            </w:tcBorders>
            <w:shd w:val="clear" w:color="000000" w:fill="FFFFFF"/>
            <w:noWrap/>
            <w:vAlign w:val="bottom"/>
            <w:hideMark/>
          </w:tcPr>
          <w:p w14:paraId="2414F027"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69 </w:t>
            </w:r>
          </w:p>
        </w:tc>
        <w:tc>
          <w:tcPr>
            <w:tcW w:w="960" w:type="dxa"/>
            <w:tcBorders>
              <w:top w:val="nil"/>
              <w:left w:val="nil"/>
              <w:bottom w:val="nil"/>
              <w:right w:val="nil"/>
            </w:tcBorders>
            <w:shd w:val="clear" w:color="000000" w:fill="FFFFFF"/>
            <w:noWrap/>
            <w:vAlign w:val="bottom"/>
            <w:hideMark/>
          </w:tcPr>
          <w:p w14:paraId="524DC994"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76 </w:t>
            </w:r>
          </w:p>
        </w:tc>
        <w:tc>
          <w:tcPr>
            <w:tcW w:w="960" w:type="dxa"/>
            <w:tcBorders>
              <w:top w:val="nil"/>
              <w:left w:val="nil"/>
              <w:bottom w:val="nil"/>
              <w:right w:val="nil"/>
            </w:tcBorders>
            <w:shd w:val="clear" w:color="000000" w:fill="FFFFFF"/>
            <w:noWrap/>
            <w:vAlign w:val="bottom"/>
            <w:hideMark/>
          </w:tcPr>
          <w:p w14:paraId="0D3B2290"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86 </w:t>
            </w:r>
          </w:p>
        </w:tc>
        <w:tc>
          <w:tcPr>
            <w:tcW w:w="1140" w:type="dxa"/>
            <w:tcBorders>
              <w:top w:val="nil"/>
              <w:left w:val="nil"/>
              <w:bottom w:val="nil"/>
              <w:right w:val="nil"/>
            </w:tcBorders>
            <w:shd w:val="clear" w:color="000000" w:fill="FFFFFF"/>
            <w:noWrap/>
            <w:vAlign w:val="bottom"/>
            <w:hideMark/>
          </w:tcPr>
          <w:p w14:paraId="30A9A217"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287 </w:t>
            </w:r>
          </w:p>
        </w:tc>
      </w:tr>
      <w:tr w:rsidR="007979F4" w:rsidRPr="007979F4" w14:paraId="78B4365D" w14:textId="77777777" w:rsidTr="0061289B">
        <w:trPr>
          <w:trHeight w:val="227"/>
        </w:trPr>
        <w:tc>
          <w:tcPr>
            <w:tcW w:w="3544" w:type="dxa"/>
            <w:tcBorders>
              <w:top w:val="nil"/>
              <w:left w:val="nil"/>
              <w:bottom w:val="nil"/>
              <w:right w:val="nil"/>
            </w:tcBorders>
            <w:shd w:val="clear" w:color="000000" w:fill="FFFFFF"/>
            <w:noWrap/>
            <w:vAlign w:val="bottom"/>
            <w:hideMark/>
          </w:tcPr>
          <w:p w14:paraId="28465E0A"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Change in pool </w:t>
            </w:r>
          </w:p>
        </w:tc>
        <w:tc>
          <w:tcPr>
            <w:tcW w:w="1295" w:type="dxa"/>
            <w:tcBorders>
              <w:top w:val="nil"/>
              <w:left w:val="nil"/>
              <w:bottom w:val="nil"/>
              <w:right w:val="nil"/>
            </w:tcBorders>
            <w:shd w:val="clear" w:color="000000" w:fill="FFFFFF"/>
            <w:noWrap/>
            <w:vAlign w:val="bottom"/>
            <w:hideMark/>
          </w:tcPr>
          <w:p w14:paraId="2E92756F" w14:textId="614C33A8"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(21</w:t>
            </w:r>
            <w:r w:rsidR="00AB516D">
              <w:rPr>
                <w:rFonts w:ascii="Public Sans" w:hAnsi="Public Sans" w:cs="Calibri"/>
                <w:sz w:val="16"/>
                <w:szCs w:val="16"/>
                <w:lang w:val="en-AU" w:eastAsia="en-AU"/>
              </w:rPr>
              <w:t>5</w:t>
            </w:r>
            <w:r w:rsidRPr="007979F4">
              <w:rPr>
                <w:rFonts w:ascii="Public Sans" w:hAnsi="Public Sans" w:cs="Calibri"/>
                <w:sz w:val="16"/>
                <w:szCs w:val="16"/>
                <w:lang w:val="en-AU" w:eastAsia="en-AU"/>
              </w:rPr>
              <w:t xml:space="preserve">) </w:t>
            </w:r>
          </w:p>
        </w:tc>
        <w:tc>
          <w:tcPr>
            <w:tcW w:w="986" w:type="dxa"/>
            <w:tcBorders>
              <w:top w:val="nil"/>
              <w:left w:val="nil"/>
              <w:bottom w:val="nil"/>
              <w:right w:val="nil"/>
            </w:tcBorders>
            <w:shd w:val="clear" w:color="000000" w:fill="FFFFFF"/>
            <w:noWrap/>
            <w:vAlign w:val="bottom"/>
            <w:hideMark/>
          </w:tcPr>
          <w:p w14:paraId="43AFE7F5"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(133) </w:t>
            </w:r>
          </w:p>
        </w:tc>
        <w:tc>
          <w:tcPr>
            <w:tcW w:w="960" w:type="dxa"/>
            <w:tcBorders>
              <w:top w:val="nil"/>
              <w:left w:val="nil"/>
              <w:bottom w:val="nil"/>
              <w:right w:val="nil"/>
            </w:tcBorders>
            <w:shd w:val="clear" w:color="000000" w:fill="FFFFFF"/>
            <w:noWrap/>
            <w:vAlign w:val="bottom"/>
            <w:hideMark/>
          </w:tcPr>
          <w:p w14:paraId="4E628A87"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(105) </w:t>
            </w:r>
          </w:p>
        </w:tc>
        <w:tc>
          <w:tcPr>
            <w:tcW w:w="960" w:type="dxa"/>
            <w:tcBorders>
              <w:top w:val="nil"/>
              <w:left w:val="nil"/>
              <w:bottom w:val="nil"/>
              <w:right w:val="nil"/>
            </w:tcBorders>
            <w:shd w:val="clear" w:color="000000" w:fill="FFFFFF"/>
            <w:noWrap/>
            <w:vAlign w:val="bottom"/>
            <w:hideMark/>
          </w:tcPr>
          <w:p w14:paraId="356945CB"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(174) </w:t>
            </w:r>
          </w:p>
        </w:tc>
        <w:tc>
          <w:tcPr>
            <w:tcW w:w="960" w:type="dxa"/>
            <w:tcBorders>
              <w:top w:val="nil"/>
              <w:left w:val="nil"/>
              <w:bottom w:val="nil"/>
              <w:right w:val="nil"/>
            </w:tcBorders>
            <w:shd w:val="clear" w:color="000000" w:fill="FFFFFF"/>
            <w:noWrap/>
            <w:vAlign w:val="bottom"/>
            <w:hideMark/>
          </w:tcPr>
          <w:p w14:paraId="22A7540A"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(265) </w:t>
            </w:r>
          </w:p>
        </w:tc>
        <w:tc>
          <w:tcPr>
            <w:tcW w:w="1140" w:type="dxa"/>
            <w:tcBorders>
              <w:top w:val="nil"/>
              <w:left w:val="nil"/>
              <w:bottom w:val="nil"/>
              <w:right w:val="nil"/>
            </w:tcBorders>
            <w:shd w:val="clear" w:color="000000" w:fill="FFFFFF"/>
            <w:noWrap/>
            <w:vAlign w:val="bottom"/>
            <w:hideMark/>
          </w:tcPr>
          <w:p w14:paraId="084FCE91"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(677) </w:t>
            </w:r>
          </w:p>
        </w:tc>
      </w:tr>
      <w:tr w:rsidR="007979F4" w:rsidRPr="007979F4" w14:paraId="4EDDDE9C" w14:textId="77777777" w:rsidTr="0061289B">
        <w:trPr>
          <w:trHeight w:val="227"/>
        </w:trPr>
        <w:tc>
          <w:tcPr>
            <w:tcW w:w="3544" w:type="dxa"/>
            <w:tcBorders>
              <w:top w:val="nil"/>
              <w:left w:val="nil"/>
              <w:bottom w:val="nil"/>
              <w:right w:val="nil"/>
            </w:tcBorders>
            <w:shd w:val="clear" w:color="000000" w:fill="FFFFFF"/>
            <w:noWrap/>
            <w:vAlign w:val="bottom"/>
            <w:hideMark/>
          </w:tcPr>
          <w:p w14:paraId="349675A3"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Change in relativities </w:t>
            </w:r>
          </w:p>
        </w:tc>
        <w:tc>
          <w:tcPr>
            <w:tcW w:w="1295" w:type="dxa"/>
            <w:tcBorders>
              <w:top w:val="nil"/>
              <w:left w:val="nil"/>
              <w:bottom w:val="nil"/>
              <w:right w:val="nil"/>
            </w:tcBorders>
            <w:shd w:val="clear" w:color="000000" w:fill="FFFFFF"/>
            <w:noWrap/>
            <w:vAlign w:val="bottom"/>
            <w:hideMark/>
          </w:tcPr>
          <w:p w14:paraId="0B2BBEC4"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w:t>
            </w:r>
          </w:p>
        </w:tc>
        <w:tc>
          <w:tcPr>
            <w:tcW w:w="986" w:type="dxa"/>
            <w:tcBorders>
              <w:top w:val="nil"/>
              <w:left w:val="nil"/>
              <w:bottom w:val="nil"/>
              <w:right w:val="nil"/>
            </w:tcBorders>
            <w:shd w:val="clear" w:color="000000" w:fill="FFFFFF"/>
            <w:noWrap/>
            <w:vAlign w:val="bottom"/>
            <w:hideMark/>
          </w:tcPr>
          <w:p w14:paraId="284222CC"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(18) </w:t>
            </w:r>
          </w:p>
        </w:tc>
        <w:tc>
          <w:tcPr>
            <w:tcW w:w="960" w:type="dxa"/>
            <w:tcBorders>
              <w:top w:val="nil"/>
              <w:left w:val="nil"/>
              <w:bottom w:val="nil"/>
              <w:right w:val="nil"/>
            </w:tcBorders>
            <w:shd w:val="clear" w:color="000000" w:fill="FFFFFF"/>
            <w:noWrap/>
            <w:vAlign w:val="bottom"/>
            <w:hideMark/>
          </w:tcPr>
          <w:p w14:paraId="0C3DAB6D"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(170) </w:t>
            </w:r>
          </w:p>
        </w:tc>
        <w:tc>
          <w:tcPr>
            <w:tcW w:w="960" w:type="dxa"/>
            <w:tcBorders>
              <w:top w:val="nil"/>
              <w:left w:val="nil"/>
              <w:bottom w:val="nil"/>
              <w:right w:val="nil"/>
            </w:tcBorders>
            <w:shd w:val="clear" w:color="000000" w:fill="FFFFFF"/>
            <w:noWrap/>
            <w:vAlign w:val="bottom"/>
            <w:hideMark/>
          </w:tcPr>
          <w:p w14:paraId="34E63ABB"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(925) </w:t>
            </w:r>
          </w:p>
        </w:tc>
        <w:tc>
          <w:tcPr>
            <w:tcW w:w="960" w:type="dxa"/>
            <w:tcBorders>
              <w:top w:val="nil"/>
              <w:left w:val="nil"/>
              <w:bottom w:val="nil"/>
              <w:right w:val="nil"/>
            </w:tcBorders>
            <w:shd w:val="clear" w:color="000000" w:fill="FFFFFF"/>
            <w:noWrap/>
            <w:vAlign w:val="bottom"/>
            <w:hideMark/>
          </w:tcPr>
          <w:p w14:paraId="7F67F25E"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(1,643) </w:t>
            </w:r>
          </w:p>
        </w:tc>
        <w:tc>
          <w:tcPr>
            <w:tcW w:w="1140" w:type="dxa"/>
            <w:tcBorders>
              <w:top w:val="nil"/>
              <w:left w:val="nil"/>
              <w:bottom w:val="nil"/>
              <w:right w:val="nil"/>
            </w:tcBorders>
            <w:shd w:val="clear" w:color="000000" w:fill="FFFFFF"/>
            <w:noWrap/>
            <w:vAlign w:val="bottom"/>
            <w:hideMark/>
          </w:tcPr>
          <w:p w14:paraId="51CA0991"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(2,756) </w:t>
            </w:r>
          </w:p>
        </w:tc>
      </w:tr>
      <w:tr w:rsidR="007979F4" w:rsidRPr="007979F4" w14:paraId="4AA8FAB2" w14:textId="77777777" w:rsidTr="0061289B">
        <w:trPr>
          <w:trHeight w:val="227"/>
        </w:trPr>
        <w:tc>
          <w:tcPr>
            <w:tcW w:w="3544" w:type="dxa"/>
            <w:tcBorders>
              <w:top w:val="nil"/>
              <w:left w:val="nil"/>
              <w:bottom w:val="nil"/>
              <w:right w:val="nil"/>
            </w:tcBorders>
            <w:shd w:val="clear" w:color="000000" w:fill="FFFFFF"/>
            <w:noWrap/>
            <w:vAlign w:val="bottom"/>
            <w:hideMark/>
          </w:tcPr>
          <w:p w14:paraId="30B1E5D5"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'No worse off' payments</w:t>
            </w:r>
          </w:p>
        </w:tc>
        <w:tc>
          <w:tcPr>
            <w:tcW w:w="1295" w:type="dxa"/>
            <w:tcBorders>
              <w:top w:val="nil"/>
              <w:left w:val="nil"/>
              <w:bottom w:val="nil"/>
              <w:right w:val="nil"/>
            </w:tcBorders>
            <w:shd w:val="clear" w:color="000000" w:fill="FFFFFF"/>
            <w:noWrap/>
            <w:vAlign w:val="bottom"/>
            <w:hideMark/>
          </w:tcPr>
          <w:p w14:paraId="33CAEA15"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w:t>
            </w:r>
          </w:p>
        </w:tc>
        <w:tc>
          <w:tcPr>
            <w:tcW w:w="986" w:type="dxa"/>
            <w:tcBorders>
              <w:top w:val="nil"/>
              <w:left w:val="nil"/>
              <w:bottom w:val="nil"/>
              <w:right w:val="nil"/>
            </w:tcBorders>
            <w:shd w:val="clear" w:color="000000" w:fill="FFFFFF"/>
            <w:noWrap/>
            <w:vAlign w:val="bottom"/>
            <w:hideMark/>
          </w:tcPr>
          <w:p w14:paraId="0A82E8F8"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(7) </w:t>
            </w:r>
          </w:p>
        </w:tc>
        <w:tc>
          <w:tcPr>
            <w:tcW w:w="960" w:type="dxa"/>
            <w:tcBorders>
              <w:top w:val="nil"/>
              <w:left w:val="nil"/>
              <w:bottom w:val="nil"/>
              <w:right w:val="nil"/>
            </w:tcBorders>
            <w:shd w:val="clear" w:color="000000" w:fill="FFFFFF"/>
            <w:noWrap/>
            <w:vAlign w:val="bottom"/>
            <w:hideMark/>
          </w:tcPr>
          <w:p w14:paraId="5B30348E"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232 </w:t>
            </w:r>
          </w:p>
        </w:tc>
        <w:tc>
          <w:tcPr>
            <w:tcW w:w="960" w:type="dxa"/>
            <w:tcBorders>
              <w:top w:val="nil"/>
              <w:left w:val="nil"/>
              <w:bottom w:val="nil"/>
              <w:right w:val="nil"/>
            </w:tcBorders>
            <w:shd w:val="clear" w:color="000000" w:fill="FFFFFF"/>
            <w:noWrap/>
            <w:vAlign w:val="bottom"/>
            <w:hideMark/>
          </w:tcPr>
          <w:p w14:paraId="635D09D8"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413 </w:t>
            </w:r>
          </w:p>
        </w:tc>
        <w:tc>
          <w:tcPr>
            <w:tcW w:w="960" w:type="dxa"/>
            <w:tcBorders>
              <w:top w:val="nil"/>
              <w:left w:val="nil"/>
              <w:bottom w:val="nil"/>
              <w:right w:val="nil"/>
            </w:tcBorders>
            <w:shd w:val="clear" w:color="000000" w:fill="FFFFFF"/>
            <w:noWrap/>
            <w:vAlign w:val="bottom"/>
            <w:hideMark/>
          </w:tcPr>
          <w:p w14:paraId="034F90A5"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599 </w:t>
            </w:r>
          </w:p>
        </w:tc>
        <w:tc>
          <w:tcPr>
            <w:tcW w:w="1140" w:type="dxa"/>
            <w:tcBorders>
              <w:top w:val="nil"/>
              <w:left w:val="nil"/>
              <w:bottom w:val="nil"/>
              <w:right w:val="nil"/>
            </w:tcBorders>
            <w:shd w:val="clear" w:color="000000" w:fill="FFFFFF"/>
            <w:noWrap/>
            <w:vAlign w:val="bottom"/>
            <w:hideMark/>
          </w:tcPr>
          <w:p w14:paraId="1E6CB002"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1,237 </w:t>
            </w:r>
          </w:p>
        </w:tc>
      </w:tr>
      <w:tr w:rsidR="007979F4" w:rsidRPr="007979F4" w14:paraId="11A3C038" w14:textId="77777777" w:rsidTr="0061289B">
        <w:trPr>
          <w:trHeight w:val="340"/>
        </w:trPr>
        <w:tc>
          <w:tcPr>
            <w:tcW w:w="3544" w:type="dxa"/>
            <w:tcBorders>
              <w:top w:val="single" w:sz="4" w:space="0" w:color="auto"/>
              <w:left w:val="nil"/>
              <w:bottom w:val="single" w:sz="4" w:space="0" w:color="auto"/>
              <w:right w:val="nil"/>
            </w:tcBorders>
            <w:shd w:val="clear" w:color="000000" w:fill="FFFFFF"/>
            <w:vAlign w:val="center"/>
            <w:hideMark/>
          </w:tcPr>
          <w:p w14:paraId="4FA65176" w14:textId="77777777" w:rsidR="007979F4" w:rsidRPr="007979F4" w:rsidRDefault="007979F4" w:rsidP="007979F4">
            <w:pPr>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2023-24 Budget </w:t>
            </w:r>
          </w:p>
        </w:tc>
        <w:tc>
          <w:tcPr>
            <w:tcW w:w="1295" w:type="dxa"/>
            <w:tcBorders>
              <w:top w:val="single" w:sz="4" w:space="0" w:color="auto"/>
              <w:left w:val="nil"/>
              <w:bottom w:val="single" w:sz="4" w:space="0" w:color="auto"/>
              <w:right w:val="nil"/>
            </w:tcBorders>
            <w:shd w:val="clear" w:color="000000" w:fill="FFFFFF"/>
            <w:noWrap/>
            <w:vAlign w:val="center"/>
            <w:hideMark/>
          </w:tcPr>
          <w:p w14:paraId="3A8FEAB1" w14:textId="4366AA91"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26,02</w:t>
            </w:r>
            <w:r w:rsidR="00AB516D">
              <w:rPr>
                <w:rFonts w:ascii="Public Sans" w:hAnsi="Public Sans" w:cs="Calibri"/>
                <w:b/>
                <w:bCs/>
                <w:sz w:val="16"/>
                <w:szCs w:val="16"/>
                <w:lang w:val="en-AU" w:eastAsia="en-AU"/>
              </w:rPr>
              <w:t>4</w:t>
            </w:r>
            <w:r w:rsidRPr="007979F4">
              <w:rPr>
                <w:rFonts w:ascii="Public Sans" w:hAnsi="Public Sans" w:cs="Calibri"/>
                <w:b/>
                <w:bCs/>
                <w:sz w:val="16"/>
                <w:szCs w:val="16"/>
                <w:lang w:val="en-AU" w:eastAsia="en-AU"/>
              </w:rPr>
              <w:t xml:space="preserve"> </w:t>
            </w:r>
          </w:p>
        </w:tc>
        <w:tc>
          <w:tcPr>
            <w:tcW w:w="986" w:type="dxa"/>
            <w:tcBorders>
              <w:top w:val="single" w:sz="4" w:space="0" w:color="auto"/>
              <w:left w:val="nil"/>
              <w:bottom w:val="single" w:sz="4" w:space="0" w:color="auto"/>
              <w:right w:val="nil"/>
            </w:tcBorders>
            <w:shd w:val="clear" w:color="000000" w:fill="FFFFFF"/>
            <w:noWrap/>
            <w:vAlign w:val="center"/>
            <w:hideMark/>
          </w:tcPr>
          <w:p w14:paraId="3E2B6570"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26,179 </w:t>
            </w:r>
          </w:p>
        </w:tc>
        <w:tc>
          <w:tcPr>
            <w:tcW w:w="960" w:type="dxa"/>
            <w:tcBorders>
              <w:top w:val="single" w:sz="4" w:space="0" w:color="auto"/>
              <w:left w:val="nil"/>
              <w:bottom w:val="single" w:sz="4" w:space="0" w:color="auto"/>
              <w:right w:val="nil"/>
            </w:tcBorders>
            <w:shd w:val="clear" w:color="000000" w:fill="FFFFFF"/>
            <w:noWrap/>
            <w:vAlign w:val="center"/>
            <w:hideMark/>
          </w:tcPr>
          <w:p w14:paraId="21DF4B10"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27,241 </w:t>
            </w:r>
          </w:p>
        </w:tc>
        <w:tc>
          <w:tcPr>
            <w:tcW w:w="960" w:type="dxa"/>
            <w:tcBorders>
              <w:top w:val="single" w:sz="4" w:space="0" w:color="auto"/>
              <w:left w:val="nil"/>
              <w:bottom w:val="single" w:sz="4" w:space="0" w:color="auto"/>
              <w:right w:val="nil"/>
            </w:tcBorders>
            <w:shd w:val="clear" w:color="000000" w:fill="FFFFFF"/>
            <w:noWrap/>
            <w:vAlign w:val="center"/>
            <w:hideMark/>
          </w:tcPr>
          <w:p w14:paraId="0E4F6255"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27,679 </w:t>
            </w:r>
          </w:p>
        </w:tc>
        <w:tc>
          <w:tcPr>
            <w:tcW w:w="960" w:type="dxa"/>
            <w:tcBorders>
              <w:top w:val="single" w:sz="4" w:space="0" w:color="auto"/>
              <w:left w:val="nil"/>
              <w:bottom w:val="single" w:sz="4" w:space="0" w:color="auto"/>
              <w:right w:val="nil"/>
            </w:tcBorders>
            <w:shd w:val="clear" w:color="000000" w:fill="FFFFFF"/>
            <w:noWrap/>
            <w:vAlign w:val="center"/>
            <w:hideMark/>
          </w:tcPr>
          <w:p w14:paraId="167C0F3A"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28,895 </w:t>
            </w:r>
          </w:p>
        </w:tc>
        <w:tc>
          <w:tcPr>
            <w:tcW w:w="1140" w:type="dxa"/>
            <w:tcBorders>
              <w:top w:val="single" w:sz="4" w:space="0" w:color="auto"/>
              <w:left w:val="nil"/>
              <w:bottom w:val="single" w:sz="4" w:space="0" w:color="auto"/>
              <w:right w:val="nil"/>
            </w:tcBorders>
            <w:shd w:val="clear" w:color="000000" w:fill="FFFFFF"/>
            <w:noWrap/>
            <w:vAlign w:val="center"/>
            <w:hideMark/>
          </w:tcPr>
          <w:p w14:paraId="3060EE53"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109,994 </w:t>
            </w:r>
          </w:p>
        </w:tc>
      </w:tr>
      <w:tr w:rsidR="007979F4" w:rsidRPr="007979F4" w14:paraId="7A69848F" w14:textId="77777777" w:rsidTr="0061289B">
        <w:trPr>
          <w:trHeight w:val="340"/>
        </w:trPr>
        <w:tc>
          <w:tcPr>
            <w:tcW w:w="3544" w:type="dxa"/>
            <w:tcBorders>
              <w:top w:val="nil"/>
              <w:left w:val="nil"/>
              <w:bottom w:val="single" w:sz="4" w:space="0" w:color="auto"/>
              <w:right w:val="nil"/>
            </w:tcBorders>
            <w:shd w:val="clear" w:color="000000" w:fill="FFFFFF"/>
            <w:vAlign w:val="center"/>
            <w:hideMark/>
          </w:tcPr>
          <w:p w14:paraId="5211E48E" w14:textId="11010A84" w:rsidR="007979F4" w:rsidRPr="007979F4" w:rsidRDefault="007979F4" w:rsidP="007979F4">
            <w:pPr>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Change since 2023 Pre-</w:t>
            </w:r>
            <w:r w:rsidR="0094467C">
              <w:rPr>
                <w:rFonts w:ascii="Public Sans" w:hAnsi="Public Sans" w:cs="Calibri"/>
                <w:b/>
                <w:bCs/>
                <w:sz w:val="16"/>
                <w:szCs w:val="16"/>
                <w:lang w:val="en-AU" w:eastAsia="en-AU"/>
              </w:rPr>
              <w:t>e</w:t>
            </w:r>
            <w:r w:rsidRPr="007979F4">
              <w:rPr>
                <w:rFonts w:ascii="Public Sans" w:hAnsi="Public Sans" w:cs="Calibri"/>
                <w:b/>
                <w:bCs/>
                <w:sz w:val="16"/>
                <w:szCs w:val="16"/>
                <w:lang w:val="en-AU" w:eastAsia="en-AU"/>
              </w:rPr>
              <w:t xml:space="preserve">lection Budget </w:t>
            </w:r>
            <w:r w:rsidR="005262DF">
              <w:rPr>
                <w:rFonts w:ascii="Public Sans" w:hAnsi="Public Sans" w:cs="Calibri"/>
                <w:b/>
                <w:bCs/>
                <w:sz w:val="16"/>
                <w:szCs w:val="16"/>
                <w:lang w:val="en-AU" w:eastAsia="en-AU"/>
              </w:rPr>
              <w:br/>
              <w:t xml:space="preserve">  </w:t>
            </w:r>
            <w:r w:rsidRPr="007979F4">
              <w:rPr>
                <w:rFonts w:ascii="Public Sans" w:hAnsi="Public Sans" w:cs="Calibri"/>
                <w:b/>
                <w:bCs/>
                <w:sz w:val="16"/>
                <w:szCs w:val="16"/>
                <w:lang w:val="en-AU" w:eastAsia="en-AU"/>
              </w:rPr>
              <w:t>Update</w:t>
            </w:r>
          </w:p>
        </w:tc>
        <w:tc>
          <w:tcPr>
            <w:tcW w:w="1295" w:type="dxa"/>
            <w:tcBorders>
              <w:top w:val="nil"/>
              <w:left w:val="nil"/>
              <w:bottom w:val="single" w:sz="4" w:space="0" w:color="auto"/>
              <w:right w:val="nil"/>
            </w:tcBorders>
            <w:shd w:val="clear" w:color="000000" w:fill="FFFFFF"/>
            <w:vAlign w:val="bottom"/>
            <w:hideMark/>
          </w:tcPr>
          <w:p w14:paraId="137A0EFB" w14:textId="27D10017"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18</w:t>
            </w:r>
            <w:r w:rsidR="0094467C">
              <w:rPr>
                <w:rFonts w:ascii="Public Sans" w:hAnsi="Public Sans" w:cs="Calibri"/>
                <w:b/>
                <w:bCs/>
                <w:sz w:val="16"/>
                <w:szCs w:val="16"/>
                <w:lang w:val="en-AU" w:eastAsia="en-AU"/>
              </w:rPr>
              <w:t>3</w:t>
            </w:r>
            <w:r>
              <w:rPr>
                <w:rFonts w:ascii="Public Sans" w:hAnsi="Public Sans" w:cs="Calibri"/>
                <w:b/>
                <w:bCs/>
                <w:sz w:val="16"/>
                <w:szCs w:val="16"/>
                <w:lang w:val="en-AU" w:eastAsia="en-AU"/>
              </w:rPr>
              <w:t>)</w:t>
            </w:r>
          </w:p>
        </w:tc>
        <w:tc>
          <w:tcPr>
            <w:tcW w:w="986" w:type="dxa"/>
            <w:tcBorders>
              <w:top w:val="nil"/>
              <w:left w:val="nil"/>
              <w:bottom w:val="single" w:sz="4" w:space="0" w:color="auto"/>
              <w:right w:val="nil"/>
            </w:tcBorders>
            <w:shd w:val="clear" w:color="000000" w:fill="FFFFFF"/>
            <w:vAlign w:val="bottom"/>
            <w:hideMark/>
          </w:tcPr>
          <w:p w14:paraId="4C9D5C2B" w14:textId="2BBB9ED9"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101</w:t>
            </w:r>
            <w:r>
              <w:rPr>
                <w:rFonts w:ascii="Public Sans" w:hAnsi="Public Sans" w:cs="Calibri"/>
                <w:b/>
                <w:bCs/>
                <w:sz w:val="16"/>
                <w:szCs w:val="16"/>
                <w:lang w:val="en-AU" w:eastAsia="en-AU"/>
              </w:rPr>
              <w:t>)</w:t>
            </w:r>
          </w:p>
        </w:tc>
        <w:tc>
          <w:tcPr>
            <w:tcW w:w="960" w:type="dxa"/>
            <w:tcBorders>
              <w:top w:val="nil"/>
              <w:left w:val="nil"/>
              <w:bottom w:val="single" w:sz="4" w:space="0" w:color="auto"/>
              <w:right w:val="nil"/>
            </w:tcBorders>
            <w:shd w:val="clear" w:color="000000" w:fill="FFFFFF"/>
            <w:vAlign w:val="bottom"/>
            <w:hideMark/>
          </w:tcPr>
          <w:p w14:paraId="4BE5C52C"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25</w:t>
            </w:r>
          </w:p>
        </w:tc>
        <w:tc>
          <w:tcPr>
            <w:tcW w:w="960" w:type="dxa"/>
            <w:tcBorders>
              <w:top w:val="nil"/>
              <w:left w:val="nil"/>
              <w:bottom w:val="single" w:sz="4" w:space="0" w:color="auto"/>
              <w:right w:val="nil"/>
            </w:tcBorders>
            <w:shd w:val="clear" w:color="000000" w:fill="FFFFFF"/>
            <w:vAlign w:val="bottom"/>
            <w:hideMark/>
          </w:tcPr>
          <w:p w14:paraId="48CA03DF" w14:textId="04EDB515"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610</w:t>
            </w:r>
            <w:r>
              <w:rPr>
                <w:rFonts w:ascii="Public Sans" w:hAnsi="Public Sans" w:cs="Calibri"/>
                <w:b/>
                <w:bCs/>
                <w:sz w:val="16"/>
                <w:szCs w:val="16"/>
                <w:lang w:val="en-AU" w:eastAsia="en-AU"/>
              </w:rPr>
              <w:t>)</w:t>
            </w:r>
          </w:p>
        </w:tc>
        <w:tc>
          <w:tcPr>
            <w:tcW w:w="960" w:type="dxa"/>
            <w:tcBorders>
              <w:top w:val="nil"/>
              <w:left w:val="nil"/>
              <w:bottom w:val="single" w:sz="4" w:space="0" w:color="auto"/>
              <w:right w:val="nil"/>
            </w:tcBorders>
            <w:shd w:val="clear" w:color="000000" w:fill="FFFFFF"/>
            <w:vAlign w:val="bottom"/>
            <w:hideMark/>
          </w:tcPr>
          <w:p w14:paraId="09036884" w14:textId="5966CAE2"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1,223</w:t>
            </w:r>
            <w:r>
              <w:rPr>
                <w:rFonts w:ascii="Public Sans" w:hAnsi="Public Sans" w:cs="Calibri"/>
                <w:b/>
                <w:bCs/>
                <w:sz w:val="16"/>
                <w:szCs w:val="16"/>
                <w:lang w:val="en-AU" w:eastAsia="en-AU"/>
              </w:rPr>
              <w:t>)</w:t>
            </w:r>
          </w:p>
        </w:tc>
        <w:tc>
          <w:tcPr>
            <w:tcW w:w="1140" w:type="dxa"/>
            <w:tcBorders>
              <w:top w:val="nil"/>
              <w:left w:val="nil"/>
              <w:bottom w:val="single" w:sz="4" w:space="0" w:color="auto"/>
              <w:right w:val="nil"/>
            </w:tcBorders>
            <w:shd w:val="clear" w:color="000000" w:fill="FFFFFF"/>
            <w:vAlign w:val="bottom"/>
            <w:hideMark/>
          </w:tcPr>
          <w:p w14:paraId="62CD5602" w14:textId="52C15A5B"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1,909</w:t>
            </w:r>
            <w:r>
              <w:rPr>
                <w:rFonts w:ascii="Public Sans" w:hAnsi="Public Sans" w:cs="Calibri"/>
                <w:b/>
                <w:bCs/>
                <w:sz w:val="16"/>
                <w:szCs w:val="16"/>
                <w:lang w:val="en-AU" w:eastAsia="en-AU"/>
              </w:rPr>
              <w:t>)</w:t>
            </w:r>
          </w:p>
        </w:tc>
      </w:tr>
    </w:tbl>
    <w:p w14:paraId="13D75A15" w14:textId="77777777" w:rsidR="009C3737" w:rsidRPr="009C3737" w:rsidRDefault="009C3737" w:rsidP="009C3737">
      <w:pPr>
        <w:rPr>
          <w:rFonts w:eastAsiaTheme="minorHAnsi"/>
          <w:sz w:val="6"/>
          <w:szCs w:val="6"/>
        </w:rPr>
      </w:pPr>
    </w:p>
    <w:p w14:paraId="6EEE1E86" w14:textId="7B32A7BC" w:rsidR="00E90BEE" w:rsidRPr="002B4946" w:rsidRDefault="00E90BEE" w:rsidP="009C3737">
      <w:pPr>
        <w:numPr>
          <w:ilvl w:val="0"/>
          <w:numId w:val="5"/>
        </w:numPr>
        <w:spacing w:after="60"/>
        <w:ind w:left="357" w:hanging="357"/>
        <w:rPr>
          <w:rFonts w:ascii="Public Sans" w:eastAsiaTheme="minorHAnsi" w:hAnsi="Public Sans" w:cs="Arial"/>
          <w:sz w:val="17"/>
          <w:szCs w:val="17"/>
        </w:rPr>
      </w:pPr>
      <w:r w:rsidRPr="002B4946">
        <w:rPr>
          <w:rFonts w:ascii="Public Sans" w:hAnsi="Public Sans" w:cs="Arial"/>
          <w:sz w:val="17"/>
          <w:szCs w:val="17"/>
        </w:rPr>
        <w:t>The</w:t>
      </w:r>
      <w:r w:rsidRPr="002B4946" w:rsidDel="003216C3">
        <w:rPr>
          <w:rFonts w:ascii="Public Sans" w:hAnsi="Public Sans" w:cs="Arial"/>
          <w:sz w:val="17"/>
          <w:szCs w:val="17"/>
        </w:rPr>
        <w:t xml:space="preserve"> </w:t>
      </w:r>
      <w:r w:rsidR="003216C3" w:rsidRPr="002B4946">
        <w:rPr>
          <w:rFonts w:ascii="Public Sans" w:hAnsi="Public Sans" w:cs="Arial"/>
          <w:sz w:val="17"/>
          <w:szCs w:val="17"/>
        </w:rPr>
        <w:t>Australian</w:t>
      </w:r>
      <w:r w:rsidRPr="002B4946">
        <w:rPr>
          <w:rFonts w:ascii="Public Sans" w:hAnsi="Public Sans" w:cs="Arial"/>
          <w:sz w:val="17"/>
          <w:szCs w:val="17"/>
        </w:rPr>
        <w:t xml:space="preserve"> Government will provide separate untied grants in the form of “no worse off” payments from 2021-22 to 2026-27 so that states and territories are not adversely affected by changes to horizontal fiscal equalisation. These payments are not part of the GST pool, are counted as other general purpose grant revenue and are not assessed by the Commonwealth Grants Commission.</w:t>
      </w:r>
    </w:p>
    <w:p w14:paraId="4015F3B0" w14:textId="77777777" w:rsidR="00E90BEE" w:rsidRPr="008F0B8B" w:rsidRDefault="00E90BEE" w:rsidP="00E90BEE">
      <w:pPr>
        <w:rPr>
          <w:highlight w:val="yellow"/>
        </w:rPr>
      </w:pPr>
    </w:p>
    <w:p w14:paraId="25328E44" w14:textId="77777777" w:rsidR="00E90BEE" w:rsidRPr="00C20D6D" w:rsidRDefault="00E90BEE" w:rsidP="00E90BEE">
      <w:pPr>
        <w:rPr>
          <w:rFonts w:eastAsiaTheme="minorHAnsi"/>
          <w:sz w:val="2"/>
          <w:szCs w:val="2"/>
        </w:rPr>
      </w:pPr>
    </w:p>
    <w:tbl>
      <w:tblPr>
        <w:tblW w:w="9639" w:type="dxa"/>
        <w:shd w:val="pct5" w:color="auto" w:fill="FFFFFF" w:themeFill="background1"/>
        <w:tblLayout w:type="fixed"/>
        <w:tblCellMar>
          <w:left w:w="0" w:type="dxa"/>
          <w:right w:w="0" w:type="dxa"/>
        </w:tblCellMar>
        <w:tblLook w:val="04A0" w:firstRow="1" w:lastRow="0" w:firstColumn="1" w:lastColumn="0" w:noHBand="0" w:noVBand="1"/>
        <w:tblCaption w:val="Box 4.2:  The no worse off guarantee and reduced Australian Government support for New South Wales"/>
        <w:tblDescription w:val="Box 4.2:  The no worse off guarantee and reduced Australian Government support for New South Wales"/>
      </w:tblPr>
      <w:tblGrid>
        <w:gridCol w:w="9639"/>
      </w:tblGrid>
      <w:tr w:rsidR="00E90BEE" w:rsidRPr="008F0B8B" w14:paraId="5C5D677B" w14:textId="77777777" w:rsidTr="00C065DA">
        <w:trPr>
          <w:trHeight w:val="6605"/>
        </w:trPr>
        <w:tc>
          <w:tcPr>
            <w:tcW w:w="9639" w:type="dxa"/>
            <w:shd w:val="pct5" w:color="auto" w:fill="FFFFFF" w:themeFill="background1"/>
            <w:tcMar>
              <w:top w:w="0" w:type="dxa"/>
              <w:left w:w="108" w:type="dxa"/>
              <w:bottom w:w="0" w:type="dxa"/>
              <w:right w:w="108" w:type="dxa"/>
            </w:tcMar>
          </w:tcPr>
          <w:p w14:paraId="1F888CB0" w14:textId="68251114" w:rsidR="00E90BEE" w:rsidRPr="00C20D6D" w:rsidRDefault="00E90BEE" w:rsidP="007D5981">
            <w:pPr>
              <w:pStyle w:val="Box4XBoxHeading"/>
            </w:pPr>
            <w:bookmarkStart w:id="4" w:name="_Hlk141358774"/>
            <w:r w:rsidRPr="00C20D6D">
              <w:rPr>
                <w:sz w:val="18"/>
                <w:szCs w:val="18"/>
              </w:rPr>
              <w:br w:type="page"/>
            </w:r>
            <w:r w:rsidR="00B06F25">
              <w:t>The</w:t>
            </w:r>
            <w:r w:rsidR="00D9797A">
              <w:t xml:space="preserve"> </w:t>
            </w:r>
            <w:r w:rsidR="00843978">
              <w:t xml:space="preserve">no </w:t>
            </w:r>
            <w:r w:rsidR="00C3196F">
              <w:t>worse off</w:t>
            </w:r>
            <w:r w:rsidR="00D9797A">
              <w:t xml:space="preserve"> guarantee</w:t>
            </w:r>
            <w:r w:rsidR="00B06F25">
              <w:t xml:space="preserve"> and reduced </w:t>
            </w:r>
            <w:r w:rsidR="005D04A8">
              <w:t>Australian Government</w:t>
            </w:r>
            <w:r w:rsidR="00CA7D0F">
              <w:t xml:space="preserve"> support for N</w:t>
            </w:r>
            <w:r w:rsidR="007D5981">
              <w:t xml:space="preserve">ew </w:t>
            </w:r>
            <w:r w:rsidR="00CA7D0F">
              <w:t>S</w:t>
            </w:r>
            <w:r w:rsidR="007D5981">
              <w:t xml:space="preserve">outh </w:t>
            </w:r>
            <w:r w:rsidR="00CA7D0F">
              <w:t>W</w:t>
            </w:r>
            <w:r w:rsidR="007D5981">
              <w:t>ales</w:t>
            </w:r>
          </w:p>
          <w:p w14:paraId="541502D7" w14:textId="5FD39D0D" w:rsidR="001F4899" w:rsidRDefault="001F4899" w:rsidP="00E4551D">
            <w:pPr>
              <w:pStyle w:val="BodyText"/>
            </w:pPr>
            <w:r>
              <w:t xml:space="preserve">The GST floor was introduced in 2018 to ensure that all states and territories received a guaranteed minimum 70 per cent share of GST revenue. From 2024-25, the floor will be revised upwards to 75 per cent. </w:t>
            </w:r>
          </w:p>
          <w:p w14:paraId="40CBC1B5" w14:textId="4819ECCB" w:rsidR="001F4899" w:rsidRDefault="001F4899" w:rsidP="00E4551D">
            <w:pPr>
              <w:pStyle w:val="BodyText"/>
            </w:pPr>
            <w:r>
              <w:t>The GST floor is accompanied by a no worse off guarantee which ensures that states and territories are not financially disadvantaged by the introduction of the floor. The no worse off guarantee will expire in 2027-28 and will impact N</w:t>
            </w:r>
            <w:r w:rsidR="002F3B2F">
              <w:t xml:space="preserve">ew </w:t>
            </w:r>
            <w:r>
              <w:t>S</w:t>
            </w:r>
            <w:r w:rsidR="002F3B2F">
              <w:t xml:space="preserve">outh </w:t>
            </w:r>
            <w:r>
              <w:t>W</w:t>
            </w:r>
            <w:r w:rsidR="002F3B2F">
              <w:t>ales</w:t>
            </w:r>
            <w:r>
              <w:t xml:space="preserve">’ forward estimates for the first time in the next Budget. </w:t>
            </w:r>
          </w:p>
          <w:p w14:paraId="4CDEC32F" w14:textId="12088E51" w:rsidR="001F4899" w:rsidRDefault="001F4899" w:rsidP="00E4551D">
            <w:pPr>
              <w:pStyle w:val="BodyText"/>
            </w:pPr>
            <w:r>
              <w:t xml:space="preserve">The guarantee has historically only been necessary when mining revenue in Western Australia </w:t>
            </w:r>
            <w:r w:rsidR="00D94BC4">
              <w:t xml:space="preserve">was </w:t>
            </w:r>
            <w:r>
              <w:t xml:space="preserve">elevated. Analysis undertaken by the </w:t>
            </w:r>
            <w:r w:rsidR="008D7796">
              <w:t>Board of Treasurers</w:t>
            </w:r>
            <w:r>
              <w:t xml:space="preserve"> found that at times when the guarantee is triggered</w:t>
            </w:r>
            <w:r w:rsidR="008A7017">
              <w:t>,</w:t>
            </w:r>
            <w:r>
              <w:t xml:space="preserve"> the </w:t>
            </w:r>
            <w:r w:rsidR="005D04A8">
              <w:t>Australia</w:t>
            </w:r>
            <w:r w:rsidR="008A7017">
              <w:t>n</w:t>
            </w:r>
            <w:r>
              <w:t xml:space="preserve"> Government benefit</w:t>
            </w:r>
            <w:r w:rsidR="008A7017">
              <w:t>s</w:t>
            </w:r>
            <w:r>
              <w:t xml:space="preserve"> from higher mining revenue through increased company tax revenue. The</w:t>
            </w:r>
            <w:r w:rsidR="005D04A8">
              <w:t xml:space="preserve"> Australian Government</w:t>
            </w:r>
            <w:r>
              <w:t xml:space="preserve"> finds the guarantee affordable because it is only triggered at times when their budget is also benefitting from higher revenue. </w:t>
            </w:r>
          </w:p>
          <w:p w14:paraId="36A66912" w14:textId="06937090" w:rsidR="001F4899" w:rsidRDefault="001F4899" w:rsidP="00E4551D">
            <w:pPr>
              <w:pStyle w:val="BodyText"/>
            </w:pPr>
            <w:r>
              <w:t>The end of the GST no worse off guarantee would be disastrous for N</w:t>
            </w:r>
            <w:r w:rsidR="007D5981">
              <w:t xml:space="preserve">ew </w:t>
            </w:r>
            <w:r>
              <w:t>S</w:t>
            </w:r>
            <w:r w:rsidR="007D5981">
              <w:t xml:space="preserve">outh </w:t>
            </w:r>
            <w:r>
              <w:t>W</w:t>
            </w:r>
            <w:r w:rsidR="007D5981">
              <w:t>ales</w:t>
            </w:r>
            <w:r>
              <w:t xml:space="preserve">. It </w:t>
            </w:r>
            <w:r w:rsidR="00125414">
              <w:t>is the money</w:t>
            </w:r>
            <w:r>
              <w:t xml:space="preserve"> require</w:t>
            </w:r>
            <w:r w:rsidR="00125414">
              <w:t>d to employ</w:t>
            </w:r>
            <w:r>
              <w:t xml:space="preserve"> more than 8,000 nurses or teachers</w:t>
            </w:r>
            <w:r w:rsidR="00DF7BC9">
              <w:t xml:space="preserve">. </w:t>
            </w:r>
            <w:r w:rsidR="00717C21">
              <w:t>The end of the guarantee would risk essential services and require</w:t>
            </w:r>
            <w:r>
              <w:t xml:space="preserve"> reintroduction </w:t>
            </w:r>
            <w:r w:rsidR="0095224C">
              <w:t xml:space="preserve">of </w:t>
            </w:r>
            <w:r>
              <w:t>inefficient taxes.</w:t>
            </w:r>
          </w:p>
          <w:p w14:paraId="59D85C65" w14:textId="0F97120E" w:rsidR="00E90BEE" w:rsidRPr="00C20D6D" w:rsidRDefault="001F4899" w:rsidP="00E4551D">
            <w:pPr>
              <w:pStyle w:val="BodyText"/>
            </w:pPr>
            <w:r>
              <w:t xml:space="preserve">Given the serious damage that would be caused, and the </w:t>
            </w:r>
            <w:r w:rsidR="00615505">
              <w:t>Australian</w:t>
            </w:r>
            <w:r>
              <w:t xml:space="preserve"> Government’s commitment to essential services, it is not credible that the no worse off guarantee should end. Therefore, future budget planning will be made on the assumption the GST no-worse off guarantee continues. </w:t>
            </w:r>
          </w:p>
        </w:tc>
      </w:tr>
      <w:bookmarkEnd w:id="4"/>
    </w:tbl>
    <w:p w14:paraId="02D962B9" w14:textId="77777777" w:rsidR="00DE4DE5" w:rsidRDefault="00DE4DE5" w:rsidP="00E90BEE">
      <w:pPr>
        <w:pStyle w:val="Heading3"/>
        <w:numPr>
          <w:ilvl w:val="2"/>
          <w:numId w:val="0"/>
        </w:numPr>
        <w:ind w:left="720" w:hanging="720"/>
      </w:pPr>
    </w:p>
    <w:p w14:paraId="50FD3837" w14:textId="77777777" w:rsidR="00DE4DE5" w:rsidRDefault="00DE4DE5">
      <w:pPr>
        <w:rPr>
          <w:rFonts w:ascii="Public Sans SemiBold" w:hAnsi="Public Sans SemiBold"/>
          <w:b/>
          <w:color w:val="22272B"/>
          <w:kern w:val="28"/>
          <w:sz w:val="26"/>
          <w:szCs w:val="36"/>
          <w:lang w:val="en-AU"/>
        </w:rPr>
      </w:pPr>
      <w:r>
        <w:br w:type="page"/>
      </w:r>
    </w:p>
    <w:p w14:paraId="0657BCE4" w14:textId="4E4A4A52" w:rsidR="00E90BEE" w:rsidRPr="00CD2F96" w:rsidRDefault="00E90BEE" w:rsidP="00E90BEE">
      <w:pPr>
        <w:pStyle w:val="Heading3"/>
        <w:numPr>
          <w:ilvl w:val="2"/>
          <w:numId w:val="0"/>
        </w:numPr>
        <w:ind w:left="720" w:hanging="720"/>
      </w:pPr>
      <w:r w:rsidRPr="00CD2F96">
        <w:lastRenderedPageBreak/>
        <w:t>National Agreements</w:t>
      </w:r>
    </w:p>
    <w:p w14:paraId="221D149F" w14:textId="123FACB3" w:rsidR="00D00F4D" w:rsidRDefault="00D00F4D" w:rsidP="00E4551D">
      <w:pPr>
        <w:pStyle w:val="BodyText"/>
      </w:pPr>
      <w:r>
        <w:t>T</w:t>
      </w:r>
      <w:r w:rsidRPr="00D00F4D">
        <w:t xml:space="preserve">his category </w:t>
      </w:r>
      <w:r w:rsidR="00D444B0">
        <w:t>consists</w:t>
      </w:r>
      <w:r w:rsidR="00D444B0" w:rsidRPr="00D00F4D">
        <w:t xml:space="preserve"> </w:t>
      </w:r>
      <w:r w:rsidR="54E45991" w:rsidRPr="41C5BD96">
        <w:t xml:space="preserve">of </w:t>
      </w:r>
      <w:r w:rsidRPr="41C5BD96">
        <w:t>payments</w:t>
      </w:r>
      <w:r w:rsidRPr="00D00F4D">
        <w:t xml:space="preserve"> for specific purposes from the </w:t>
      </w:r>
      <w:r w:rsidR="003216C3">
        <w:t>Australian Government</w:t>
      </w:r>
      <w:r w:rsidR="003216C3" w:rsidRPr="00D00F4D">
        <w:t xml:space="preserve"> </w:t>
      </w:r>
      <w:r w:rsidRPr="00D00F4D">
        <w:t xml:space="preserve">to the states and territories under the: </w:t>
      </w:r>
    </w:p>
    <w:p w14:paraId="3490251D" w14:textId="7499D11C" w:rsidR="00D00F4D" w:rsidRPr="00D00F4D" w:rsidRDefault="00D00F4D" w:rsidP="00E4551D">
      <w:pPr>
        <w:pStyle w:val="Bullet1"/>
      </w:pPr>
      <w:r>
        <w:t>National Health Reform Agreement</w:t>
      </w:r>
    </w:p>
    <w:p w14:paraId="17D9CDB6" w14:textId="073D6A0B" w:rsidR="00D00F4D" w:rsidRPr="00D00F4D" w:rsidRDefault="00D00F4D" w:rsidP="00E4551D">
      <w:pPr>
        <w:pStyle w:val="Bullet1"/>
      </w:pPr>
      <w:r>
        <w:t>National School Reform Agreement</w:t>
      </w:r>
    </w:p>
    <w:p w14:paraId="5FD03624" w14:textId="2F080B7B" w:rsidR="00D00F4D" w:rsidRPr="00D00F4D" w:rsidRDefault="00D00F4D" w:rsidP="00E4551D">
      <w:pPr>
        <w:pStyle w:val="Bullet1"/>
      </w:pPr>
      <w:r>
        <w:t>National Housing and Homelessness Agreement</w:t>
      </w:r>
    </w:p>
    <w:p w14:paraId="62C75042" w14:textId="3CD4C289" w:rsidR="00D00F4D" w:rsidRDefault="00D00F4D" w:rsidP="00E4551D">
      <w:pPr>
        <w:pStyle w:val="Bullet1"/>
      </w:pPr>
      <w:r>
        <w:t xml:space="preserve">National Agreement </w:t>
      </w:r>
      <w:r w:rsidRPr="7748D422">
        <w:t xml:space="preserve">for Skills and Workforce Development. </w:t>
      </w:r>
    </w:p>
    <w:p w14:paraId="3CF0B2BA" w14:textId="25BFCD21" w:rsidR="00D265F2" w:rsidRDefault="00D00F4D" w:rsidP="00E4551D">
      <w:pPr>
        <w:pStyle w:val="BodyText"/>
      </w:pPr>
      <w:r w:rsidRPr="029C8F6C">
        <w:t>National Agreement</w:t>
      </w:r>
      <w:r w:rsidR="423FD6D4" w:rsidRPr="029C8F6C">
        <w:t xml:space="preserve"> payments are</w:t>
      </w:r>
      <w:r w:rsidRPr="00D00F4D">
        <w:t xml:space="preserve"> projected to </w:t>
      </w:r>
      <w:r w:rsidRPr="00B67DB9">
        <w:t>decrease</w:t>
      </w:r>
      <w:r w:rsidRPr="00D00F4D">
        <w:t xml:space="preserve"> by $</w:t>
      </w:r>
      <w:r w:rsidR="005E514B" w:rsidRPr="00813871">
        <w:t>174.7</w:t>
      </w:r>
      <w:r w:rsidRPr="00D00F4D">
        <w:t xml:space="preserve"> million over the four years to </w:t>
      </w:r>
      <w:r w:rsidRPr="3FB08C8A">
        <w:t>20</w:t>
      </w:r>
      <w:r w:rsidR="003C6F84" w:rsidRPr="3FB08C8A">
        <w:t>2</w:t>
      </w:r>
      <w:r w:rsidR="09C2BC50" w:rsidRPr="3FB08C8A">
        <w:t>6</w:t>
      </w:r>
      <w:r w:rsidR="00AC4583">
        <w:t>-27</w:t>
      </w:r>
      <w:r w:rsidRPr="00D00F4D">
        <w:t xml:space="preserve"> relative to the </w:t>
      </w:r>
      <w:r w:rsidR="00056D84" w:rsidRPr="075CFF50">
        <w:t>2023</w:t>
      </w:r>
      <w:r w:rsidR="00056D84">
        <w:t xml:space="preserve"> Pre-election Budget Update</w:t>
      </w:r>
      <w:r w:rsidR="00FD50E5">
        <w:t>. This is</w:t>
      </w:r>
      <w:r w:rsidRPr="00D00F4D">
        <w:t xml:space="preserve"> mainly due to </w:t>
      </w:r>
      <w:r w:rsidR="00796D5B">
        <w:t>a significant reduction in N</w:t>
      </w:r>
      <w:r w:rsidR="0085269C">
        <w:t xml:space="preserve">ew </w:t>
      </w:r>
      <w:r w:rsidR="00796D5B">
        <w:t>S</w:t>
      </w:r>
      <w:r w:rsidR="0085269C">
        <w:t xml:space="preserve">outh </w:t>
      </w:r>
      <w:r w:rsidR="00796D5B">
        <w:t>W</w:t>
      </w:r>
      <w:r w:rsidR="0085269C">
        <w:t>ales</w:t>
      </w:r>
      <w:r w:rsidR="00796D5B">
        <w:t xml:space="preserve">’ funding under the </w:t>
      </w:r>
      <w:r w:rsidR="00E70357">
        <w:t>National School Reform Agreement</w:t>
      </w:r>
      <w:r w:rsidR="008F6351">
        <w:t xml:space="preserve"> due to </w:t>
      </w:r>
      <w:r w:rsidR="008747C0">
        <w:t>downward revisions to the Australia</w:t>
      </w:r>
      <w:r w:rsidR="008A789C">
        <w:t>n</w:t>
      </w:r>
      <w:r w:rsidR="008747C0">
        <w:t xml:space="preserve"> Government’s</w:t>
      </w:r>
      <w:r w:rsidR="00992D24">
        <w:t xml:space="preserve"> forecast </w:t>
      </w:r>
      <w:r w:rsidR="008747C0">
        <w:t>of</w:t>
      </w:r>
      <w:r w:rsidR="000A535E">
        <w:t xml:space="preserve"> </w:t>
      </w:r>
      <w:r w:rsidR="00992D24">
        <w:t>enrolments for N</w:t>
      </w:r>
      <w:r w:rsidR="0085269C">
        <w:t xml:space="preserve">ew </w:t>
      </w:r>
      <w:r w:rsidR="00992D24">
        <w:t>S</w:t>
      </w:r>
      <w:r w:rsidR="0085269C">
        <w:t xml:space="preserve">outh </w:t>
      </w:r>
      <w:r w:rsidR="00992D24">
        <w:t>W</w:t>
      </w:r>
      <w:r w:rsidR="0085269C">
        <w:t>ales</w:t>
      </w:r>
      <w:r w:rsidR="00992D24">
        <w:t xml:space="preserve"> public schools</w:t>
      </w:r>
      <w:r w:rsidR="004504E0">
        <w:t>. This is</w:t>
      </w:r>
      <w:r w:rsidR="00E70357">
        <w:t xml:space="preserve"> partially offset by increased funding under the </w:t>
      </w:r>
      <w:r w:rsidR="006211E3" w:rsidRPr="00CF7E20">
        <w:t>National Agreement for Skills and Workforce Development</w:t>
      </w:r>
      <w:r w:rsidR="006211E3" w:rsidRPr="00CF7E20" w:rsidDel="009A2F6E">
        <w:t xml:space="preserve"> </w:t>
      </w:r>
      <w:r w:rsidR="000D0F27">
        <w:t xml:space="preserve">and the National </w:t>
      </w:r>
      <w:r w:rsidR="00CE4D59">
        <w:t>Housing and Homelessness Agreement</w:t>
      </w:r>
      <w:r w:rsidR="006211E3" w:rsidRPr="00CF7E20">
        <w:t xml:space="preserve"> </w:t>
      </w:r>
      <w:r w:rsidR="00BE65A5">
        <w:t xml:space="preserve">due to </w:t>
      </w:r>
      <w:r w:rsidR="009A2F6E">
        <w:t xml:space="preserve">an upward revision to </w:t>
      </w:r>
      <w:r w:rsidR="00106329" w:rsidDel="009A2F6E">
        <w:t>the</w:t>
      </w:r>
      <w:r w:rsidR="00106329">
        <w:t xml:space="preserve"> </w:t>
      </w:r>
      <w:r w:rsidR="009A2F6E">
        <w:t xml:space="preserve">Australian Government’s wage cost </w:t>
      </w:r>
      <w:r w:rsidR="00DD3911">
        <w:t>indices.</w:t>
      </w:r>
    </w:p>
    <w:p w14:paraId="0B0B4D9D" w14:textId="2F5489F7" w:rsidR="00E90BEE" w:rsidRPr="00125749" w:rsidRDefault="00E90BEE" w:rsidP="00233427">
      <w:pPr>
        <w:pStyle w:val="Table4X"/>
      </w:pPr>
      <w:r w:rsidRPr="00125749">
        <w:t xml:space="preserve">National Agreement payments to New South Wales </w:t>
      </w:r>
    </w:p>
    <w:tbl>
      <w:tblPr>
        <w:tblW w:w="9632" w:type="dxa"/>
        <w:tblLook w:val="04A0" w:firstRow="1" w:lastRow="0" w:firstColumn="1" w:lastColumn="0" w:noHBand="0" w:noVBand="1"/>
        <w:tblCaption w:val="Table 4.7: National Agreement payments to New South Wales "/>
        <w:tblDescription w:val="Table 4.7: National Agreement payments to New South Wales "/>
      </w:tblPr>
      <w:tblGrid>
        <w:gridCol w:w="3119"/>
        <w:gridCol w:w="840"/>
        <w:gridCol w:w="1130"/>
        <w:gridCol w:w="840"/>
        <w:gridCol w:w="840"/>
        <w:gridCol w:w="840"/>
        <w:gridCol w:w="840"/>
        <w:gridCol w:w="1183"/>
      </w:tblGrid>
      <w:tr w:rsidR="00DB21E7" w:rsidRPr="00DB21E7" w14:paraId="6A27E9B6" w14:textId="77777777" w:rsidTr="002A05DD">
        <w:trPr>
          <w:trHeight w:val="283"/>
        </w:trPr>
        <w:tc>
          <w:tcPr>
            <w:tcW w:w="3119" w:type="dxa"/>
            <w:tcBorders>
              <w:top w:val="nil"/>
              <w:left w:val="nil"/>
              <w:bottom w:val="nil"/>
              <w:right w:val="nil"/>
            </w:tcBorders>
            <w:shd w:val="clear" w:color="000000" w:fill="EBEBEB"/>
            <w:vAlign w:val="center"/>
            <w:hideMark/>
          </w:tcPr>
          <w:p w14:paraId="6B8B342F" w14:textId="77777777" w:rsidR="00DB21E7" w:rsidRPr="008C1C28" w:rsidRDefault="00DB21E7" w:rsidP="00DB21E7">
            <w:pPr>
              <w:jc w:val="center"/>
              <w:rPr>
                <w:rFonts w:ascii="Public Sans" w:hAnsi="Public Sans" w:cs="Calibri"/>
                <w:i/>
                <w:color w:val="000000"/>
                <w:sz w:val="17"/>
                <w:szCs w:val="17"/>
                <w:lang w:val="en-AU" w:eastAsia="en-AU"/>
              </w:rPr>
            </w:pPr>
            <w:r w:rsidRPr="008C1C28">
              <w:rPr>
                <w:rFonts w:ascii="Public Sans" w:hAnsi="Public Sans" w:cs="Calibri"/>
                <w:i/>
                <w:color w:val="000000"/>
                <w:sz w:val="17"/>
                <w:szCs w:val="17"/>
                <w:lang w:val="en-AU" w:eastAsia="en-AU"/>
              </w:rPr>
              <w:t> </w:t>
            </w:r>
          </w:p>
        </w:tc>
        <w:tc>
          <w:tcPr>
            <w:tcW w:w="840" w:type="dxa"/>
            <w:tcBorders>
              <w:top w:val="nil"/>
              <w:left w:val="nil"/>
              <w:bottom w:val="nil"/>
              <w:right w:val="nil"/>
            </w:tcBorders>
            <w:shd w:val="clear" w:color="000000" w:fill="EBEBEB"/>
            <w:vAlign w:val="bottom"/>
            <w:hideMark/>
          </w:tcPr>
          <w:p w14:paraId="565DE323"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2021-22</w:t>
            </w:r>
          </w:p>
        </w:tc>
        <w:tc>
          <w:tcPr>
            <w:tcW w:w="1130" w:type="dxa"/>
            <w:tcBorders>
              <w:top w:val="nil"/>
              <w:left w:val="nil"/>
              <w:bottom w:val="nil"/>
              <w:right w:val="nil"/>
            </w:tcBorders>
            <w:shd w:val="clear" w:color="000000" w:fill="EBEBEB"/>
            <w:vAlign w:val="bottom"/>
            <w:hideMark/>
          </w:tcPr>
          <w:p w14:paraId="6ADF9D7D"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2022-23</w:t>
            </w:r>
          </w:p>
        </w:tc>
        <w:tc>
          <w:tcPr>
            <w:tcW w:w="840" w:type="dxa"/>
            <w:tcBorders>
              <w:top w:val="nil"/>
              <w:left w:val="nil"/>
              <w:bottom w:val="nil"/>
              <w:right w:val="nil"/>
            </w:tcBorders>
            <w:shd w:val="clear" w:color="000000" w:fill="EBEBEB"/>
            <w:vAlign w:val="bottom"/>
            <w:hideMark/>
          </w:tcPr>
          <w:p w14:paraId="1FA9B435"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2023-24</w:t>
            </w:r>
          </w:p>
        </w:tc>
        <w:tc>
          <w:tcPr>
            <w:tcW w:w="840" w:type="dxa"/>
            <w:tcBorders>
              <w:top w:val="nil"/>
              <w:left w:val="nil"/>
              <w:bottom w:val="nil"/>
              <w:right w:val="nil"/>
            </w:tcBorders>
            <w:shd w:val="clear" w:color="000000" w:fill="EBEBEB"/>
            <w:vAlign w:val="bottom"/>
            <w:hideMark/>
          </w:tcPr>
          <w:p w14:paraId="4C730907"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2024-25</w:t>
            </w:r>
          </w:p>
        </w:tc>
        <w:tc>
          <w:tcPr>
            <w:tcW w:w="840" w:type="dxa"/>
            <w:tcBorders>
              <w:top w:val="nil"/>
              <w:left w:val="nil"/>
              <w:bottom w:val="nil"/>
              <w:right w:val="nil"/>
            </w:tcBorders>
            <w:shd w:val="clear" w:color="000000" w:fill="EBEBEB"/>
            <w:vAlign w:val="bottom"/>
            <w:hideMark/>
          </w:tcPr>
          <w:p w14:paraId="742E3F16"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2025-26</w:t>
            </w:r>
          </w:p>
        </w:tc>
        <w:tc>
          <w:tcPr>
            <w:tcW w:w="840" w:type="dxa"/>
            <w:tcBorders>
              <w:top w:val="nil"/>
              <w:left w:val="nil"/>
              <w:bottom w:val="nil"/>
              <w:right w:val="nil"/>
            </w:tcBorders>
            <w:shd w:val="clear" w:color="000000" w:fill="EBEBEB"/>
            <w:vAlign w:val="bottom"/>
            <w:hideMark/>
          </w:tcPr>
          <w:p w14:paraId="2D371E43"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2026-27</w:t>
            </w:r>
          </w:p>
        </w:tc>
        <w:tc>
          <w:tcPr>
            <w:tcW w:w="1183" w:type="dxa"/>
            <w:vMerge w:val="restart"/>
            <w:tcBorders>
              <w:top w:val="nil"/>
              <w:left w:val="nil"/>
              <w:bottom w:val="nil"/>
              <w:right w:val="nil"/>
            </w:tcBorders>
            <w:shd w:val="clear" w:color="000000" w:fill="4F4F4F"/>
            <w:vAlign w:val="center"/>
            <w:hideMark/>
          </w:tcPr>
          <w:p w14:paraId="3690C024" w14:textId="77777777" w:rsidR="00DB21E7" w:rsidRPr="008C1C28" w:rsidRDefault="00DB21E7" w:rsidP="00DB21E7">
            <w:pPr>
              <w:jc w:val="center"/>
              <w:rPr>
                <w:rFonts w:ascii="Public Sans" w:hAnsi="Public Sans" w:cs="Calibri"/>
                <w:color w:val="FFFFFF"/>
                <w:sz w:val="17"/>
                <w:szCs w:val="17"/>
                <w:lang w:val="en-AU" w:eastAsia="en-AU"/>
              </w:rPr>
            </w:pPr>
            <w:r w:rsidRPr="008C1C28">
              <w:rPr>
                <w:rFonts w:ascii="Public Sans" w:hAnsi="Public Sans" w:cs="Calibri"/>
                <w:color w:val="FFFFFF"/>
                <w:sz w:val="17"/>
                <w:szCs w:val="17"/>
                <w:lang w:val="en-AU" w:eastAsia="en-AU"/>
              </w:rPr>
              <w:t>% Average growth p.a.</w:t>
            </w:r>
            <w:r w:rsidRPr="008C1C28">
              <w:rPr>
                <w:rFonts w:ascii="Public Sans" w:hAnsi="Public Sans" w:cs="Calibri"/>
                <w:color w:val="FFFFFF"/>
                <w:sz w:val="17"/>
                <w:szCs w:val="17"/>
                <w:lang w:val="en-AU" w:eastAsia="en-AU"/>
              </w:rPr>
              <w:br/>
              <w:t>2022-23 to 2026-27</w:t>
            </w:r>
          </w:p>
        </w:tc>
      </w:tr>
      <w:tr w:rsidR="00DB21E7" w:rsidRPr="00DB21E7" w14:paraId="050E7273" w14:textId="77777777" w:rsidTr="002A05DD">
        <w:trPr>
          <w:trHeight w:val="227"/>
        </w:trPr>
        <w:tc>
          <w:tcPr>
            <w:tcW w:w="3119" w:type="dxa"/>
            <w:tcBorders>
              <w:top w:val="nil"/>
              <w:left w:val="nil"/>
              <w:bottom w:val="nil"/>
              <w:right w:val="nil"/>
            </w:tcBorders>
            <w:shd w:val="clear" w:color="000000" w:fill="EBEBEB"/>
            <w:vAlign w:val="center"/>
            <w:hideMark/>
          </w:tcPr>
          <w:p w14:paraId="183DD3A5" w14:textId="77777777" w:rsidR="00DB21E7" w:rsidRPr="008C1C28" w:rsidRDefault="00DB21E7" w:rsidP="00DB21E7">
            <w:pPr>
              <w:jc w:val="center"/>
              <w:rPr>
                <w:rFonts w:ascii="Public Sans" w:hAnsi="Public Sans" w:cs="Calibri"/>
                <w:i/>
                <w:color w:val="000000"/>
                <w:sz w:val="17"/>
                <w:szCs w:val="17"/>
                <w:lang w:val="en-AU" w:eastAsia="en-AU"/>
              </w:rPr>
            </w:pPr>
            <w:r w:rsidRPr="008C1C28">
              <w:rPr>
                <w:rFonts w:ascii="Public Sans" w:hAnsi="Public Sans" w:cs="Calibri"/>
                <w:i/>
                <w:color w:val="000000"/>
                <w:sz w:val="17"/>
                <w:szCs w:val="17"/>
                <w:lang w:val="en-AU" w:eastAsia="en-AU"/>
              </w:rPr>
              <w:t> </w:t>
            </w:r>
          </w:p>
        </w:tc>
        <w:tc>
          <w:tcPr>
            <w:tcW w:w="840" w:type="dxa"/>
            <w:tcBorders>
              <w:top w:val="nil"/>
              <w:left w:val="nil"/>
              <w:bottom w:val="nil"/>
              <w:right w:val="nil"/>
            </w:tcBorders>
            <w:shd w:val="clear" w:color="000000" w:fill="EBEBEB"/>
            <w:vAlign w:val="center"/>
            <w:hideMark/>
          </w:tcPr>
          <w:p w14:paraId="16ED2355"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Actual</w:t>
            </w:r>
          </w:p>
        </w:tc>
        <w:tc>
          <w:tcPr>
            <w:tcW w:w="1130" w:type="dxa"/>
            <w:tcBorders>
              <w:top w:val="nil"/>
              <w:left w:val="nil"/>
              <w:bottom w:val="nil"/>
              <w:right w:val="nil"/>
            </w:tcBorders>
            <w:shd w:val="clear" w:color="000000" w:fill="EBEBEB"/>
            <w:vAlign w:val="center"/>
            <w:hideMark/>
          </w:tcPr>
          <w:p w14:paraId="227124CF"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Est. Actual</w:t>
            </w:r>
          </w:p>
        </w:tc>
        <w:tc>
          <w:tcPr>
            <w:tcW w:w="840" w:type="dxa"/>
            <w:tcBorders>
              <w:top w:val="nil"/>
              <w:left w:val="nil"/>
              <w:bottom w:val="nil"/>
              <w:right w:val="nil"/>
            </w:tcBorders>
            <w:shd w:val="clear" w:color="000000" w:fill="EBEBEB"/>
            <w:vAlign w:val="center"/>
            <w:hideMark/>
          </w:tcPr>
          <w:p w14:paraId="699DE420"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Budget</w:t>
            </w:r>
          </w:p>
        </w:tc>
        <w:tc>
          <w:tcPr>
            <w:tcW w:w="2520" w:type="dxa"/>
            <w:gridSpan w:val="3"/>
            <w:tcBorders>
              <w:top w:val="nil"/>
              <w:left w:val="nil"/>
              <w:bottom w:val="nil"/>
              <w:right w:val="nil"/>
            </w:tcBorders>
            <w:shd w:val="clear" w:color="000000" w:fill="EBEBEB"/>
            <w:vAlign w:val="center"/>
            <w:hideMark/>
          </w:tcPr>
          <w:p w14:paraId="6945920A"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Forward Estimates</w:t>
            </w:r>
          </w:p>
        </w:tc>
        <w:tc>
          <w:tcPr>
            <w:tcW w:w="1183" w:type="dxa"/>
            <w:vMerge/>
            <w:tcBorders>
              <w:top w:val="nil"/>
              <w:left w:val="nil"/>
              <w:bottom w:val="nil"/>
              <w:right w:val="nil"/>
            </w:tcBorders>
            <w:vAlign w:val="center"/>
            <w:hideMark/>
          </w:tcPr>
          <w:p w14:paraId="2D00717C" w14:textId="77777777" w:rsidR="00DB21E7" w:rsidRPr="008C1C28" w:rsidRDefault="00DB21E7" w:rsidP="00DB21E7">
            <w:pPr>
              <w:rPr>
                <w:rFonts w:ascii="Public Sans" w:hAnsi="Public Sans" w:cs="Calibri"/>
                <w:color w:val="FFFFFF"/>
                <w:sz w:val="17"/>
                <w:szCs w:val="17"/>
                <w:lang w:val="en-AU" w:eastAsia="en-AU"/>
              </w:rPr>
            </w:pPr>
          </w:p>
        </w:tc>
      </w:tr>
      <w:tr w:rsidR="00DB21E7" w:rsidRPr="00DB21E7" w14:paraId="6191F69D" w14:textId="77777777" w:rsidTr="002A05DD">
        <w:trPr>
          <w:trHeight w:val="283"/>
        </w:trPr>
        <w:tc>
          <w:tcPr>
            <w:tcW w:w="3119" w:type="dxa"/>
            <w:tcBorders>
              <w:top w:val="nil"/>
              <w:left w:val="nil"/>
              <w:bottom w:val="nil"/>
              <w:right w:val="nil"/>
            </w:tcBorders>
            <w:shd w:val="clear" w:color="000000" w:fill="EBEBEB"/>
            <w:vAlign w:val="center"/>
            <w:hideMark/>
          </w:tcPr>
          <w:p w14:paraId="1649556F" w14:textId="77777777" w:rsidR="00DB21E7" w:rsidRPr="008C1C28" w:rsidRDefault="00DB21E7" w:rsidP="00DB21E7">
            <w:pPr>
              <w:jc w:val="center"/>
              <w:rPr>
                <w:rFonts w:ascii="Public Sans" w:hAnsi="Public Sans" w:cs="Calibri"/>
                <w:i/>
                <w:color w:val="000000"/>
                <w:sz w:val="17"/>
                <w:szCs w:val="17"/>
                <w:lang w:val="en-AU" w:eastAsia="en-AU"/>
              </w:rPr>
            </w:pPr>
            <w:r w:rsidRPr="008C1C28">
              <w:rPr>
                <w:rFonts w:ascii="Public Sans" w:hAnsi="Public Sans" w:cs="Calibri"/>
                <w:i/>
                <w:color w:val="000000"/>
                <w:sz w:val="17"/>
                <w:szCs w:val="17"/>
                <w:lang w:val="en-AU" w:eastAsia="en-AU"/>
              </w:rPr>
              <w:t> </w:t>
            </w:r>
          </w:p>
        </w:tc>
        <w:tc>
          <w:tcPr>
            <w:tcW w:w="840" w:type="dxa"/>
            <w:tcBorders>
              <w:top w:val="nil"/>
              <w:left w:val="nil"/>
              <w:bottom w:val="nil"/>
              <w:right w:val="nil"/>
            </w:tcBorders>
            <w:shd w:val="clear" w:color="000000" w:fill="EBEBEB"/>
            <w:hideMark/>
          </w:tcPr>
          <w:p w14:paraId="165F4AE2"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1130" w:type="dxa"/>
            <w:tcBorders>
              <w:top w:val="nil"/>
              <w:left w:val="nil"/>
              <w:bottom w:val="nil"/>
              <w:right w:val="nil"/>
            </w:tcBorders>
            <w:shd w:val="clear" w:color="000000" w:fill="EBEBEB"/>
            <w:hideMark/>
          </w:tcPr>
          <w:p w14:paraId="60C8857C"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840" w:type="dxa"/>
            <w:tcBorders>
              <w:top w:val="nil"/>
              <w:left w:val="nil"/>
              <w:bottom w:val="nil"/>
              <w:right w:val="nil"/>
            </w:tcBorders>
            <w:shd w:val="clear" w:color="000000" w:fill="EBEBEB"/>
            <w:hideMark/>
          </w:tcPr>
          <w:p w14:paraId="07B5C788"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840" w:type="dxa"/>
            <w:tcBorders>
              <w:top w:val="nil"/>
              <w:left w:val="nil"/>
              <w:bottom w:val="nil"/>
              <w:right w:val="nil"/>
            </w:tcBorders>
            <w:shd w:val="clear" w:color="000000" w:fill="EBEBEB"/>
            <w:hideMark/>
          </w:tcPr>
          <w:p w14:paraId="63B46BF2"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840" w:type="dxa"/>
            <w:tcBorders>
              <w:top w:val="nil"/>
              <w:left w:val="nil"/>
              <w:bottom w:val="nil"/>
              <w:right w:val="nil"/>
            </w:tcBorders>
            <w:shd w:val="clear" w:color="000000" w:fill="EBEBEB"/>
            <w:hideMark/>
          </w:tcPr>
          <w:p w14:paraId="1B9DFDF4" w14:textId="161FA66C" w:rsidR="00DB21E7" w:rsidRPr="008C1C28" w:rsidRDefault="00DB21E7" w:rsidP="008C1C28">
            <w:pPr>
              <w:ind w:left="-113" w:right="-113"/>
              <w:jc w:val="center"/>
              <w:rPr>
                <w:rFonts w:ascii="Public Sans" w:hAnsi="Public Sans" w:cs="Calibri"/>
                <w:color w:val="000000"/>
                <w:sz w:val="17"/>
                <w:szCs w:val="17"/>
                <w:lang w:val="en-AU" w:eastAsia="en-AU"/>
              </w:rPr>
            </w:pPr>
          </w:p>
        </w:tc>
        <w:tc>
          <w:tcPr>
            <w:tcW w:w="840" w:type="dxa"/>
            <w:tcBorders>
              <w:top w:val="nil"/>
              <w:left w:val="nil"/>
              <w:bottom w:val="nil"/>
              <w:right w:val="nil"/>
            </w:tcBorders>
            <w:shd w:val="clear" w:color="000000" w:fill="EBEBEB"/>
            <w:hideMark/>
          </w:tcPr>
          <w:p w14:paraId="172447B8" w14:textId="57403654" w:rsidR="00DB21E7" w:rsidRPr="008C1C28" w:rsidRDefault="00DB21E7" w:rsidP="008C1C28">
            <w:pPr>
              <w:ind w:left="-113" w:right="-113"/>
              <w:jc w:val="center"/>
              <w:rPr>
                <w:rFonts w:ascii="Public Sans" w:hAnsi="Public Sans" w:cs="Calibri"/>
                <w:color w:val="000000"/>
                <w:sz w:val="17"/>
                <w:szCs w:val="17"/>
                <w:lang w:val="en-AU" w:eastAsia="en-AU"/>
              </w:rPr>
            </w:pPr>
          </w:p>
        </w:tc>
        <w:tc>
          <w:tcPr>
            <w:tcW w:w="1183" w:type="dxa"/>
            <w:vMerge/>
            <w:tcBorders>
              <w:top w:val="nil"/>
              <w:left w:val="nil"/>
              <w:bottom w:val="nil"/>
              <w:right w:val="nil"/>
            </w:tcBorders>
            <w:vAlign w:val="center"/>
            <w:hideMark/>
          </w:tcPr>
          <w:p w14:paraId="65E01BA8" w14:textId="77777777" w:rsidR="00DB21E7" w:rsidRPr="008C1C28" w:rsidRDefault="00DB21E7" w:rsidP="00DB21E7">
            <w:pPr>
              <w:rPr>
                <w:rFonts w:ascii="Public Sans" w:hAnsi="Public Sans" w:cs="Calibri"/>
                <w:color w:val="FFFFFF"/>
                <w:sz w:val="17"/>
                <w:szCs w:val="17"/>
                <w:lang w:val="en-AU" w:eastAsia="en-AU"/>
              </w:rPr>
            </w:pPr>
          </w:p>
        </w:tc>
      </w:tr>
      <w:tr w:rsidR="00DB21E7" w:rsidRPr="00DB21E7" w14:paraId="5E593651" w14:textId="77777777" w:rsidTr="002A05DD">
        <w:trPr>
          <w:trHeight w:val="240"/>
        </w:trPr>
        <w:tc>
          <w:tcPr>
            <w:tcW w:w="3119" w:type="dxa"/>
            <w:tcBorders>
              <w:top w:val="nil"/>
              <w:left w:val="nil"/>
              <w:bottom w:val="nil"/>
              <w:right w:val="nil"/>
            </w:tcBorders>
            <w:shd w:val="clear" w:color="000000" w:fill="FFFFFF"/>
            <w:vAlign w:val="center"/>
            <w:hideMark/>
          </w:tcPr>
          <w:p w14:paraId="37AEC52B"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Health </w:t>
            </w:r>
          </w:p>
        </w:tc>
        <w:tc>
          <w:tcPr>
            <w:tcW w:w="840" w:type="dxa"/>
            <w:tcBorders>
              <w:top w:val="nil"/>
              <w:left w:val="nil"/>
              <w:bottom w:val="nil"/>
              <w:right w:val="nil"/>
            </w:tcBorders>
            <w:shd w:val="clear" w:color="000000" w:fill="FFFFFF"/>
            <w:noWrap/>
            <w:vAlign w:val="center"/>
            <w:hideMark/>
          </w:tcPr>
          <w:p w14:paraId="46CEDE2F" w14:textId="7F5C92D8"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7,144 </w:t>
            </w:r>
          </w:p>
        </w:tc>
        <w:tc>
          <w:tcPr>
            <w:tcW w:w="1130" w:type="dxa"/>
            <w:tcBorders>
              <w:top w:val="nil"/>
              <w:left w:val="nil"/>
              <w:bottom w:val="nil"/>
              <w:right w:val="nil"/>
            </w:tcBorders>
            <w:shd w:val="clear" w:color="000000" w:fill="FFFFFF"/>
            <w:noWrap/>
            <w:vAlign w:val="center"/>
            <w:hideMark/>
          </w:tcPr>
          <w:p w14:paraId="092E8991" w14:textId="1D7A5E55"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8,192 </w:t>
            </w:r>
          </w:p>
        </w:tc>
        <w:tc>
          <w:tcPr>
            <w:tcW w:w="840" w:type="dxa"/>
            <w:tcBorders>
              <w:top w:val="nil"/>
              <w:left w:val="nil"/>
              <w:bottom w:val="nil"/>
              <w:right w:val="nil"/>
            </w:tcBorders>
            <w:shd w:val="clear" w:color="000000" w:fill="F2F2F2"/>
            <w:noWrap/>
            <w:vAlign w:val="center"/>
            <w:hideMark/>
          </w:tcPr>
          <w:p w14:paraId="59604702" w14:textId="7A81B213"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8,359 </w:t>
            </w:r>
          </w:p>
        </w:tc>
        <w:tc>
          <w:tcPr>
            <w:tcW w:w="840" w:type="dxa"/>
            <w:tcBorders>
              <w:top w:val="nil"/>
              <w:left w:val="nil"/>
              <w:bottom w:val="nil"/>
              <w:right w:val="nil"/>
            </w:tcBorders>
            <w:shd w:val="clear" w:color="000000" w:fill="F2F2F2"/>
            <w:noWrap/>
            <w:vAlign w:val="center"/>
            <w:hideMark/>
          </w:tcPr>
          <w:p w14:paraId="5D90EE91" w14:textId="5C9982E1"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8,880 </w:t>
            </w:r>
          </w:p>
        </w:tc>
        <w:tc>
          <w:tcPr>
            <w:tcW w:w="840" w:type="dxa"/>
            <w:tcBorders>
              <w:top w:val="nil"/>
              <w:left w:val="nil"/>
              <w:bottom w:val="nil"/>
              <w:right w:val="nil"/>
            </w:tcBorders>
            <w:shd w:val="clear" w:color="000000" w:fill="F2F2F2"/>
            <w:noWrap/>
            <w:vAlign w:val="center"/>
            <w:hideMark/>
          </w:tcPr>
          <w:p w14:paraId="1C1D1E86" w14:textId="083ED4DF"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9,434 </w:t>
            </w:r>
          </w:p>
        </w:tc>
        <w:tc>
          <w:tcPr>
            <w:tcW w:w="840" w:type="dxa"/>
            <w:tcBorders>
              <w:top w:val="nil"/>
              <w:left w:val="nil"/>
              <w:bottom w:val="nil"/>
              <w:right w:val="nil"/>
            </w:tcBorders>
            <w:shd w:val="clear" w:color="000000" w:fill="F2F2F2"/>
            <w:noWrap/>
            <w:vAlign w:val="center"/>
            <w:hideMark/>
          </w:tcPr>
          <w:p w14:paraId="2428B919" w14:textId="6D792E6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10,019 </w:t>
            </w:r>
          </w:p>
        </w:tc>
        <w:tc>
          <w:tcPr>
            <w:tcW w:w="1183" w:type="dxa"/>
            <w:tcBorders>
              <w:top w:val="nil"/>
              <w:left w:val="nil"/>
              <w:bottom w:val="nil"/>
              <w:right w:val="nil"/>
            </w:tcBorders>
            <w:shd w:val="clear" w:color="000000" w:fill="FFFFFF"/>
            <w:vAlign w:val="center"/>
            <w:hideMark/>
          </w:tcPr>
          <w:p w14:paraId="4951B352"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5.2</w:t>
            </w:r>
          </w:p>
        </w:tc>
      </w:tr>
      <w:tr w:rsidR="00DB21E7" w:rsidRPr="00DB21E7" w14:paraId="31935787" w14:textId="77777777" w:rsidTr="002A05DD">
        <w:trPr>
          <w:trHeight w:val="240"/>
        </w:trPr>
        <w:tc>
          <w:tcPr>
            <w:tcW w:w="3119" w:type="dxa"/>
            <w:tcBorders>
              <w:top w:val="nil"/>
              <w:left w:val="nil"/>
              <w:bottom w:val="nil"/>
              <w:right w:val="nil"/>
            </w:tcBorders>
            <w:shd w:val="clear" w:color="000000" w:fill="FFFFFF"/>
            <w:noWrap/>
            <w:vAlign w:val="center"/>
            <w:hideMark/>
          </w:tcPr>
          <w:p w14:paraId="1F859FFD"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Education </w:t>
            </w:r>
          </w:p>
        </w:tc>
        <w:tc>
          <w:tcPr>
            <w:tcW w:w="840" w:type="dxa"/>
            <w:tcBorders>
              <w:top w:val="nil"/>
              <w:left w:val="nil"/>
              <w:bottom w:val="nil"/>
              <w:right w:val="nil"/>
            </w:tcBorders>
            <w:shd w:val="clear" w:color="000000" w:fill="FFFFFF"/>
            <w:noWrap/>
            <w:vAlign w:val="center"/>
            <w:hideMark/>
          </w:tcPr>
          <w:p w14:paraId="6457693A" w14:textId="5CF5F285"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2,958 </w:t>
            </w:r>
          </w:p>
        </w:tc>
        <w:tc>
          <w:tcPr>
            <w:tcW w:w="1130" w:type="dxa"/>
            <w:tcBorders>
              <w:top w:val="nil"/>
              <w:left w:val="nil"/>
              <w:bottom w:val="nil"/>
              <w:right w:val="nil"/>
            </w:tcBorders>
            <w:shd w:val="clear" w:color="000000" w:fill="FFFFFF"/>
            <w:noWrap/>
            <w:vAlign w:val="center"/>
            <w:hideMark/>
          </w:tcPr>
          <w:p w14:paraId="086CB861" w14:textId="71EC402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3,101 </w:t>
            </w:r>
          </w:p>
        </w:tc>
        <w:tc>
          <w:tcPr>
            <w:tcW w:w="840" w:type="dxa"/>
            <w:tcBorders>
              <w:top w:val="nil"/>
              <w:left w:val="nil"/>
              <w:bottom w:val="nil"/>
              <w:right w:val="nil"/>
            </w:tcBorders>
            <w:shd w:val="clear" w:color="000000" w:fill="F2F2F2"/>
            <w:noWrap/>
            <w:vAlign w:val="center"/>
            <w:hideMark/>
          </w:tcPr>
          <w:p w14:paraId="4DEA20B4" w14:textId="0F65EF50"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3,248 </w:t>
            </w:r>
          </w:p>
        </w:tc>
        <w:tc>
          <w:tcPr>
            <w:tcW w:w="840" w:type="dxa"/>
            <w:tcBorders>
              <w:top w:val="nil"/>
              <w:left w:val="nil"/>
              <w:bottom w:val="nil"/>
              <w:right w:val="nil"/>
            </w:tcBorders>
            <w:shd w:val="clear" w:color="000000" w:fill="F2F2F2"/>
            <w:noWrap/>
            <w:vAlign w:val="center"/>
            <w:hideMark/>
          </w:tcPr>
          <w:p w14:paraId="29F56D76" w14:textId="549A8D21"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3,367 </w:t>
            </w:r>
          </w:p>
        </w:tc>
        <w:tc>
          <w:tcPr>
            <w:tcW w:w="840" w:type="dxa"/>
            <w:tcBorders>
              <w:top w:val="nil"/>
              <w:left w:val="nil"/>
              <w:bottom w:val="nil"/>
              <w:right w:val="nil"/>
            </w:tcBorders>
            <w:shd w:val="clear" w:color="000000" w:fill="F2F2F2"/>
            <w:noWrap/>
            <w:vAlign w:val="center"/>
            <w:hideMark/>
          </w:tcPr>
          <w:p w14:paraId="47751A10" w14:textId="48250640"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3,488 </w:t>
            </w:r>
          </w:p>
        </w:tc>
        <w:tc>
          <w:tcPr>
            <w:tcW w:w="840" w:type="dxa"/>
            <w:tcBorders>
              <w:top w:val="nil"/>
              <w:left w:val="nil"/>
              <w:bottom w:val="nil"/>
              <w:right w:val="nil"/>
            </w:tcBorders>
            <w:shd w:val="clear" w:color="000000" w:fill="F2F2F2"/>
            <w:noWrap/>
            <w:vAlign w:val="center"/>
            <w:hideMark/>
          </w:tcPr>
          <w:p w14:paraId="7275BB9D" w14:textId="4F6DA83B"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3,618 </w:t>
            </w:r>
          </w:p>
        </w:tc>
        <w:tc>
          <w:tcPr>
            <w:tcW w:w="1183" w:type="dxa"/>
            <w:tcBorders>
              <w:top w:val="nil"/>
              <w:left w:val="nil"/>
              <w:bottom w:val="nil"/>
              <w:right w:val="nil"/>
            </w:tcBorders>
            <w:shd w:val="clear" w:color="000000" w:fill="FFFFFF"/>
            <w:vAlign w:val="center"/>
            <w:hideMark/>
          </w:tcPr>
          <w:p w14:paraId="29AB7424"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3.9</w:t>
            </w:r>
          </w:p>
        </w:tc>
      </w:tr>
      <w:tr w:rsidR="00DB21E7" w:rsidRPr="00DB21E7" w14:paraId="2223C44C" w14:textId="77777777" w:rsidTr="002A05DD">
        <w:trPr>
          <w:trHeight w:val="240"/>
        </w:trPr>
        <w:tc>
          <w:tcPr>
            <w:tcW w:w="3119" w:type="dxa"/>
            <w:tcBorders>
              <w:top w:val="nil"/>
              <w:left w:val="nil"/>
              <w:bottom w:val="nil"/>
              <w:right w:val="nil"/>
            </w:tcBorders>
            <w:shd w:val="clear" w:color="000000" w:fill="FFFFFF"/>
            <w:vAlign w:val="center"/>
            <w:hideMark/>
          </w:tcPr>
          <w:p w14:paraId="7C91B6B2"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Skills and workforce development</w:t>
            </w:r>
          </w:p>
        </w:tc>
        <w:tc>
          <w:tcPr>
            <w:tcW w:w="840" w:type="dxa"/>
            <w:tcBorders>
              <w:top w:val="nil"/>
              <w:left w:val="nil"/>
              <w:bottom w:val="nil"/>
              <w:right w:val="nil"/>
            </w:tcBorders>
            <w:shd w:val="clear" w:color="000000" w:fill="FFFFFF"/>
            <w:noWrap/>
            <w:vAlign w:val="center"/>
            <w:hideMark/>
          </w:tcPr>
          <w:p w14:paraId="7D1AD700" w14:textId="5411E798"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502 </w:t>
            </w:r>
          </w:p>
        </w:tc>
        <w:tc>
          <w:tcPr>
            <w:tcW w:w="1130" w:type="dxa"/>
            <w:tcBorders>
              <w:top w:val="nil"/>
              <w:left w:val="nil"/>
              <w:bottom w:val="nil"/>
              <w:right w:val="nil"/>
            </w:tcBorders>
            <w:shd w:val="clear" w:color="000000" w:fill="FFFFFF"/>
            <w:noWrap/>
            <w:vAlign w:val="center"/>
            <w:hideMark/>
          </w:tcPr>
          <w:p w14:paraId="09B72373" w14:textId="52DC147E"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499 </w:t>
            </w:r>
          </w:p>
        </w:tc>
        <w:tc>
          <w:tcPr>
            <w:tcW w:w="840" w:type="dxa"/>
            <w:tcBorders>
              <w:top w:val="nil"/>
              <w:left w:val="nil"/>
              <w:bottom w:val="nil"/>
              <w:right w:val="nil"/>
            </w:tcBorders>
            <w:shd w:val="clear" w:color="000000" w:fill="F2F2F2"/>
            <w:noWrap/>
            <w:vAlign w:val="center"/>
            <w:hideMark/>
          </w:tcPr>
          <w:p w14:paraId="51D79D69" w14:textId="21A0D45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522 </w:t>
            </w:r>
          </w:p>
        </w:tc>
        <w:tc>
          <w:tcPr>
            <w:tcW w:w="840" w:type="dxa"/>
            <w:tcBorders>
              <w:top w:val="nil"/>
              <w:left w:val="nil"/>
              <w:bottom w:val="nil"/>
              <w:right w:val="nil"/>
            </w:tcBorders>
            <w:shd w:val="clear" w:color="000000" w:fill="F2F2F2"/>
            <w:noWrap/>
            <w:vAlign w:val="center"/>
            <w:hideMark/>
          </w:tcPr>
          <w:p w14:paraId="57BEAC8B" w14:textId="147BBD3A"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538 </w:t>
            </w:r>
          </w:p>
        </w:tc>
        <w:tc>
          <w:tcPr>
            <w:tcW w:w="840" w:type="dxa"/>
            <w:tcBorders>
              <w:top w:val="nil"/>
              <w:left w:val="nil"/>
              <w:bottom w:val="nil"/>
              <w:right w:val="nil"/>
            </w:tcBorders>
            <w:shd w:val="clear" w:color="000000" w:fill="F2F2F2"/>
            <w:noWrap/>
            <w:vAlign w:val="center"/>
            <w:hideMark/>
          </w:tcPr>
          <w:p w14:paraId="48EE43CF" w14:textId="13BCCB0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549 </w:t>
            </w:r>
          </w:p>
        </w:tc>
        <w:tc>
          <w:tcPr>
            <w:tcW w:w="840" w:type="dxa"/>
            <w:tcBorders>
              <w:top w:val="nil"/>
              <w:left w:val="nil"/>
              <w:bottom w:val="nil"/>
              <w:right w:val="nil"/>
            </w:tcBorders>
            <w:shd w:val="clear" w:color="000000" w:fill="F2F2F2"/>
            <w:noWrap/>
            <w:vAlign w:val="center"/>
            <w:hideMark/>
          </w:tcPr>
          <w:p w14:paraId="77AC4AF1" w14:textId="49B618E7"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558 </w:t>
            </w:r>
          </w:p>
        </w:tc>
        <w:tc>
          <w:tcPr>
            <w:tcW w:w="1183" w:type="dxa"/>
            <w:tcBorders>
              <w:top w:val="nil"/>
              <w:left w:val="nil"/>
              <w:bottom w:val="nil"/>
              <w:right w:val="nil"/>
            </w:tcBorders>
            <w:shd w:val="clear" w:color="000000" w:fill="FFFFFF"/>
            <w:vAlign w:val="center"/>
            <w:hideMark/>
          </w:tcPr>
          <w:p w14:paraId="27C3EB39"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2.9</w:t>
            </w:r>
          </w:p>
        </w:tc>
      </w:tr>
      <w:tr w:rsidR="00DB21E7" w:rsidRPr="00DB21E7" w14:paraId="4FAF1302" w14:textId="77777777" w:rsidTr="002A05DD">
        <w:trPr>
          <w:trHeight w:val="240"/>
        </w:trPr>
        <w:tc>
          <w:tcPr>
            <w:tcW w:w="3119" w:type="dxa"/>
            <w:tcBorders>
              <w:top w:val="nil"/>
              <w:left w:val="nil"/>
              <w:bottom w:val="nil"/>
              <w:right w:val="nil"/>
            </w:tcBorders>
            <w:shd w:val="clear" w:color="000000" w:fill="FFFFFF"/>
            <w:noWrap/>
            <w:vAlign w:val="center"/>
            <w:hideMark/>
          </w:tcPr>
          <w:p w14:paraId="512E623D"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Affordable housing</w:t>
            </w:r>
          </w:p>
        </w:tc>
        <w:tc>
          <w:tcPr>
            <w:tcW w:w="840" w:type="dxa"/>
            <w:tcBorders>
              <w:top w:val="nil"/>
              <w:left w:val="nil"/>
              <w:bottom w:val="nil"/>
              <w:right w:val="nil"/>
            </w:tcBorders>
            <w:shd w:val="clear" w:color="000000" w:fill="FFFFFF"/>
            <w:noWrap/>
            <w:vAlign w:val="center"/>
            <w:hideMark/>
          </w:tcPr>
          <w:p w14:paraId="7B7B94B3" w14:textId="3DB1E36F"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496 </w:t>
            </w:r>
          </w:p>
        </w:tc>
        <w:tc>
          <w:tcPr>
            <w:tcW w:w="1130" w:type="dxa"/>
            <w:tcBorders>
              <w:top w:val="nil"/>
              <w:left w:val="nil"/>
              <w:bottom w:val="nil"/>
              <w:right w:val="nil"/>
            </w:tcBorders>
            <w:shd w:val="clear" w:color="000000" w:fill="FFFFFF"/>
            <w:noWrap/>
            <w:vAlign w:val="center"/>
            <w:hideMark/>
          </w:tcPr>
          <w:p w14:paraId="4F048F5D" w14:textId="788FF720"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493 </w:t>
            </w:r>
          </w:p>
        </w:tc>
        <w:tc>
          <w:tcPr>
            <w:tcW w:w="840" w:type="dxa"/>
            <w:tcBorders>
              <w:top w:val="nil"/>
              <w:left w:val="nil"/>
              <w:bottom w:val="nil"/>
              <w:right w:val="nil"/>
            </w:tcBorders>
            <w:shd w:val="clear" w:color="000000" w:fill="F2F2F2"/>
            <w:noWrap/>
            <w:vAlign w:val="center"/>
            <w:hideMark/>
          </w:tcPr>
          <w:p w14:paraId="7CFCB1D5" w14:textId="4C74AF71"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516 </w:t>
            </w:r>
          </w:p>
        </w:tc>
        <w:tc>
          <w:tcPr>
            <w:tcW w:w="840" w:type="dxa"/>
            <w:tcBorders>
              <w:top w:val="nil"/>
              <w:left w:val="nil"/>
              <w:bottom w:val="nil"/>
              <w:right w:val="nil"/>
            </w:tcBorders>
            <w:shd w:val="clear" w:color="000000" w:fill="F2F2F2"/>
            <w:noWrap/>
            <w:vAlign w:val="center"/>
            <w:hideMark/>
          </w:tcPr>
          <w:p w14:paraId="053F2A6C" w14:textId="1C5084B9"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521 </w:t>
            </w:r>
          </w:p>
        </w:tc>
        <w:tc>
          <w:tcPr>
            <w:tcW w:w="840" w:type="dxa"/>
            <w:tcBorders>
              <w:top w:val="nil"/>
              <w:left w:val="nil"/>
              <w:bottom w:val="nil"/>
              <w:right w:val="nil"/>
            </w:tcBorders>
            <w:shd w:val="clear" w:color="000000" w:fill="F2F2F2"/>
            <w:noWrap/>
            <w:vAlign w:val="center"/>
            <w:hideMark/>
          </w:tcPr>
          <w:p w14:paraId="634B3664" w14:textId="212B0F84"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532 </w:t>
            </w:r>
          </w:p>
        </w:tc>
        <w:tc>
          <w:tcPr>
            <w:tcW w:w="840" w:type="dxa"/>
            <w:tcBorders>
              <w:top w:val="nil"/>
              <w:left w:val="nil"/>
              <w:bottom w:val="nil"/>
              <w:right w:val="nil"/>
            </w:tcBorders>
            <w:shd w:val="clear" w:color="000000" w:fill="F2F2F2"/>
            <w:noWrap/>
            <w:vAlign w:val="center"/>
            <w:hideMark/>
          </w:tcPr>
          <w:p w14:paraId="57728D44" w14:textId="511E8053"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541 </w:t>
            </w:r>
          </w:p>
        </w:tc>
        <w:tc>
          <w:tcPr>
            <w:tcW w:w="1183" w:type="dxa"/>
            <w:tcBorders>
              <w:top w:val="nil"/>
              <w:left w:val="nil"/>
              <w:bottom w:val="nil"/>
              <w:right w:val="nil"/>
            </w:tcBorders>
            <w:shd w:val="clear" w:color="000000" w:fill="FFFFFF"/>
            <w:vAlign w:val="center"/>
            <w:hideMark/>
          </w:tcPr>
          <w:p w14:paraId="60A25BF8"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2.3</w:t>
            </w:r>
          </w:p>
        </w:tc>
      </w:tr>
      <w:tr w:rsidR="00DB21E7" w:rsidRPr="00DB21E7" w14:paraId="683C27CB" w14:textId="77777777" w:rsidTr="002A05DD">
        <w:trPr>
          <w:trHeight w:val="283"/>
        </w:trPr>
        <w:tc>
          <w:tcPr>
            <w:tcW w:w="3119" w:type="dxa"/>
            <w:tcBorders>
              <w:top w:val="single" w:sz="4" w:space="0" w:color="auto"/>
              <w:left w:val="nil"/>
              <w:bottom w:val="single" w:sz="4" w:space="0" w:color="auto"/>
              <w:right w:val="nil"/>
            </w:tcBorders>
            <w:shd w:val="clear" w:color="000000" w:fill="FFFFFF"/>
            <w:vAlign w:val="center"/>
            <w:hideMark/>
          </w:tcPr>
          <w:p w14:paraId="0A790C5F" w14:textId="77777777" w:rsidR="00DB21E7" w:rsidRPr="00DB21E7" w:rsidRDefault="00DB21E7" w:rsidP="00DB21E7">
            <w:pPr>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Total National Agreements</w:t>
            </w:r>
          </w:p>
        </w:tc>
        <w:tc>
          <w:tcPr>
            <w:tcW w:w="840" w:type="dxa"/>
            <w:tcBorders>
              <w:top w:val="single" w:sz="4" w:space="0" w:color="auto"/>
              <w:left w:val="nil"/>
              <w:bottom w:val="single" w:sz="4" w:space="0" w:color="auto"/>
              <w:right w:val="nil"/>
            </w:tcBorders>
            <w:shd w:val="clear" w:color="000000" w:fill="FFFFFF"/>
            <w:vAlign w:val="center"/>
            <w:hideMark/>
          </w:tcPr>
          <w:p w14:paraId="60DC476A"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11,100</w:t>
            </w:r>
          </w:p>
        </w:tc>
        <w:tc>
          <w:tcPr>
            <w:tcW w:w="1130" w:type="dxa"/>
            <w:tcBorders>
              <w:top w:val="single" w:sz="4" w:space="0" w:color="auto"/>
              <w:left w:val="nil"/>
              <w:bottom w:val="single" w:sz="4" w:space="0" w:color="auto"/>
              <w:right w:val="nil"/>
            </w:tcBorders>
            <w:shd w:val="clear" w:color="000000" w:fill="FFFFFF"/>
            <w:vAlign w:val="center"/>
            <w:hideMark/>
          </w:tcPr>
          <w:p w14:paraId="7DACA278"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12,286</w:t>
            </w:r>
          </w:p>
        </w:tc>
        <w:tc>
          <w:tcPr>
            <w:tcW w:w="840" w:type="dxa"/>
            <w:tcBorders>
              <w:top w:val="single" w:sz="4" w:space="0" w:color="auto"/>
              <w:left w:val="nil"/>
              <w:bottom w:val="single" w:sz="4" w:space="0" w:color="auto"/>
              <w:right w:val="nil"/>
            </w:tcBorders>
            <w:shd w:val="clear" w:color="000000" w:fill="F2F2F2"/>
            <w:vAlign w:val="center"/>
            <w:hideMark/>
          </w:tcPr>
          <w:p w14:paraId="62E1C430"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12,644</w:t>
            </w:r>
          </w:p>
        </w:tc>
        <w:tc>
          <w:tcPr>
            <w:tcW w:w="840" w:type="dxa"/>
            <w:tcBorders>
              <w:top w:val="single" w:sz="4" w:space="0" w:color="auto"/>
              <w:left w:val="nil"/>
              <w:bottom w:val="single" w:sz="4" w:space="0" w:color="auto"/>
              <w:right w:val="nil"/>
            </w:tcBorders>
            <w:shd w:val="clear" w:color="000000" w:fill="F2F2F2"/>
            <w:vAlign w:val="center"/>
            <w:hideMark/>
          </w:tcPr>
          <w:p w14:paraId="0A30432D"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13,306</w:t>
            </w:r>
          </w:p>
        </w:tc>
        <w:tc>
          <w:tcPr>
            <w:tcW w:w="840" w:type="dxa"/>
            <w:tcBorders>
              <w:top w:val="single" w:sz="4" w:space="0" w:color="auto"/>
              <w:left w:val="nil"/>
              <w:bottom w:val="single" w:sz="4" w:space="0" w:color="auto"/>
              <w:right w:val="nil"/>
            </w:tcBorders>
            <w:shd w:val="clear" w:color="000000" w:fill="F2F2F2"/>
            <w:vAlign w:val="center"/>
            <w:hideMark/>
          </w:tcPr>
          <w:p w14:paraId="788DD1BD"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14,003</w:t>
            </w:r>
          </w:p>
        </w:tc>
        <w:tc>
          <w:tcPr>
            <w:tcW w:w="840" w:type="dxa"/>
            <w:tcBorders>
              <w:top w:val="single" w:sz="4" w:space="0" w:color="auto"/>
              <w:left w:val="nil"/>
              <w:bottom w:val="single" w:sz="4" w:space="0" w:color="auto"/>
              <w:right w:val="nil"/>
            </w:tcBorders>
            <w:shd w:val="clear" w:color="000000" w:fill="F2F2F2"/>
            <w:vAlign w:val="center"/>
            <w:hideMark/>
          </w:tcPr>
          <w:p w14:paraId="73B428EE"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14,736</w:t>
            </w:r>
          </w:p>
        </w:tc>
        <w:tc>
          <w:tcPr>
            <w:tcW w:w="1183" w:type="dxa"/>
            <w:tcBorders>
              <w:top w:val="single" w:sz="4" w:space="0" w:color="auto"/>
              <w:left w:val="nil"/>
              <w:bottom w:val="single" w:sz="4" w:space="0" w:color="auto"/>
              <w:right w:val="nil"/>
            </w:tcBorders>
            <w:shd w:val="clear" w:color="auto" w:fill="auto"/>
            <w:noWrap/>
            <w:vAlign w:val="center"/>
            <w:hideMark/>
          </w:tcPr>
          <w:p w14:paraId="61933A9B" w14:textId="77777777" w:rsidR="00DB21E7" w:rsidRPr="00DB21E7" w:rsidRDefault="00DB21E7" w:rsidP="00DB21E7">
            <w:pPr>
              <w:jc w:val="center"/>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4.7</w:t>
            </w:r>
          </w:p>
        </w:tc>
      </w:tr>
    </w:tbl>
    <w:p w14:paraId="603E89B3" w14:textId="77777777" w:rsidR="00DC31BE" w:rsidRPr="009B78EC" w:rsidRDefault="00DC31BE" w:rsidP="00B67DB9"/>
    <w:p w14:paraId="6FF398DE" w14:textId="77777777" w:rsidR="00E90BEE" w:rsidRPr="00E61338" w:rsidRDefault="00E90BEE" w:rsidP="00E90BEE">
      <w:pPr>
        <w:pStyle w:val="Heading3"/>
        <w:numPr>
          <w:ilvl w:val="2"/>
          <w:numId w:val="0"/>
        </w:numPr>
        <w:ind w:left="720" w:hanging="720"/>
        <w:rPr>
          <w:rFonts w:eastAsiaTheme="minorHAnsi"/>
        </w:rPr>
      </w:pPr>
      <w:r w:rsidRPr="00E61338">
        <w:rPr>
          <w:rFonts w:eastAsiaTheme="minorHAnsi"/>
        </w:rPr>
        <w:t>Federation Funding Agreements</w:t>
      </w:r>
    </w:p>
    <w:p w14:paraId="51E74C2E" w14:textId="78933B7E" w:rsidR="002B2378" w:rsidRDefault="00D153A8" w:rsidP="00E4551D">
      <w:pPr>
        <w:pStyle w:val="BodyText"/>
      </w:pPr>
      <w:bookmarkStart w:id="5" w:name="_Hlk106537693"/>
      <w:r w:rsidRPr="00D153A8">
        <w:t>The</w:t>
      </w:r>
      <w:r w:rsidRPr="00D153A8" w:rsidDel="00B045E5">
        <w:t xml:space="preserve"> </w:t>
      </w:r>
      <w:r w:rsidR="00DF5053">
        <w:t>Australian Government</w:t>
      </w:r>
      <w:r w:rsidR="00DF5053" w:rsidRPr="00D153A8">
        <w:t xml:space="preserve"> </w:t>
      </w:r>
      <w:r w:rsidRPr="00D153A8">
        <w:t xml:space="preserve">provides payments to support specified projects, ongoing service delivery or service delivery improvements. </w:t>
      </w:r>
    </w:p>
    <w:p w14:paraId="09A5BFA7" w14:textId="429A66F1" w:rsidR="002B2378" w:rsidRDefault="00D153A8" w:rsidP="00E4551D">
      <w:pPr>
        <w:pStyle w:val="BodyText"/>
      </w:pPr>
      <w:r w:rsidRPr="00D153A8">
        <w:t>NSW Government revenue from Federation Funding Agreements is expected to be $</w:t>
      </w:r>
      <w:r w:rsidR="00B24504">
        <w:t>1.1</w:t>
      </w:r>
      <w:r w:rsidR="000F7606">
        <w:t> </w:t>
      </w:r>
      <w:r w:rsidR="00B24504">
        <w:t>b</w:t>
      </w:r>
      <w:r w:rsidRPr="00D153A8">
        <w:t xml:space="preserve">illion </w:t>
      </w:r>
      <w:r w:rsidR="00DC15BA">
        <w:t xml:space="preserve">higher over the four years to 2026-27 </w:t>
      </w:r>
      <w:r w:rsidRPr="00D153A8" w:rsidDel="00DC15BA">
        <w:t xml:space="preserve">compared to the </w:t>
      </w:r>
      <w:r w:rsidR="00056D84" w:rsidRPr="075CFF50" w:rsidDel="00DC15BA">
        <w:t>2023</w:t>
      </w:r>
      <w:r w:rsidR="00054204">
        <w:t xml:space="preserve"> Pre-election Budget </w:t>
      </w:r>
      <w:r w:rsidR="00056D84">
        <w:t>Update</w:t>
      </w:r>
      <w:r w:rsidRPr="00D153A8">
        <w:t xml:space="preserve">. This </w:t>
      </w:r>
      <w:r w:rsidR="00F00200">
        <w:t>increase</w:t>
      </w:r>
      <w:r w:rsidRPr="00D153A8">
        <w:t xml:space="preserve"> is mainly due to: </w:t>
      </w:r>
    </w:p>
    <w:p w14:paraId="41F23701" w14:textId="5BAE1693" w:rsidR="00F03B2F" w:rsidRPr="00B67DB9" w:rsidRDefault="009B0E03" w:rsidP="00E4551D">
      <w:pPr>
        <w:pStyle w:val="Bullet1"/>
      </w:pPr>
      <w:r>
        <w:t>i</w:t>
      </w:r>
      <w:r w:rsidR="00D67DBA" w:rsidRPr="00B67DB9">
        <w:t>n</w:t>
      </w:r>
      <w:r w:rsidR="00F84772" w:rsidRPr="00B67DB9">
        <w:t xml:space="preserve">creased funding </w:t>
      </w:r>
      <w:r w:rsidR="00D92292" w:rsidRPr="00014057">
        <w:t xml:space="preserve">from the </w:t>
      </w:r>
      <w:r w:rsidR="00D92292">
        <w:t>Australian Government’s I</w:t>
      </w:r>
      <w:r w:rsidR="00D92292" w:rsidRPr="00014057">
        <w:t>mplementing the Murray Darling Basin Plan Reform and the National Water Infrastructure Development Fund totalling $177.4 million. This increase largely relates to the reprofiling of existing funding with the renegotiation of milestones and timeframes for several projects currently underway</w:t>
      </w:r>
    </w:p>
    <w:p w14:paraId="2E9B5BD4" w14:textId="56EF2C00" w:rsidR="00F719EB" w:rsidRPr="007E7817" w:rsidRDefault="009E0150" w:rsidP="00E4551D">
      <w:pPr>
        <w:pStyle w:val="Bullet1"/>
      </w:pPr>
      <w:r w:rsidRPr="007E7817">
        <w:t xml:space="preserve">an increase in payments over the </w:t>
      </w:r>
      <w:r w:rsidR="000A1BFE" w:rsidRPr="007E7817">
        <w:t>four years</w:t>
      </w:r>
      <w:r w:rsidRPr="007E7817">
        <w:t xml:space="preserve"> to 2026-27 for the HomeBuilder program due to an extension on the application deadline for</w:t>
      </w:r>
      <w:r w:rsidR="008601BA" w:rsidRPr="007E7817">
        <w:t xml:space="preserve"> exist</w:t>
      </w:r>
      <w:r w:rsidR="00C60041" w:rsidRPr="007E7817">
        <w:t>ing</w:t>
      </w:r>
      <w:r w:rsidRPr="007E7817">
        <w:t xml:space="preserve"> program participants, resulting in a reprofiling of future payments</w:t>
      </w:r>
    </w:p>
    <w:p w14:paraId="1905789A" w14:textId="40A4ECA7" w:rsidR="008B67AD" w:rsidRPr="00B67DB9" w:rsidRDefault="009B0E03" w:rsidP="00E4551D">
      <w:pPr>
        <w:pStyle w:val="Bullet1"/>
      </w:pPr>
      <w:r>
        <w:t>a</w:t>
      </w:r>
      <w:r w:rsidR="0085706B" w:rsidRPr="00B67DB9">
        <w:t xml:space="preserve">n </w:t>
      </w:r>
      <w:r w:rsidR="003F366F" w:rsidRPr="00B67DB9">
        <w:t>additional</w:t>
      </w:r>
      <w:r w:rsidR="0085706B" w:rsidRPr="00B67DB9">
        <w:t xml:space="preserve"> </w:t>
      </w:r>
      <w:r w:rsidR="00445B1E" w:rsidRPr="00B67DB9">
        <w:t>$</w:t>
      </w:r>
      <w:r w:rsidR="00550A71" w:rsidRPr="00813871">
        <w:t>34.4</w:t>
      </w:r>
      <w:r w:rsidR="00445B1E" w:rsidRPr="00B67DB9">
        <w:t xml:space="preserve"> million </w:t>
      </w:r>
      <w:r w:rsidR="00C82B4C">
        <w:t xml:space="preserve">in both </w:t>
      </w:r>
      <w:r w:rsidR="00350646">
        <w:t>2023-24 and 2024-25</w:t>
      </w:r>
      <w:r w:rsidR="009E1732">
        <w:t xml:space="preserve"> </w:t>
      </w:r>
      <w:r w:rsidR="009176BC" w:rsidRPr="00B67DB9">
        <w:t>under</w:t>
      </w:r>
      <w:r w:rsidR="003E52D4" w:rsidRPr="00B67DB9">
        <w:t xml:space="preserve"> </w:t>
      </w:r>
      <w:r w:rsidR="009176BC" w:rsidRPr="00B67DB9">
        <w:t xml:space="preserve">the </w:t>
      </w:r>
      <w:r w:rsidR="00195DE1" w:rsidRPr="00B67DB9">
        <w:rPr>
          <w:lang w:val="en-US"/>
        </w:rPr>
        <w:t xml:space="preserve">Public Dental Services for Adults </w:t>
      </w:r>
      <w:r w:rsidR="009D46E1">
        <w:rPr>
          <w:lang w:val="en-US"/>
        </w:rPr>
        <w:t>A</w:t>
      </w:r>
      <w:r w:rsidR="00195DE1" w:rsidRPr="00B67DB9">
        <w:rPr>
          <w:lang w:val="en-US"/>
        </w:rPr>
        <w:t xml:space="preserve">greement. </w:t>
      </w:r>
      <w:r w:rsidR="008B67AD" w:rsidRPr="00B67DB9">
        <w:t xml:space="preserve">The </w:t>
      </w:r>
      <w:r w:rsidR="00195DE1" w:rsidRPr="00B67DB9">
        <w:t>Australian</w:t>
      </w:r>
      <w:r w:rsidR="008B67AD" w:rsidRPr="00B67DB9">
        <w:t xml:space="preserve"> Government, as part of the Long</w:t>
      </w:r>
      <w:r w:rsidR="00DD56DB" w:rsidRPr="00B67DB9">
        <w:t>-Term</w:t>
      </w:r>
      <w:r w:rsidR="008B67AD" w:rsidRPr="00B67DB9">
        <w:t xml:space="preserve"> Dental Funding Reform, has </w:t>
      </w:r>
      <w:r w:rsidR="00583867">
        <w:t>budgeted</w:t>
      </w:r>
      <w:r w:rsidR="003A62BA">
        <w:t xml:space="preserve"> to</w:t>
      </w:r>
      <w:r w:rsidR="008B67AD" w:rsidRPr="00B67DB9">
        <w:t xml:space="preserve"> extend the </w:t>
      </w:r>
      <w:r w:rsidR="003F366F" w:rsidRPr="00B67DB9">
        <w:t xml:space="preserve">Agreement </w:t>
      </w:r>
      <w:r w:rsidR="008B67AD" w:rsidRPr="00B67DB9">
        <w:t>to June 2025</w:t>
      </w:r>
    </w:p>
    <w:p w14:paraId="72BAAB69" w14:textId="27E916B9" w:rsidR="005D5ADF" w:rsidRPr="00B67DB9" w:rsidRDefault="005D5ADF" w:rsidP="00E4551D">
      <w:pPr>
        <w:pStyle w:val="Bullet1"/>
      </w:pPr>
      <w:r>
        <w:t xml:space="preserve">increased funding </w:t>
      </w:r>
      <w:r w:rsidR="00164FF8">
        <w:t xml:space="preserve">from the Australian Government’s contribution to the </w:t>
      </w:r>
      <w:r w:rsidR="00AC1D0D" w:rsidRPr="00AC1D0D">
        <w:t>National Energy Bill Relief Fund which will help fund bill relief for eligible small businesses and households and the Energy Price Relief Plan which caps the price of coal for electricity generation.</w:t>
      </w:r>
    </w:p>
    <w:p w14:paraId="5C4CB62C" w14:textId="03E55986" w:rsidR="00611C26" w:rsidRPr="00730939" w:rsidRDefault="006C38C2" w:rsidP="00E4551D">
      <w:pPr>
        <w:pStyle w:val="BodyText"/>
      </w:pPr>
      <w:r w:rsidRPr="00136023">
        <w:t xml:space="preserve">Revenue in this category is also impacted by reprofiling </w:t>
      </w:r>
      <w:r w:rsidR="00E77431" w:rsidRPr="00136023">
        <w:t>of Australian Government funding</w:t>
      </w:r>
      <w:r w:rsidR="008B7B27" w:rsidRPr="00136023">
        <w:t xml:space="preserve"> </w:t>
      </w:r>
      <w:r w:rsidR="00AD6A02" w:rsidRPr="00136023">
        <w:t xml:space="preserve">for </w:t>
      </w:r>
      <w:r w:rsidR="008B7B27" w:rsidRPr="00136023">
        <w:t>natural disaster relief</w:t>
      </w:r>
      <w:r w:rsidR="004054BA">
        <w:t xml:space="preserve"> and transport infrastructure projects</w:t>
      </w:r>
      <w:r w:rsidR="008B7B27" w:rsidRPr="00136023">
        <w:t>.</w:t>
      </w:r>
      <w:r w:rsidR="00431FF1">
        <w:t xml:space="preserve"> The cancellation </w:t>
      </w:r>
      <w:r w:rsidR="00FD7850">
        <w:t>or reduction</w:t>
      </w:r>
      <w:r w:rsidR="00431FF1">
        <w:t xml:space="preserve"> of a number of </w:t>
      </w:r>
      <w:r w:rsidR="00FD7850">
        <w:t xml:space="preserve">Australian Government transport payments </w:t>
      </w:r>
      <w:r w:rsidR="0066101B">
        <w:t xml:space="preserve">following the 2023-24 Federal Budget </w:t>
      </w:r>
      <w:r w:rsidR="00ED7E7E">
        <w:t>also</w:t>
      </w:r>
      <w:r w:rsidR="002616BD">
        <w:t xml:space="preserve"> negatively</w:t>
      </w:r>
      <w:r w:rsidR="00ED7E7E">
        <w:t xml:space="preserve"> impact</w:t>
      </w:r>
      <w:r w:rsidR="00E844C5">
        <w:t>s</w:t>
      </w:r>
      <w:r w:rsidR="00ED7E7E">
        <w:t xml:space="preserve"> revenue in 2025-26 and 2026-27 in particular. </w:t>
      </w:r>
    </w:p>
    <w:p w14:paraId="17E236B5" w14:textId="36970FFA" w:rsidR="00E90BEE" w:rsidRPr="00137A55" w:rsidRDefault="00E90BEE" w:rsidP="009E4CEE">
      <w:pPr>
        <w:pStyle w:val="Table4X"/>
      </w:pPr>
      <w:r w:rsidRPr="001E5A10">
        <w:lastRenderedPageBreak/>
        <w:t>Funding Agreement</w:t>
      </w:r>
      <w:r w:rsidRPr="00137A55">
        <w:t xml:space="preserve"> payments to New South Wales </w:t>
      </w:r>
    </w:p>
    <w:tbl>
      <w:tblPr>
        <w:tblW w:w="9794" w:type="dxa"/>
        <w:tblLook w:val="04A0" w:firstRow="1" w:lastRow="0" w:firstColumn="1" w:lastColumn="0" w:noHBand="0" w:noVBand="1"/>
        <w:tblCaption w:val="Table 4.8: Funding Agreement payments to New South Wales "/>
        <w:tblDescription w:val="Table 4.8: Funding Agreement payments to New South Wales "/>
      </w:tblPr>
      <w:tblGrid>
        <w:gridCol w:w="2694"/>
        <w:gridCol w:w="960"/>
        <w:gridCol w:w="960"/>
        <w:gridCol w:w="960"/>
        <w:gridCol w:w="960"/>
        <w:gridCol w:w="960"/>
        <w:gridCol w:w="960"/>
        <w:gridCol w:w="1340"/>
      </w:tblGrid>
      <w:tr w:rsidR="00281971" w:rsidRPr="00281971" w14:paraId="6ACE8685" w14:textId="77777777" w:rsidTr="00F2266A">
        <w:trPr>
          <w:trHeight w:val="283"/>
        </w:trPr>
        <w:tc>
          <w:tcPr>
            <w:tcW w:w="2694" w:type="dxa"/>
            <w:tcBorders>
              <w:top w:val="nil"/>
              <w:left w:val="nil"/>
              <w:bottom w:val="nil"/>
              <w:right w:val="nil"/>
            </w:tcBorders>
            <w:shd w:val="clear" w:color="000000" w:fill="EBEBEB"/>
            <w:vAlign w:val="center"/>
            <w:hideMark/>
          </w:tcPr>
          <w:bookmarkEnd w:id="5"/>
          <w:p w14:paraId="2712C763" w14:textId="77777777" w:rsidR="00281971" w:rsidRPr="00281971" w:rsidRDefault="00281971" w:rsidP="00281971">
            <w:pPr>
              <w:jc w:val="center"/>
              <w:rPr>
                <w:rFonts w:ascii="Public Sans" w:hAnsi="Public Sans" w:cs="Calibri"/>
                <w:i/>
                <w:iCs/>
                <w:color w:val="000000"/>
                <w:sz w:val="16"/>
                <w:szCs w:val="16"/>
                <w:lang w:val="en-AU" w:eastAsia="en-AU"/>
              </w:rPr>
            </w:pPr>
            <w:r w:rsidRPr="00281971">
              <w:rPr>
                <w:rFonts w:ascii="Public Sans" w:hAnsi="Public Sans" w:cs="Calibri"/>
                <w:i/>
                <w:iCs/>
                <w:color w:val="000000"/>
                <w:sz w:val="16"/>
                <w:szCs w:val="16"/>
                <w:lang w:val="en-AU" w:eastAsia="en-AU"/>
              </w:rPr>
              <w:t> </w:t>
            </w:r>
          </w:p>
        </w:tc>
        <w:tc>
          <w:tcPr>
            <w:tcW w:w="960" w:type="dxa"/>
            <w:tcBorders>
              <w:top w:val="nil"/>
              <w:left w:val="nil"/>
              <w:bottom w:val="nil"/>
              <w:right w:val="nil"/>
            </w:tcBorders>
            <w:shd w:val="clear" w:color="000000" w:fill="EBEBEB"/>
            <w:vAlign w:val="bottom"/>
            <w:hideMark/>
          </w:tcPr>
          <w:p w14:paraId="1677DCF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2021-22</w:t>
            </w:r>
          </w:p>
        </w:tc>
        <w:tc>
          <w:tcPr>
            <w:tcW w:w="960" w:type="dxa"/>
            <w:tcBorders>
              <w:top w:val="nil"/>
              <w:left w:val="nil"/>
              <w:bottom w:val="nil"/>
              <w:right w:val="nil"/>
            </w:tcBorders>
            <w:shd w:val="clear" w:color="000000" w:fill="EBEBEB"/>
            <w:vAlign w:val="bottom"/>
            <w:hideMark/>
          </w:tcPr>
          <w:p w14:paraId="0F6575F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2022-23</w:t>
            </w:r>
          </w:p>
        </w:tc>
        <w:tc>
          <w:tcPr>
            <w:tcW w:w="960" w:type="dxa"/>
            <w:tcBorders>
              <w:top w:val="nil"/>
              <w:left w:val="nil"/>
              <w:bottom w:val="nil"/>
              <w:right w:val="nil"/>
            </w:tcBorders>
            <w:shd w:val="clear" w:color="000000" w:fill="EBEBEB"/>
            <w:vAlign w:val="bottom"/>
            <w:hideMark/>
          </w:tcPr>
          <w:p w14:paraId="426BEE22"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2023-24</w:t>
            </w:r>
          </w:p>
        </w:tc>
        <w:tc>
          <w:tcPr>
            <w:tcW w:w="960" w:type="dxa"/>
            <w:tcBorders>
              <w:top w:val="nil"/>
              <w:left w:val="nil"/>
              <w:bottom w:val="nil"/>
              <w:right w:val="nil"/>
            </w:tcBorders>
            <w:shd w:val="clear" w:color="000000" w:fill="EBEBEB"/>
            <w:vAlign w:val="bottom"/>
            <w:hideMark/>
          </w:tcPr>
          <w:p w14:paraId="419B60E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2024-25</w:t>
            </w:r>
          </w:p>
        </w:tc>
        <w:tc>
          <w:tcPr>
            <w:tcW w:w="960" w:type="dxa"/>
            <w:tcBorders>
              <w:top w:val="nil"/>
              <w:left w:val="nil"/>
              <w:bottom w:val="nil"/>
              <w:right w:val="nil"/>
            </w:tcBorders>
            <w:shd w:val="clear" w:color="000000" w:fill="EBEBEB"/>
            <w:vAlign w:val="bottom"/>
            <w:hideMark/>
          </w:tcPr>
          <w:p w14:paraId="00E21E05"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2025-26</w:t>
            </w:r>
          </w:p>
        </w:tc>
        <w:tc>
          <w:tcPr>
            <w:tcW w:w="960" w:type="dxa"/>
            <w:tcBorders>
              <w:top w:val="nil"/>
              <w:left w:val="nil"/>
              <w:bottom w:val="nil"/>
              <w:right w:val="nil"/>
            </w:tcBorders>
            <w:shd w:val="clear" w:color="000000" w:fill="EBEBEB"/>
            <w:vAlign w:val="bottom"/>
            <w:hideMark/>
          </w:tcPr>
          <w:p w14:paraId="7DA668F3"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2026-27</w:t>
            </w:r>
          </w:p>
        </w:tc>
        <w:tc>
          <w:tcPr>
            <w:tcW w:w="1340" w:type="dxa"/>
            <w:vMerge w:val="restart"/>
            <w:tcBorders>
              <w:top w:val="nil"/>
              <w:left w:val="nil"/>
              <w:bottom w:val="nil"/>
              <w:right w:val="nil"/>
            </w:tcBorders>
            <w:shd w:val="clear" w:color="000000" w:fill="4F4F4F"/>
            <w:vAlign w:val="center"/>
            <w:hideMark/>
          </w:tcPr>
          <w:p w14:paraId="741528E3" w14:textId="77777777" w:rsidR="00281971" w:rsidRPr="00B647B3" w:rsidRDefault="00281971" w:rsidP="00281971">
            <w:pPr>
              <w:jc w:val="center"/>
              <w:rPr>
                <w:rFonts w:ascii="Public Sans" w:hAnsi="Public Sans" w:cs="Calibri"/>
                <w:color w:val="FFFFFF"/>
                <w:sz w:val="17"/>
                <w:szCs w:val="17"/>
                <w:lang w:val="en-AU" w:eastAsia="en-AU"/>
              </w:rPr>
            </w:pPr>
            <w:r w:rsidRPr="00B647B3">
              <w:rPr>
                <w:rFonts w:ascii="Public Sans" w:hAnsi="Public Sans" w:cs="Calibri"/>
                <w:color w:val="FFFFFF"/>
                <w:sz w:val="17"/>
                <w:szCs w:val="17"/>
                <w:lang w:val="en-AU" w:eastAsia="en-AU"/>
              </w:rPr>
              <w:t>% Average growth p.a.</w:t>
            </w:r>
            <w:r w:rsidRPr="00B647B3">
              <w:rPr>
                <w:rFonts w:ascii="Public Sans" w:hAnsi="Public Sans" w:cs="Calibri"/>
                <w:color w:val="FFFFFF"/>
                <w:sz w:val="17"/>
                <w:szCs w:val="17"/>
                <w:lang w:val="en-AU" w:eastAsia="en-AU"/>
              </w:rPr>
              <w:br/>
              <w:t>2022-23 to 2026-27</w:t>
            </w:r>
          </w:p>
        </w:tc>
      </w:tr>
      <w:tr w:rsidR="00281971" w:rsidRPr="00281971" w14:paraId="4B401BCD" w14:textId="77777777" w:rsidTr="00F2266A">
        <w:trPr>
          <w:trHeight w:val="227"/>
        </w:trPr>
        <w:tc>
          <w:tcPr>
            <w:tcW w:w="2694" w:type="dxa"/>
            <w:tcBorders>
              <w:top w:val="nil"/>
              <w:left w:val="nil"/>
              <w:bottom w:val="nil"/>
              <w:right w:val="nil"/>
            </w:tcBorders>
            <w:shd w:val="clear" w:color="000000" w:fill="EBEBEB"/>
            <w:vAlign w:val="center"/>
            <w:hideMark/>
          </w:tcPr>
          <w:p w14:paraId="100B987A" w14:textId="77777777" w:rsidR="00281971" w:rsidRPr="00281971" w:rsidRDefault="00281971" w:rsidP="00281971">
            <w:pPr>
              <w:jc w:val="center"/>
              <w:rPr>
                <w:rFonts w:ascii="Public Sans" w:hAnsi="Public Sans" w:cs="Calibri"/>
                <w:i/>
                <w:iCs/>
                <w:color w:val="000000"/>
                <w:sz w:val="16"/>
                <w:szCs w:val="16"/>
                <w:lang w:val="en-AU" w:eastAsia="en-AU"/>
              </w:rPr>
            </w:pPr>
            <w:r w:rsidRPr="00281971">
              <w:rPr>
                <w:rFonts w:ascii="Public Sans" w:hAnsi="Public Sans" w:cs="Calibri"/>
                <w:i/>
                <w:iCs/>
                <w:color w:val="000000"/>
                <w:sz w:val="16"/>
                <w:szCs w:val="16"/>
                <w:lang w:val="en-AU" w:eastAsia="en-AU"/>
              </w:rPr>
              <w:t> </w:t>
            </w:r>
          </w:p>
        </w:tc>
        <w:tc>
          <w:tcPr>
            <w:tcW w:w="960" w:type="dxa"/>
            <w:tcBorders>
              <w:top w:val="nil"/>
              <w:left w:val="nil"/>
              <w:bottom w:val="nil"/>
              <w:right w:val="nil"/>
            </w:tcBorders>
            <w:shd w:val="clear" w:color="000000" w:fill="EBEBEB"/>
            <w:vAlign w:val="center"/>
            <w:hideMark/>
          </w:tcPr>
          <w:p w14:paraId="27E5330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Actual</w:t>
            </w:r>
          </w:p>
        </w:tc>
        <w:tc>
          <w:tcPr>
            <w:tcW w:w="960" w:type="dxa"/>
            <w:tcBorders>
              <w:top w:val="nil"/>
              <w:left w:val="nil"/>
              <w:bottom w:val="nil"/>
              <w:right w:val="nil"/>
            </w:tcBorders>
            <w:shd w:val="clear" w:color="000000" w:fill="EBEBEB"/>
            <w:vAlign w:val="center"/>
            <w:hideMark/>
          </w:tcPr>
          <w:p w14:paraId="1EE42C14"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Est. Actual</w:t>
            </w:r>
          </w:p>
        </w:tc>
        <w:tc>
          <w:tcPr>
            <w:tcW w:w="960" w:type="dxa"/>
            <w:tcBorders>
              <w:top w:val="nil"/>
              <w:left w:val="nil"/>
              <w:bottom w:val="nil"/>
              <w:right w:val="nil"/>
            </w:tcBorders>
            <w:shd w:val="clear" w:color="000000" w:fill="EBEBEB"/>
            <w:vAlign w:val="center"/>
            <w:hideMark/>
          </w:tcPr>
          <w:p w14:paraId="327BB124"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Budget</w:t>
            </w:r>
          </w:p>
        </w:tc>
        <w:tc>
          <w:tcPr>
            <w:tcW w:w="2880" w:type="dxa"/>
            <w:gridSpan w:val="3"/>
            <w:tcBorders>
              <w:top w:val="nil"/>
              <w:left w:val="nil"/>
              <w:bottom w:val="nil"/>
              <w:right w:val="nil"/>
            </w:tcBorders>
            <w:shd w:val="clear" w:color="000000" w:fill="EBEBEB"/>
            <w:vAlign w:val="center"/>
            <w:hideMark/>
          </w:tcPr>
          <w:p w14:paraId="4E477C8E"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Forward estimates</w:t>
            </w:r>
          </w:p>
        </w:tc>
        <w:tc>
          <w:tcPr>
            <w:tcW w:w="1340" w:type="dxa"/>
            <w:vMerge/>
            <w:tcBorders>
              <w:top w:val="nil"/>
              <w:left w:val="nil"/>
              <w:bottom w:val="nil"/>
              <w:right w:val="nil"/>
            </w:tcBorders>
            <w:vAlign w:val="center"/>
            <w:hideMark/>
          </w:tcPr>
          <w:p w14:paraId="2782428E" w14:textId="77777777" w:rsidR="00281971" w:rsidRPr="00281971" w:rsidRDefault="00281971" w:rsidP="00281971">
            <w:pPr>
              <w:rPr>
                <w:rFonts w:ascii="Public Sans" w:hAnsi="Public Sans" w:cs="Calibri"/>
                <w:color w:val="FFFFFF"/>
                <w:sz w:val="16"/>
                <w:szCs w:val="16"/>
                <w:lang w:val="en-AU" w:eastAsia="en-AU"/>
              </w:rPr>
            </w:pPr>
          </w:p>
        </w:tc>
      </w:tr>
      <w:tr w:rsidR="00281971" w:rsidRPr="00281971" w14:paraId="72FE327E" w14:textId="77777777" w:rsidTr="00F2266A">
        <w:trPr>
          <w:trHeight w:val="285"/>
        </w:trPr>
        <w:tc>
          <w:tcPr>
            <w:tcW w:w="2694" w:type="dxa"/>
            <w:tcBorders>
              <w:top w:val="nil"/>
              <w:left w:val="nil"/>
              <w:bottom w:val="nil"/>
              <w:right w:val="nil"/>
            </w:tcBorders>
            <w:shd w:val="clear" w:color="000000" w:fill="EBEBEB"/>
            <w:vAlign w:val="center"/>
            <w:hideMark/>
          </w:tcPr>
          <w:p w14:paraId="7577559F" w14:textId="77777777" w:rsidR="00281971" w:rsidRPr="00281971" w:rsidRDefault="00281971" w:rsidP="00281971">
            <w:pPr>
              <w:jc w:val="center"/>
              <w:rPr>
                <w:rFonts w:ascii="Public Sans" w:hAnsi="Public Sans" w:cs="Calibri"/>
                <w:i/>
                <w:iCs/>
                <w:color w:val="000000"/>
                <w:sz w:val="16"/>
                <w:szCs w:val="16"/>
                <w:lang w:val="en-AU" w:eastAsia="en-AU"/>
              </w:rPr>
            </w:pPr>
            <w:r w:rsidRPr="00281971">
              <w:rPr>
                <w:rFonts w:ascii="Public Sans" w:hAnsi="Public Sans" w:cs="Calibri"/>
                <w:i/>
                <w:iCs/>
                <w:color w:val="000000"/>
                <w:sz w:val="16"/>
                <w:szCs w:val="16"/>
                <w:lang w:val="en-AU" w:eastAsia="en-AU"/>
              </w:rPr>
              <w:t> </w:t>
            </w:r>
          </w:p>
        </w:tc>
        <w:tc>
          <w:tcPr>
            <w:tcW w:w="960" w:type="dxa"/>
            <w:tcBorders>
              <w:top w:val="nil"/>
              <w:left w:val="nil"/>
              <w:bottom w:val="nil"/>
              <w:right w:val="nil"/>
            </w:tcBorders>
            <w:shd w:val="clear" w:color="000000" w:fill="EBEBEB"/>
            <w:hideMark/>
          </w:tcPr>
          <w:p w14:paraId="7E1C9FE8"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2B2F7DE5"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57FD8259"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337E671A"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134610F6"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02056FE8"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1340" w:type="dxa"/>
            <w:vMerge/>
            <w:tcBorders>
              <w:top w:val="nil"/>
              <w:left w:val="nil"/>
              <w:bottom w:val="nil"/>
              <w:right w:val="nil"/>
            </w:tcBorders>
            <w:vAlign w:val="center"/>
            <w:hideMark/>
          </w:tcPr>
          <w:p w14:paraId="25A2D626" w14:textId="77777777" w:rsidR="00281971" w:rsidRPr="00281971" w:rsidRDefault="00281971" w:rsidP="00281971">
            <w:pPr>
              <w:rPr>
                <w:rFonts w:ascii="Public Sans" w:hAnsi="Public Sans" w:cs="Calibri"/>
                <w:color w:val="FFFFFF"/>
                <w:sz w:val="16"/>
                <w:szCs w:val="16"/>
                <w:lang w:val="en-AU" w:eastAsia="en-AU"/>
              </w:rPr>
            </w:pPr>
          </w:p>
        </w:tc>
      </w:tr>
      <w:tr w:rsidR="00281971" w:rsidRPr="00281971" w14:paraId="79606474" w14:textId="77777777" w:rsidTr="00F2266A">
        <w:trPr>
          <w:trHeight w:val="240"/>
        </w:trPr>
        <w:tc>
          <w:tcPr>
            <w:tcW w:w="2694" w:type="dxa"/>
            <w:tcBorders>
              <w:top w:val="nil"/>
              <w:left w:val="nil"/>
              <w:bottom w:val="nil"/>
              <w:right w:val="nil"/>
            </w:tcBorders>
            <w:shd w:val="clear" w:color="000000" w:fill="FFFFFF"/>
            <w:vAlign w:val="center"/>
            <w:hideMark/>
          </w:tcPr>
          <w:p w14:paraId="1CE3EF95"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Transport</w:t>
            </w:r>
          </w:p>
        </w:tc>
        <w:tc>
          <w:tcPr>
            <w:tcW w:w="960" w:type="dxa"/>
            <w:tcBorders>
              <w:top w:val="nil"/>
              <w:left w:val="nil"/>
              <w:bottom w:val="nil"/>
              <w:right w:val="nil"/>
            </w:tcBorders>
            <w:shd w:val="clear" w:color="000000" w:fill="FFFFFF"/>
            <w:noWrap/>
            <w:vAlign w:val="center"/>
            <w:hideMark/>
          </w:tcPr>
          <w:p w14:paraId="6F6AD881"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1,837</w:t>
            </w:r>
          </w:p>
        </w:tc>
        <w:tc>
          <w:tcPr>
            <w:tcW w:w="960" w:type="dxa"/>
            <w:tcBorders>
              <w:top w:val="nil"/>
              <w:left w:val="nil"/>
              <w:bottom w:val="nil"/>
              <w:right w:val="nil"/>
            </w:tcBorders>
            <w:shd w:val="clear" w:color="000000" w:fill="FFFFFF"/>
            <w:noWrap/>
            <w:vAlign w:val="center"/>
            <w:hideMark/>
          </w:tcPr>
          <w:p w14:paraId="7100C199"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2,522</w:t>
            </w:r>
          </w:p>
        </w:tc>
        <w:tc>
          <w:tcPr>
            <w:tcW w:w="960" w:type="dxa"/>
            <w:tcBorders>
              <w:top w:val="nil"/>
              <w:left w:val="nil"/>
              <w:bottom w:val="nil"/>
              <w:right w:val="nil"/>
            </w:tcBorders>
            <w:shd w:val="clear" w:color="000000" w:fill="F2F2F2"/>
            <w:noWrap/>
            <w:vAlign w:val="center"/>
            <w:hideMark/>
          </w:tcPr>
          <w:p w14:paraId="45100AC9"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3,773</w:t>
            </w:r>
          </w:p>
        </w:tc>
        <w:tc>
          <w:tcPr>
            <w:tcW w:w="960" w:type="dxa"/>
            <w:tcBorders>
              <w:top w:val="nil"/>
              <w:left w:val="nil"/>
              <w:bottom w:val="nil"/>
              <w:right w:val="nil"/>
            </w:tcBorders>
            <w:shd w:val="clear" w:color="000000" w:fill="F2F2F2"/>
            <w:noWrap/>
            <w:vAlign w:val="center"/>
            <w:hideMark/>
          </w:tcPr>
          <w:p w14:paraId="137A92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4,457</w:t>
            </w:r>
          </w:p>
        </w:tc>
        <w:tc>
          <w:tcPr>
            <w:tcW w:w="960" w:type="dxa"/>
            <w:tcBorders>
              <w:top w:val="nil"/>
              <w:left w:val="nil"/>
              <w:bottom w:val="nil"/>
              <w:right w:val="nil"/>
            </w:tcBorders>
            <w:shd w:val="clear" w:color="000000" w:fill="F2F2F2"/>
            <w:noWrap/>
            <w:vAlign w:val="center"/>
            <w:hideMark/>
          </w:tcPr>
          <w:p w14:paraId="605D498F"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3,473</w:t>
            </w:r>
          </w:p>
        </w:tc>
        <w:tc>
          <w:tcPr>
            <w:tcW w:w="960" w:type="dxa"/>
            <w:tcBorders>
              <w:top w:val="nil"/>
              <w:left w:val="nil"/>
              <w:bottom w:val="nil"/>
              <w:right w:val="nil"/>
            </w:tcBorders>
            <w:shd w:val="clear" w:color="000000" w:fill="F2F2F2"/>
            <w:noWrap/>
            <w:vAlign w:val="center"/>
            <w:hideMark/>
          </w:tcPr>
          <w:p w14:paraId="75DBE36A"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2,955</w:t>
            </w:r>
          </w:p>
        </w:tc>
        <w:tc>
          <w:tcPr>
            <w:tcW w:w="1340" w:type="dxa"/>
            <w:tcBorders>
              <w:top w:val="nil"/>
              <w:left w:val="nil"/>
              <w:bottom w:val="nil"/>
              <w:right w:val="nil"/>
            </w:tcBorders>
            <w:shd w:val="clear" w:color="000000" w:fill="FFFFFF"/>
            <w:vAlign w:val="bottom"/>
            <w:hideMark/>
          </w:tcPr>
          <w:p w14:paraId="0FB04C00"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4.0</w:t>
            </w:r>
          </w:p>
        </w:tc>
      </w:tr>
      <w:tr w:rsidR="00281971" w:rsidRPr="00281971" w14:paraId="26B3B55C" w14:textId="77777777" w:rsidTr="00F2266A">
        <w:trPr>
          <w:trHeight w:val="240"/>
        </w:trPr>
        <w:tc>
          <w:tcPr>
            <w:tcW w:w="2694" w:type="dxa"/>
            <w:tcBorders>
              <w:top w:val="nil"/>
              <w:left w:val="nil"/>
              <w:bottom w:val="nil"/>
              <w:right w:val="nil"/>
            </w:tcBorders>
            <w:shd w:val="clear" w:color="000000" w:fill="FFFFFF"/>
            <w:vAlign w:val="center"/>
            <w:hideMark/>
          </w:tcPr>
          <w:p w14:paraId="01FAA8C9"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Education and skills</w:t>
            </w:r>
          </w:p>
        </w:tc>
        <w:tc>
          <w:tcPr>
            <w:tcW w:w="960" w:type="dxa"/>
            <w:tcBorders>
              <w:top w:val="nil"/>
              <w:left w:val="nil"/>
              <w:bottom w:val="nil"/>
              <w:right w:val="nil"/>
            </w:tcBorders>
            <w:shd w:val="clear" w:color="000000" w:fill="FFFFFF"/>
            <w:noWrap/>
            <w:vAlign w:val="center"/>
            <w:hideMark/>
          </w:tcPr>
          <w:p w14:paraId="0829D73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231</w:t>
            </w:r>
          </w:p>
        </w:tc>
        <w:tc>
          <w:tcPr>
            <w:tcW w:w="960" w:type="dxa"/>
            <w:tcBorders>
              <w:top w:val="nil"/>
              <w:left w:val="nil"/>
              <w:bottom w:val="nil"/>
              <w:right w:val="nil"/>
            </w:tcBorders>
            <w:shd w:val="clear" w:color="000000" w:fill="FFFFFF"/>
            <w:noWrap/>
            <w:vAlign w:val="center"/>
            <w:hideMark/>
          </w:tcPr>
          <w:p w14:paraId="48319180"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264</w:t>
            </w:r>
          </w:p>
        </w:tc>
        <w:tc>
          <w:tcPr>
            <w:tcW w:w="960" w:type="dxa"/>
            <w:tcBorders>
              <w:top w:val="nil"/>
              <w:left w:val="nil"/>
              <w:bottom w:val="nil"/>
              <w:right w:val="nil"/>
            </w:tcBorders>
            <w:shd w:val="clear" w:color="000000" w:fill="F2F2F2"/>
            <w:noWrap/>
            <w:vAlign w:val="center"/>
            <w:hideMark/>
          </w:tcPr>
          <w:p w14:paraId="30A7C16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196</w:t>
            </w:r>
          </w:p>
        </w:tc>
        <w:tc>
          <w:tcPr>
            <w:tcW w:w="960" w:type="dxa"/>
            <w:tcBorders>
              <w:top w:val="nil"/>
              <w:left w:val="nil"/>
              <w:bottom w:val="nil"/>
              <w:right w:val="nil"/>
            </w:tcBorders>
            <w:shd w:val="clear" w:color="000000" w:fill="F2F2F2"/>
            <w:noWrap/>
            <w:vAlign w:val="center"/>
            <w:hideMark/>
          </w:tcPr>
          <w:p w14:paraId="2EB30B72"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153</w:t>
            </w:r>
          </w:p>
        </w:tc>
        <w:tc>
          <w:tcPr>
            <w:tcW w:w="960" w:type="dxa"/>
            <w:tcBorders>
              <w:top w:val="nil"/>
              <w:left w:val="nil"/>
              <w:bottom w:val="nil"/>
              <w:right w:val="nil"/>
            </w:tcBorders>
            <w:shd w:val="clear" w:color="000000" w:fill="F2F2F2"/>
            <w:noWrap/>
            <w:vAlign w:val="center"/>
            <w:hideMark/>
          </w:tcPr>
          <w:p w14:paraId="25CAE06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111</w:t>
            </w:r>
          </w:p>
        </w:tc>
        <w:tc>
          <w:tcPr>
            <w:tcW w:w="960" w:type="dxa"/>
            <w:tcBorders>
              <w:top w:val="nil"/>
              <w:left w:val="nil"/>
              <w:bottom w:val="nil"/>
              <w:right w:val="nil"/>
            </w:tcBorders>
            <w:shd w:val="clear" w:color="000000" w:fill="F2F2F2"/>
            <w:noWrap/>
            <w:vAlign w:val="center"/>
            <w:hideMark/>
          </w:tcPr>
          <w:p w14:paraId="730F3D3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11</w:t>
            </w:r>
          </w:p>
        </w:tc>
        <w:tc>
          <w:tcPr>
            <w:tcW w:w="1340" w:type="dxa"/>
            <w:tcBorders>
              <w:top w:val="nil"/>
              <w:left w:val="nil"/>
              <w:bottom w:val="nil"/>
              <w:right w:val="nil"/>
            </w:tcBorders>
            <w:shd w:val="clear" w:color="000000" w:fill="FFFFFF"/>
            <w:vAlign w:val="bottom"/>
            <w:hideMark/>
          </w:tcPr>
          <w:p w14:paraId="2AAC1523"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(54.5)</w:t>
            </w:r>
          </w:p>
        </w:tc>
      </w:tr>
      <w:tr w:rsidR="00281971" w:rsidRPr="00281971" w14:paraId="29B23BD9" w14:textId="77777777" w:rsidTr="00F2266A">
        <w:trPr>
          <w:trHeight w:val="240"/>
        </w:trPr>
        <w:tc>
          <w:tcPr>
            <w:tcW w:w="2694" w:type="dxa"/>
            <w:tcBorders>
              <w:top w:val="nil"/>
              <w:left w:val="nil"/>
              <w:bottom w:val="nil"/>
              <w:right w:val="nil"/>
            </w:tcBorders>
            <w:shd w:val="clear" w:color="000000" w:fill="FFFFFF"/>
            <w:vAlign w:val="center"/>
            <w:hideMark/>
          </w:tcPr>
          <w:p w14:paraId="57415580"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Disability</w:t>
            </w:r>
          </w:p>
        </w:tc>
        <w:tc>
          <w:tcPr>
            <w:tcW w:w="960" w:type="dxa"/>
            <w:tcBorders>
              <w:top w:val="nil"/>
              <w:left w:val="nil"/>
              <w:bottom w:val="nil"/>
              <w:right w:val="nil"/>
            </w:tcBorders>
            <w:shd w:val="clear" w:color="000000" w:fill="FFFFFF"/>
            <w:noWrap/>
            <w:vAlign w:val="center"/>
            <w:hideMark/>
          </w:tcPr>
          <w:p w14:paraId="0079E97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630</w:t>
            </w:r>
          </w:p>
        </w:tc>
        <w:tc>
          <w:tcPr>
            <w:tcW w:w="960" w:type="dxa"/>
            <w:tcBorders>
              <w:top w:val="nil"/>
              <w:left w:val="nil"/>
              <w:bottom w:val="nil"/>
              <w:right w:val="nil"/>
            </w:tcBorders>
            <w:shd w:val="clear" w:color="000000" w:fill="FFFFFF"/>
            <w:noWrap/>
            <w:vAlign w:val="center"/>
            <w:hideMark/>
          </w:tcPr>
          <w:p w14:paraId="5FFF400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350</w:t>
            </w:r>
          </w:p>
        </w:tc>
        <w:tc>
          <w:tcPr>
            <w:tcW w:w="960" w:type="dxa"/>
            <w:tcBorders>
              <w:top w:val="nil"/>
              <w:left w:val="nil"/>
              <w:bottom w:val="nil"/>
              <w:right w:val="nil"/>
            </w:tcBorders>
            <w:shd w:val="clear" w:color="000000" w:fill="F2F2F2"/>
            <w:noWrap/>
            <w:vAlign w:val="center"/>
            <w:hideMark/>
          </w:tcPr>
          <w:p w14:paraId="5E47D0F7"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362</w:t>
            </w:r>
          </w:p>
        </w:tc>
        <w:tc>
          <w:tcPr>
            <w:tcW w:w="960" w:type="dxa"/>
            <w:tcBorders>
              <w:top w:val="nil"/>
              <w:left w:val="nil"/>
              <w:bottom w:val="nil"/>
              <w:right w:val="nil"/>
            </w:tcBorders>
            <w:shd w:val="clear" w:color="000000" w:fill="F2F2F2"/>
            <w:noWrap/>
            <w:vAlign w:val="center"/>
            <w:hideMark/>
          </w:tcPr>
          <w:p w14:paraId="04286E2C"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w:t>
            </w:r>
          </w:p>
        </w:tc>
        <w:tc>
          <w:tcPr>
            <w:tcW w:w="960" w:type="dxa"/>
            <w:tcBorders>
              <w:top w:val="nil"/>
              <w:left w:val="nil"/>
              <w:bottom w:val="nil"/>
              <w:right w:val="nil"/>
            </w:tcBorders>
            <w:shd w:val="clear" w:color="000000" w:fill="F2F2F2"/>
            <w:noWrap/>
            <w:vAlign w:val="center"/>
            <w:hideMark/>
          </w:tcPr>
          <w:p w14:paraId="1E174AA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w:t>
            </w:r>
          </w:p>
        </w:tc>
        <w:tc>
          <w:tcPr>
            <w:tcW w:w="960" w:type="dxa"/>
            <w:tcBorders>
              <w:top w:val="nil"/>
              <w:left w:val="nil"/>
              <w:bottom w:val="nil"/>
              <w:right w:val="nil"/>
            </w:tcBorders>
            <w:shd w:val="clear" w:color="000000" w:fill="F2F2F2"/>
            <w:noWrap/>
            <w:vAlign w:val="center"/>
            <w:hideMark/>
          </w:tcPr>
          <w:p w14:paraId="7E98ADA1"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w:t>
            </w:r>
          </w:p>
        </w:tc>
        <w:tc>
          <w:tcPr>
            <w:tcW w:w="1340" w:type="dxa"/>
            <w:tcBorders>
              <w:top w:val="nil"/>
              <w:left w:val="nil"/>
              <w:bottom w:val="nil"/>
              <w:right w:val="nil"/>
            </w:tcBorders>
            <w:shd w:val="clear" w:color="000000" w:fill="FFFFFF"/>
            <w:vAlign w:val="bottom"/>
            <w:hideMark/>
          </w:tcPr>
          <w:p w14:paraId="4249F113"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(100.0)</w:t>
            </w:r>
          </w:p>
        </w:tc>
      </w:tr>
      <w:tr w:rsidR="00281971" w:rsidRPr="00281971" w14:paraId="7104BBBA" w14:textId="77777777" w:rsidTr="00F2266A">
        <w:trPr>
          <w:trHeight w:val="240"/>
        </w:trPr>
        <w:tc>
          <w:tcPr>
            <w:tcW w:w="2694" w:type="dxa"/>
            <w:tcBorders>
              <w:top w:val="nil"/>
              <w:left w:val="nil"/>
              <w:bottom w:val="nil"/>
              <w:right w:val="nil"/>
            </w:tcBorders>
            <w:shd w:val="clear" w:color="000000" w:fill="FFFFFF"/>
            <w:vAlign w:val="center"/>
            <w:hideMark/>
          </w:tcPr>
          <w:p w14:paraId="35AEB46C"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Health</w:t>
            </w:r>
          </w:p>
        </w:tc>
        <w:tc>
          <w:tcPr>
            <w:tcW w:w="960" w:type="dxa"/>
            <w:tcBorders>
              <w:top w:val="nil"/>
              <w:left w:val="nil"/>
              <w:bottom w:val="nil"/>
              <w:right w:val="nil"/>
            </w:tcBorders>
            <w:shd w:val="clear" w:color="000000" w:fill="FFFFFF"/>
            <w:noWrap/>
            <w:vAlign w:val="center"/>
            <w:hideMark/>
          </w:tcPr>
          <w:p w14:paraId="0A4C5CB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2,316</w:t>
            </w:r>
          </w:p>
        </w:tc>
        <w:tc>
          <w:tcPr>
            <w:tcW w:w="960" w:type="dxa"/>
            <w:tcBorders>
              <w:top w:val="nil"/>
              <w:left w:val="nil"/>
              <w:bottom w:val="nil"/>
              <w:right w:val="nil"/>
            </w:tcBorders>
            <w:shd w:val="clear" w:color="000000" w:fill="FFFFFF"/>
            <w:noWrap/>
            <w:vAlign w:val="center"/>
            <w:hideMark/>
          </w:tcPr>
          <w:p w14:paraId="2E8E9F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142</w:t>
            </w:r>
          </w:p>
        </w:tc>
        <w:tc>
          <w:tcPr>
            <w:tcW w:w="960" w:type="dxa"/>
            <w:tcBorders>
              <w:top w:val="nil"/>
              <w:left w:val="nil"/>
              <w:bottom w:val="nil"/>
              <w:right w:val="nil"/>
            </w:tcBorders>
            <w:shd w:val="clear" w:color="000000" w:fill="F2F2F2"/>
            <w:noWrap/>
            <w:vAlign w:val="center"/>
            <w:hideMark/>
          </w:tcPr>
          <w:p w14:paraId="30940BA1"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148</w:t>
            </w:r>
          </w:p>
        </w:tc>
        <w:tc>
          <w:tcPr>
            <w:tcW w:w="960" w:type="dxa"/>
            <w:tcBorders>
              <w:top w:val="nil"/>
              <w:left w:val="nil"/>
              <w:bottom w:val="nil"/>
              <w:right w:val="nil"/>
            </w:tcBorders>
            <w:shd w:val="clear" w:color="000000" w:fill="F2F2F2"/>
            <w:noWrap/>
            <w:vAlign w:val="center"/>
            <w:hideMark/>
          </w:tcPr>
          <w:p w14:paraId="3A8EE8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202</w:t>
            </w:r>
          </w:p>
        </w:tc>
        <w:tc>
          <w:tcPr>
            <w:tcW w:w="960" w:type="dxa"/>
            <w:tcBorders>
              <w:top w:val="nil"/>
              <w:left w:val="nil"/>
              <w:bottom w:val="nil"/>
              <w:right w:val="nil"/>
            </w:tcBorders>
            <w:shd w:val="clear" w:color="000000" w:fill="F2F2F2"/>
            <w:noWrap/>
            <w:vAlign w:val="center"/>
            <w:hideMark/>
          </w:tcPr>
          <w:p w14:paraId="178499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15</w:t>
            </w:r>
          </w:p>
        </w:tc>
        <w:tc>
          <w:tcPr>
            <w:tcW w:w="960" w:type="dxa"/>
            <w:tcBorders>
              <w:top w:val="nil"/>
              <w:left w:val="nil"/>
              <w:bottom w:val="nil"/>
              <w:right w:val="nil"/>
            </w:tcBorders>
            <w:shd w:val="clear" w:color="000000" w:fill="F2F2F2"/>
            <w:noWrap/>
            <w:vAlign w:val="center"/>
            <w:hideMark/>
          </w:tcPr>
          <w:p w14:paraId="550BE9FD"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w:t>
            </w:r>
          </w:p>
        </w:tc>
        <w:tc>
          <w:tcPr>
            <w:tcW w:w="1340" w:type="dxa"/>
            <w:tcBorders>
              <w:top w:val="nil"/>
              <w:left w:val="nil"/>
              <w:bottom w:val="nil"/>
              <w:right w:val="nil"/>
            </w:tcBorders>
            <w:shd w:val="clear" w:color="000000" w:fill="FFFFFF"/>
            <w:vAlign w:val="bottom"/>
            <w:hideMark/>
          </w:tcPr>
          <w:p w14:paraId="451C7D6E"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(61.4)</w:t>
            </w:r>
          </w:p>
        </w:tc>
      </w:tr>
      <w:tr w:rsidR="00281971" w:rsidRPr="00281971" w14:paraId="4BE2C26C" w14:textId="77777777" w:rsidTr="00F2266A">
        <w:trPr>
          <w:trHeight w:val="240"/>
        </w:trPr>
        <w:tc>
          <w:tcPr>
            <w:tcW w:w="2694" w:type="dxa"/>
            <w:tcBorders>
              <w:top w:val="nil"/>
              <w:left w:val="nil"/>
              <w:bottom w:val="nil"/>
              <w:right w:val="nil"/>
            </w:tcBorders>
            <w:shd w:val="clear" w:color="000000" w:fill="FFFFFF"/>
            <w:vAlign w:val="center"/>
            <w:hideMark/>
          </w:tcPr>
          <w:p w14:paraId="5E8DC877"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Environment</w:t>
            </w:r>
          </w:p>
        </w:tc>
        <w:tc>
          <w:tcPr>
            <w:tcW w:w="960" w:type="dxa"/>
            <w:tcBorders>
              <w:top w:val="nil"/>
              <w:left w:val="nil"/>
              <w:bottom w:val="nil"/>
              <w:right w:val="nil"/>
            </w:tcBorders>
            <w:shd w:val="clear" w:color="000000" w:fill="FFFFFF"/>
            <w:noWrap/>
            <w:vAlign w:val="center"/>
            <w:hideMark/>
          </w:tcPr>
          <w:p w14:paraId="0050547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221</w:t>
            </w:r>
          </w:p>
        </w:tc>
        <w:tc>
          <w:tcPr>
            <w:tcW w:w="960" w:type="dxa"/>
            <w:tcBorders>
              <w:top w:val="nil"/>
              <w:left w:val="nil"/>
              <w:bottom w:val="nil"/>
              <w:right w:val="nil"/>
            </w:tcBorders>
            <w:shd w:val="clear" w:color="000000" w:fill="FFFFFF"/>
            <w:noWrap/>
            <w:vAlign w:val="center"/>
            <w:hideMark/>
          </w:tcPr>
          <w:p w14:paraId="24C483BD"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1,309</w:t>
            </w:r>
          </w:p>
        </w:tc>
        <w:tc>
          <w:tcPr>
            <w:tcW w:w="960" w:type="dxa"/>
            <w:tcBorders>
              <w:top w:val="nil"/>
              <w:left w:val="nil"/>
              <w:bottom w:val="nil"/>
              <w:right w:val="nil"/>
            </w:tcBorders>
            <w:shd w:val="clear" w:color="000000" w:fill="F2F2F2"/>
            <w:noWrap/>
            <w:vAlign w:val="center"/>
            <w:hideMark/>
          </w:tcPr>
          <w:p w14:paraId="21FEB9D6"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924</w:t>
            </w:r>
          </w:p>
        </w:tc>
        <w:tc>
          <w:tcPr>
            <w:tcW w:w="960" w:type="dxa"/>
            <w:tcBorders>
              <w:top w:val="nil"/>
              <w:left w:val="nil"/>
              <w:bottom w:val="nil"/>
              <w:right w:val="nil"/>
            </w:tcBorders>
            <w:shd w:val="clear" w:color="000000" w:fill="F2F2F2"/>
            <w:noWrap/>
            <w:vAlign w:val="center"/>
            <w:hideMark/>
          </w:tcPr>
          <w:p w14:paraId="442C163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1,005</w:t>
            </w:r>
          </w:p>
        </w:tc>
        <w:tc>
          <w:tcPr>
            <w:tcW w:w="960" w:type="dxa"/>
            <w:tcBorders>
              <w:top w:val="nil"/>
              <w:left w:val="nil"/>
              <w:bottom w:val="nil"/>
              <w:right w:val="nil"/>
            </w:tcBorders>
            <w:shd w:val="clear" w:color="000000" w:fill="F2F2F2"/>
            <w:noWrap/>
            <w:vAlign w:val="center"/>
            <w:hideMark/>
          </w:tcPr>
          <w:p w14:paraId="6A5E17A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1,345</w:t>
            </w:r>
          </w:p>
        </w:tc>
        <w:tc>
          <w:tcPr>
            <w:tcW w:w="960" w:type="dxa"/>
            <w:tcBorders>
              <w:top w:val="nil"/>
              <w:left w:val="nil"/>
              <w:bottom w:val="nil"/>
              <w:right w:val="nil"/>
            </w:tcBorders>
            <w:shd w:val="clear" w:color="000000" w:fill="F2F2F2"/>
            <w:noWrap/>
            <w:vAlign w:val="center"/>
            <w:hideMark/>
          </w:tcPr>
          <w:p w14:paraId="36BE0DF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224</w:t>
            </w:r>
          </w:p>
        </w:tc>
        <w:tc>
          <w:tcPr>
            <w:tcW w:w="1340" w:type="dxa"/>
            <w:tcBorders>
              <w:top w:val="nil"/>
              <w:left w:val="nil"/>
              <w:bottom w:val="nil"/>
              <w:right w:val="nil"/>
            </w:tcBorders>
            <w:shd w:val="clear" w:color="000000" w:fill="FFFFFF"/>
            <w:vAlign w:val="bottom"/>
            <w:hideMark/>
          </w:tcPr>
          <w:p w14:paraId="342A0A88"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(35.7)</w:t>
            </w:r>
          </w:p>
        </w:tc>
      </w:tr>
      <w:tr w:rsidR="00281971" w:rsidRPr="00281971" w14:paraId="52A3580D" w14:textId="77777777" w:rsidTr="00F2266A">
        <w:trPr>
          <w:trHeight w:val="240"/>
        </w:trPr>
        <w:tc>
          <w:tcPr>
            <w:tcW w:w="2694" w:type="dxa"/>
            <w:tcBorders>
              <w:top w:val="nil"/>
              <w:left w:val="nil"/>
              <w:bottom w:val="nil"/>
              <w:right w:val="nil"/>
            </w:tcBorders>
            <w:shd w:val="clear" w:color="000000" w:fill="FFFFFF"/>
            <w:vAlign w:val="center"/>
            <w:hideMark/>
          </w:tcPr>
          <w:p w14:paraId="554979DB"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Other</w:t>
            </w:r>
          </w:p>
        </w:tc>
        <w:tc>
          <w:tcPr>
            <w:tcW w:w="960" w:type="dxa"/>
            <w:tcBorders>
              <w:top w:val="nil"/>
              <w:left w:val="nil"/>
              <w:bottom w:val="nil"/>
              <w:right w:val="nil"/>
            </w:tcBorders>
            <w:shd w:val="clear" w:color="000000" w:fill="FFFFFF"/>
            <w:noWrap/>
            <w:vAlign w:val="center"/>
            <w:hideMark/>
          </w:tcPr>
          <w:p w14:paraId="7ED4B17A"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3,985</w:t>
            </w:r>
          </w:p>
        </w:tc>
        <w:tc>
          <w:tcPr>
            <w:tcW w:w="960" w:type="dxa"/>
            <w:tcBorders>
              <w:top w:val="nil"/>
              <w:left w:val="nil"/>
              <w:bottom w:val="nil"/>
              <w:right w:val="nil"/>
            </w:tcBorders>
            <w:shd w:val="clear" w:color="000000" w:fill="FFFFFF"/>
            <w:noWrap/>
            <w:vAlign w:val="center"/>
            <w:hideMark/>
          </w:tcPr>
          <w:p w14:paraId="40A99D3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1,250</w:t>
            </w:r>
          </w:p>
        </w:tc>
        <w:tc>
          <w:tcPr>
            <w:tcW w:w="960" w:type="dxa"/>
            <w:tcBorders>
              <w:top w:val="nil"/>
              <w:left w:val="nil"/>
              <w:bottom w:val="nil"/>
              <w:right w:val="nil"/>
            </w:tcBorders>
            <w:shd w:val="clear" w:color="000000" w:fill="F2F2F2"/>
            <w:noWrap/>
            <w:vAlign w:val="center"/>
            <w:hideMark/>
          </w:tcPr>
          <w:p w14:paraId="46021A2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875</w:t>
            </w:r>
          </w:p>
        </w:tc>
        <w:tc>
          <w:tcPr>
            <w:tcW w:w="960" w:type="dxa"/>
            <w:tcBorders>
              <w:top w:val="nil"/>
              <w:left w:val="nil"/>
              <w:bottom w:val="nil"/>
              <w:right w:val="nil"/>
            </w:tcBorders>
            <w:shd w:val="clear" w:color="000000" w:fill="F2F2F2"/>
            <w:noWrap/>
            <w:vAlign w:val="center"/>
            <w:hideMark/>
          </w:tcPr>
          <w:p w14:paraId="59B33B90"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537</w:t>
            </w:r>
          </w:p>
        </w:tc>
        <w:tc>
          <w:tcPr>
            <w:tcW w:w="960" w:type="dxa"/>
            <w:tcBorders>
              <w:top w:val="nil"/>
              <w:left w:val="nil"/>
              <w:bottom w:val="nil"/>
              <w:right w:val="nil"/>
            </w:tcBorders>
            <w:shd w:val="clear" w:color="000000" w:fill="F2F2F2"/>
            <w:noWrap/>
            <w:vAlign w:val="center"/>
            <w:hideMark/>
          </w:tcPr>
          <w:p w14:paraId="4C00EFE2"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399</w:t>
            </w:r>
          </w:p>
        </w:tc>
        <w:tc>
          <w:tcPr>
            <w:tcW w:w="960" w:type="dxa"/>
            <w:tcBorders>
              <w:top w:val="nil"/>
              <w:left w:val="nil"/>
              <w:bottom w:val="nil"/>
              <w:right w:val="nil"/>
            </w:tcBorders>
            <w:shd w:val="clear" w:color="000000" w:fill="F2F2F2"/>
            <w:noWrap/>
            <w:vAlign w:val="center"/>
            <w:hideMark/>
          </w:tcPr>
          <w:p w14:paraId="5AFF9282"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883</w:t>
            </w:r>
          </w:p>
        </w:tc>
        <w:tc>
          <w:tcPr>
            <w:tcW w:w="1340" w:type="dxa"/>
            <w:tcBorders>
              <w:top w:val="nil"/>
              <w:left w:val="nil"/>
              <w:bottom w:val="nil"/>
              <w:right w:val="nil"/>
            </w:tcBorders>
            <w:shd w:val="clear" w:color="000000" w:fill="FFFFFF"/>
            <w:vAlign w:val="bottom"/>
            <w:hideMark/>
          </w:tcPr>
          <w:p w14:paraId="19A4642A"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(8.3)</w:t>
            </w:r>
          </w:p>
        </w:tc>
      </w:tr>
      <w:tr w:rsidR="00281971" w:rsidRPr="00281971" w14:paraId="7A950F2A" w14:textId="77777777" w:rsidTr="00F2266A">
        <w:trPr>
          <w:trHeight w:val="351"/>
        </w:trPr>
        <w:tc>
          <w:tcPr>
            <w:tcW w:w="2694" w:type="dxa"/>
            <w:tcBorders>
              <w:top w:val="single" w:sz="4" w:space="0" w:color="auto"/>
              <w:left w:val="nil"/>
              <w:bottom w:val="single" w:sz="4" w:space="0" w:color="auto"/>
              <w:right w:val="nil"/>
            </w:tcBorders>
            <w:shd w:val="clear" w:color="000000" w:fill="FFFFFF"/>
            <w:vAlign w:val="center"/>
            <w:hideMark/>
          </w:tcPr>
          <w:p w14:paraId="5F75DEC9" w14:textId="1009E676" w:rsidR="00281971" w:rsidRPr="00281971" w:rsidRDefault="00281971" w:rsidP="00281971">
            <w:pPr>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 xml:space="preserve">Total Federation Funding </w:t>
            </w:r>
            <w:r w:rsidR="005262DF">
              <w:rPr>
                <w:rFonts w:ascii="Public Sans" w:hAnsi="Public Sans" w:cs="Calibri"/>
                <w:b/>
                <w:bCs/>
                <w:sz w:val="16"/>
                <w:szCs w:val="16"/>
                <w:lang w:val="en-AU" w:eastAsia="en-AU"/>
              </w:rPr>
              <w:br/>
              <w:t xml:space="preserve">  </w:t>
            </w:r>
            <w:r w:rsidRPr="00281971">
              <w:rPr>
                <w:rFonts w:ascii="Public Sans" w:hAnsi="Public Sans" w:cs="Calibri"/>
                <w:b/>
                <w:bCs/>
                <w:sz w:val="16"/>
                <w:szCs w:val="16"/>
                <w:lang w:val="en-AU" w:eastAsia="en-AU"/>
              </w:rPr>
              <w:t xml:space="preserve">Agreement payments </w:t>
            </w:r>
          </w:p>
        </w:tc>
        <w:tc>
          <w:tcPr>
            <w:tcW w:w="960" w:type="dxa"/>
            <w:tcBorders>
              <w:top w:val="single" w:sz="4" w:space="0" w:color="auto"/>
              <w:left w:val="nil"/>
              <w:bottom w:val="single" w:sz="4" w:space="0" w:color="auto"/>
              <w:right w:val="nil"/>
            </w:tcBorders>
            <w:shd w:val="clear" w:color="000000" w:fill="FFFFFF"/>
            <w:vAlign w:val="bottom"/>
            <w:hideMark/>
          </w:tcPr>
          <w:p w14:paraId="47F0ACB8"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9,220</w:t>
            </w:r>
          </w:p>
        </w:tc>
        <w:tc>
          <w:tcPr>
            <w:tcW w:w="960" w:type="dxa"/>
            <w:tcBorders>
              <w:top w:val="single" w:sz="4" w:space="0" w:color="auto"/>
              <w:left w:val="nil"/>
              <w:bottom w:val="single" w:sz="4" w:space="0" w:color="auto"/>
              <w:right w:val="nil"/>
            </w:tcBorders>
            <w:shd w:val="clear" w:color="000000" w:fill="FFFFFF"/>
            <w:vAlign w:val="bottom"/>
            <w:hideMark/>
          </w:tcPr>
          <w:p w14:paraId="771EF7AA"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5,837</w:t>
            </w:r>
          </w:p>
        </w:tc>
        <w:tc>
          <w:tcPr>
            <w:tcW w:w="960" w:type="dxa"/>
            <w:tcBorders>
              <w:top w:val="single" w:sz="4" w:space="0" w:color="auto"/>
              <w:left w:val="nil"/>
              <w:bottom w:val="single" w:sz="4" w:space="0" w:color="auto"/>
              <w:right w:val="nil"/>
            </w:tcBorders>
            <w:shd w:val="clear" w:color="000000" w:fill="F2F2F2"/>
            <w:vAlign w:val="bottom"/>
            <w:hideMark/>
          </w:tcPr>
          <w:p w14:paraId="7A103961"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6,279</w:t>
            </w:r>
          </w:p>
        </w:tc>
        <w:tc>
          <w:tcPr>
            <w:tcW w:w="960" w:type="dxa"/>
            <w:tcBorders>
              <w:top w:val="single" w:sz="4" w:space="0" w:color="auto"/>
              <w:left w:val="nil"/>
              <w:bottom w:val="single" w:sz="4" w:space="0" w:color="auto"/>
              <w:right w:val="nil"/>
            </w:tcBorders>
            <w:shd w:val="clear" w:color="000000" w:fill="F2F2F2"/>
            <w:vAlign w:val="bottom"/>
            <w:hideMark/>
          </w:tcPr>
          <w:p w14:paraId="5B762B8F"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6,354</w:t>
            </w:r>
          </w:p>
        </w:tc>
        <w:tc>
          <w:tcPr>
            <w:tcW w:w="960" w:type="dxa"/>
            <w:tcBorders>
              <w:top w:val="single" w:sz="4" w:space="0" w:color="auto"/>
              <w:left w:val="nil"/>
              <w:bottom w:val="single" w:sz="4" w:space="0" w:color="auto"/>
              <w:right w:val="nil"/>
            </w:tcBorders>
            <w:shd w:val="clear" w:color="000000" w:fill="F2F2F2"/>
            <w:vAlign w:val="bottom"/>
            <w:hideMark/>
          </w:tcPr>
          <w:p w14:paraId="5F71E763"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5,344</w:t>
            </w:r>
          </w:p>
        </w:tc>
        <w:tc>
          <w:tcPr>
            <w:tcW w:w="960" w:type="dxa"/>
            <w:tcBorders>
              <w:top w:val="single" w:sz="4" w:space="0" w:color="auto"/>
              <w:left w:val="nil"/>
              <w:bottom w:val="single" w:sz="4" w:space="0" w:color="auto"/>
              <w:right w:val="nil"/>
            </w:tcBorders>
            <w:shd w:val="clear" w:color="000000" w:fill="F2F2F2"/>
            <w:vAlign w:val="bottom"/>
            <w:hideMark/>
          </w:tcPr>
          <w:p w14:paraId="2FC6A405"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4,076</w:t>
            </w:r>
          </w:p>
        </w:tc>
        <w:tc>
          <w:tcPr>
            <w:tcW w:w="1340" w:type="dxa"/>
            <w:tcBorders>
              <w:top w:val="single" w:sz="4" w:space="0" w:color="auto"/>
              <w:left w:val="nil"/>
              <w:bottom w:val="single" w:sz="4" w:space="0" w:color="auto"/>
              <w:right w:val="nil"/>
            </w:tcBorders>
            <w:shd w:val="clear" w:color="000000" w:fill="FFFFFF"/>
            <w:vAlign w:val="bottom"/>
            <w:hideMark/>
          </w:tcPr>
          <w:p w14:paraId="728F3299" w14:textId="71EE1F95" w:rsidR="00281971" w:rsidRPr="00281971" w:rsidRDefault="00B647B3" w:rsidP="00B647B3">
            <w:pPr>
              <w:ind w:right="264"/>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281971" w:rsidRPr="00281971">
              <w:rPr>
                <w:rFonts w:ascii="Public Sans" w:hAnsi="Public Sans" w:cs="Calibri"/>
                <w:b/>
                <w:bCs/>
                <w:sz w:val="16"/>
                <w:szCs w:val="16"/>
                <w:lang w:val="en-AU" w:eastAsia="en-AU"/>
              </w:rPr>
              <w:t>8.6</w:t>
            </w:r>
            <w:r>
              <w:rPr>
                <w:rFonts w:ascii="Public Sans" w:hAnsi="Public Sans" w:cs="Calibri"/>
                <w:b/>
                <w:bCs/>
                <w:sz w:val="16"/>
                <w:szCs w:val="16"/>
                <w:lang w:val="en-AU" w:eastAsia="en-AU"/>
              </w:rPr>
              <w:t>)</w:t>
            </w:r>
          </w:p>
        </w:tc>
      </w:tr>
    </w:tbl>
    <w:p w14:paraId="128D99CD" w14:textId="77777777" w:rsidR="00391202" w:rsidRDefault="00391202" w:rsidP="000F7606"/>
    <w:tbl>
      <w:tblPr>
        <w:tblW w:w="9639" w:type="dxa"/>
        <w:shd w:val="pct5" w:color="auto" w:fill="FFFFFF" w:themeFill="background1"/>
        <w:tblLayout w:type="fixed"/>
        <w:tblCellMar>
          <w:left w:w="0" w:type="dxa"/>
          <w:right w:w="0" w:type="dxa"/>
        </w:tblCellMar>
        <w:tblLook w:val="04A0" w:firstRow="1" w:lastRow="0" w:firstColumn="1" w:lastColumn="0" w:noHBand="0" w:noVBand="1"/>
        <w:tblCaption w:val="Box 4.3: Social housing accelerator (Australian Government Grants)"/>
        <w:tblDescription w:val="Box 4.3: Social housing accelerator (Australian Government Grants)"/>
      </w:tblPr>
      <w:tblGrid>
        <w:gridCol w:w="9639"/>
      </w:tblGrid>
      <w:tr w:rsidR="00165994" w:rsidRPr="008F0B8B" w14:paraId="0726C6CD" w14:textId="77777777" w:rsidTr="000F7606">
        <w:trPr>
          <w:trHeight w:val="653"/>
        </w:trPr>
        <w:tc>
          <w:tcPr>
            <w:tcW w:w="9639" w:type="dxa"/>
            <w:shd w:val="pct5" w:color="auto" w:fill="FFFFFF" w:themeFill="background1"/>
            <w:tcMar>
              <w:top w:w="0" w:type="dxa"/>
              <w:left w:w="108" w:type="dxa"/>
              <w:bottom w:w="0" w:type="dxa"/>
              <w:right w:w="108" w:type="dxa"/>
            </w:tcMar>
          </w:tcPr>
          <w:p w14:paraId="4A070C81" w14:textId="417362D6" w:rsidR="00165994" w:rsidRPr="00C20D6D" w:rsidRDefault="00165994" w:rsidP="007D5981">
            <w:pPr>
              <w:pStyle w:val="Box4XBoxHeading"/>
            </w:pPr>
            <w:bookmarkStart w:id="6" w:name="_Hlk141361530"/>
            <w:r w:rsidRPr="00C20D6D">
              <w:rPr>
                <w:sz w:val="18"/>
                <w:szCs w:val="18"/>
              </w:rPr>
              <w:br w:type="page"/>
            </w:r>
            <w:r>
              <w:t>Social housing accelerator (</w:t>
            </w:r>
            <w:r w:rsidR="00813969">
              <w:t xml:space="preserve">Australian Government </w:t>
            </w:r>
            <w:r>
              <w:t>Grants)</w:t>
            </w:r>
          </w:p>
          <w:p w14:paraId="512475A6" w14:textId="02A38EBA" w:rsidR="00EA2FC2" w:rsidRDefault="00EA2FC2" w:rsidP="00E4551D">
            <w:pPr>
              <w:pStyle w:val="BodyText"/>
            </w:pPr>
            <w:r>
              <w:t xml:space="preserve">The </w:t>
            </w:r>
            <w:r w:rsidR="00622973">
              <w:t>Australian Government</w:t>
            </w:r>
            <w:r>
              <w:t xml:space="preserve"> Social Housing Accelerator Fund provides $610.1 million to N</w:t>
            </w:r>
            <w:r w:rsidR="00244C7D">
              <w:t xml:space="preserve">ew </w:t>
            </w:r>
            <w:r>
              <w:t>S</w:t>
            </w:r>
            <w:r w:rsidR="00244C7D">
              <w:t xml:space="preserve">outh </w:t>
            </w:r>
            <w:r>
              <w:t>W</w:t>
            </w:r>
            <w:r w:rsidR="00244C7D">
              <w:t>ales</w:t>
            </w:r>
            <w:r>
              <w:t xml:space="preserve"> to increase and improve social housing supply. N</w:t>
            </w:r>
            <w:r w:rsidR="00244C7D">
              <w:t xml:space="preserve">ew </w:t>
            </w:r>
            <w:r>
              <w:t>S</w:t>
            </w:r>
            <w:r w:rsidR="00B6677D">
              <w:t xml:space="preserve">outh </w:t>
            </w:r>
            <w:r>
              <w:t>W</w:t>
            </w:r>
            <w:r w:rsidR="00B6677D">
              <w:t>ales</w:t>
            </w:r>
            <w:r>
              <w:t xml:space="preserve"> aims to deliver a permanent increase of around 1,500 social housing dwellings with this funding. </w:t>
            </w:r>
          </w:p>
          <w:p w14:paraId="399AB736" w14:textId="2D92E5CD" w:rsidR="007638C2" w:rsidRDefault="00EA2FC2" w:rsidP="00E4551D">
            <w:pPr>
              <w:pStyle w:val="BodyText"/>
            </w:pPr>
            <w:r>
              <w:t>Funds will be used across a range of programs to permanently increase social housing stock. This includes</w:t>
            </w:r>
            <w:r w:rsidR="00203801">
              <w:t>:</w:t>
            </w:r>
            <w:r>
              <w:t xml:space="preserve"> </w:t>
            </w:r>
          </w:p>
          <w:p w14:paraId="4F003099" w14:textId="4BE88F40" w:rsidR="00160C3B" w:rsidRDefault="00EA2FC2" w:rsidP="00E4551D">
            <w:pPr>
              <w:pStyle w:val="Bullet1"/>
            </w:pPr>
            <w:r>
              <w:t xml:space="preserve">an immediate restoration program </w:t>
            </w:r>
            <w:r w:rsidR="009C5206">
              <w:t>for</w:t>
            </w:r>
            <w:r>
              <w:t xml:space="preserve"> current vacant social properties to reinstate </w:t>
            </w:r>
            <w:r w:rsidR="00370851">
              <w:t>them in</w:t>
            </w:r>
            <w:r>
              <w:t xml:space="preserve">to service </w:t>
            </w:r>
          </w:p>
          <w:p w14:paraId="7B59ED35" w14:textId="05C30A3A" w:rsidR="00A52D96" w:rsidRDefault="00EA2FC2" w:rsidP="00E4551D">
            <w:pPr>
              <w:pStyle w:val="Bullet1"/>
            </w:pPr>
            <w:r>
              <w:t>a medium density housing program across regional N</w:t>
            </w:r>
            <w:r w:rsidR="00321369">
              <w:t xml:space="preserve">ew </w:t>
            </w:r>
            <w:r>
              <w:t>S</w:t>
            </w:r>
            <w:r w:rsidR="00321369">
              <w:t xml:space="preserve">outh </w:t>
            </w:r>
            <w:r>
              <w:t>W</w:t>
            </w:r>
            <w:r w:rsidR="00321369">
              <w:t>ales</w:t>
            </w:r>
            <w:r>
              <w:t xml:space="preserve"> including dual occupancies</w:t>
            </w:r>
          </w:p>
          <w:p w14:paraId="299CC6C1" w14:textId="413A7BE0" w:rsidR="00A52D96" w:rsidRDefault="00EA2FC2" w:rsidP="00E4551D">
            <w:pPr>
              <w:pStyle w:val="Bullet1"/>
            </w:pPr>
            <w:r>
              <w:t>delivery of new housing by the Aboriginal Housing Office and Aboriginal Community Housing Providers</w:t>
            </w:r>
          </w:p>
          <w:p w14:paraId="02D47144" w14:textId="444AEAF7" w:rsidR="00A52D96" w:rsidRDefault="00EA2FC2" w:rsidP="00E4551D">
            <w:pPr>
              <w:pStyle w:val="Bullet1"/>
            </w:pPr>
            <w:r>
              <w:t>fast tracking delivery of social homes by the Land and Housing Corporation</w:t>
            </w:r>
          </w:p>
          <w:p w14:paraId="67140C3F" w14:textId="699D785F" w:rsidR="00165994" w:rsidRPr="00C20D6D" w:rsidRDefault="00EA2FC2" w:rsidP="00E4551D">
            <w:pPr>
              <w:pStyle w:val="Bullet1"/>
            </w:pPr>
            <w:r>
              <w:t xml:space="preserve">mixed tenure developments with Community Housing Provider partnerships and </w:t>
            </w:r>
            <w:r w:rsidDel="00622973">
              <w:t>f</w:t>
            </w:r>
            <w:r>
              <w:t>urther investment through the Community Housing Innovation Fund towards dwellings delivered by Community Housing Providers</w:t>
            </w:r>
            <w:r w:rsidR="00BC48FF">
              <w:t>.</w:t>
            </w:r>
          </w:p>
        </w:tc>
      </w:tr>
    </w:tbl>
    <w:bookmarkEnd w:id="6"/>
    <w:p w14:paraId="10BEDD58" w14:textId="534EF1D4" w:rsidR="00E90BEE" w:rsidRPr="00E61338" w:rsidRDefault="00E90BEE" w:rsidP="00E90BEE">
      <w:pPr>
        <w:pStyle w:val="Heading3"/>
        <w:ind w:left="737" w:hanging="737"/>
        <w:rPr>
          <w:rFonts w:eastAsiaTheme="minorEastAsia"/>
          <w:b w:val="0"/>
          <w:bCs/>
          <w:szCs w:val="26"/>
        </w:rPr>
      </w:pPr>
      <w:r w:rsidRPr="00E61338">
        <w:rPr>
          <w:rFonts w:eastAsiaTheme="minorEastAsia"/>
        </w:rPr>
        <w:t xml:space="preserve">Other </w:t>
      </w:r>
      <w:r w:rsidR="00813969">
        <w:rPr>
          <w:rFonts w:eastAsiaTheme="minorEastAsia"/>
          <w:szCs w:val="26"/>
        </w:rPr>
        <w:t>Australian Government</w:t>
      </w:r>
      <w:r w:rsidR="00813969" w:rsidRPr="00E61338">
        <w:rPr>
          <w:rFonts w:eastAsiaTheme="minorEastAsia"/>
          <w:szCs w:val="26"/>
        </w:rPr>
        <w:t xml:space="preserve"> </w:t>
      </w:r>
      <w:r w:rsidRPr="00E61338">
        <w:rPr>
          <w:rFonts w:eastAsiaTheme="minorEastAsia"/>
          <w:szCs w:val="26"/>
        </w:rPr>
        <w:t>payments</w:t>
      </w:r>
    </w:p>
    <w:p w14:paraId="794926C6" w14:textId="394FCFCD" w:rsidR="00643CE7" w:rsidRPr="00421EAF" w:rsidRDefault="078109A7" w:rsidP="00E4551D">
      <w:pPr>
        <w:pStyle w:val="BodyText"/>
      </w:pPr>
      <w:r>
        <w:t xml:space="preserve">Since the 2022-23 </w:t>
      </w:r>
      <w:r w:rsidR="00A70864">
        <w:t>Pre-election Budget Update</w:t>
      </w:r>
      <w:r>
        <w:t xml:space="preserve">, </w:t>
      </w:r>
      <w:r w:rsidR="00271C5A">
        <w:t>O</w:t>
      </w:r>
      <w:r w:rsidR="3DF513EC">
        <w:t>ther</w:t>
      </w:r>
      <w:r w:rsidR="00421EAF" w:rsidDel="00D536A5">
        <w:t xml:space="preserve"> </w:t>
      </w:r>
      <w:r w:rsidR="261841C6">
        <w:t xml:space="preserve">Australian Government </w:t>
      </w:r>
      <w:r w:rsidR="3DF513EC">
        <w:t>payments</w:t>
      </w:r>
      <w:r>
        <w:t xml:space="preserve"> </w:t>
      </w:r>
      <w:r w:rsidR="3DF513EC">
        <w:t>have been</w:t>
      </w:r>
      <w:r>
        <w:t xml:space="preserve"> </w:t>
      </w:r>
      <w:r w:rsidR="3DF513EC">
        <w:t xml:space="preserve">revised down by </w:t>
      </w:r>
      <w:r w:rsidR="3DF513EC" w:rsidRPr="00B67DB9">
        <w:t>$</w:t>
      </w:r>
      <w:r w:rsidR="00734A16" w:rsidRPr="00813871">
        <w:t>458.4</w:t>
      </w:r>
      <w:r w:rsidR="3DF513EC" w:rsidRPr="00B67DB9">
        <w:t xml:space="preserve"> million</w:t>
      </w:r>
      <w:r w:rsidR="3DF513EC">
        <w:t xml:space="preserve"> </w:t>
      </w:r>
      <w:r w:rsidR="00734A16">
        <w:t>over the four years to 2026-27</w:t>
      </w:r>
      <w:r>
        <w:t>, mainly due to</w:t>
      </w:r>
      <w:r w:rsidR="00DB6DD2" w:rsidRPr="00813871">
        <w:t xml:space="preserve"> </w:t>
      </w:r>
      <w:r w:rsidR="00BF2AB1">
        <w:t xml:space="preserve">a </w:t>
      </w:r>
      <w:r w:rsidR="00DB6DD2" w:rsidRPr="00813871">
        <w:t>reclassification</w:t>
      </w:r>
      <w:r w:rsidR="00BF2AB1">
        <w:t xml:space="preserve"> </w:t>
      </w:r>
      <w:r w:rsidR="00C26375">
        <w:t xml:space="preserve">to </w:t>
      </w:r>
      <w:r w:rsidR="00B5573B">
        <w:t>o</w:t>
      </w:r>
      <w:r w:rsidR="00C26375">
        <w:t>ther grants</w:t>
      </w:r>
      <w:r>
        <w:t xml:space="preserve">. Revenue from </w:t>
      </w:r>
      <w:r w:rsidR="000163FC">
        <w:t>O</w:t>
      </w:r>
      <w:r w:rsidRPr="00813871">
        <w:t>ther</w:t>
      </w:r>
      <w:r>
        <w:t xml:space="preserve"> </w:t>
      </w:r>
      <w:r w:rsidR="00525229">
        <w:t>Australian Government</w:t>
      </w:r>
      <w:r w:rsidR="00421EAF" w:rsidDel="078109A7">
        <w:t xml:space="preserve"> </w:t>
      </w:r>
      <w:r w:rsidR="000163FC">
        <w:t>payments are</w:t>
      </w:r>
      <w:r>
        <w:t xml:space="preserve"> expected to </w:t>
      </w:r>
      <w:r w:rsidR="002D4486">
        <w:t>increase</w:t>
      </w:r>
      <w:r w:rsidRPr="00C3683B">
        <w:t xml:space="preserve"> by </w:t>
      </w:r>
      <w:r w:rsidR="00656C71" w:rsidRPr="00813871">
        <w:t>5.</w:t>
      </w:r>
      <w:r w:rsidR="00271C5A">
        <w:t>3</w:t>
      </w:r>
      <w:r>
        <w:t xml:space="preserve"> per cent per </w:t>
      </w:r>
      <w:r w:rsidR="5457F56A">
        <w:t>year</w:t>
      </w:r>
      <w:r w:rsidR="00C74279">
        <w:t xml:space="preserve"> </w:t>
      </w:r>
      <w:r w:rsidR="00421EAF" w:rsidDel="078109A7">
        <w:t>annum</w:t>
      </w:r>
      <w:r>
        <w:t xml:space="preserve"> on average over the four years to 2026</w:t>
      </w:r>
      <w:r w:rsidR="007B19AF">
        <w:noBreakHyphen/>
      </w:r>
      <w:r w:rsidR="00A70864">
        <w:t>27</w:t>
      </w:r>
      <w:r>
        <w:t>.</w:t>
      </w:r>
    </w:p>
    <w:p w14:paraId="3DEE1B11" w14:textId="77777777" w:rsidR="00E90BEE" w:rsidRPr="00421EAF" w:rsidRDefault="00E90BEE" w:rsidP="00E90BEE">
      <w:pPr>
        <w:pStyle w:val="Heading3"/>
        <w:tabs>
          <w:tab w:val="left" w:pos="567"/>
        </w:tabs>
        <w:ind w:left="737" w:hanging="737"/>
        <w:rPr>
          <w:rFonts w:eastAsiaTheme="minorHAnsi"/>
        </w:rPr>
      </w:pPr>
      <w:r w:rsidRPr="00421EAF">
        <w:rPr>
          <w:rFonts w:eastAsiaTheme="minorEastAsia"/>
        </w:rPr>
        <w:t>Other grants</w:t>
      </w:r>
    </w:p>
    <w:p w14:paraId="7CF8C629" w14:textId="1CF5FEEE" w:rsidR="00C62605" w:rsidRDefault="5873B3DF" w:rsidP="00E4551D">
      <w:pPr>
        <w:pStyle w:val="BodyText"/>
      </w:pPr>
      <w:r>
        <w:t>Other grants are expected to provide $</w:t>
      </w:r>
      <w:r w:rsidR="00385E24" w:rsidRPr="00A3231A">
        <w:t>1.</w:t>
      </w:r>
      <w:r w:rsidR="00FF4C39" w:rsidRPr="00A3231A">
        <w:t>0</w:t>
      </w:r>
      <w:r>
        <w:t xml:space="preserve"> </w:t>
      </w:r>
      <w:r w:rsidR="00385E24">
        <w:t>b</w:t>
      </w:r>
      <w:r>
        <w:t>illion in 202</w:t>
      </w:r>
      <w:r w:rsidR="2CA32045">
        <w:t>3</w:t>
      </w:r>
      <w:r>
        <w:t>-2</w:t>
      </w:r>
      <w:r w:rsidR="2D6288EB">
        <w:t>4</w:t>
      </w:r>
      <w:r>
        <w:t xml:space="preserve"> and </w:t>
      </w:r>
      <w:r w:rsidRPr="00B67DB9">
        <w:t>decline</w:t>
      </w:r>
      <w:r>
        <w:t xml:space="preserve"> by </w:t>
      </w:r>
      <w:r w:rsidR="00FC6429" w:rsidRPr="00A3231A">
        <w:t>0.7</w:t>
      </w:r>
      <w:r>
        <w:t xml:space="preserve"> per cent per </w:t>
      </w:r>
      <w:r w:rsidR="5F94EF19">
        <w:t>year</w:t>
      </w:r>
      <w:r>
        <w:t xml:space="preserve"> on average over the four years to 2026-27.</w:t>
      </w:r>
    </w:p>
    <w:p w14:paraId="69687977" w14:textId="77777777" w:rsidR="00C62605" w:rsidRDefault="00C62605">
      <w:pPr>
        <w:rPr>
          <w:rFonts w:ascii="Public Sans" w:hAnsi="Public Sans" w:cs="Arial"/>
          <w:sz w:val="22"/>
          <w:lang w:val="en-AU"/>
        </w:rPr>
      </w:pPr>
      <w:r>
        <w:br w:type="page"/>
      </w:r>
    </w:p>
    <w:p w14:paraId="4C1696B1" w14:textId="1A22B024" w:rsidR="00643CE7" w:rsidRDefault="00E90BEE" w:rsidP="4E62E117">
      <w:pPr>
        <w:pStyle w:val="41Heading2"/>
      </w:pPr>
      <w:r w:rsidRPr="008A6874">
        <w:lastRenderedPageBreak/>
        <w:t>Non-tax revenues</w:t>
      </w:r>
    </w:p>
    <w:p w14:paraId="10D4C67D" w14:textId="62F82343" w:rsidR="00E90BEE" w:rsidRDefault="00E90BEE" w:rsidP="00E90BEE">
      <w:pPr>
        <w:pStyle w:val="Heading3"/>
        <w:ind w:left="737" w:hanging="737"/>
        <w:rPr>
          <w:rFonts w:eastAsiaTheme="minorEastAsia"/>
        </w:rPr>
      </w:pPr>
      <w:r w:rsidRPr="00CA7A8A">
        <w:rPr>
          <w:rFonts w:eastAsiaTheme="minorEastAsia"/>
        </w:rPr>
        <w:t>Sale of goods and services</w:t>
      </w:r>
    </w:p>
    <w:p w14:paraId="7C8E01C1" w14:textId="7F507281" w:rsidR="00D445DD" w:rsidRPr="00D9336E" w:rsidRDefault="003F31DA" w:rsidP="00E4551D">
      <w:pPr>
        <w:pStyle w:val="BodyText"/>
        <w:rPr>
          <w:rFonts w:eastAsiaTheme="minorEastAsia"/>
        </w:rPr>
      </w:pPr>
      <w:r>
        <w:t>S</w:t>
      </w:r>
      <w:r w:rsidRPr="003F31DA">
        <w:t>ales of goods and services revenue is expected to be $</w:t>
      </w:r>
      <w:r w:rsidR="001A4903" w:rsidRPr="008512F7">
        <w:t>10.</w:t>
      </w:r>
      <w:r w:rsidR="00FC6429">
        <w:t>6</w:t>
      </w:r>
      <w:r w:rsidR="001A4903" w:rsidRPr="00B67DB9">
        <w:t xml:space="preserve"> </w:t>
      </w:r>
      <w:r w:rsidRPr="003F31DA">
        <w:t xml:space="preserve">billion in </w:t>
      </w:r>
      <w:r w:rsidR="4AE05519" w:rsidRPr="089C76CD">
        <w:t>202</w:t>
      </w:r>
      <w:r w:rsidR="374C3620" w:rsidRPr="089C76CD">
        <w:t>3</w:t>
      </w:r>
      <w:r w:rsidR="4AE05519" w:rsidRPr="089C76CD">
        <w:t>-2</w:t>
      </w:r>
      <w:r w:rsidR="738151D1" w:rsidRPr="089C76CD">
        <w:t>4</w:t>
      </w:r>
      <w:r w:rsidR="0075188D">
        <w:t>.</w:t>
      </w:r>
      <w:r w:rsidRPr="003F31DA">
        <w:t xml:space="preserve"> </w:t>
      </w:r>
      <w:r w:rsidR="00C66881" w:rsidRPr="00C66881">
        <w:t>Over the four years to 2026-27, revenue in this category has been revised up by $1.4 billion compared to the 2023 Pre-election Budget Update. The upwards revision reflects the following:</w:t>
      </w:r>
    </w:p>
    <w:p w14:paraId="62DA88F1" w14:textId="4AA2F2E7" w:rsidR="00971D06" w:rsidRPr="00971D06" w:rsidRDefault="00971D06" w:rsidP="00E4551D">
      <w:pPr>
        <w:pStyle w:val="Bullet1"/>
      </w:pPr>
      <w:r w:rsidRPr="00971D06">
        <w:t>$922.3 million in additional revenue reprofiled from 2022-23 from TAHE for management of capital projects. This includes $300</w:t>
      </w:r>
      <w:r w:rsidR="0091444E">
        <w:t>.0</w:t>
      </w:r>
      <w:r w:rsidRPr="00971D06">
        <w:t xml:space="preserve"> million from TAHE relating to the election commitment on accessibility and car park upgrades at train stations</w:t>
      </w:r>
    </w:p>
    <w:p w14:paraId="45303863" w14:textId="78DBAD78" w:rsidR="00234226" w:rsidRPr="0043020B" w:rsidRDefault="00284896" w:rsidP="00E4551D">
      <w:pPr>
        <w:pStyle w:val="Bullet1"/>
      </w:pPr>
      <w:r>
        <w:t xml:space="preserve">$244.7 million in revenue relating to </w:t>
      </w:r>
      <w:r w:rsidR="0043020B">
        <w:t xml:space="preserve">NSW </w:t>
      </w:r>
      <w:r w:rsidR="00234226" w:rsidRPr="0043020B">
        <w:t>TrainLink for maintenance costs of the Mariyung Fleet</w:t>
      </w:r>
    </w:p>
    <w:p w14:paraId="2545FA16" w14:textId="0740CA32" w:rsidR="00A8378B" w:rsidRDefault="0043020B" w:rsidP="00E4551D">
      <w:pPr>
        <w:pStyle w:val="Bullet1"/>
      </w:pPr>
      <w:r>
        <w:t>$118</w:t>
      </w:r>
      <w:r w:rsidR="00A36EF1">
        <w:t xml:space="preserve">.8 million in </w:t>
      </w:r>
      <w:r w:rsidR="00C6001D">
        <w:t>higher special number plate</w:t>
      </w:r>
      <w:r w:rsidR="00A36EF1">
        <w:t xml:space="preserve"> revenues</w:t>
      </w:r>
      <w:r w:rsidR="002A199D">
        <w:t>.</w:t>
      </w:r>
    </w:p>
    <w:p w14:paraId="313631A0" w14:textId="48A3FADC" w:rsidR="00E90BEE" w:rsidRPr="00F734F0" w:rsidRDefault="00FE7903" w:rsidP="00E4551D">
      <w:pPr>
        <w:pStyle w:val="BodyText"/>
      </w:pPr>
      <w:r w:rsidRPr="00FE7903">
        <w:t>These increases are partially offset by $</w:t>
      </w:r>
      <w:r w:rsidRPr="008512F7">
        <w:t>159.1</w:t>
      </w:r>
      <w:r w:rsidRPr="00FE7903">
        <w:t xml:space="preserve"> million in tolling revenues deferred to later years from the revised open to traffic date for the Western Harbour Tunnel.</w:t>
      </w:r>
    </w:p>
    <w:p w14:paraId="09361183" w14:textId="2FF007CA" w:rsidR="00B23BDD" w:rsidRDefault="00B23BDD" w:rsidP="00CF7E08">
      <w:pPr>
        <w:pStyle w:val="Table4X"/>
      </w:pPr>
      <w:r>
        <w:t>Sale of goods and services</w:t>
      </w:r>
    </w:p>
    <w:tbl>
      <w:tblPr>
        <w:tblW w:w="9854" w:type="dxa"/>
        <w:tblLook w:val="04A0" w:firstRow="1" w:lastRow="0" w:firstColumn="1" w:lastColumn="0" w:noHBand="0" w:noVBand="1"/>
        <w:tblCaption w:val="Table 4.9: Sale of goods and services"/>
        <w:tblDescription w:val="Table 4.9: Sale of goods and services"/>
      </w:tblPr>
      <w:tblGrid>
        <w:gridCol w:w="2694"/>
        <w:gridCol w:w="960"/>
        <w:gridCol w:w="960"/>
        <w:gridCol w:w="960"/>
        <w:gridCol w:w="960"/>
        <w:gridCol w:w="960"/>
        <w:gridCol w:w="960"/>
        <w:gridCol w:w="1400"/>
      </w:tblGrid>
      <w:tr w:rsidR="009A6B93" w:rsidRPr="009A6B93" w14:paraId="443E7204" w14:textId="77777777" w:rsidTr="00DB1C29">
        <w:trPr>
          <w:trHeight w:val="283"/>
        </w:trPr>
        <w:tc>
          <w:tcPr>
            <w:tcW w:w="2694" w:type="dxa"/>
            <w:tcBorders>
              <w:top w:val="nil"/>
              <w:left w:val="nil"/>
              <w:bottom w:val="nil"/>
              <w:right w:val="nil"/>
            </w:tcBorders>
            <w:shd w:val="clear" w:color="000000" w:fill="EBEBEB"/>
            <w:vAlign w:val="center"/>
            <w:hideMark/>
          </w:tcPr>
          <w:p w14:paraId="3445B04B" w14:textId="77777777" w:rsidR="009A6B93" w:rsidRPr="00F2266A" w:rsidRDefault="009A6B93" w:rsidP="009A6B93">
            <w:pPr>
              <w:jc w:val="center"/>
              <w:rPr>
                <w:rFonts w:ascii="Public Sans" w:hAnsi="Public Sans" w:cs="Calibri"/>
                <w:i/>
                <w:color w:val="000000"/>
                <w:sz w:val="17"/>
                <w:szCs w:val="17"/>
                <w:lang w:val="en-AU" w:eastAsia="en-AU"/>
              </w:rPr>
            </w:pPr>
            <w:r w:rsidRPr="00F2266A">
              <w:rPr>
                <w:rFonts w:ascii="Public Sans" w:hAnsi="Public Sans" w:cs="Calibri"/>
                <w:i/>
                <w:color w:val="000000"/>
                <w:sz w:val="17"/>
                <w:szCs w:val="17"/>
                <w:lang w:val="en-AU" w:eastAsia="en-AU"/>
              </w:rPr>
              <w:t> </w:t>
            </w:r>
          </w:p>
        </w:tc>
        <w:tc>
          <w:tcPr>
            <w:tcW w:w="960" w:type="dxa"/>
            <w:tcBorders>
              <w:top w:val="nil"/>
              <w:left w:val="nil"/>
              <w:bottom w:val="nil"/>
              <w:right w:val="nil"/>
            </w:tcBorders>
            <w:shd w:val="clear" w:color="000000" w:fill="EBEBEB"/>
            <w:vAlign w:val="bottom"/>
            <w:hideMark/>
          </w:tcPr>
          <w:p w14:paraId="7088F39A"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2021-22</w:t>
            </w:r>
          </w:p>
        </w:tc>
        <w:tc>
          <w:tcPr>
            <w:tcW w:w="960" w:type="dxa"/>
            <w:tcBorders>
              <w:top w:val="nil"/>
              <w:left w:val="nil"/>
              <w:bottom w:val="nil"/>
              <w:right w:val="nil"/>
            </w:tcBorders>
            <w:shd w:val="clear" w:color="000000" w:fill="EBEBEB"/>
            <w:vAlign w:val="bottom"/>
            <w:hideMark/>
          </w:tcPr>
          <w:p w14:paraId="50F64A4A"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2022-23</w:t>
            </w:r>
          </w:p>
        </w:tc>
        <w:tc>
          <w:tcPr>
            <w:tcW w:w="960" w:type="dxa"/>
            <w:tcBorders>
              <w:top w:val="nil"/>
              <w:left w:val="nil"/>
              <w:bottom w:val="nil"/>
              <w:right w:val="nil"/>
            </w:tcBorders>
            <w:shd w:val="clear" w:color="000000" w:fill="EBEBEB"/>
            <w:vAlign w:val="bottom"/>
            <w:hideMark/>
          </w:tcPr>
          <w:p w14:paraId="138CCFBA"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2023-24</w:t>
            </w:r>
          </w:p>
        </w:tc>
        <w:tc>
          <w:tcPr>
            <w:tcW w:w="960" w:type="dxa"/>
            <w:tcBorders>
              <w:top w:val="nil"/>
              <w:left w:val="nil"/>
              <w:bottom w:val="nil"/>
              <w:right w:val="nil"/>
            </w:tcBorders>
            <w:shd w:val="clear" w:color="000000" w:fill="EBEBEB"/>
            <w:vAlign w:val="bottom"/>
            <w:hideMark/>
          </w:tcPr>
          <w:p w14:paraId="1C09DA0E"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2024-25</w:t>
            </w:r>
          </w:p>
        </w:tc>
        <w:tc>
          <w:tcPr>
            <w:tcW w:w="960" w:type="dxa"/>
            <w:tcBorders>
              <w:top w:val="nil"/>
              <w:left w:val="nil"/>
              <w:bottom w:val="nil"/>
              <w:right w:val="nil"/>
            </w:tcBorders>
            <w:shd w:val="clear" w:color="000000" w:fill="EBEBEB"/>
            <w:vAlign w:val="bottom"/>
            <w:hideMark/>
          </w:tcPr>
          <w:p w14:paraId="40FF0980"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2025-26</w:t>
            </w:r>
          </w:p>
        </w:tc>
        <w:tc>
          <w:tcPr>
            <w:tcW w:w="960" w:type="dxa"/>
            <w:tcBorders>
              <w:top w:val="nil"/>
              <w:left w:val="nil"/>
              <w:bottom w:val="nil"/>
              <w:right w:val="nil"/>
            </w:tcBorders>
            <w:shd w:val="clear" w:color="000000" w:fill="EBEBEB"/>
            <w:vAlign w:val="bottom"/>
            <w:hideMark/>
          </w:tcPr>
          <w:p w14:paraId="131C591B"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2026-27</w:t>
            </w:r>
          </w:p>
        </w:tc>
        <w:tc>
          <w:tcPr>
            <w:tcW w:w="1400" w:type="dxa"/>
            <w:vMerge w:val="restart"/>
            <w:tcBorders>
              <w:top w:val="nil"/>
              <w:left w:val="nil"/>
              <w:bottom w:val="nil"/>
              <w:right w:val="nil"/>
            </w:tcBorders>
            <w:shd w:val="clear" w:color="000000" w:fill="4F4F4F"/>
            <w:vAlign w:val="center"/>
            <w:hideMark/>
          </w:tcPr>
          <w:p w14:paraId="41931FF9" w14:textId="77777777" w:rsidR="009A6B93" w:rsidRPr="00F2266A" w:rsidRDefault="009A6B93" w:rsidP="009A6B93">
            <w:pPr>
              <w:jc w:val="center"/>
              <w:rPr>
                <w:rFonts w:ascii="Public Sans" w:hAnsi="Public Sans" w:cs="Calibri"/>
                <w:color w:val="FFFFFF"/>
                <w:sz w:val="17"/>
                <w:szCs w:val="17"/>
                <w:lang w:val="en-AU" w:eastAsia="en-AU"/>
              </w:rPr>
            </w:pPr>
            <w:r w:rsidRPr="00F2266A">
              <w:rPr>
                <w:rFonts w:ascii="Public Sans" w:hAnsi="Public Sans" w:cs="Calibri"/>
                <w:color w:val="FFFFFF"/>
                <w:sz w:val="17"/>
                <w:szCs w:val="17"/>
                <w:lang w:val="en-AU" w:eastAsia="en-AU"/>
              </w:rPr>
              <w:t>% Average growth p.a. 2022-23 to 2026-27</w:t>
            </w:r>
          </w:p>
        </w:tc>
      </w:tr>
      <w:tr w:rsidR="009A6B93" w:rsidRPr="009A6B93" w14:paraId="01A526CD" w14:textId="77777777" w:rsidTr="00DB1C29">
        <w:trPr>
          <w:trHeight w:val="225"/>
        </w:trPr>
        <w:tc>
          <w:tcPr>
            <w:tcW w:w="2694" w:type="dxa"/>
            <w:tcBorders>
              <w:top w:val="nil"/>
              <w:left w:val="nil"/>
              <w:bottom w:val="nil"/>
              <w:right w:val="nil"/>
            </w:tcBorders>
            <w:shd w:val="clear" w:color="000000" w:fill="EBEBEB"/>
            <w:vAlign w:val="center"/>
            <w:hideMark/>
          </w:tcPr>
          <w:p w14:paraId="2AA8E623" w14:textId="77777777" w:rsidR="009A6B93" w:rsidRPr="00F2266A" w:rsidRDefault="009A6B93" w:rsidP="009A6B93">
            <w:pPr>
              <w:jc w:val="center"/>
              <w:rPr>
                <w:rFonts w:ascii="Public Sans" w:hAnsi="Public Sans" w:cs="Calibri"/>
                <w:i/>
                <w:color w:val="000000"/>
                <w:sz w:val="17"/>
                <w:szCs w:val="17"/>
                <w:lang w:val="en-AU" w:eastAsia="en-AU"/>
              </w:rPr>
            </w:pPr>
            <w:r w:rsidRPr="00F2266A">
              <w:rPr>
                <w:rFonts w:ascii="Public Sans" w:hAnsi="Public Sans" w:cs="Calibri"/>
                <w:i/>
                <w:color w:val="000000"/>
                <w:sz w:val="17"/>
                <w:szCs w:val="17"/>
                <w:lang w:val="en-AU" w:eastAsia="en-AU"/>
              </w:rPr>
              <w:t> </w:t>
            </w:r>
          </w:p>
        </w:tc>
        <w:tc>
          <w:tcPr>
            <w:tcW w:w="960" w:type="dxa"/>
            <w:tcBorders>
              <w:top w:val="nil"/>
              <w:left w:val="nil"/>
              <w:bottom w:val="nil"/>
              <w:right w:val="nil"/>
            </w:tcBorders>
            <w:shd w:val="clear" w:color="000000" w:fill="EBEBEB"/>
            <w:vAlign w:val="center"/>
            <w:hideMark/>
          </w:tcPr>
          <w:p w14:paraId="2C9188A9"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Actual</w:t>
            </w:r>
          </w:p>
        </w:tc>
        <w:tc>
          <w:tcPr>
            <w:tcW w:w="960" w:type="dxa"/>
            <w:tcBorders>
              <w:top w:val="nil"/>
              <w:left w:val="nil"/>
              <w:bottom w:val="nil"/>
              <w:right w:val="nil"/>
            </w:tcBorders>
            <w:shd w:val="clear" w:color="000000" w:fill="EBEBEB"/>
            <w:vAlign w:val="center"/>
            <w:hideMark/>
          </w:tcPr>
          <w:p w14:paraId="66347ADB" w14:textId="77777777" w:rsidR="009A6B93" w:rsidRPr="00F2266A" w:rsidRDefault="009A6B93" w:rsidP="00F2266A">
            <w:pPr>
              <w:ind w:left="-113" w:right="-113"/>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Est. Actual</w:t>
            </w:r>
          </w:p>
        </w:tc>
        <w:tc>
          <w:tcPr>
            <w:tcW w:w="960" w:type="dxa"/>
            <w:tcBorders>
              <w:top w:val="nil"/>
              <w:left w:val="nil"/>
              <w:bottom w:val="nil"/>
              <w:right w:val="nil"/>
            </w:tcBorders>
            <w:shd w:val="clear" w:color="000000" w:fill="EBEBEB"/>
            <w:vAlign w:val="center"/>
            <w:hideMark/>
          </w:tcPr>
          <w:p w14:paraId="065A1DFF" w14:textId="77777777" w:rsidR="009A6B93" w:rsidRPr="00F2266A" w:rsidRDefault="009A6B93" w:rsidP="00DD3757">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Budget</w:t>
            </w:r>
          </w:p>
        </w:tc>
        <w:tc>
          <w:tcPr>
            <w:tcW w:w="2880" w:type="dxa"/>
            <w:gridSpan w:val="3"/>
            <w:tcBorders>
              <w:top w:val="nil"/>
              <w:left w:val="nil"/>
              <w:bottom w:val="nil"/>
              <w:right w:val="nil"/>
            </w:tcBorders>
            <w:shd w:val="clear" w:color="000000" w:fill="EBEBEB"/>
            <w:vAlign w:val="center"/>
            <w:hideMark/>
          </w:tcPr>
          <w:p w14:paraId="4A3D6B78"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Forward Estimates</w:t>
            </w:r>
          </w:p>
        </w:tc>
        <w:tc>
          <w:tcPr>
            <w:tcW w:w="1400" w:type="dxa"/>
            <w:vMerge/>
            <w:tcBorders>
              <w:top w:val="nil"/>
              <w:left w:val="nil"/>
              <w:bottom w:val="nil"/>
              <w:right w:val="nil"/>
            </w:tcBorders>
            <w:vAlign w:val="center"/>
            <w:hideMark/>
          </w:tcPr>
          <w:p w14:paraId="3150BE66" w14:textId="77777777" w:rsidR="009A6B93" w:rsidRPr="00F2266A" w:rsidRDefault="009A6B93" w:rsidP="009A6B93">
            <w:pPr>
              <w:rPr>
                <w:rFonts w:ascii="Public Sans" w:hAnsi="Public Sans" w:cs="Calibri"/>
                <w:color w:val="FFFFFF"/>
                <w:sz w:val="17"/>
                <w:szCs w:val="17"/>
                <w:lang w:val="en-AU" w:eastAsia="en-AU"/>
              </w:rPr>
            </w:pPr>
          </w:p>
        </w:tc>
      </w:tr>
      <w:tr w:rsidR="009A6B93" w:rsidRPr="009A6B93" w14:paraId="6905D916" w14:textId="77777777" w:rsidTr="00DB1C29">
        <w:trPr>
          <w:trHeight w:val="283"/>
        </w:trPr>
        <w:tc>
          <w:tcPr>
            <w:tcW w:w="2694" w:type="dxa"/>
            <w:tcBorders>
              <w:top w:val="nil"/>
              <w:left w:val="nil"/>
              <w:bottom w:val="nil"/>
              <w:right w:val="nil"/>
            </w:tcBorders>
            <w:shd w:val="clear" w:color="000000" w:fill="EBEBEB"/>
            <w:vAlign w:val="center"/>
            <w:hideMark/>
          </w:tcPr>
          <w:p w14:paraId="37CE2E7C" w14:textId="77777777" w:rsidR="009A6B93" w:rsidRPr="00F2266A" w:rsidRDefault="009A6B93" w:rsidP="009A6B93">
            <w:pPr>
              <w:jc w:val="center"/>
              <w:rPr>
                <w:rFonts w:ascii="Public Sans" w:hAnsi="Public Sans" w:cs="Calibri"/>
                <w:i/>
                <w:color w:val="000000"/>
                <w:sz w:val="17"/>
                <w:szCs w:val="17"/>
                <w:lang w:val="en-AU" w:eastAsia="en-AU"/>
              </w:rPr>
            </w:pPr>
            <w:r w:rsidRPr="00F2266A">
              <w:rPr>
                <w:rFonts w:ascii="Public Sans" w:hAnsi="Public Sans" w:cs="Calibri"/>
                <w:i/>
                <w:color w:val="000000"/>
                <w:sz w:val="17"/>
                <w:szCs w:val="17"/>
                <w:lang w:val="en-AU" w:eastAsia="en-AU"/>
              </w:rPr>
              <w:t> </w:t>
            </w:r>
          </w:p>
        </w:tc>
        <w:tc>
          <w:tcPr>
            <w:tcW w:w="960" w:type="dxa"/>
            <w:tcBorders>
              <w:top w:val="nil"/>
              <w:left w:val="nil"/>
              <w:bottom w:val="nil"/>
              <w:right w:val="nil"/>
            </w:tcBorders>
            <w:shd w:val="clear" w:color="000000" w:fill="EBEBEB"/>
            <w:hideMark/>
          </w:tcPr>
          <w:p w14:paraId="7BDA24BC"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7AC035DB"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3ADF129D"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1AD9D4D9"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31C74B12"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4597BAE5"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1400" w:type="dxa"/>
            <w:vMerge/>
            <w:tcBorders>
              <w:top w:val="nil"/>
              <w:left w:val="nil"/>
              <w:bottom w:val="nil"/>
              <w:right w:val="nil"/>
            </w:tcBorders>
            <w:vAlign w:val="center"/>
            <w:hideMark/>
          </w:tcPr>
          <w:p w14:paraId="68E9B65C" w14:textId="77777777" w:rsidR="009A6B93" w:rsidRPr="00F2266A" w:rsidRDefault="009A6B93" w:rsidP="009A6B93">
            <w:pPr>
              <w:rPr>
                <w:rFonts w:ascii="Public Sans" w:hAnsi="Public Sans" w:cs="Calibri"/>
                <w:color w:val="FFFFFF"/>
                <w:sz w:val="17"/>
                <w:szCs w:val="17"/>
                <w:lang w:val="en-AU" w:eastAsia="en-AU"/>
              </w:rPr>
            </w:pPr>
          </w:p>
        </w:tc>
      </w:tr>
      <w:tr w:rsidR="009A6B93" w:rsidRPr="009A6B93" w14:paraId="16D67993" w14:textId="77777777" w:rsidTr="00DB1C29">
        <w:trPr>
          <w:trHeight w:val="240"/>
        </w:trPr>
        <w:tc>
          <w:tcPr>
            <w:tcW w:w="2694" w:type="dxa"/>
            <w:tcBorders>
              <w:top w:val="nil"/>
              <w:left w:val="nil"/>
              <w:bottom w:val="nil"/>
              <w:right w:val="nil"/>
            </w:tcBorders>
            <w:shd w:val="clear" w:color="000000" w:fill="FFFFFF"/>
            <w:noWrap/>
            <w:vAlign w:val="center"/>
            <w:hideMark/>
          </w:tcPr>
          <w:p w14:paraId="20660FE3"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Rents and leases</w:t>
            </w:r>
          </w:p>
        </w:tc>
        <w:tc>
          <w:tcPr>
            <w:tcW w:w="960" w:type="dxa"/>
            <w:tcBorders>
              <w:top w:val="nil"/>
              <w:left w:val="nil"/>
              <w:bottom w:val="nil"/>
              <w:right w:val="nil"/>
            </w:tcBorders>
            <w:shd w:val="clear" w:color="000000" w:fill="FFFFFF"/>
            <w:noWrap/>
            <w:vAlign w:val="center"/>
            <w:hideMark/>
          </w:tcPr>
          <w:p w14:paraId="067C4AB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276</w:t>
            </w:r>
          </w:p>
        </w:tc>
        <w:tc>
          <w:tcPr>
            <w:tcW w:w="960" w:type="dxa"/>
            <w:tcBorders>
              <w:top w:val="nil"/>
              <w:left w:val="nil"/>
              <w:bottom w:val="nil"/>
              <w:right w:val="nil"/>
            </w:tcBorders>
            <w:shd w:val="clear" w:color="000000" w:fill="FFFFFF"/>
            <w:noWrap/>
            <w:vAlign w:val="center"/>
            <w:hideMark/>
          </w:tcPr>
          <w:p w14:paraId="694AFA6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304</w:t>
            </w:r>
          </w:p>
        </w:tc>
        <w:tc>
          <w:tcPr>
            <w:tcW w:w="960" w:type="dxa"/>
            <w:tcBorders>
              <w:top w:val="nil"/>
              <w:left w:val="nil"/>
              <w:bottom w:val="nil"/>
              <w:right w:val="nil"/>
            </w:tcBorders>
            <w:shd w:val="clear" w:color="000000" w:fill="F2F2F2"/>
            <w:noWrap/>
            <w:vAlign w:val="center"/>
            <w:hideMark/>
          </w:tcPr>
          <w:p w14:paraId="7C7492B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255</w:t>
            </w:r>
          </w:p>
        </w:tc>
        <w:tc>
          <w:tcPr>
            <w:tcW w:w="960" w:type="dxa"/>
            <w:tcBorders>
              <w:top w:val="nil"/>
              <w:left w:val="nil"/>
              <w:bottom w:val="nil"/>
              <w:right w:val="nil"/>
            </w:tcBorders>
            <w:shd w:val="clear" w:color="000000" w:fill="F2F2F2"/>
            <w:noWrap/>
            <w:vAlign w:val="center"/>
            <w:hideMark/>
          </w:tcPr>
          <w:p w14:paraId="1F2E3048"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310</w:t>
            </w:r>
          </w:p>
        </w:tc>
        <w:tc>
          <w:tcPr>
            <w:tcW w:w="960" w:type="dxa"/>
            <w:tcBorders>
              <w:top w:val="nil"/>
              <w:left w:val="nil"/>
              <w:bottom w:val="nil"/>
              <w:right w:val="nil"/>
            </w:tcBorders>
            <w:shd w:val="clear" w:color="000000" w:fill="F2F2F2"/>
            <w:noWrap/>
            <w:vAlign w:val="center"/>
            <w:hideMark/>
          </w:tcPr>
          <w:p w14:paraId="49FF08E8"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334</w:t>
            </w:r>
          </w:p>
        </w:tc>
        <w:tc>
          <w:tcPr>
            <w:tcW w:w="960" w:type="dxa"/>
            <w:tcBorders>
              <w:top w:val="nil"/>
              <w:left w:val="nil"/>
              <w:bottom w:val="nil"/>
              <w:right w:val="nil"/>
            </w:tcBorders>
            <w:shd w:val="clear" w:color="000000" w:fill="F2F2F2"/>
            <w:noWrap/>
            <w:vAlign w:val="center"/>
            <w:hideMark/>
          </w:tcPr>
          <w:p w14:paraId="5805827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321</w:t>
            </w:r>
          </w:p>
        </w:tc>
        <w:tc>
          <w:tcPr>
            <w:tcW w:w="1400" w:type="dxa"/>
            <w:tcBorders>
              <w:top w:val="nil"/>
              <w:left w:val="nil"/>
              <w:bottom w:val="nil"/>
              <w:right w:val="nil"/>
            </w:tcBorders>
            <w:shd w:val="clear" w:color="000000" w:fill="FFFFFF"/>
            <w:vAlign w:val="center"/>
            <w:hideMark/>
          </w:tcPr>
          <w:p w14:paraId="666A4B45"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1.4</w:t>
            </w:r>
          </w:p>
        </w:tc>
      </w:tr>
      <w:tr w:rsidR="009A6B93" w:rsidRPr="009A6B93" w14:paraId="7A8B9610" w14:textId="77777777" w:rsidTr="00DB1C29">
        <w:trPr>
          <w:trHeight w:val="240"/>
        </w:trPr>
        <w:tc>
          <w:tcPr>
            <w:tcW w:w="2694" w:type="dxa"/>
            <w:tcBorders>
              <w:top w:val="nil"/>
              <w:left w:val="nil"/>
              <w:bottom w:val="nil"/>
              <w:right w:val="nil"/>
            </w:tcBorders>
            <w:shd w:val="clear" w:color="000000" w:fill="FFFFFF"/>
            <w:noWrap/>
            <w:vAlign w:val="center"/>
            <w:hideMark/>
          </w:tcPr>
          <w:p w14:paraId="3D02B845"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Fee for service</w:t>
            </w:r>
          </w:p>
        </w:tc>
        <w:tc>
          <w:tcPr>
            <w:tcW w:w="960" w:type="dxa"/>
            <w:tcBorders>
              <w:top w:val="nil"/>
              <w:left w:val="nil"/>
              <w:bottom w:val="nil"/>
              <w:right w:val="nil"/>
            </w:tcBorders>
            <w:shd w:val="clear" w:color="000000" w:fill="FFFFFF"/>
            <w:noWrap/>
            <w:vAlign w:val="center"/>
            <w:hideMark/>
          </w:tcPr>
          <w:p w14:paraId="2C640DED"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2,902</w:t>
            </w:r>
          </w:p>
        </w:tc>
        <w:tc>
          <w:tcPr>
            <w:tcW w:w="960" w:type="dxa"/>
            <w:tcBorders>
              <w:top w:val="nil"/>
              <w:left w:val="nil"/>
              <w:bottom w:val="nil"/>
              <w:right w:val="nil"/>
            </w:tcBorders>
            <w:shd w:val="clear" w:color="000000" w:fill="FFFFFF"/>
            <w:noWrap/>
            <w:vAlign w:val="center"/>
            <w:hideMark/>
          </w:tcPr>
          <w:p w14:paraId="1577154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2,644</w:t>
            </w:r>
          </w:p>
        </w:tc>
        <w:tc>
          <w:tcPr>
            <w:tcW w:w="960" w:type="dxa"/>
            <w:tcBorders>
              <w:top w:val="nil"/>
              <w:left w:val="nil"/>
              <w:bottom w:val="nil"/>
              <w:right w:val="nil"/>
            </w:tcBorders>
            <w:shd w:val="clear" w:color="000000" w:fill="F2F2F2"/>
            <w:noWrap/>
            <w:vAlign w:val="center"/>
            <w:hideMark/>
          </w:tcPr>
          <w:p w14:paraId="147889B5"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3,110</w:t>
            </w:r>
          </w:p>
        </w:tc>
        <w:tc>
          <w:tcPr>
            <w:tcW w:w="960" w:type="dxa"/>
            <w:tcBorders>
              <w:top w:val="nil"/>
              <w:left w:val="nil"/>
              <w:bottom w:val="nil"/>
              <w:right w:val="nil"/>
            </w:tcBorders>
            <w:shd w:val="clear" w:color="000000" w:fill="F2F2F2"/>
            <w:noWrap/>
            <w:vAlign w:val="center"/>
            <w:hideMark/>
          </w:tcPr>
          <w:p w14:paraId="6F47A5B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2,832</w:t>
            </w:r>
          </w:p>
        </w:tc>
        <w:tc>
          <w:tcPr>
            <w:tcW w:w="960" w:type="dxa"/>
            <w:tcBorders>
              <w:top w:val="nil"/>
              <w:left w:val="nil"/>
              <w:bottom w:val="nil"/>
              <w:right w:val="nil"/>
            </w:tcBorders>
            <w:shd w:val="clear" w:color="000000" w:fill="F2F2F2"/>
            <w:noWrap/>
            <w:vAlign w:val="center"/>
            <w:hideMark/>
          </w:tcPr>
          <w:p w14:paraId="2AAD49D4"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2,321</w:t>
            </w:r>
          </w:p>
        </w:tc>
        <w:tc>
          <w:tcPr>
            <w:tcW w:w="960" w:type="dxa"/>
            <w:tcBorders>
              <w:top w:val="nil"/>
              <w:left w:val="nil"/>
              <w:bottom w:val="nil"/>
              <w:right w:val="nil"/>
            </w:tcBorders>
            <w:shd w:val="clear" w:color="000000" w:fill="F2F2F2"/>
            <w:noWrap/>
            <w:vAlign w:val="center"/>
            <w:hideMark/>
          </w:tcPr>
          <w:p w14:paraId="54F616A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2,320</w:t>
            </w:r>
          </w:p>
        </w:tc>
        <w:tc>
          <w:tcPr>
            <w:tcW w:w="1400" w:type="dxa"/>
            <w:tcBorders>
              <w:top w:val="nil"/>
              <w:left w:val="nil"/>
              <w:bottom w:val="nil"/>
              <w:right w:val="nil"/>
            </w:tcBorders>
            <w:shd w:val="clear" w:color="000000" w:fill="FFFFFF"/>
            <w:vAlign w:val="center"/>
            <w:hideMark/>
          </w:tcPr>
          <w:p w14:paraId="7FD070FD"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(3.2)</w:t>
            </w:r>
          </w:p>
        </w:tc>
      </w:tr>
      <w:tr w:rsidR="009A6B93" w:rsidRPr="009A6B93" w14:paraId="6B70DE4A" w14:textId="77777777" w:rsidTr="00DB1C29">
        <w:trPr>
          <w:trHeight w:val="240"/>
        </w:trPr>
        <w:tc>
          <w:tcPr>
            <w:tcW w:w="2694" w:type="dxa"/>
            <w:tcBorders>
              <w:top w:val="nil"/>
              <w:left w:val="nil"/>
              <w:bottom w:val="nil"/>
              <w:right w:val="nil"/>
            </w:tcBorders>
            <w:shd w:val="clear" w:color="000000" w:fill="FFFFFF"/>
            <w:noWrap/>
            <w:vAlign w:val="center"/>
            <w:hideMark/>
          </w:tcPr>
          <w:p w14:paraId="5808E344"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Entry fees</w:t>
            </w:r>
          </w:p>
        </w:tc>
        <w:tc>
          <w:tcPr>
            <w:tcW w:w="960" w:type="dxa"/>
            <w:tcBorders>
              <w:top w:val="nil"/>
              <w:left w:val="nil"/>
              <w:bottom w:val="nil"/>
              <w:right w:val="nil"/>
            </w:tcBorders>
            <w:shd w:val="clear" w:color="000000" w:fill="FFFFFF"/>
            <w:noWrap/>
            <w:vAlign w:val="center"/>
            <w:hideMark/>
          </w:tcPr>
          <w:p w14:paraId="6803807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46</w:t>
            </w:r>
          </w:p>
        </w:tc>
        <w:tc>
          <w:tcPr>
            <w:tcW w:w="960" w:type="dxa"/>
            <w:tcBorders>
              <w:top w:val="nil"/>
              <w:left w:val="nil"/>
              <w:bottom w:val="nil"/>
              <w:right w:val="nil"/>
            </w:tcBorders>
            <w:shd w:val="clear" w:color="000000" w:fill="FFFFFF"/>
            <w:noWrap/>
            <w:vAlign w:val="center"/>
            <w:hideMark/>
          </w:tcPr>
          <w:p w14:paraId="696544F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59</w:t>
            </w:r>
          </w:p>
        </w:tc>
        <w:tc>
          <w:tcPr>
            <w:tcW w:w="960" w:type="dxa"/>
            <w:tcBorders>
              <w:top w:val="nil"/>
              <w:left w:val="nil"/>
              <w:bottom w:val="nil"/>
              <w:right w:val="nil"/>
            </w:tcBorders>
            <w:shd w:val="clear" w:color="000000" w:fill="F2F2F2"/>
            <w:noWrap/>
            <w:vAlign w:val="center"/>
            <w:hideMark/>
          </w:tcPr>
          <w:p w14:paraId="6D14178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71</w:t>
            </w:r>
          </w:p>
        </w:tc>
        <w:tc>
          <w:tcPr>
            <w:tcW w:w="960" w:type="dxa"/>
            <w:tcBorders>
              <w:top w:val="nil"/>
              <w:left w:val="nil"/>
              <w:bottom w:val="nil"/>
              <w:right w:val="nil"/>
            </w:tcBorders>
            <w:shd w:val="clear" w:color="000000" w:fill="F2F2F2"/>
            <w:noWrap/>
            <w:vAlign w:val="center"/>
            <w:hideMark/>
          </w:tcPr>
          <w:p w14:paraId="36D7F87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82</w:t>
            </w:r>
          </w:p>
        </w:tc>
        <w:tc>
          <w:tcPr>
            <w:tcW w:w="960" w:type="dxa"/>
            <w:tcBorders>
              <w:top w:val="nil"/>
              <w:left w:val="nil"/>
              <w:bottom w:val="nil"/>
              <w:right w:val="nil"/>
            </w:tcBorders>
            <w:shd w:val="clear" w:color="000000" w:fill="F2F2F2"/>
            <w:noWrap/>
            <w:vAlign w:val="center"/>
            <w:hideMark/>
          </w:tcPr>
          <w:p w14:paraId="1664372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84</w:t>
            </w:r>
          </w:p>
        </w:tc>
        <w:tc>
          <w:tcPr>
            <w:tcW w:w="960" w:type="dxa"/>
            <w:tcBorders>
              <w:top w:val="nil"/>
              <w:left w:val="nil"/>
              <w:bottom w:val="nil"/>
              <w:right w:val="nil"/>
            </w:tcBorders>
            <w:shd w:val="clear" w:color="000000" w:fill="F2F2F2"/>
            <w:noWrap/>
            <w:vAlign w:val="center"/>
            <w:hideMark/>
          </w:tcPr>
          <w:p w14:paraId="1DA50DB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87</w:t>
            </w:r>
          </w:p>
        </w:tc>
        <w:tc>
          <w:tcPr>
            <w:tcW w:w="1400" w:type="dxa"/>
            <w:tcBorders>
              <w:top w:val="nil"/>
              <w:left w:val="nil"/>
              <w:bottom w:val="nil"/>
              <w:right w:val="nil"/>
            </w:tcBorders>
            <w:shd w:val="clear" w:color="000000" w:fill="FFFFFF"/>
            <w:vAlign w:val="center"/>
            <w:hideMark/>
          </w:tcPr>
          <w:p w14:paraId="600CF070"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9.9</w:t>
            </w:r>
          </w:p>
        </w:tc>
      </w:tr>
      <w:tr w:rsidR="009A6B93" w:rsidRPr="009A6B93" w14:paraId="6251ED9E" w14:textId="77777777" w:rsidTr="00DB1C29">
        <w:trPr>
          <w:trHeight w:val="240"/>
        </w:trPr>
        <w:tc>
          <w:tcPr>
            <w:tcW w:w="2694" w:type="dxa"/>
            <w:tcBorders>
              <w:top w:val="nil"/>
              <w:left w:val="nil"/>
              <w:bottom w:val="nil"/>
              <w:right w:val="nil"/>
            </w:tcBorders>
            <w:shd w:val="clear" w:color="000000" w:fill="FFFFFF"/>
            <w:noWrap/>
            <w:vAlign w:val="center"/>
            <w:hideMark/>
          </w:tcPr>
          <w:p w14:paraId="640CA269" w14:textId="77777777" w:rsidR="009A6B93" w:rsidRPr="009A6B93" w:rsidRDefault="009A6B93" w:rsidP="00DB1C29">
            <w:pPr>
              <w:ind w:right="-106"/>
              <w:rPr>
                <w:rFonts w:ascii="Public Sans" w:hAnsi="Public Sans" w:cs="Calibri"/>
                <w:sz w:val="16"/>
                <w:szCs w:val="16"/>
                <w:lang w:val="en-AU" w:eastAsia="en-AU"/>
              </w:rPr>
            </w:pPr>
            <w:r w:rsidRPr="009A6B93">
              <w:rPr>
                <w:rFonts w:ascii="Public Sans" w:hAnsi="Public Sans" w:cs="Calibri"/>
                <w:sz w:val="16"/>
                <w:szCs w:val="16"/>
                <w:lang w:val="en-AU" w:eastAsia="en-AU"/>
              </w:rPr>
              <w:t>Patient fees and hospital charges</w:t>
            </w:r>
          </w:p>
        </w:tc>
        <w:tc>
          <w:tcPr>
            <w:tcW w:w="960" w:type="dxa"/>
            <w:tcBorders>
              <w:top w:val="nil"/>
              <w:left w:val="nil"/>
              <w:bottom w:val="nil"/>
              <w:right w:val="nil"/>
            </w:tcBorders>
            <w:shd w:val="clear" w:color="000000" w:fill="FFFFFF"/>
            <w:noWrap/>
            <w:vAlign w:val="center"/>
            <w:hideMark/>
          </w:tcPr>
          <w:p w14:paraId="53BF74C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1,089</w:t>
            </w:r>
          </w:p>
        </w:tc>
        <w:tc>
          <w:tcPr>
            <w:tcW w:w="960" w:type="dxa"/>
            <w:tcBorders>
              <w:top w:val="nil"/>
              <w:left w:val="nil"/>
              <w:bottom w:val="nil"/>
              <w:right w:val="nil"/>
            </w:tcBorders>
            <w:shd w:val="clear" w:color="000000" w:fill="FFFFFF"/>
            <w:noWrap/>
            <w:vAlign w:val="center"/>
            <w:hideMark/>
          </w:tcPr>
          <w:p w14:paraId="72EFDFF0"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1,228</w:t>
            </w:r>
          </w:p>
        </w:tc>
        <w:tc>
          <w:tcPr>
            <w:tcW w:w="960" w:type="dxa"/>
            <w:tcBorders>
              <w:top w:val="nil"/>
              <w:left w:val="nil"/>
              <w:bottom w:val="nil"/>
              <w:right w:val="nil"/>
            </w:tcBorders>
            <w:shd w:val="clear" w:color="000000" w:fill="F2F2F2"/>
            <w:noWrap/>
            <w:vAlign w:val="center"/>
            <w:hideMark/>
          </w:tcPr>
          <w:p w14:paraId="776EFEB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1,143</w:t>
            </w:r>
          </w:p>
        </w:tc>
        <w:tc>
          <w:tcPr>
            <w:tcW w:w="960" w:type="dxa"/>
            <w:tcBorders>
              <w:top w:val="nil"/>
              <w:left w:val="nil"/>
              <w:bottom w:val="nil"/>
              <w:right w:val="nil"/>
            </w:tcBorders>
            <w:shd w:val="clear" w:color="000000" w:fill="F2F2F2"/>
            <w:noWrap/>
            <w:vAlign w:val="center"/>
            <w:hideMark/>
          </w:tcPr>
          <w:p w14:paraId="782F5892"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1,187</w:t>
            </w:r>
          </w:p>
        </w:tc>
        <w:tc>
          <w:tcPr>
            <w:tcW w:w="960" w:type="dxa"/>
            <w:tcBorders>
              <w:top w:val="nil"/>
              <w:left w:val="nil"/>
              <w:bottom w:val="nil"/>
              <w:right w:val="nil"/>
            </w:tcBorders>
            <w:shd w:val="clear" w:color="000000" w:fill="F2F2F2"/>
            <w:noWrap/>
            <w:vAlign w:val="center"/>
            <w:hideMark/>
          </w:tcPr>
          <w:p w14:paraId="4B65D6F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1,232</w:t>
            </w:r>
          </w:p>
        </w:tc>
        <w:tc>
          <w:tcPr>
            <w:tcW w:w="960" w:type="dxa"/>
            <w:tcBorders>
              <w:top w:val="nil"/>
              <w:left w:val="nil"/>
              <w:bottom w:val="nil"/>
              <w:right w:val="nil"/>
            </w:tcBorders>
            <w:shd w:val="clear" w:color="000000" w:fill="F2F2F2"/>
            <w:noWrap/>
            <w:vAlign w:val="center"/>
            <w:hideMark/>
          </w:tcPr>
          <w:p w14:paraId="1CF5B52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1,279</w:t>
            </w:r>
          </w:p>
        </w:tc>
        <w:tc>
          <w:tcPr>
            <w:tcW w:w="1400" w:type="dxa"/>
            <w:tcBorders>
              <w:top w:val="nil"/>
              <w:left w:val="nil"/>
              <w:bottom w:val="nil"/>
              <w:right w:val="nil"/>
            </w:tcBorders>
            <w:shd w:val="clear" w:color="000000" w:fill="FFFFFF"/>
            <w:vAlign w:val="center"/>
            <w:hideMark/>
          </w:tcPr>
          <w:p w14:paraId="19335BB5"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1.0</w:t>
            </w:r>
          </w:p>
        </w:tc>
      </w:tr>
      <w:tr w:rsidR="009A6B93" w:rsidRPr="009A6B93" w14:paraId="1BCEDBC6" w14:textId="77777777" w:rsidTr="00DB1C29">
        <w:trPr>
          <w:trHeight w:val="240"/>
        </w:trPr>
        <w:tc>
          <w:tcPr>
            <w:tcW w:w="2694" w:type="dxa"/>
            <w:tcBorders>
              <w:top w:val="nil"/>
              <w:left w:val="nil"/>
              <w:bottom w:val="nil"/>
              <w:right w:val="nil"/>
            </w:tcBorders>
            <w:shd w:val="clear" w:color="000000" w:fill="FFFFFF"/>
            <w:vAlign w:val="center"/>
            <w:hideMark/>
          </w:tcPr>
          <w:p w14:paraId="7C15AF72" w14:textId="63096A13"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 xml:space="preserve">Department of Veterans' Affairs </w:t>
            </w:r>
          </w:p>
        </w:tc>
        <w:tc>
          <w:tcPr>
            <w:tcW w:w="960" w:type="dxa"/>
            <w:tcBorders>
              <w:top w:val="nil"/>
              <w:left w:val="nil"/>
              <w:bottom w:val="nil"/>
              <w:right w:val="nil"/>
            </w:tcBorders>
            <w:shd w:val="clear" w:color="000000" w:fill="FFFFFF"/>
            <w:noWrap/>
            <w:vAlign w:val="center"/>
            <w:hideMark/>
          </w:tcPr>
          <w:p w14:paraId="66F89B94"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111</w:t>
            </w:r>
          </w:p>
        </w:tc>
        <w:tc>
          <w:tcPr>
            <w:tcW w:w="960" w:type="dxa"/>
            <w:tcBorders>
              <w:top w:val="nil"/>
              <w:left w:val="nil"/>
              <w:bottom w:val="nil"/>
              <w:right w:val="nil"/>
            </w:tcBorders>
            <w:shd w:val="clear" w:color="000000" w:fill="FFFFFF"/>
            <w:noWrap/>
            <w:vAlign w:val="center"/>
            <w:hideMark/>
          </w:tcPr>
          <w:p w14:paraId="6A755DA5"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138</w:t>
            </w:r>
          </w:p>
        </w:tc>
        <w:tc>
          <w:tcPr>
            <w:tcW w:w="960" w:type="dxa"/>
            <w:tcBorders>
              <w:top w:val="nil"/>
              <w:left w:val="nil"/>
              <w:bottom w:val="nil"/>
              <w:right w:val="nil"/>
            </w:tcBorders>
            <w:shd w:val="clear" w:color="000000" w:fill="F2F2F2"/>
            <w:noWrap/>
            <w:vAlign w:val="center"/>
            <w:hideMark/>
          </w:tcPr>
          <w:p w14:paraId="33967DD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119</w:t>
            </w:r>
          </w:p>
        </w:tc>
        <w:tc>
          <w:tcPr>
            <w:tcW w:w="960" w:type="dxa"/>
            <w:tcBorders>
              <w:top w:val="nil"/>
              <w:left w:val="nil"/>
              <w:bottom w:val="nil"/>
              <w:right w:val="nil"/>
            </w:tcBorders>
            <w:shd w:val="clear" w:color="000000" w:fill="F2F2F2"/>
            <w:noWrap/>
            <w:vAlign w:val="center"/>
            <w:hideMark/>
          </w:tcPr>
          <w:p w14:paraId="2F65DD4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108</w:t>
            </w:r>
          </w:p>
        </w:tc>
        <w:tc>
          <w:tcPr>
            <w:tcW w:w="960" w:type="dxa"/>
            <w:tcBorders>
              <w:top w:val="nil"/>
              <w:left w:val="nil"/>
              <w:bottom w:val="nil"/>
              <w:right w:val="nil"/>
            </w:tcBorders>
            <w:shd w:val="clear" w:color="000000" w:fill="F2F2F2"/>
            <w:noWrap/>
            <w:vAlign w:val="center"/>
            <w:hideMark/>
          </w:tcPr>
          <w:p w14:paraId="71E777AF"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98</w:t>
            </w:r>
          </w:p>
        </w:tc>
        <w:tc>
          <w:tcPr>
            <w:tcW w:w="960" w:type="dxa"/>
            <w:tcBorders>
              <w:top w:val="nil"/>
              <w:left w:val="nil"/>
              <w:bottom w:val="nil"/>
              <w:right w:val="nil"/>
            </w:tcBorders>
            <w:shd w:val="clear" w:color="000000" w:fill="F2F2F2"/>
            <w:noWrap/>
            <w:vAlign w:val="center"/>
            <w:hideMark/>
          </w:tcPr>
          <w:p w14:paraId="57E774ED"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88</w:t>
            </w:r>
          </w:p>
        </w:tc>
        <w:tc>
          <w:tcPr>
            <w:tcW w:w="1400" w:type="dxa"/>
            <w:tcBorders>
              <w:top w:val="nil"/>
              <w:left w:val="nil"/>
              <w:bottom w:val="nil"/>
              <w:right w:val="nil"/>
            </w:tcBorders>
            <w:shd w:val="clear" w:color="000000" w:fill="FFFFFF"/>
            <w:vAlign w:val="center"/>
            <w:hideMark/>
          </w:tcPr>
          <w:p w14:paraId="657D87C7"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(10.5)</w:t>
            </w:r>
          </w:p>
        </w:tc>
      </w:tr>
      <w:tr w:rsidR="009A6B93" w:rsidRPr="009A6B93" w14:paraId="479984C1" w14:textId="77777777" w:rsidTr="00DB1C29">
        <w:trPr>
          <w:trHeight w:val="240"/>
        </w:trPr>
        <w:tc>
          <w:tcPr>
            <w:tcW w:w="2694" w:type="dxa"/>
            <w:tcBorders>
              <w:top w:val="nil"/>
              <w:left w:val="nil"/>
              <w:bottom w:val="nil"/>
              <w:right w:val="nil"/>
            </w:tcBorders>
            <w:shd w:val="clear" w:color="000000" w:fill="FFFFFF"/>
            <w:noWrap/>
            <w:vAlign w:val="center"/>
            <w:hideMark/>
          </w:tcPr>
          <w:p w14:paraId="69D205C8"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Court fees</w:t>
            </w:r>
          </w:p>
        </w:tc>
        <w:tc>
          <w:tcPr>
            <w:tcW w:w="960" w:type="dxa"/>
            <w:tcBorders>
              <w:top w:val="nil"/>
              <w:left w:val="nil"/>
              <w:bottom w:val="nil"/>
              <w:right w:val="nil"/>
            </w:tcBorders>
            <w:shd w:val="clear" w:color="000000" w:fill="FFFFFF"/>
            <w:noWrap/>
            <w:vAlign w:val="center"/>
            <w:hideMark/>
          </w:tcPr>
          <w:p w14:paraId="3934B51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131</w:t>
            </w:r>
          </w:p>
        </w:tc>
        <w:tc>
          <w:tcPr>
            <w:tcW w:w="960" w:type="dxa"/>
            <w:tcBorders>
              <w:top w:val="nil"/>
              <w:left w:val="nil"/>
              <w:bottom w:val="nil"/>
              <w:right w:val="nil"/>
            </w:tcBorders>
            <w:shd w:val="clear" w:color="000000" w:fill="FFFFFF"/>
            <w:noWrap/>
            <w:vAlign w:val="center"/>
            <w:hideMark/>
          </w:tcPr>
          <w:p w14:paraId="3614926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161</w:t>
            </w:r>
          </w:p>
        </w:tc>
        <w:tc>
          <w:tcPr>
            <w:tcW w:w="960" w:type="dxa"/>
            <w:tcBorders>
              <w:top w:val="nil"/>
              <w:left w:val="nil"/>
              <w:bottom w:val="nil"/>
              <w:right w:val="nil"/>
            </w:tcBorders>
            <w:shd w:val="clear" w:color="000000" w:fill="F2F2F2"/>
            <w:noWrap/>
            <w:vAlign w:val="center"/>
            <w:hideMark/>
          </w:tcPr>
          <w:p w14:paraId="4E41E2E5"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162</w:t>
            </w:r>
          </w:p>
        </w:tc>
        <w:tc>
          <w:tcPr>
            <w:tcW w:w="960" w:type="dxa"/>
            <w:tcBorders>
              <w:top w:val="nil"/>
              <w:left w:val="nil"/>
              <w:bottom w:val="nil"/>
              <w:right w:val="nil"/>
            </w:tcBorders>
            <w:shd w:val="clear" w:color="000000" w:fill="F2F2F2"/>
            <w:noWrap/>
            <w:vAlign w:val="center"/>
            <w:hideMark/>
          </w:tcPr>
          <w:p w14:paraId="50AA44B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166</w:t>
            </w:r>
          </w:p>
        </w:tc>
        <w:tc>
          <w:tcPr>
            <w:tcW w:w="960" w:type="dxa"/>
            <w:tcBorders>
              <w:top w:val="nil"/>
              <w:left w:val="nil"/>
              <w:bottom w:val="nil"/>
              <w:right w:val="nil"/>
            </w:tcBorders>
            <w:shd w:val="clear" w:color="000000" w:fill="F2F2F2"/>
            <w:noWrap/>
            <w:vAlign w:val="center"/>
            <w:hideMark/>
          </w:tcPr>
          <w:p w14:paraId="2F1B9619"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169</w:t>
            </w:r>
          </w:p>
        </w:tc>
        <w:tc>
          <w:tcPr>
            <w:tcW w:w="960" w:type="dxa"/>
            <w:tcBorders>
              <w:top w:val="nil"/>
              <w:left w:val="nil"/>
              <w:bottom w:val="nil"/>
              <w:right w:val="nil"/>
            </w:tcBorders>
            <w:shd w:val="clear" w:color="000000" w:fill="F2F2F2"/>
            <w:noWrap/>
            <w:vAlign w:val="center"/>
            <w:hideMark/>
          </w:tcPr>
          <w:p w14:paraId="505A009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169</w:t>
            </w:r>
          </w:p>
        </w:tc>
        <w:tc>
          <w:tcPr>
            <w:tcW w:w="1400" w:type="dxa"/>
            <w:tcBorders>
              <w:top w:val="nil"/>
              <w:left w:val="nil"/>
              <w:bottom w:val="nil"/>
              <w:right w:val="nil"/>
            </w:tcBorders>
            <w:shd w:val="clear" w:color="000000" w:fill="FFFFFF"/>
            <w:vAlign w:val="center"/>
            <w:hideMark/>
          </w:tcPr>
          <w:p w14:paraId="27D593F2"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1.2</w:t>
            </w:r>
          </w:p>
        </w:tc>
      </w:tr>
      <w:tr w:rsidR="009A6B93" w:rsidRPr="009A6B93" w14:paraId="08F1BEEB" w14:textId="77777777" w:rsidTr="00DB1C29">
        <w:trPr>
          <w:trHeight w:val="240"/>
        </w:trPr>
        <w:tc>
          <w:tcPr>
            <w:tcW w:w="2694" w:type="dxa"/>
            <w:tcBorders>
              <w:top w:val="nil"/>
              <w:left w:val="nil"/>
              <w:bottom w:val="nil"/>
              <w:right w:val="nil"/>
            </w:tcBorders>
            <w:shd w:val="clear" w:color="000000" w:fill="FFFFFF"/>
            <w:noWrap/>
            <w:vAlign w:val="center"/>
            <w:hideMark/>
          </w:tcPr>
          <w:p w14:paraId="6786B1C8"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Road tolls</w:t>
            </w:r>
          </w:p>
        </w:tc>
        <w:tc>
          <w:tcPr>
            <w:tcW w:w="960" w:type="dxa"/>
            <w:tcBorders>
              <w:top w:val="nil"/>
              <w:left w:val="nil"/>
              <w:bottom w:val="nil"/>
              <w:right w:val="nil"/>
            </w:tcBorders>
            <w:shd w:val="clear" w:color="000000" w:fill="FFFFFF"/>
            <w:noWrap/>
            <w:vAlign w:val="center"/>
            <w:hideMark/>
          </w:tcPr>
          <w:p w14:paraId="355F4569"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112</w:t>
            </w:r>
          </w:p>
        </w:tc>
        <w:tc>
          <w:tcPr>
            <w:tcW w:w="960" w:type="dxa"/>
            <w:tcBorders>
              <w:top w:val="nil"/>
              <w:left w:val="nil"/>
              <w:bottom w:val="nil"/>
              <w:right w:val="nil"/>
            </w:tcBorders>
            <w:shd w:val="clear" w:color="000000" w:fill="FFFFFF"/>
            <w:noWrap/>
            <w:vAlign w:val="center"/>
            <w:hideMark/>
          </w:tcPr>
          <w:p w14:paraId="22F69B5F"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136</w:t>
            </w:r>
          </w:p>
        </w:tc>
        <w:tc>
          <w:tcPr>
            <w:tcW w:w="960" w:type="dxa"/>
            <w:tcBorders>
              <w:top w:val="nil"/>
              <w:left w:val="nil"/>
              <w:bottom w:val="nil"/>
              <w:right w:val="nil"/>
            </w:tcBorders>
            <w:shd w:val="clear" w:color="000000" w:fill="F2F2F2"/>
            <w:noWrap/>
            <w:vAlign w:val="center"/>
            <w:hideMark/>
          </w:tcPr>
          <w:p w14:paraId="69B3574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166</w:t>
            </w:r>
          </w:p>
        </w:tc>
        <w:tc>
          <w:tcPr>
            <w:tcW w:w="960" w:type="dxa"/>
            <w:tcBorders>
              <w:top w:val="nil"/>
              <w:left w:val="nil"/>
              <w:bottom w:val="nil"/>
              <w:right w:val="nil"/>
            </w:tcBorders>
            <w:shd w:val="clear" w:color="000000" w:fill="F2F2F2"/>
            <w:noWrap/>
            <w:vAlign w:val="center"/>
            <w:hideMark/>
          </w:tcPr>
          <w:p w14:paraId="202797AF"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173</w:t>
            </w:r>
          </w:p>
        </w:tc>
        <w:tc>
          <w:tcPr>
            <w:tcW w:w="960" w:type="dxa"/>
            <w:tcBorders>
              <w:top w:val="nil"/>
              <w:left w:val="nil"/>
              <w:bottom w:val="nil"/>
              <w:right w:val="nil"/>
            </w:tcBorders>
            <w:shd w:val="clear" w:color="000000" w:fill="F2F2F2"/>
            <w:noWrap/>
            <w:vAlign w:val="center"/>
            <w:hideMark/>
          </w:tcPr>
          <w:p w14:paraId="29F2CF18"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199</w:t>
            </w:r>
          </w:p>
        </w:tc>
        <w:tc>
          <w:tcPr>
            <w:tcW w:w="960" w:type="dxa"/>
            <w:tcBorders>
              <w:top w:val="nil"/>
              <w:left w:val="nil"/>
              <w:bottom w:val="nil"/>
              <w:right w:val="nil"/>
            </w:tcBorders>
            <w:shd w:val="clear" w:color="000000" w:fill="F2F2F2"/>
            <w:noWrap/>
            <w:vAlign w:val="center"/>
            <w:hideMark/>
          </w:tcPr>
          <w:p w14:paraId="62FFA03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216</w:t>
            </w:r>
          </w:p>
        </w:tc>
        <w:tc>
          <w:tcPr>
            <w:tcW w:w="1400" w:type="dxa"/>
            <w:tcBorders>
              <w:top w:val="nil"/>
              <w:left w:val="nil"/>
              <w:bottom w:val="nil"/>
              <w:right w:val="nil"/>
            </w:tcBorders>
            <w:shd w:val="clear" w:color="000000" w:fill="FFFFFF"/>
            <w:vAlign w:val="center"/>
            <w:hideMark/>
          </w:tcPr>
          <w:p w14:paraId="03B319CF"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12.4</w:t>
            </w:r>
          </w:p>
        </w:tc>
      </w:tr>
      <w:tr w:rsidR="009A6B93" w:rsidRPr="009A6B93" w14:paraId="23593793" w14:textId="77777777" w:rsidTr="00DB1C29">
        <w:trPr>
          <w:trHeight w:val="240"/>
        </w:trPr>
        <w:tc>
          <w:tcPr>
            <w:tcW w:w="2694" w:type="dxa"/>
            <w:tcBorders>
              <w:top w:val="nil"/>
              <w:left w:val="nil"/>
              <w:bottom w:val="nil"/>
              <w:right w:val="nil"/>
            </w:tcBorders>
            <w:shd w:val="clear" w:color="000000" w:fill="FFFFFF"/>
            <w:vAlign w:val="center"/>
            <w:hideMark/>
          </w:tcPr>
          <w:p w14:paraId="3D35F0FF" w14:textId="77777777" w:rsidR="009A6B93" w:rsidRPr="009A6B93" w:rsidRDefault="009A6B93" w:rsidP="00525182">
            <w:pPr>
              <w:ind w:left="113" w:hanging="113"/>
              <w:rPr>
                <w:rFonts w:ascii="Public Sans" w:hAnsi="Public Sans" w:cs="Calibri"/>
                <w:sz w:val="16"/>
                <w:szCs w:val="16"/>
                <w:lang w:val="en-AU" w:eastAsia="en-AU"/>
              </w:rPr>
            </w:pPr>
            <w:r w:rsidRPr="009A6B93">
              <w:rPr>
                <w:rFonts w:ascii="Public Sans" w:hAnsi="Public Sans" w:cs="Calibri"/>
                <w:sz w:val="16"/>
                <w:szCs w:val="16"/>
                <w:lang w:val="en-AU" w:eastAsia="en-AU"/>
              </w:rPr>
              <w:t>Other sales of goods and services</w:t>
            </w:r>
          </w:p>
        </w:tc>
        <w:tc>
          <w:tcPr>
            <w:tcW w:w="960" w:type="dxa"/>
            <w:tcBorders>
              <w:top w:val="nil"/>
              <w:left w:val="nil"/>
              <w:bottom w:val="nil"/>
              <w:right w:val="nil"/>
            </w:tcBorders>
            <w:shd w:val="clear" w:color="000000" w:fill="FFFFFF"/>
            <w:noWrap/>
            <w:vAlign w:val="center"/>
            <w:hideMark/>
          </w:tcPr>
          <w:p w14:paraId="596B463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4,783</w:t>
            </w:r>
          </w:p>
        </w:tc>
        <w:tc>
          <w:tcPr>
            <w:tcW w:w="960" w:type="dxa"/>
            <w:tcBorders>
              <w:top w:val="nil"/>
              <w:left w:val="nil"/>
              <w:bottom w:val="nil"/>
              <w:right w:val="nil"/>
            </w:tcBorders>
            <w:shd w:val="clear" w:color="000000" w:fill="FFFFFF"/>
            <w:noWrap/>
            <w:vAlign w:val="center"/>
            <w:hideMark/>
          </w:tcPr>
          <w:p w14:paraId="0372B00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5,036</w:t>
            </w:r>
          </w:p>
        </w:tc>
        <w:tc>
          <w:tcPr>
            <w:tcW w:w="960" w:type="dxa"/>
            <w:tcBorders>
              <w:top w:val="nil"/>
              <w:left w:val="nil"/>
              <w:bottom w:val="nil"/>
              <w:right w:val="nil"/>
            </w:tcBorders>
            <w:shd w:val="clear" w:color="000000" w:fill="F2F2F2"/>
            <w:noWrap/>
            <w:vAlign w:val="center"/>
            <w:hideMark/>
          </w:tcPr>
          <w:p w14:paraId="61D8183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5,577</w:t>
            </w:r>
          </w:p>
        </w:tc>
        <w:tc>
          <w:tcPr>
            <w:tcW w:w="960" w:type="dxa"/>
            <w:tcBorders>
              <w:top w:val="nil"/>
              <w:left w:val="nil"/>
              <w:bottom w:val="nil"/>
              <w:right w:val="nil"/>
            </w:tcBorders>
            <w:shd w:val="clear" w:color="000000" w:fill="F2F2F2"/>
            <w:noWrap/>
            <w:vAlign w:val="center"/>
            <w:hideMark/>
          </w:tcPr>
          <w:p w14:paraId="3A26ED99"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5,887</w:t>
            </w:r>
          </w:p>
        </w:tc>
        <w:tc>
          <w:tcPr>
            <w:tcW w:w="960" w:type="dxa"/>
            <w:tcBorders>
              <w:top w:val="nil"/>
              <w:left w:val="nil"/>
              <w:bottom w:val="nil"/>
              <w:right w:val="nil"/>
            </w:tcBorders>
            <w:shd w:val="clear" w:color="000000" w:fill="F2F2F2"/>
            <w:noWrap/>
            <w:vAlign w:val="center"/>
            <w:hideMark/>
          </w:tcPr>
          <w:p w14:paraId="0275CFB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5,997</w:t>
            </w:r>
          </w:p>
        </w:tc>
        <w:tc>
          <w:tcPr>
            <w:tcW w:w="960" w:type="dxa"/>
            <w:tcBorders>
              <w:top w:val="nil"/>
              <w:left w:val="nil"/>
              <w:bottom w:val="nil"/>
              <w:right w:val="nil"/>
            </w:tcBorders>
            <w:shd w:val="clear" w:color="000000" w:fill="F2F2F2"/>
            <w:noWrap/>
            <w:vAlign w:val="center"/>
            <w:hideMark/>
          </w:tcPr>
          <w:p w14:paraId="7CAE5DB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6,112</w:t>
            </w:r>
          </w:p>
        </w:tc>
        <w:tc>
          <w:tcPr>
            <w:tcW w:w="1400" w:type="dxa"/>
            <w:tcBorders>
              <w:top w:val="nil"/>
              <w:left w:val="nil"/>
              <w:bottom w:val="nil"/>
              <w:right w:val="nil"/>
            </w:tcBorders>
            <w:shd w:val="clear" w:color="000000" w:fill="FFFFFF"/>
            <w:vAlign w:val="center"/>
            <w:hideMark/>
          </w:tcPr>
          <w:p w14:paraId="484F400E"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5.0</w:t>
            </w:r>
          </w:p>
        </w:tc>
      </w:tr>
      <w:tr w:rsidR="009A6B93" w:rsidRPr="009A6B93" w14:paraId="2B59D9C4" w14:textId="77777777" w:rsidTr="00DB1C29">
        <w:trPr>
          <w:trHeight w:val="340"/>
        </w:trPr>
        <w:tc>
          <w:tcPr>
            <w:tcW w:w="2694" w:type="dxa"/>
            <w:tcBorders>
              <w:top w:val="single" w:sz="4" w:space="0" w:color="auto"/>
              <w:left w:val="nil"/>
              <w:bottom w:val="single" w:sz="4" w:space="0" w:color="auto"/>
              <w:right w:val="nil"/>
            </w:tcBorders>
            <w:shd w:val="clear" w:color="000000" w:fill="FFFFFF"/>
            <w:noWrap/>
            <w:vAlign w:val="center"/>
            <w:hideMark/>
          </w:tcPr>
          <w:p w14:paraId="30B5B7C1" w14:textId="77777777" w:rsidR="009A6B93" w:rsidRPr="009A6B93" w:rsidRDefault="009A6B93" w:rsidP="009A6B93">
            <w:pPr>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 xml:space="preserve">Sale of goods and services </w:t>
            </w:r>
          </w:p>
        </w:tc>
        <w:tc>
          <w:tcPr>
            <w:tcW w:w="960" w:type="dxa"/>
            <w:tcBorders>
              <w:top w:val="single" w:sz="4" w:space="0" w:color="auto"/>
              <w:left w:val="nil"/>
              <w:bottom w:val="single" w:sz="4" w:space="0" w:color="auto"/>
              <w:right w:val="nil"/>
            </w:tcBorders>
            <w:shd w:val="clear" w:color="000000" w:fill="FFFFFF"/>
            <w:noWrap/>
            <w:vAlign w:val="center"/>
            <w:hideMark/>
          </w:tcPr>
          <w:p w14:paraId="4657272D"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9,451</w:t>
            </w:r>
          </w:p>
        </w:tc>
        <w:tc>
          <w:tcPr>
            <w:tcW w:w="960" w:type="dxa"/>
            <w:tcBorders>
              <w:top w:val="single" w:sz="4" w:space="0" w:color="auto"/>
              <w:left w:val="nil"/>
              <w:bottom w:val="single" w:sz="4" w:space="0" w:color="auto"/>
              <w:right w:val="nil"/>
            </w:tcBorders>
            <w:shd w:val="clear" w:color="000000" w:fill="FFFFFF"/>
            <w:noWrap/>
            <w:vAlign w:val="center"/>
            <w:hideMark/>
          </w:tcPr>
          <w:p w14:paraId="1886CECE"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9,705</w:t>
            </w:r>
          </w:p>
        </w:tc>
        <w:tc>
          <w:tcPr>
            <w:tcW w:w="960" w:type="dxa"/>
            <w:tcBorders>
              <w:top w:val="single" w:sz="4" w:space="0" w:color="auto"/>
              <w:left w:val="nil"/>
              <w:bottom w:val="single" w:sz="4" w:space="0" w:color="auto"/>
              <w:right w:val="nil"/>
            </w:tcBorders>
            <w:shd w:val="clear" w:color="000000" w:fill="F2F2F2"/>
            <w:noWrap/>
            <w:vAlign w:val="center"/>
            <w:hideMark/>
          </w:tcPr>
          <w:p w14:paraId="06B86611"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10,603</w:t>
            </w:r>
          </w:p>
        </w:tc>
        <w:tc>
          <w:tcPr>
            <w:tcW w:w="960" w:type="dxa"/>
            <w:tcBorders>
              <w:top w:val="single" w:sz="4" w:space="0" w:color="auto"/>
              <w:left w:val="nil"/>
              <w:bottom w:val="single" w:sz="4" w:space="0" w:color="auto"/>
              <w:right w:val="nil"/>
            </w:tcBorders>
            <w:shd w:val="clear" w:color="000000" w:fill="F2F2F2"/>
            <w:noWrap/>
            <w:vAlign w:val="center"/>
            <w:hideMark/>
          </w:tcPr>
          <w:p w14:paraId="6B305A9D"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10,744</w:t>
            </w:r>
          </w:p>
        </w:tc>
        <w:tc>
          <w:tcPr>
            <w:tcW w:w="960" w:type="dxa"/>
            <w:tcBorders>
              <w:top w:val="single" w:sz="4" w:space="0" w:color="auto"/>
              <w:left w:val="nil"/>
              <w:bottom w:val="single" w:sz="4" w:space="0" w:color="auto"/>
              <w:right w:val="nil"/>
            </w:tcBorders>
            <w:shd w:val="clear" w:color="000000" w:fill="F2F2F2"/>
            <w:noWrap/>
            <w:vAlign w:val="center"/>
            <w:hideMark/>
          </w:tcPr>
          <w:p w14:paraId="39111AF8"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10,433</w:t>
            </w:r>
          </w:p>
        </w:tc>
        <w:tc>
          <w:tcPr>
            <w:tcW w:w="960" w:type="dxa"/>
            <w:tcBorders>
              <w:top w:val="single" w:sz="4" w:space="0" w:color="auto"/>
              <w:left w:val="nil"/>
              <w:bottom w:val="single" w:sz="4" w:space="0" w:color="auto"/>
              <w:right w:val="nil"/>
            </w:tcBorders>
            <w:shd w:val="clear" w:color="000000" w:fill="F2F2F2"/>
            <w:noWrap/>
            <w:vAlign w:val="center"/>
            <w:hideMark/>
          </w:tcPr>
          <w:p w14:paraId="60445F27"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10,591</w:t>
            </w:r>
          </w:p>
        </w:tc>
        <w:tc>
          <w:tcPr>
            <w:tcW w:w="1400" w:type="dxa"/>
            <w:tcBorders>
              <w:top w:val="single" w:sz="4" w:space="0" w:color="auto"/>
              <w:left w:val="nil"/>
              <w:bottom w:val="single" w:sz="4" w:space="0" w:color="auto"/>
              <w:right w:val="nil"/>
            </w:tcBorders>
            <w:shd w:val="clear" w:color="000000" w:fill="FFFFFF"/>
            <w:noWrap/>
            <w:vAlign w:val="center"/>
            <w:hideMark/>
          </w:tcPr>
          <w:p w14:paraId="3A034AD0" w14:textId="77777777" w:rsidR="009A6B93" w:rsidRPr="009A6B93" w:rsidRDefault="009A6B93" w:rsidP="009A6B93">
            <w:pPr>
              <w:jc w:val="center"/>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2.2</w:t>
            </w:r>
          </w:p>
        </w:tc>
      </w:tr>
    </w:tbl>
    <w:p w14:paraId="0DD43139" w14:textId="77777777" w:rsidR="00E90BEE" w:rsidRPr="00FC5384" w:rsidRDefault="00E90BEE" w:rsidP="003E1075">
      <w:pPr>
        <w:rPr>
          <w:rFonts w:eastAsiaTheme="minorHAnsi"/>
          <w:shd w:val="clear" w:color="auto" w:fill="FFFFFF"/>
        </w:rPr>
      </w:pPr>
    </w:p>
    <w:p w14:paraId="2E8CDBCE" w14:textId="77777777" w:rsidR="00E90BEE" w:rsidRPr="00D672B4" w:rsidRDefault="00E90BEE" w:rsidP="00E90BEE">
      <w:pPr>
        <w:pStyle w:val="Heading3"/>
        <w:ind w:left="737" w:hanging="737"/>
        <w:rPr>
          <w:rFonts w:eastAsiaTheme="minorEastAsia"/>
        </w:rPr>
      </w:pPr>
      <w:r w:rsidRPr="00D672B4">
        <w:rPr>
          <w:rFonts w:eastAsiaTheme="minorEastAsia" w:hint="eastAsia"/>
        </w:rPr>
        <w:t>Interest income</w:t>
      </w:r>
    </w:p>
    <w:p w14:paraId="68AF4EC1" w14:textId="7A9C7B6A" w:rsidR="00643CE7" w:rsidRPr="00985B20" w:rsidRDefault="0A0D300D" w:rsidP="00E4551D">
      <w:pPr>
        <w:pStyle w:val="BodyText"/>
      </w:pPr>
      <w:bookmarkStart w:id="7" w:name="_Hlk516818031"/>
      <w:r>
        <w:t xml:space="preserve">Interest income includes returns on managed bond investments, including investments made by TCorp, and interest earned on bank deposits and funding facilities. Interest revenue is expected to be </w:t>
      </w:r>
      <w:r w:rsidDel="000A2C49">
        <w:t>$</w:t>
      </w:r>
      <w:r w:rsidR="0012144E" w:rsidRPr="008512F7">
        <w:t>1</w:t>
      </w:r>
      <w:r w:rsidR="00FC6429">
        <w:t>35.5</w:t>
      </w:r>
      <w:r w:rsidDel="000A2C49">
        <w:t xml:space="preserve"> million </w:t>
      </w:r>
      <w:r w:rsidR="008C00E9" w:rsidRPr="00B67DB9">
        <w:t>lower</w:t>
      </w:r>
      <w:r>
        <w:t xml:space="preserve"> over the four years to 202</w:t>
      </w:r>
      <w:r w:rsidR="050CF12F">
        <w:t>6</w:t>
      </w:r>
      <w:r w:rsidR="007D4528">
        <w:t>-27</w:t>
      </w:r>
      <w:r>
        <w:t xml:space="preserve">. This largely </w:t>
      </w:r>
      <w:r w:rsidRPr="00B67DB9">
        <w:t xml:space="preserve">reflects </w:t>
      </w:r>
      <w:r w:rsidR="00E62AA9">
        <w:t xml:space="preserve">an </w:t>
      </w:r>
      <w:r w:rsidR="00721913" w:rsidRPr="00C3683B">
        <w:t>update</w:t>
      </w:r>
      <w:r w:rsidR="00E62AA9" w:rsidRPr="00C3683B">
        <w:t>d</w:t>
      </w:r>
      <w:r w:rsidR="00721913" w:rsidRPr="00C3683B">
        <w:t xml:space="preserve"> profile for </w:t>
      </w:r>
      <w:r w:rsidR="005515E6" w:rsidRPr="00C3683B">
        <w:t>the Regional Rail project</w:t>
      </w:r>
      <w:r w:rsidR="00985B20" w:rsidRPr="00C3683B" w:rsidDel="0A0D300D">
        <w:t>.</w:t>
      </w:r>
    </w:p>
    <w:p w14:paraId="637D8D99" w14:textId="2EDBC636" w:rsidR="00E90BEE" w:rsidRPr="00A2715B" w:rsidRDefault="00E90BEE" w:rsidP="00E90BEE">
      <w:pPr>
        <w:pStyle w:val="Heading3"/>
        <w:ind w:left="737" w:hanging="737"/>
      </w:pPr>
      <w:r w:rsidRPr="00A2715B">
        <w:rPr>
          <w:rFonts w:eastAsiaTheme="minorEastAsia"/>
        </w:rPr>
        <w:t>Dividends and income tax equivalents</w:t>
      </w:r>
    </w:p>
    <w:bookmarkEnd w:id="7"/>
    <w:p w14:paraId="6F6088CF" w14:textId="76D3F2D1" w:rsidR="00384D2D" w:rsidRDefault="00284300" w:rsidP="00E4551D">
      <w:pPr>
        <w:pStyle w:val="BodyText"/>
      </w:pPr>
      <w:r w:rsidRPr="161621AB">
        <w:t xml:space="preserve">SOCs and </w:t>
      </w:r>
      <w:r w:rsidR="009F471C">
        <w:t>NSW Treasury Corporation</w:t>
      </w:r>
      <w:r w:rsidRPr="161621AB">
        <w:t xml:space="preserve"> pay dividends that provide appropriate return</w:t>
      </w:r>
      <w:r w:rsidR="009F471C">
        <w:t>s</w:t>
      </w:r>
      <w:r w:rsidRPr="161621AB">
        <w:t xml:space="preserve"> on </w:t>
      </w:r>
      <w:r w:rsidR="009F471C">
        <w:t>the G</w:t>
      </w:r>
      <w:r w:rsidRPr="161621AB">
        <w:t>overnment</w:t>
      </w:r>
      <w:r w:rsidR="009F471C">
        <w:t>’s</w:t>
      </w:r>
      <w:r w:rsidRPr="161621AB">
        <w:t xml:space="preserve"> </w:t>
      </w:r>
      <w:r w:rsidR="003903E4">
        <w:t>equity</w:t>
      </w:r>
      <w:r w:rsidRPr="161621AB">
        <w:t xml:space="preserve"> investment</w:t>
      </w:r>
      <w:r w:rsidR="003903E4">
        <w:t xml:space="preserve"> in these entities</w:t>
      </w:r>
      <w:r w:rsidRPr="161621AB">
        <w:t xml:space="preserve">. </w:t>
      </w:r>
      <w:r w:rsidR="00384D2D">
        <w:t xml:space="preserve">They </w:t>
      </w:r>
      <w:r w:rsidR="00A87924">
        <w:t>also make income tax equivalent</w:t>
      </w:r>
      <w:r w:rsidR="00434078">
        <w:t xml:space="preserve"> payments</w:t>
      </w:r>
      <w:r w:rsidR="00887B17">
        <w:t xml:space="preserve"> to ensure </w:t>
      </w:r>
      <w:r w:rsidR="00A10FDB">
        <w:t>competitive neutrality</w:t>
      </w:r>
      <w:r w:rsidR="00C620F4">
        <w:t>.</w:t>
      </w:r>
    </w:p>
    <w:p w14:paraId="764CDC3E" w14:textId="291C5973" w:rsidR="007520AC" w:rsidRDefault="00284300" w:rsidP="00E4551D">
      <w:pPr>
        <w:pStyle w:val="BodyText"/>
      </w:pPr>
      <w:r w:rsidRPr="161621AB">
        <w:t>Dividends and income tax equivalents are estimated to be $</w:t>
      </w:r>
      <w:r w:rsidR="00FC6429">
        <w:t>1.8</w:t>
      </w:r>
      <w:r w:rsidRPr="161621AB" w:rsidDel="00667F70">
        <w:t xml:space="preserve"> </w:t>
      </w:r>
      <w:r w:rsidR="00FC6429">
        <w:t>b</w:t>
      </w:r>
      <w:r w:rsidRPr="161621AB">
        <w:t xml:space="preserve">illion </w:t>
      </w:r>
      <w:r w:rsidRPr="00B67DB9">
        <w:t>lower</w:t>
      </w:r>
      <w:r w:rsidRPr="161621AB">
        <w:t xml:space="preserve"> over the four years to 202</w:t>
      </w:r>
      <w:r w:rsidR="73EAA2E3" w:rsidRPr="161621AB">
        <w:t>6</w:t>
      </w:r>
      <w:r w:rsidR="007D4528">
        <w:t>-27</w:t>
      </w:r>
      <w:r w:rsidRPr="161621AB">
        <w:t xml:space="preserve"> relative to the </w:t>
      </w:r>
      <w:r w:rsidR="7A370F1B" w:rsidRPr="161621AB">
        <w:t>2023</w:t>
      </w:r>
      <w:r w:rsidR="002F4640" w:rsidRPr="161621AB">
        <w:t xml:space="preserve"> Pre-election Budget Update</w:t>
      </w:r>
      <w:r w:rsidRPr="161621AB">
        <w:t xml:space="preserve">. </w:t>
      </w:r>
      <w:r w:rsidR="0016361B">
        <w:t xml:space="preserve">This is </w:t>
      </w:r>
      <w:r w:rsidR="00352EAF">
        <w:t xml:space="preserve">largely due to the Government’s decision </w:t>
      </w:r>
      <w:r w:rsidR="00EA252A">
        <w:t>that TAHE will</w:t>
      </w:r>
      <w:r w:rsidR="008F3F5A">
        <w:t xml:space="preserve"> no longer </w:t>
      </w:r>
      <w:r w:rsidR="00EA252A">
        <w:t xml:space="preserve">be </w:t>
      </w:r>
      <w:r w:rsidR="008F3F5A">
        <w:t>require</w:t>
      </w:r>
      <w:r w:rsidR="00EA252A">
        <w:t>d</w:t>
      </w:r>
      <w:r w:rsidR="008F3F5A">
        <w:t xml:space="preserve"> to pay dividends and income tax equivalents from 2023-24</w:t>
      </w:r>
      <w:r w:rsidR="003C365D">
        <w:t xml:space="preserve">, as part of its transition </w:t>
      </w:r>
      <w:r w:rsidR="007520AC">
        <w:t>to a non</w:t>
      </w:r>
      <w:r w:rsidR="00943934">
        <w:noBreakHyphen/>
      </w:r>
      <w:r w:rsidR="007520AC">
        <w:t>commercial PNFC</w:t>
      </w:r>
      <w:r w:rsidR="00A64796">
        <w:t xml:space="preserve"> operati</w:t>
      </w:r>
      <w:r w:rsidR="00814953">
        <w:t>ng model</w:t>
      </w:r>
      <w:r w:rsidR="008F3F5A">
        <w:t xml:space="preserve">. </w:t>
      </w:r>
    </w:p>
    <w:p w14:paraId="6C7889F1" w14:textId="6EBBC9C5" w:rsidR="00284300" w:rsidRPr="00284300" w:rsidRDefault="008F3F5A" w:rsidP="00E4551D">
      <w:pPr>
        <w:pStyle w:val="BodyText"/>
        <w:rPr>
          <w:highlight w:val="yellow"/>
        </w:rPr>
      </w:pPr>
      <w:r>
        <w:t>Th</w:t>
      </w:r>
      <w:r w:rsidR="001E5118">
        <w:t>e downgrade in dividends and income tax equivalents</w:t>
      </w:r>
      <w:r>
        <w:t xml:space="preserve"> is partially offset by increased </w:t>
      </w:r>
      <w:r w:rsidR="00671001">
        <w:t xml:space="preserve">revenue from TCorp due to higher financial markets revenue </w:t>
      </w:r>
      <w:r w:rsidR="00537230">
        <w:t xml:space="preserve">and </w:t>
      </w:r>
      <w:r w:rsidR="008D01CF">
        <w:t xml:space="preserve">an increase in revenue from </w:t>
      </w:r>
      <w:r w:rsidR="00A70A12">
        <w:rPr>
          <w:rStyle w:val="ui-provider"/>
        </w:rPr>
        <w:t xml:space="preserve">Sydney </w:t>
      </w:r>
      <w:r w:rsidR="000C5D23">
        <w:rPr>
          <w:rStyle w:val="ui-provider"/>
        </w:rPr>
        <w:t>W</w:t>
      </w:r>
      <w:r w:rsidR="00A70A12">
        <w:rPr>
          <w:rStyle w:val="ui-provider"/>
        </w:rPr>
        <w:t xml:space="preserve">ater due to the gradual introduction of infrastructure </w:t>
      </w:r>
      <w:r w:rsidR="003F5133">
        <w:rPr>
          <w:rStyle w:val="ui-provider"/>
        </w:rPr>
        <w:t xml:space="preserve">contributions </w:t>
      </w:r>
      <w:r w:rsidR="00A70A12">
        <w:rPr>
          <w:rStyle w:val="ui-provider"/>
        </w:rPr>
        <w:t xml:space="preserve">from 2024-25 and increased </w:t>
      </w:r>
      <w:r w:rsidR="002B2ECB">
        <w:rPr>
          <w:rStyle w:val="ui-provider"/>
        </w:rPr>
        <w:t>forecast</w:t>
      </w:r>
      <w:r w:rsidR="00A70A12">
        <w:rPr>
          <w:rStyle w:val="ui-provider"/>
        </w:rPr>
        <w:t xml:space="preserve"> revenue in line with the anticipated Independent Pricing and Regulatory Tribunal’s pricing determination for Sydney Water commencing 1 July 2025. </w:t>
      </w:r>
    </w:p>
    <w:p w14:paraId="0328FEA9" w14:textId="3E7DEF05" w:rsidR="00E90BEE" w:rsidRPr="00A2715B" w:rsidRDefault="00E90BEE" w:rsidP="00E90BEE">
      <w:pPr>
        <w:pStyle w:val="Heading3"/>
        <w:ind w:left="737" w:hanging="737"/>
        <w:rPr>
          <w:rFonts w:eastAsiaTheme="minorEastAsia"/>
        </w:rPr>
      </w:pPr>
      <w:r w:rsidRPr="00A2715B">
        <w:rPr>
          <w:rFonts w:eastAsiaTheme="minorEastAsia"/>
        </w:rPr>
        <w:lastRenderedPageBreak/>
        <w:t xml:space="preserve">Other dividends and distributions </w:t>
      </w:r>
    </w:p>
    <w:p w14:paraId="0096F145" w14:textId="0211EFB6" w:rsidR="00643CE7" w:rsidRDefault="000906CF" w:rsidP="00E4551D">
      <w:pPr>
        <w:pStyle w:val="BodyText"/>
      </w:pPr>
      <w:r w:rsidRPr="6AFD4F6A">
        <w:t>Other dividends and distributions are received from entities other than S</w:t>
      </w:r>
      <w:r w:rsidR="003B3B97">
        <w:t>OC</w:t>
      </w:r>
      <w:r w:rsidRPr="6AFD4F6A">
        <w:t xml:space="preserve">s, as well as from the State’s equity investment in </w:t>
      </w:r>
      <w:r w:rsidR="00CB31EF">
        <w:t>associated entities</w:t>
      </w:r>
      <w:r w:rsidR="00CB31EF" w:rsidRPr="6AFD4F6A">
        <w:t xml:space="preserve"> </w:t>
      </w:r>
      <w:r w:rsidRPr="6AFD4F6A">
        <w:t>such as Ausgrid and Endeavour Energy. Over the four years to 20</w:t>
      </w:r>
      <w:r w:rsidR="005C7A65" w:rsidRPr="6AFD4F6A">
        <w:t>2</w:t>
      </w:r>
      <w:r w:rsidR="2315342F" w:rsidRPr="6AFD4F6A">
        <w:t>6</w:t>
      </w:r>
      <w:r w:rsidR="007D4528">
        <w:t>-27</w:t>
      </w:r>
      <w:r w:rsidRPr="6AFD4F6A">
        <w:t xml:space="preserve">, other dividends and distributions have been </w:t>
      </w:r>
      <w:r w:rsidRPr="00B67DB9">
        <w:t>downgraded</w:t>
      </w:r>
      <w:r w:rsidRPr="6AFD4F6A">
        <w:t xml:space="preserve"> by $</w:t>
      </w:r>
      <w:r w:rsidR="00662CAE" w:rsidRPr="008512F7">
        <w:t>3.1</w:t>
      </w:r>
      <w:r w:rsidRPr="6AFD4F6A">
        <w:t xml:space="preserve"> </w:t>
      </w:r>
      <w:r w:rsidR="00662CAE">
        <w:t>b</w:t>
      </w:r>
      <w:r w:rsidRPr="6AFD4F6A">
        <w:t>illion.</w:t>
      </w:r>
      <w:r w:rsidR="00F15601" w:rsidRPr="00F15601">
        <w:t xml:space="preserve"> Key drivers include the suspension of contributions to the </w:t>
      </w:r>
      <w:r w:rsidR="00705512">
        <w:t>NSW Generations Fund</w:t>
      </w:r>
      <w:r w:rsidR="00F15601" w:rsidRPr="00F15601">
        <w:t xml:space="preserve"> in 2023-24 and reduced contributions over the remaining three years</w:t>
      </w:r>
      <w:r w:rsidR="00421B55">
        <w:t>,</w:t>
      </w:r>
      <w:r w:rsidR="00F15601" w:rsidRPr="00F15601">
        <w:t xml:space="preserve"> as well as the bring-forward of planned Restart NSW spend reducing returns from the NSW Infrastructure Future Fund</w:t>
      </w:r>
      <w:r w:rsidR="00F15601" w:rsidRPr="00DC0D4A">
        <w:t>.</w:t>
      </w:r>
      <w:r w:rsidR="00F15601" w:rsidRPr="00F15601">
        <w:t xml:space="preserve"> Higher returns from the Social and Affordable Housing Fund and Snowy Hydro Legacy Fund</w:t>
      </w:r>
      <w:r w:rsidR="00F15601" w:rsidRPr="00F15601" w:rsidDel="00587E95">
        <w:t xml:space="preserve"> </w:t>
      </w:r>
      <w:r w:rsidR="00F15601" w:rsidRPr="00F15601">
        <w:t>are expected to provide a slight offset</w:t>
      </w:r>
      <w:r w:rsidR="00F15601" w:rsidRPr="00DC0D4A">
        <w:t>.</w:t>
      </w:r>
    </w:p>
    <w:p w14:paraId="000691B0" w14:textId="77777777" w:rsidR="00E90BEE" w:rsidRPr="00026FD2" w:rsidRDefault="00E90BEE" w:rsidP="00E90BEE">
      <w:pPr>
        <w:pStyle w:val="Heading3"/>
        <w:ind w:left="737" w:hanging="737"/>
        <w:rPr>
          <w:rFonts w:eastAsiaTheme="minorHAnsi"/>
        </w:rPr>
      </w:pPr>
      <w:r w:rsidRPr="00026FD2">
        <w:rPr>
          <w:rFonts w:eastAsiaTheme="minorEastAsia" w:hint="eastAsia"/>
        </w:rPr>
        <w:t>Fines, regulatory fees and other revenue (excluding royalties)</w:t>
      </w:r>
    </w:p>
    <w:p w14:paraId="36CD3E93" w14:textId="29CFE3F1" w:rsidR="00FD71B1" w:rsidRPr="007E4433" w:rsidRDefault="00FD71B1" w:rsidP="00E4551D">
      <w:pPr>
        <w:pStyle w:val="BodyText"/>
      </w:pPr>
      <w:r w:rsidRPr="007E4433">
        <w:t>Fines revenue forecast has been revised down by</w:t>
      </w:r>
      <w:r w:rsidRPr="00FD71B1">
        <w:t xml:space="preserve"> $</w:t>
      </w:r>
      <w:r w:rsidRPr="008512F7">
        <w:t>226.2</w:t>
      </w:r>
      <w:r w:rsidRPr="00FD71B1" w:rsidDel="0006741C">
        <w:t xml:space="preserve"> </w:t>
      </w:r>
      <w:r w:rsidRPr="00FD71B1">
        <w:t>over the four years to 2026-27</w:t>
      </w:r>
      <w:r w:rsidRPr="007E4433">
        <w:t xml:space="preserve"> </w:t>
      </w:r>
      <w:r w:rsidRPr="00FD71B1">
        <w:t xml:space="preserve">primarily due to revised expectations on infringement volumes for the mobile speed camera program </w:t>
      </w:r>
      <w:r w:rsidR="00AD26A9">
        <w:t>resulting from</w:t>
      </w:r>
      <w:r w:rsidRPr="00FD71B1">
        <w:t xml:space="preserve"> the </w:t>
      </w:r>
      <w:r w:rsidR="0006741C">
        <w:t>reintroduction of</w:t>
      </w:r>
      <w:r w:rsidRPr="00FD71B1">
        <w:t xml:space="preserve"> warning signage.</w:t>
      </w:r>
    </w:p>
    <w:p w14:paraId="7AE665BD" w14:textId="4D09BFD5" w:rsidR="00FD71B1" w:rsidRPr="00FD71B1" w:rsidRDefault="00FD71B1" w:rsidP="00E4551D">
      <w:pPr>
        <w:pStyle w:val="BodyText"/>
      </w:pPr>
      <w:r w:rsidRPr="00FD71B1">
        <w:t xml:space="preserve">Regulatory fees have been revised up by </w:t>
      </w:r>
      <w:r w:rsidRPr="008512F7">
        <w:t>$145.9</w:t>
      </w:r>
      <w:r w:rsidRPr="00FD71B1">
        <w:t xml:space="preserve"> million</w:t>
      </w:r>
      <w:r w:rsidRPr="00FD71B1" w:rsidDel="0006741C">
        <w:t xml:space="preserve"> </w:t>
      </w:r>
      <w:r w:rsidRPr="00FD71B1">
        <w:t xml:space="preserve">over the four years to 2026-27 primarily due to </w:t>
      </w:r>
      <w:r w:rsidR="00DD5D46">
        <w:t xml:space="preserve">an accounting </w:t>
      </w:r>
      <w:r w:rsidRPr="00FD71B1">
        <w:t>reallocati</w:t>
      </w:r>
      <w:r w:rsidR="00DD5D46">
        <w:t>on of</w:t>
      </w:r>
      <w:r w:rsidRPr="00FD71B1">
        <w:t xml:space="preserve"> revenue from </w:t>
      </w:r>
      <w:r w:rsidR="00C60DAB">
        <w:t>sale of goods and services</w:t>
      </w:r>
      <w:r w:rsidRPr="00FD71B1">
        <w:t xml:space="preserve"> revenue.</w:t>
      </w:r>
    </w:p>
    <w:p w14:paraId="02E55B78" w14:textId="77777777" w:rsidR="00E90BEE" w:rsidRPr="007E295C" w:rsidRDefault="00E90BEE" w:rsidP="00E90BEE">
      <w:pPr>
        <w:pStyle w:val="Table4X"/>
      </w:pPr>
      <w:r w:rsidRPr="007E295C">
        <w:t>Fines, regulatory fees and other revenues</w:t>
      </w:r>
      <w:r>
        <w:t xml:space="preserve"> </w:t>
      </w:r>
    </w:p>
    <w:tbl>
      <w:tblPr>
        <w:tblW w:w="9722" w:type="dxa"/>
        <w:tblLook w:val="04A0" w:firstRow="1" w:lastRow="0" w:firstColumn="1" w:lastColumn="0" w:noHBand="0" w:noVBand="1"/>
        <w:tblCaption w:val="Table 4.10:  Fines, regulatory fees and other revenues "/>
        <w:tblDescription w:val="Table 4.10:  Fines, regulatory fees and other revenues "/>
      </w:tblPr>
      <w:tblGrid>
        <w:gridCol w:w="3402"/>
        <w:gridCol w:w="860"/>
        <w:gridCol w:w="860"/>
        <w:gridCol w:w="860"/>
        <w:gridCol w:w="860"/>
        <w:gridCol w:w="860"/>
        <w:gridCol w:w="860"/>
        <w:gridCol w:w="1160"/>
      </w:tblGrid>
      <w:tr w:rsidR="00D94A9B" w:rsidRPr="00452AC3" w14:paraId="7F7D5FD3" w14:textId="77777777" w:rsidTr="009320BA">
        <w:trPr>
          <w:trHeight w:val="283"/>
        </w:trPr>
        <w:tc>
          <w:tcPr>
            <w:tcW w:w="3402" w:type="dxa"/>
            <w:tcBorders>
              <w:top w:val="nil"/>
              <w:left w:val="nil"/>
              <w:bottom w:val="nil"/>
              <w:right w:val="nil"/>
            </w:tcBorders>
            <w:shd w:val="clear" w:color="000000" w:fill="EBEBEB"/>
            <w:vAlign w:val="center"/>
            <w:hideMark/>
          </w:tcPr>
          <w:p w14:paraId="2A81C184" w14:textId="77777777" w:rsidR="00452AC3" w:rsidRPr="002B2DA4" w:rsidRDefault="00452AC3" w:rsidP="00452AC3">
            <w:pPr>
              <w:jc w:val="center"/>
              <w:rPr>
                <w:rFonts w:ascii="Public Sans" w:hAnsi="Public Sans" w:cs="Calibri"/>
                <w:i/>
                <w:color w:val="000000"/>
                <w:sz w:val="17"/>
                <w:szCs w:val="17"/>
                <w:lang w:val="en-AU" w:eastAsia="en-AU"/>
              </w:rPr>
            </w:pPr>
            <w:r w:rsidRPr="002B2DA4">
              <w:rPr>
                <w:rFonts w:ascii="Public Sans" w:hAnsi="Public Sans" w:cs="Calibri"/>
                <w:i/>
                <w:color w:val="000000"/>
                <w:sz w:val="17"/>
                <w:szCs w:val="17"/>
                <w:lang w:val="en-AU" w:eastAsia="en-AU"/>
              </w:rPr>
              <w:t> </w:t>
            </w:r>
          </w:p>
        </w:tc>
        <w:tc>
          <w:tcPr>
            <w:tcW w:w="860" w:type="dxa"/>
            <w:tcBorders>
              <w:top w:val="nil"/>
              <w:left w:val="nil"/>
              <w:bottom w:val="nil"/>
              <w:right w:val="nil"/>
            </w:tcBorders>
            <w:shd w:val="clear" w:color="000000" w:fill="EBEBEB"/>
            <w:vAlign w:val="bottom"/>
            <w:hideMark/>
          </w:tcPr>
          <w:p w14:paraId="4EE9BB1F"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2021-22</w:t>
            </w:r>
          </w:p>
        </w:tc>
        <w:tc>
          <w:tcPr>
            <w:tcW w:w="860" w:type="dxa"/>
            <w:tcBorders>
              <w:top w:val="nil"/>
              <w:left w:val="nil"/>
              <w:bottom w:val="nil"/>
              <w:right w:val="nil"/>
            </w:tcBorders>
            <w:shd w:val="clear" w:color="000000" w:fill="EBEBEB"/>
            <w:vAlign w:val="bottom"/>
            <w:hideMark/>
          </w:tcPr>
          <w:p w14:paraId="77BC69C0"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2022-23</w:t>
            </w:r>
          </w:p>
        </w:tc>
        <w:tc>
          <w:tcPr>
            <w:tcW w:w="860" w:type="dxa"/>
            <w:tcBorders>
              <w:top w:val="nil"/>
              <w:left w:val="nil"/>
              <w:bottom w:val="nil"/>
              <w:right w:val="nil"/>
            </w:tcBorders>
            <w:shd w:val="clear" w:color="000000" w:fill="EBEBEB"/>
            <w:vAlign w:val="bottom"/>
            <w:hideMark/>
          </w:tcPr>
          <w:p w14:paraId="1231F49F"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2023-24</w:t>
            </w:r>
          </w:p>
        </w:tc>
        <w:tc>
          <w:tcPr>
            <w:tcW w:w="860" w:type="dxa"/>
            <w:tcBorders>
              <w:top w:val="nil"/>
              <w:left w:val="nil"/>
              <w:bottom w:val="nil"/>
              <w:right w:val="nil"/>
            </w:tcBorders>
            <w:shd w:val="clear" w:color="000000" w:fill="EBEBEB"/>
            <w:vAlign w:val="bottom"/>
            <w:hideMark/>
          </w:tcPr>
          <w:p w14:paraId="218233A2"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2024-25</w:t>
            </w:r>
          </w:p>
        </w:tc>
        <w:tc>
          <w:tcPr>
            <w:tcW w:w="860" w:type="dxa"/>
            <w:tcBorders>
              <w:top w:val="nil"/>
              <w:left w:val="nil"/>
              <w:bottom w:val="nil"/>
              <w:right w:val="nil"/>
            </w:tcBorders>
            <w:shd w:val="clear" w:color="000000" w:fill="EBEBEB"/>
            <w:vAlign w:val="bottom"/>
            <w:hideMark/>
          </w:tcPr>
          <w:p w14:paraId="1B03865A"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2025-26</w:t>
            </w:r>
          </w:p>
        </w:tc>
        <w:tc>
          <w:tcPr>
            <w:tcW w:w="860" w:type="dxa"/>
            <w:tcBorders>
              <w:top w:val="nil"/>
              <w:left w:val="nil"/>
              <w:bottom w:val="nil"/>
              <w:right w:val="nil"/>
            </w:tcBorders>
            <w:shd w:val="clear" w:color="000000" w:fill="EBEBEB"/>
            <w:vAlign w:val="bottom"/>
            <w:hideMark/>
          </w:tcPr>
          <w:p w14:paraId="7145DC85"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2026-27</w:t>
            </w:r>
          </w:p>
        </w:tc>
        <w:tc>
          <w:tcPr>
            <w:tcW w:w="1160" w:type="dxa"/>
            <w:vMerge w:val="restart"/>
            <w:tcBorders>
              <w:top w:val="nil"/>
              <w:left w:val="nil"/>
              <w:bottom w:val="nil"/>
              <w:right w:val="nil"/>
            </w:tcBorders>
            <w:shd w:val="clear" w:color="000000" w:fill="4F4F4F"/>
            <w:vAlign w:val="center"/>
            <w:hideMark/>
          </w:tcPr>
          <w:p w14:paraId="2029D281" w14:textId="77777777" w:rsidR="00452AC3" w:rsidRPr="002B2DA4" w:rsidRDefault="00452AC3" w:rsidP="00452AC3">
            <w:pPr>
              <w:jc w:val="center"/>
              <w:rPr>
                <w:rFonts w:ascii="Public Sans" w:hAnsi="Public Sans" w:cs="Calibri"/>
                <w:color w:val="FFFFFF"/>
                <w:sz w:val="17"/>
                <w:szCs w:val="17"/>
                <w:lang w:val="en-AU" w:eastAsia="en-AU"/>
              </w:rPr>
            </w:pPr>
            <w:r w:rsidRPr="002B2DA4">
              <w:rPr>
                <w:rFonts w:ascii="Public Sans" w:hAnsi="Public Sans" w:cs="Calibri"/>
                <w:color w:val="FFFFFF"/>
                <w:sz w:val="17"/>
                <w:szCs w:val="17"/>
                <w:lang w:val="en-AU" w:eastAsia="en-AU"/>
              </w:rPr>
              <w:t>% Average growth p.a. 2022-23 to 2026-27</w:t>
            </w:r>
          </w:p>
        </w:tc>
      </w:tr>
      <w:tr w:rsidR="00452AC3" w:rsidRPr="00452AC3" w14:paraId="5C394D67" w14:textId="77777777" w:rsidTr="009320BA">
        <w:trPr>
          <w:trHeight w:val="227"/>
        </w:trPr>
        <w:tc>
          <w:tcPr>
            <w:tcW w:w="3402" w:type="dxa"/>
            <w:tcBorders>
              <w:top w:val="nil"/>
              <w:left w:val="nil"/>
              <w:bottom w:val="nil"/>
              <w:right w:val="nil"/>
            </w:tcBorders>
            <w:shd w:val="clear" w:color="000000" w:fill="EBEBEB"/>
            <w:vAlign w:val="center"/>
            <w:hideMark/>
          </w:tcPr>
          <w:p w14:paraId="07D20E01" w14:textId="77777777" w:rsidR="00452AC3" w:rsidRPr="002B2DA4" w:rsidRDefault="00452AC3" w:rsidP="00452AC3">
            <w:pPr>
              <w:jc w:val="center"/>
              <w:rPr>
                <w:rFonts w:ascii="Public Sans" w:hAnsi="Public Sans" w:cs="Calibri"/>
                <w:i/>
                <w:color w:val="000000"/>
                <w:sz w:val="17"/>
                <w:szCs w:val="17"/>
                <w:lang w:val="en-AU" w:eastAsia="en-AU"/>
              </w:rPr>
            </w:pPr>
            <w:r w:rsidRPr="002B2DA4">
              <w:rPr>
                <w:rFonts w:ascii="Public Sans" w:hAnsi="Public Sans" w:cs="Calibri"/>
                <w:i/>
                <w:color w:val="000000"/>
                <w:sz w:val="17"/>
                <w:szCs w:val="17"/>
                <w:lang w:val="en-AU" w:eastAsia="en-AU"/>
              </w:rPr>
              <w:t> </w:t>
            </w:r>
          </w:p>
        </w:tc>
        <w:tc>
          <w:tcPr>
            <w:tcW w:w="860" w:type="dxa"/>
            <w:tcBorders>
              <w:top w:val="nil"/>
              <w:left w:val="nil"/>
              <w:bottom w:val="nil"/>
              <w:right w:val="nil"/>
            </w:tcBorders>
            <w:shd w:val="clear" w:color="000000" w:fill="EBEBEB"/>
            <w:vAlign w:val="center"/>
            <w:hideMark/>
          </w:tcPr>
          <w:p w14:paraId="206FE2A7"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Actual</w:t>
            </w:r>
          </w:p>
        </w:tc>
        <w:tc>
          <w:tcPr>
            <w:tcW w:w="860" w:type="dxa"/>
            <w:tcBorders>
              <w:top w:val="nil"/>
              <w:left w:val="nil"/>
              <w:bottom w:val="nil"/>
              <w:right w:val="nil"/>
            </w:tcBorders>
            <w:shd w:val="clear" w:color="000000" w:fill="EBEBEB"/>
            <w:vAlign w:val="center"/>
            <w:hideMark/>
          </w:tcPr>
          <w:p w14:paraId="7F56F389" w14:textId="77777777" w:rsidR="00452AC3" w:rsidRPr="002B2DA4" w:rsidRDefault="00452AC3" w:rsidP="002B2DA4">
            <w:pPr>
              <w:ind w:left="-113" w:right="-113"/>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Est. Actual</w:t>
            </w:r>
          </w:p>
        </w:tc>
        <w:tc>
          <w:tcPr>
            <w:tcW w:w="860" w:type="dxa"/>
            <w:tcBorders>
              <w:top w:val="nil"/>
              <w:left w:val="nil"/>
              <w:bottom w:val="nil"/>
              <w:right w:val="nil"/>
            </w:tcBorders>
            <w:shd w:val="clear" w:color="000000" w:fill="EBEBEB"/>
            <w:vAlign w:val="center"/>
            <w:hideMark/>
          </w:tcPr>
          <w:p w14:paraId="45C9CAED" w14:textId="77777777" w:rsidR="00452AC3" w:rsidRPr="002B2DA4" w:rsidRDefault="00452AC3" w:rsidP="00DD3757">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Budget</w:t>
            </w:r>
          </w:p>
        </w:tc>
        <w:tc>
          <w:tcPr>
            <w:tcW w:w="2580" w:type="dxa"/>
            <w:gridSpan w:val="3"/>
            <w:tcBorders>
              <w:top w:val="nil"/>
              <w:left w:val="nil"/>
              <w:bottom w:val="nil"/>
              <w:right w:val="nil"/>
            </w:tcBorders>
            <w:shd w:val="clear" w:color="000000" w:fill="EBEBEB"/>
            <w:vAlign w:val="center"/>
            <w:hideMark/>
          </w:tcPr>
          <w:p w14:paraId="697ABF2F"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Forward Estimates</w:t>
            </w:r>
          </w:p>
        </w:tc>
        <w:tc>
          <w:tcPr>
            <w:tcW w:w="1160" w:type="dxa"/>
            <w:vMerge/>
            <w:tcBorders>
              <w:top w:val="nil"/>
              <w:left w:val="nil"/>
              <w:bottom w:val="nil"/>
              <w:right w:val="nil"/>
            </w:tcBorders>
            <w:vAlign w:val="center"/>
            <w:hideMark/>
          </w:tcPr>
          <w:p w14:paraId="25056D28" w14:textId="77777777" w:rsidR="00452AC3" w:rsidRPr="002B2DA4" w:rsidRDefault="00452AC3" w:rsidP="00452AC3">
            <w:pPr>
              <w:rPr>
                <w:rFonts w:ascii="Public Sans" w:hAnsi="Public Sans" w:cs="Calibri"/>
                <w:color w:val="FFFFFF"/>
                <w:sz w:val="17"/>
                <w:szCs w:val="17"/>
                <w:lang w:val="en-AU" w:eastAsia="en-AU"/>
              </w:rPr>
            </w:pPr>
          </w:p>
        </w:tc>
      </w:tr>
      <w:tr w:rsidR="00452AC3" w:rsidRPr="00452AC3" w14:paraId="22B0B3DE" w14:textId="77777777" w:rsidTr="009320BA">
        <w:trPr>
          <w:trHeight w:val="283"/>
        </w:trPr>
        <w:tc>
          <w:tcPr>
            <w:tcW w:w="3402" w:type="dxa"/>
            <w:tcBorders>
              <w:top w:val="nil"/>
              <w:left w:val="nil"/>
              <w:bottom w:val="nil"/>
              <w:right w:val="nil"/>
            </w:tcBorders>
            <w:shd w:val="clear" w:color="000000" w:fill="EBEBEB"/>
            <w:vAlign w:val="center"/>
            <w:hideMark/>
          </w:tcPr>
          <w:p w14:paraId="1D5B5943" w14:textId="77777777" w:rsidR="00452AC3" w:rsidRPr="002B2DA4" w:rsidRDefault="00452AC3" w:rsidP="00452AC3">
            <w:pPr>
              <w:jc w:val="center"/>
              <w:rPr>
                <w:rFonts w:ascii="Public Sans" w:hAnsi="Public Sans" w:cs="Calibri"/>
                <w:i/>
                <w:color w:val="000000"/>
                <w:sz w:val="17"/>
                <w:szCs w:val="17"/>
                <w:lang w:val="en-AU" w:eastAsia="en-AU"/>
              </w:rPr>
            </w:pPr>
            <w:r w:rsidRPr="002B2DA4">
              <w:rPr>
                <w:rFonts w:ascii="Public Sans" w:hAnsi="Public Sans" w:cs="Calibri"/>
                <w:i/>
                <w:color w:val="000000"/>
                <w:sz w:val="17"/>
                <w:szCs w:val="17"/>
                <w:lang w:val="en-AU" w:eastAsia="en-AU"/>
              </w:rPr>
              <w:t> </w:t>
            </w:r>
          </w:p>
        </w:tc>
        <w:tc>
          <w:tcPr>
            <w:tcW w:w="860" w:type="dxa"/>
            <w:tcBorders>
              <w:top w:val="nil"/>
              <w:left w:val="nil"/>
              <w:bottom w:val="nil"/>
              <w:right w:val="nil"/>
            </w:tcBorders>
            <w:shd w:val="clear" w:color="000000" w:fill="EBEBEB"/>
            <w:hideMark/>
          </w:tcPr>
          <w:p w14:paraId="547C27F2"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3A154921"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5DA34523"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5BA03ADC"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2CFF0063"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4DBE901C"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1160" w:type="dxa"/>
            <w:vMerge/>
            <w:tcBorders>
              <w:top w:val="nil"/>
              <w:left w:val="nil"/>
              <w:bottom w:val="nil"/>
              <w:right w:val="nil"/>
            </w:tcBorders>
            <w:vAlign w:val="center"/>
            <w:hideMark/>
          </w:tcPr>
          <w:p w14:paraId="22AB5A37" w14:textId="77777777" w:rsidR="00452AC3" w:rsidRPr="002B2DA4" w:rsidRDefault="00452AC3" w:rsidP="00452AC3">
            <w:pPr>
              <w:rPr>
                <w:rFonts w:ascii="Public Sans" w:hAnsi="Public Sans" w:cs="Calibri"/>
                <w:color w:val="FFFFFF"/>
                <w:sz w:val="17"/>
                <w:szCs w:val="17"/>
                <w:lang w:val="en-AU" w:eastAsia="en-AU"/>
              </w:rPr>
            </w:pPr>
          </w:p>
        </w:tc>
      </w:tr>
      <w:tr w:rsidR="00452AC3" w:rsidRPr="00452AC3" w14:paraId="573A88EB" w14:textId="77777777" w:rsidTr="00525182">
        <w:trPr>
          <w:trHeight w:val="227"/>
        </w:trPr>
        <w:tc>
          <w:tcPr>
            <w:tcW w:w="3402" w:type="dxa"/>
            <w:tcBorders>
              <w:top w:val="nil"/>
              <w:left w:val="nil"/>
              <w:bottom w:val="nil"/>
              <w:right w:val="nil"/>
            </w:tcBorders>
            <w:shd w:val="clear" w:color="000000" w:fill="FFFFFF"/>
            <w:noWrap/>
            <w:vAlign w:val="center"/>
            <w:hideMark/>
          </w:tcPr>
          <w:p w14:paraId="6FF114DA" w14:textId="77777777" w:rsidR="00452AC3" w:rsidRPr="00452AC3" w:rsidRDefault="00452AC3" w:rsidP="00452AC3">
            <w:pPr>
              <w:rPr>
                <w:rFonts w:ascii="Public Sans" w:hAnsi="Public Sans" w:cs="Calibri"/>
                <w:sz w:val="16"/>
                <w:szCs w:val="16"/>
                <w:lang w:val="en-AU" w:eastAsia="en-AU"/>
              </w:rPr>
            </w:pPr>
            <w:r w:rsidRPr="00452AC3">
              <w:rPr>
                <w:rFonts w:ascii="Public Sans" w:hAnsi="Public Sans" w:cs="Calibri"/>
                <w:sz w:val="16"/>
                <w:szCs w:val="16"/>
                <w:lang w:val="en-AU" w:eastAsia="en-AU"/>
              </w:rPr>
              <w:t>Fines</w:t>
            </w:r>
          </w:p>
        </w:tc>
        <w:tc>
          <w:tcPr>
            <w:tcW w:w="860" w:type="dxa"/>
            <w:tcBorders>
              <w:top w:val="nil"/>
              <w:left w:val="nil"/>
              <w:bottom w:val="nil"/>
              <w:right w:val="nil"/>
            </w:tcBorders>
            <w:shd w:val="clear" w:color="000000" w:fill="FFFFFF"/>
            <w:noWrap/>
            <w:vAlign w:val="center"/>
            <w:hideMark/>
          </w:tcPr>
          <w:p w14:paraId="0EB9DACC" w14:textId="33E52817"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812 </w:t>
            </w:r>
          </w:p>
        </w:tc>
        <w:tc>
          <w:tcPr>
            <w:tcW w:w="860" w:type="dxa"/>
            <w:tcBorders>
              <w:top w:val="nil"/>
              <w:left w:val="nil"/>
              <w:bottom w:val="nil"/>
              <w:right w:val="nil"/>
            </w:tcBorders>
            <w:shd w:val="clear" w:color="000000" w:fill="FFFFFF"/>
            <w:noWrap/>
            <w:vAlign w:val="center"/>
            <w:hideMark/>
          </w:tcPr>
          <w:p w14:paraId="0B0B714B" w14:textId="1EAB6BA2"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800 </w:t>
            </w:r>
          </w:p>
        </w:tc>
        <w:tc>
          <w:tcPr>
            <w:tcW w:w="860" w:type="dxa"/>
            <w:tcBorders>
              <w:top w:val="nil"/>
              <w:left w:val="nil"/>
              <w:bottom w:val="nil"/>
              <w:right w:val="nil"/>
            </w:tcBorders>
            <w:shd w:val="clear" w:color="000000" w:fill="F2F2F2"/>
            <w:noWrap/>
            <w:vAlign w:val="center"/>
            <w:hideMark/>
          </w:tcPr>
          <w:p w14:paraId="51061207" w14:textId="70958B02"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682 </w:t>
            </w:r>
          </w:p>
        </w:tc>
        <w:tc>
          <w:tcPr>
            <w:tcW w:w="860" w:type="dxa"/>
            <w:tcBorders>
              <w:top w:val="nil"/>
              <w:left w:val="nil"/>
              <w:bottom w:val="nil"/>
              <w:right w:val="nil"/>
            </w:tcBorders>
            <w:shd w:val="clear" w:color="000000" w:fill="F2F2F2"/>
            <w:noWrap/>
            <w:vAlign w:val="center"/>
            <w:hideMark/>
          </w:tcPr>
          <w:p w14:paraId="70EE70D4" w14:textId="665CA8FD"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720 </w:t>
            </w:r>
          </w:p>
        </w:tc>
        <w:tc>
          <w:tcPr>
            <w:tcW w:w="860" w:type="dxa"/>
            <w:tcBorders>
              <w:top w:val="nil"/>
              <w:left w:val="nil"/>
              <w:bottom w:val="nil"/>
              <w:right w:val="nil"/>
            </w:tcBorders>
            <w:shd w:val="clear" w:color="000000" w:fill="F2F2F2"/>
            <w:noWrap/>
            <w:vAlign w:val="center"/>
            <w:hideMark/>
          </w:tcPr>
          <w:p w14:paraId="066B7080" w14:textId="2576A95D"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736 </w:t>
            </w:r>
          </w:p>
        </w:tc>
        <w:tc>
          <w:tcPr>
            <w:tcW w:w="860" w:type="dxa"/>
            <w:tcBorders>
              <w:top w:val="nil"/>
              <w:left w:val="nil"/>
              <w:bottom w:val="nil"/>
              <w:right w:val="nil"/>
            </w:tcBorders>
            <w:shd w:val="clear" w:color="000000" w:fill="F2F2F2"/>
            <w:noWrap/>
            <w:vAlign w:val="center"/>
            <w:hideMark/>
          </w:tcPr>
          <w:p w14:paraId="62C79F29" w14:textId="04B1DAD5"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739 </w:t>
            </w:r>
          </w:p>
        </w:tc>
        <w:tc>
          <w:tcPr>
            <w:tcW w:w="1160" w:type="dxa"/>
            <w:tcBorders>
              <w:top w:val="nil"/>
              <w:left w:val="nil"/>
              <w:bottom w:val="nil"/>
              <w:right w:val="nil"/>
            </w:tcBorders>
            <w:shd w:val="clear" w:color="000000" w:fill="FFFFFF"/>
            <w:vAlign w:val="center"/>
            <w:hideMark/>
          </w:tcPr>
          <w:p w14:paraId="1F31DEBC"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(1.9)</w:t>
            </w:r>
          </w:p>
        </w:tc>
      </w:tr>
      <w:tr w:rsidR="00452AC3" w:rsidRPr="00452AC3" w14:paraId="0C45827B" w14:textId="77777777" w:rsidTr="00525182">
        <w:trPr>
          <w:trHeight w:val="227"/>
        </w:trPr>
        <w:tc>
          <w:tcPr>
            <w:tcW w:w="3402" w:type="dxa"/>
            <w:tcBorders>
              <w:top w:val="nil"/>
              <w:left w:val="nil"/>
              <w:bottom w:val="nil"/>
              <w:right w:val="nil"/>
            </w:tcBorders>
            <w:shd w:val="clear" w:color="000000" w:fill="FFFFFF"/>
            <w:noWrap/>
            <w:vAlign w:val="center"/>
            <w:hideMark/>
          </w:tcPr>
          <w:p w14:paraId="7BA3892B" w14:textId="77777777" w:rsidR="00452AC3" w:rsidRPr="00452AC3" w:rsidRDefault="00452AC3" w:rsidP="00452AC3">
            <w:pPr>
              <w:rPr>
                <w:rFonts w:ascii="Public Sans" w:hAnsi="Public Sans" w:cs="Calibri"/>
                <w:sz w:val="16"/>
                <w:szCs w:val="16"/>
                <w:lang w:val="en-AU" w:eastAsia="en-AU"/>
              </w:rPr>
            </w:pPr>
            <w:r w:rsidRPr="00452AC3">
              <w:rPr>
                <w:rFonts w:ascii="Public Sans" w:hAnsi="Public Sans" w:cs="Calibri"/>
                <w:sz w:val="16"/>
                <w:szCs w:val="16"/>
                <w:lang w:val="en-AU" w:eastAsia="en-AU"/>
              </w:rPr>
              <w:t>Regulatory fees</w:t>
            </w:r>
          </w:p>
        </w:tc>
        <w:tc>
          <w:tcPr>
            <w:tcW w:w="860" w:type="dxa"/>
            <w:tcBorders>
              <w:top w:val="nil"/>
              <w:left w:val="nil"/>
              <w:bottom w:val="nil"/>
              <w:right w:val="nil"/>
            </w:tcBorders>
            <w:shd w:val="clear" w:color="000000" w:fill="FFFFFF"/>
            <w:noWrap/>
            <w:vAlign w:val="center"/>
            <w:hideMark/>
          </w:tcPr>
          <w:p w14:paraId="4BD222BE" w14:textId="5235BD98"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131 </w:t>
            </w:r>
          </w:p>
        </w:tc>
        <w:tc>
          <w:tcPr>
            <w:tcW w:w="860" w:type="dxa"/>
            <w:tcBorders>
              <w:top w:val="nil"/>
              <w:left w:val="nil"/>
              <w:bottom w:val="nil"/>
              <w:right w:val="nil"/>
            </w:tcBorders>
            <w:shd w:val="clear" w:color="000000" w:fill="FFFFFF"/>
            <w:noWrap/>
            <w:vAlign w:val="center"/>
            <w:hideMark/>
          </w:tcPr>
          <w:p w14:paraId="578BB10F" w14:textId="7F8691C0"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138 </w:t>
            </w:r>
          </w:p>
        </w:tc>
        <w:tc>
          <w:tcPr>
            <w:tcW w:w="860" w:type="dxa"/>
            <w:tcBorders>
              <w:top w:val="nil"/>
              <w:left w:val="nil"/>
              <w:bottom w:val="nil"/>
              <w:right w:val="nil"/>
            </w:tcBorders>
            <w:shd w:val="clear" w:color="000000" w:fill="F2F2F2"/>
            <w:noWrap/>
            <w:vAlign w:val="center"/>
            <w:hideMark/>
          </w:tcPr>
          <w:p w14:paraId="251464B7" w14:textId="56E33A48"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177 </w:t>
            </w:r>
          </w:p>
        </w:tc>
        <w:tc>
          <w:tcPr>
            <w:tcW w:w="860" w:type="dxa"/>
            <w:tcBorders>
              <w:top w:val="nil"/>
              <w:left w:val="nil"/>
              <w:bottom w:val="nil"/>
              <w:right w:val="nil"/>
            </w:tcBorders>
            <w:shd w:val="clear" w:color="000000" w:fill="F2F2F2"/>
            <w:noWrap/>
            <w:vAlign w:val="center"/>
            <w:hideMark/>
          </w:tcPr>
          <w:p w14:paraId="1A689946" w14:textId="35F660A5"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179 </w:t>
            </w:r>
          </w:p>
        </w:tc>
        <w:tc>
          <w:tcPr>
            <w:tcW w:w="860" w:type="dxa"/>
            <w:tcBorders>
              <w:top w:val="nil"/>
              <w:left w:val="nil"/>
              <w:bottom w:val="nil"/>
              <w:right w:val="nil"/>
            </w:tcBorders>
            <w:shd w:val="clear" w:color="000000" w:fill="F2F2F2"/>
            <w:noWrap/>
            <w:vAlign w:val="center"/>
            <w:hideMark/>
          </w:tcPr>
          <w:p w14:paraId="39CCCF46" w14:textId="2009DA9B"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181 </w:t>
            </w:r>
          </w:p>
        </w:tc>
        <w:tc>
          <w:tcPr>
            <w:tcW w:w="860" w:type="dxa"/>
            <w:tcBorders>
              <w:top w:val="nil"/>
              <w:left w:val="nil"/>
              <w:bottom w:val="nil"/>
              <w:right w:val="nil"/>
            </w:tcBorders>
            <w:shd w:val="clear" w:color="000000" w:fill="F2F2F2"/>
            <w:noWrap/>
            <w:vAlign w:val="center"/>
            <w:hideMark/>
          </w:tcPr>
          <w:p w14:paraId="013876CB" w14:textId="63DA083C"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184 </w:t>
            </w:r>
          </w:p>
        </w:tc>
        <w:tc>
          <w:tcPr>
            <w:tcW w:w="1160" w:type="dxa"/>
            <w:tcBorders>
              <w:top w:val="nil"/>
              <w:left w:val="nil"/>
              <w:bottom w:val="nil"/>
              <w:right w:val="nil"/>
            </w:tcBorders>
            <w:shd w:val="clear" w:color="000000" w:fill="FFFFFF"/>
            <w:vAlign w:val="center"/>
            <w:hideMark/>
          </w:tcPr>
          <w:p w14:paraId="6E31EC5C"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7.4</w:t>
            </w:r>
          </w:p>
        </w:tc>
      </w:tr>
      <w:tr w:rsidR="00452AC3" w:rsidRPr="00452AC3" w14:paraId="677A0A71" w14:textId="77777777" w:rsidTr="00525182">
        <w:trPr>
          <w:trHeight w:val="227"/>
        </w:trPr>
        <w:tc>
          <w:tcPr>
            <w:tcW w:w="3402" w:type="dxa"/>
            <w:tcBorders>
              <w:top w:val="nil"/>
              <w:left w:val="nil"/>
              <w:bottom w:val="nil"/>
              <w:right w:val="nil"/>
            </w:tcBorders>
            <w:shd w:val="clear" w:color="000000" w:fill="FFFFFF"/>
            <w:noWrap/>
            <w:vAlign w:val="center"/>
            <w:hideMark/>
          </w:tcPr>
          <w:p w14:paraId="61AB6DD7" w14:textId="77777777" w:rsidR="00452AC3" w:rsidRPr="00452AC3" w:rsidRDefault="00452AC3" w:rsidP="00452AC3">
            <w:pPr>
              <w:rPr>
                <w:rFonts w:ascii="Public Sans" w:hAnsi="Public Sans" w:cs="Calibri"/>
                <w:sz w:val="16"/>
                <w:szCs w:val="16"/>
                <w:lang w:val="en-AU" w:eastAsia="en-AU"/>
              </w:rPr>
            </w:pPr>
            <w:r w:rsidRPr="00452AC3">
              <w:rPr>
                <w:rFonts w:ascii="Public Sans" w:hAnsi="Public Sans" w:cs="Calibri"/>
                <w:sz w:val="16"/>
                <w:szCs w:val="16"/>
                <w:lang w:val="en-AU" w:eastAsia="en-AU"/>
              </w:rPr>
              <w:t>Other revenues</w:t>
            </w:r>
          </w:p>
        </w:tc>
        <w:tc>
          <w:tcPr>
            <w:tcW w:w="860" w:type="dxa"/>
            <w:tcBorders>
              <w:top w:val="nil"/>
              <w:left w:val="nil"/>
              <w:bottom w:val="nil"/>
              <w:right w:val="nil"/>
            </w:tcBorders>
            <w:shd w:val="clear" w:color="000000" w:fill="FFFFFF"/>
            <w:noWrap/>
            <w:vAlign w:val="center"/>
            <w:hideMark/>
          </w:tcPr>
          <w:p w14:paraId="08A1C40D" w14:textId="0B3B26A9"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2,331 </w:t>
            </w:r>
          </w:p>
        </w:tc>
        <w:tc>
          <w:tcPr>
            <w:tcW w:w="860" w:type="dxa"/>
            <w:tcBorders>
              <w:top w:val="nil"/>
              <w:left w:val="nil"/>
              <w:bottom w:val="nil"/>
              <w:right w:val="nil"/>
            </w:tcBorders>
            <w:shd w:val="clear" w:color="000000" w:fill="FFFFFF"/>
            <w:noWrap/>
            <w:vAlign w:val="center"/>
            <w:hideMark/>
          </w:tcPr>
          <w:p w14:paraId="40EACC43" w14:textId="722ACEA6"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2,814 </w:t>
            </w:r>
          </w:p>
        </w:tc>
        <w:tc>
          <w:tcPr>
            <w:tcW w:w="860" w:type="dxa"/>
            <w:tcBorders>
              <w:top w:val="nil"/>
              <w:left w:val="nil"/>
              <w:bottom w:val="nil"/>
              <w:right w:val="nil"/>
            </w:tcBorders>
            <w:shd w:val="clear" w:color="000000" w:fill="F2F2F2"/>
            <w:noWrap/>
            <w:vAlign w:val="center"/>
            <w:hideMark/>
          </w:tcPr>
          <w:p w14:paraId="0AAB0042" w14:textId="047E85E1"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2,331 </w:t>
            </w:r>
          </w:p>
        </w:tc>
        <w:tc>
          <w:tcPr>
            <w:tcW w:w="860" w:type="dxa"/>
            <w:tcBorders>
              <w:top w:val="nil"/>
              <w:left w:val="nil"/>
              <w:bottom w:val="nil"/>
              <w:right w:val="nil"/>
            </w:tcBorders>
            <w:shd w:val="clear" w:color="000000" w:fill="F2F2F2"/>
            <w:noWrap/>
            <w:vAlign w:val="center"/>
            <w:hideMark/>
          </w:tcPr>
          <w:p w14:paraId="5D359641" w14:textId="06927BBB"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2,621 </w:t>
            </w:r>
          </w:p>
        </w:tc>
        <w:tc>
          <w:tcPr>
            <w:tcW w:w="860" w:type="dxa"/>
            <w:tcBorders>
              <w:top w:val="nil"/>
              <w:left w:val="nil"/>
              <w:bottom w:val="nil"/>
              <w:right w:val="nil"/>
            </w:tcBorders>
            <w:shd w:val="clear" w:color="000000" w:fill="F2F2F2"/>
            <w:noWrap/>
            <w:vAlign w:val="center"/>
            <w:hideMark/>
          </w:tcPr>
          <w:p w14:paraId="6BD210E1" w14:textId="150D2E64"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2,631 </w:t>
            </w:r>
          </w:p>
        </w:tc>
        <w:tc>
          <w:tcPr>
            <w:tcW w:w="860" w:type="dxa"/>
            <w:tcBorders>
              <w:top w:val="nil"/>
              <w:left w:val="nil"/>
              <w:bottom w:val="nil"/>
              <w:right w:val="nil"/>
            </w:tcBorders>
            <w:shd w:val="clear" w:color="000000" w:fill="F2F2F2"/>
            <w:noWrap/>
            <w:vAlign w:val="center"/>
            <w:hideMark/>
          </w:tcPr>
          <w:p w14:paraId="74DE7CB3" w14:textId="35B97517"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2,759 </w:t>
            </w:r>
          </w:p>
        </w:tc>
        <w:tc>
          <w:tcPr>
            <w:tcW w:w="1160" w:type="dxa"/>
            <w:tcBorders>
              <w:top w:val="nil"/>
              <w:left w:val="nil"/>
              <w:bottom w:val="nil"/>
              <w:right w:val="nil"/>
            </w:tcBorders>
            <w:shd w:val="clear" w:color="000000" w:fill="FFFFFF"/>
            <w:vAlign w:val="center"/>
            <w:hideMark/>
          </w:tcPr>
          <w:p w14:paraId="1662CDB3"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(0.5)</w:t>
            </w:r>
          </w:p>
        </w:tc>
      </w:tr>
      <w:tr w:rsidR="00452AC3" w:rsidRPr="00452AC3" w14:paraId="5A50B5F7" w14:textId="77777777" w:rsidTr="009320BA">
        <w:trPr>
          <w:trHeight w:val="465"/>
        </w:trPr>
        <w:tc>
          <w:tcPr>
            <w:tcW w:w="3402" w:type="dxa"/>
            <w:tcBorders>
              <w:top w:val="single" w:sz="4" w:space="0" w:color="auto"/>
              <w:left w:val="nil"/>
              <w:bottom w:val="single" w:sz="4" w:space="0" w:color="auto"/>
              <w:right w:val="nil"/>
            </w:tcBorders>
            <w:shd w:val="clear" w:color="000000" w:fill="FFFFFF"/>
            <w:vAlign w:val="center"/>
            <w:hideMark/>
          </w:tcPr>
          <w:p w14:paraId="4FEF76A7" w14:textId="670E1583" w:rsidR="00452AC3" w:rsidRPr="00452AC3" w:rsidRDefault="00452AC3" w:rsidP="00452AC3">
            <w:pPr>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Total fines, regulatory fees and other</w:t>
            </w:r>
            <w:r w:rsidRPr="00452AC3">
              <w:rPr>
                <w:rFonts w:ascii="Public Sans" w:hAnsi="Public Sans" w:cs="Calibri"/>
                <w:b/>
                <w:bCs/>
                <w:sz w:val="16"/>
                <w:szCs w:val="16"/>
                <w:lang w:val="en-AU" w:eastAsia="en-AU"/>
              </w:rPr>
              <w:br/>
              <w:t xml:space="preserve"> </w:t>
            </w:r>
            <w:r w:rsidR="009320BA">
              <w:rPr>
                <w:rFonts w:ascii="Public Sans" w:hAnsi="Public Sans" w:cs="Calibri"/>
                <w:b/>
                <w:bCs/>
                <w:sz w:val="16"/>
                <w:szCs w:val="16"/>
                <w:lang w:val="en-AU" w:eastAsia="en-AU"/>
              </w:rPr>
              <w:t xml:space="preserve"> </w:t>
            </w:r>
            <w:r w:rsidRPr="00452AC3">
              <w:rPr>
                <w:rFonts w:ascii="Public Sans" w:hAnsi="Public Sans" w:cs="Calibri"/>
                <w:b/>
                <w:bCs/>
                <w:sz w:val="16"/>
                <w:szCs w:val="16"/>
                <w:lang w:val="en-AU" w:eastAsia="en-AU"/>
              </w:rPr>
              <w:t>revenues</w:t>
            </w:r>
          </w:p>
        </w:tc>
        <w:tc>
          <w:tcPr>
            <w:tcW w:w="860" w:type="dxa"/>
            <w:tcBorders>
              <w:top w:val="single" w:sz="4" w:space="0" w:color="auto"/>
              <w:left w:val="nil"/>
              <w:bottom w:val="single" w:sz="4" w:space="0" w:color="auto"/>
              <w:right w:val="nil"/>
            </w:tcBorders>
            <w:shd w:val="clear" w:color="000000" w:fill="FFFFFF"/>
            <w:noWrap/>
            <w:vAlign w:val="center"/>
            <w:hideMark/>
          </w:tcPr>
          <w:p w14:paraId="30A7CA32"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3,273</w:t>
            </w:r>
          </w:p>
        </w:tc>
        <w:tc>
          <w:tcPr>
            <w:tcW w:w="860" w:type="dxa"/>
            <w:tcBorders>
              <w:top w:val="single" w:sz="4" w:space="0" w:color="auto"/>
              <w:left w:val="nil"/>
              <w:bottom w:val="single" w:sz="4" w:space="0" w:color="auto"/>
              <w:right w:val="nil"/>
            </w:tcBorders>
            <w:shd w:val="clear" w:color="000000" w:fill="FFFFFF"/>
            <w:noWrap/>
            <w:vAlign w:val="center"/>
            <w:hideMark/>
          </w:tcPr>
          <w:p w14:paraId="3004BEBA"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3,751</w:t>
            </w:r>
          </w:p>
        </w:tc>
        <w:tc>
          <w:tcPr>
            <w:tcW w:w="860" w:type="dxa"/>
            <w:tcBorders>
              <w:top w:val="single" w:sz="4" w:space="0" w:color="auto"/>
              <w:left w:val="nil"/>
              <w:bottom w:val="single" w:sz="4" w:space="0" w:color="auto"/>
              <w:right w:val="nil"/>
            </w:tcBorders>
            <w:shd w:val="clear" w:color="000000" w:fill="F2F2F2"/>
            <w:noWrap/>
            <w:vAlign w:val="center"/>
            <w:hideMark/>
          </w:tcPr>
          <w:p w14:paraId="4115A1E3"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3,189</w:t>
            </w:r>
          </w:p>
        </w:tc>
        <w:tc>
          <w:tcPr>
            <w:tcW w:w="860" w:type="dxa"/>
            <w:tcBorders>
              <w:top w:val="single" w:sz="4" w:space="0" w:color="auto"/>
              <w:left w:val="nil"/>
              <w:bottom w:val="single" w:sz="4" w:space="0" w:color="auto"/>
              <w:right w:val="nil"/>
            </w:tcBorders>
            <w:shd w:val="clear" w:color="000000" w:fill="F2F2F2"/>
            <w:noWrap/>
            <w:vAlign w:val="center"/>
            <w:hideMark/>
          </w:tcPr>
          <w:p w14:paraId="75F063C5"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3,520</w:t>
            </w:r>
          </w:p>
        </w:tc>
        <w:tc>
          <w:tcPr>
            <w:tcW w:w="860" w:type="dxa"/>
            <w:tcBorders>
              <w:top w:val="single" w:sz="4" w:space="0" w:color="auto"/>
              <w:left w:val="nil"/>
              <w:bottom w:val="single" w:sz="4" w:space="0" w:color="auto"/>
              <w:right w:val="nil"/>
            </w:tcBorders>
            <w:shd w:val="clear" w:color="000000" w:fill="F2F2F2"/>
            <w:noWrap/>
            <w:vAlign w:val="center"/>
            <w:hideMark/>
          </w:tcPr>
          <w:p w14:paraId="22306265"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3,549</w:t>
            </w:r>
          </w:p>
        </w:tc>
        <w:tc>
          <w:tcPr>
            <w:tcW w:w="860" w:type="dxa"/>
            <w:tcBorders>
              <w:top w:val="single" w:sz="4" w:space="0" w:color="auto"/>
              <w:left w:val="nil"/>
              <w:bottom w:val="single" w:sz="4" w:space="0" w:color="auto"/>
              <w:right w:val="nil"/>
            </w:tcBorders>
            <w:shd w:val="clear" w:color="000000" w:fill="F2F2F2"/>
            <w:noWrap/>
            <w:vAlign w:val="center"/>
            <w:hideMark/>
          </w:tcPr>
          <w:p w14:paraId="353B90D6"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3,681</w:t>
            </w:r>
          </w:p>
        </w:tc>
        <w:tc>
          <w:tcPr>
            <w:tcW w:w="1160" w:type="dxa"/>
            <w:tcBorders>
              <w:top w:val="single" w:sz="4" w:space="0" w:color="auto"/>
              <w:left w:val="nil"/>
              <w:bottom w:val="single" w:sz="4" w:space="0" w:color="auto"/>
              <w:right w:val="nil"/>
            </w:tcBorders>
            <w:shd w:val="clear" w:color="000000" w:fill="FFFFFF"/>
            <w:vAlign w:val="center"/>
            <w:hideMark/>
          </w:tcPr>
          <w:p w14:paraId="49303AE8"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(0.5)</w:t>
            </w:r>
          </w:p>
        </w:tc>
      </w:tr>
    </w:tbl>
    <w:p w14:paraId="38FAB694" w14:textId="77777777" w:rsidR="00D93F7C" w:rsidRPr="00D6264F" w:rsidRDefault="00D93F7C" w:rsidP="00B67DB9"/>
    <w:p w14:paraId="1F538BA2" w14:textId="77777777" w:rsidR="00E90BEE" w:rsidRPr="005E2906" w:rsidRDefault="00E90BEE" w:rsidP="00E90BEE">
      <w:pPr>
        <w:pStyle w:val="Heading3"/>
        <w:ind w:left="737" w:hanging="737"/>
        <w:rPr>
          <w:rFonts w:eastAsiaTheme="minorHAnsi"/>
        </w:rPr>
      </w:pPr>
      <w:r w:rsidRPr="00014057">
        <w:rPr>
          <w:rFonts w:eastAsiaTheme="minorEastAsia"/>
        </w:rPr>
        <w:t>Royalties</w:t>
      </w:r>
      <w:r w:rsidRPr="005E2906">
        <w:rPr>
          <w:rFonts w:eastAsiaTheme="minorEastAsia"/>
        </w:rPr>
        <w:t xml:space="preserve"> </w:t>
      </w:r>
    </w:p>
    <w:p w14:paraId="27330603" w14:textId="4F8E00E1" w:rsidR="00C2320B" w:rsidRPr="00C2320B" w:rsidRDefault="76814B90" w:rsidP="00E4551D">
      <w:pPr>
        <w:pStyle w:val="BodyText"/>
      </w:pPr>
      <w:r>
        <w:t xml:space="preserve">Since the 2023 Pre-election Budget Update, thermal coal prices </w:t>
      </w:r>
      <w:r w:rsidR="0042603E">
        <w:t xml:space="preserve">have </w:t>
      </w:r>
      <w:r>
        <w:t xml:space="preserve">continued to </w:t>
      </w:r>
      <w:r w:rsidR="03BD4103">
        <w:t>fall</w:t>
      </w:r>
      <w:r w:rsidR="009D4E98">
        <w:t>. This is</w:t>
      </w:r>
      <w:r w:rsidR="00306D03">
        <w:t xml:space="preserve"> </w:t>
      </w:r>
      <w:r w:rsidR="03BD4103">
        <w:t xml:space="preserve">following weaker European demand </w:t>
      </w:r>
      <w:r w:rsidR="08A5A1BD">
        <w:t>due in part to</w:t>
      </w:r>
      <w:r w:rsidR="03BD4103">
        <w:t xml:space="preserve"> warmer-than-expected</w:t>
      </w:r>
      <w:r w:rsidR="347BE47A">
        <w:t xml:space="preserve"> conditions</w:t>
      </w:r>
      <w:r w:rsidR="03BD4103">
        <w:t xml:space="preserve"> during the last northern hemisphere winter. </w:t>
      </w:r>
      <w:r w:rsidR="40F229A4">
        <w:t>High</w:t>
      </w:r>
      <w:r w:rsidR="0BE0097C">
        <w:t xml:space="preserve"> stockpiles</w:t>
      </w:r>
      <w:r w:rsidR="40F229A4">
        <w:t xml:space="preserve"> of thermal coal and</w:t>
      </w:r>
      <w:r w:rsidR="1A7CB2F7">
        <w:t xml:space="preserve"> LNG</w:t>
      </w:r>
      <w:r w:rsidR="40F229A4">
        <w:t xml:space="preserve"> ha</w:t>
      </w:r>
      <w:r w:rsidR="21A65FB3">
        <w:t>ve</w:t>
      </w:r>
      <w:r w:rsidR="40F229A4">
        <w:t xml:space="preserve"> contributed to</w:t>
      </w:r>
      <w:r w:rsidR="29532F24">
        <w:t xml:space="preserve"> supply levels outstripping demand,</w:t>
      </w:r>
      <w:r w:rsidR="40F229A4">
        <w:t xml:space="preserve"> </w:t>
      </w:r>
      <w:r w:rsidR="71F90382">
        <w:t xml:space="preserve">putting </w:t>
      </w:r>
      <w:r w:rsidR="40F229A4">
        <w:t xml:space="preserve">further downward pressure on prices. </w:t>
      </w:r>
    </w:p>
    <w:p w14:paraId="2F22FAB2" w14:textId="67800518" w:rsidR="00C2320B" w:rsidRPr="00C2320B" w:rsidRDefault="00306D03" w:rsidP="00E4551D">
      <w:pPr>
        <w:pStyle w:val="BodyText"/>
      </w:pPr>
      <w:r>
        <w:t xml:space="preserve">The outlook for international market conditions and mineral royalties continues to be volatile. </w:t>
      </w:r>
      <w:r w:rsidR="3F7CC5B0">
        <w:t>Since mid-July 2023</w:t>
      </w:r>
      <w:r w:rsidR="40F229A4">
        <w:t>,</w:t>
      </w:r>
      <w:r w:rsidR="297DAEFE">
        <w:t xml:space="preserve"> </w:t>
      </w:r>
      <w:r w:rsidR="41829DA8">
        <w:t xml:space="preserve">the </w:t>
      </w:r>
      <w:r w:rsidR="297DAEFE">
        <w:t>thermal coal spot price h</w:t>
      </w:r>
      <w:r w:rsidR="7787B89C">
        <w:t>a</w:t>
      </w:r>
      <w:r w:rsidR="589611FB">
        <w:t xml:space="preserve">s </w:t>
      </w:r>
      <w:r w:rsidR="297DAEFE">
        <w:t>started to trend upwards following strong</w:t>
      </w:r>
      <w:r w:rsidR="59219828">
        <w:t xml:space="preserve"> energy</w:t>
      </w:r>
      <w:r w:rsidR="297DAEFE">
        <w:t xml:space="preserve"> demand </w:t>
      </w:r>
      <w:r w:rsidR="00F5728B">
        <w:t xml:space="preserve">due to hot summer conditions </w:t>
      </w:r>
      <w:r w:rsidR="297DAEFE">
        <w:t>in China</w:t>
      </w:r>
      <w:r w:rsidR="00F5728B">
        <w:t xml:space="preserve"> </w:t>
      </w:r>
      <w:r w:rsidR="4482879F">
        <w:t xml:space="preserve">and </w:t>
      </w:r>
      <w:r w:rsidR="664461E9">
        <w:t>possible industrial action at Western Australia</w:t>
      </w:r>
      <w:r w:rsidR="2D2CC1BA">
        <w:t>n</w:t>
      </w:r>
      <w:r w:rsidR="664461E9">
        <w:t xml:space="preserve"> LNG </w:t>
      </w:r>
      <w:r w:rsidR="2F8CFF08">
        <w:t>facilities</w:t>
      </w:r>
      <w:r w:rsidR="0B765256">
        <w:t xml:space="preserve">. </w:t>
      </w:r>
    </w:p>
    <w:p w14:paraId="2BE38CD2" w14:textId="3D1E77B4" w:rsidR="00054EB9" w:rsidRDefault="00C1248A" w:rsidP="00E4551D">
      <w:pPr>
        <w:pStyle w:val="BodyText"/>
      </w:pPr>
      <w:r>
        <w:t>S</w:t>
      </w:r>
      <w:r w:rsidR="147D63A3">
        <w:t xml:space="preserve">ince the 2023 Pre-election </w:t>
      </w:r>
      <w:r w:rsidR="001E671B">
        <w:t xml:space="preserve">Budget </w:t>
      </w:r>
      <w:r w:rsidR="147D63A3">
        <w:t>Update</w:t>
      </w:r>
      <w:r w:rsidR="2167F936">
        <w:t xml:space="preserve"> </w:t>
      </w:r>
      <w:r>
        <w:t xml:space="preserve">the dominant </w:t>
      </w:r>
      <w:r w:rsidR="00943FA8">
        <w:t>near-term</w:t>
      </w:r>
      <w:r>
        <w:t xml:space="preserve"> influence</w:t>
      </w:r>
      <w:r w:rsidR="00F50024">
        <w:t>s</w:t>
      </w:r>
      <w:r>
        <w:t xml:space="preserve"> on royalties revenue ha</w:t>
      </w:r>
      <w:r w:rsidR="00F50024">
        <w:t>ve</w:t>
      </w:r>
      <w:r>
        <w:t xml:space="preserve"> been weakening in thermal coal prices </w:t>
      </w:r>
      <w:r w:rsidR="2167F936">
        <w:t>and weaker export volumes due to the ongoing impacts of heavy rainfall on mine production</w:t>
      </w:r>
      <w:r w:rsidR="00943FA8">
        <w:t>. M</w:t>
      </w:r>
      <w:r w:rsidR="59B99974">
        <w:t>in</w:t>
      </w:r>
      <w:r w:rsidR="27317580">
        <w:t>eral</w:t>
      </w:r>
      <w:r w:rsidR="59B99974">
        <w:t xml:space="preserve"> royalties</w:t>
      </w:r>
      <w:r w:rsidR="22B34A9A">
        <w:t xml:space="preserve"> </w:t>
      </w:r>
      <w:r w:rsidR="00950FF8">
        <w:t>revenue</w:t>
      </w:r>
      <w:r w:rsidR="22B34A9A">
        <w:t xml:space="preserve"> </w:t>
      </w:r>
      <w:r w:rsidR="000E74A9">
        <w:t>is</w:t>
      </w:r>
      <w:r w:rsidR="00D73CB5">
        <w:t xml:space="preserve"> forecast to be</w:t>
      </w:r>
      <w:r w:rsidR="59B99974">
        <w:t xml:space="preserve"> </w:t>
      </w:r>
      <w:r w:rsidR="59B99974" w:rsidRPr="008512F7">
        <w:t>$</w:t>
      </w:r>
      <w:r w:rsidR="00E52047" w:rsidRPr="008512F7">
        <w:t>1.</w:t>
      </w:r>
      <w:r w:rsidR="00457097" w:rsidRPr="008512F7">
        <w:t>2</w:t>
      </w:r>
      <w:r w:rsidR="59B99974">
        <w:t xml:space="preserve"> </w:t>
      </w:r>
      <w:r w:rsidR="00E52047">
        <w:t>b</w:t>
      </w:r>
      <w:r w:rsidR="59B99974">
        <w:t xml:space="preserve">illion lower in </w:t>
      </w:r>
      <w:r w:rsidR="59B99974" w:rsidRPr="00B67DB9">
        <w:rPr>
          <w:color w:val="000000" w:themeColor="text1"/>
        </w:rPr>
        <w:t>2</w:t>
      </w:r>
      <w:r w:rsidR="00D73CB5" w:rsidRPr="00B67DB9">
        <w:rPr>
          <w:color w:val="000000" w:themeColor="text1"/>
        </w:rPr>
        <w:t>0</w:t>
      </w:r>
      <w:r w:rsidR="59B99974" w:rsidRPr="00B67DB9">
        <w:rPr>
          <w:color w:val="000000" w:themeColor="text1"/>
        </w:rPr>
        <w:t>23</w:t>
      </w:r>
      <w:r w:rsidR="00D73CB5" w:rsidRPr="00B67DB9">
        <w:rPr>
          <w:color w:val="000000" w:themeColor="text1"/>
        </w:rPr>
        <w:t>-24</w:t>
      </w:r>
      <w:r w:rsidR="59B99974" w:rsidRPr="00B67DB9">
        <w:rPr>
          <w:color w:val="000000" w:themeColor="text1"/>
        </w:rPr>
        <w:t xml:space="preserve"> </w:t>
      </w:r>
      <w:r w:rsidR="6A3A7B62" w:rsidRPr="00B67DB9">
        <w:rPr>
          <w:color w:val="000000" w:themeColor="text1"/>
        </w:rPr>
        <w:t xml:space="preserve">compared </w:t>
      </w:r>
      <w:r w:rsidR="6A3A7B62">
        <w:t>to the</w:t>
      </w:r>
      <w:r w:rsidR="1BFF2F2E">
        <w:t xml:space="preserve"> previous</w:t>
      </w:r>
      <w:r w:rsidR="6A3A7B62">
        <w:t xml:space="preserve"> forecast. </w:t>
      </w:r>
    </w:p>
    <w:p w14:paraId="393EC966" w14:textId="35504D4D" w:rsidR="00C2320B" w:rsidRDefault="00054EB9" w:rsidP="00E4551D">
      <w:pPr>
        <w:pStyle w:val="BodyText"/>
      </w:pPr>
      <w:r>
        <w:t xml:space="preserve">From 1 July 2024, higher coal royalty rates will apply (see Box 4.4). Excluding the impact of revised royalty rates, </w:t>
      </w:r>
      <w:r w:rsidR="6A3A7B62">
        <w:t xml:space="preserve">mineral royalties </w:t>
      </w:r>
      <w:r w:rsidR="008068D5">
        <w:t xml:space="preserve">revenue </w:t>
      </w:r>
      <w:r w:rsidR="00E366FA">
        <w:t xml:space="preserve">over the four years to 2026-27 </w:t>
      </w:r>
      <w:r w:rsidR="008068D5">
        <w:t xml:space="preserve">has </w:t>
      </w:r>
      <w:r w:rsidR="6A3A7B62">
        <w:t xml:space="preserve">been revised down by </w:t>
      </w:r>
      <w:r w:rsidR="59B99974">
        <w:t>$</w:t>
      </w:r>
      <w:r w:rsidR="00C34A56">
        <w:t>2.</w:t>
      </w:r>
      <w:r w:rsidR="0754809D" w:rsidRPr="008512F7">
        <w:t>3</w:t>
      </w:r>
      <w:r w:rsidR="59B99974">
        <w:t xml:space="preserve"> billion</w:t>
      </w:r>
      <w:r w:rsidR="59B99974" w:rsidDel="00DD687D">
        <w:t xml:space="preserve"> </w:t>
      </w:r>
      <w:r w:rsidR="59B99974">
        <w:t>relative to expectations at the 2023 Pre-</w:t>
      </w:r>
      <w:r w:rsidR="00F3384E">
        <w:t>e</w:t>
      </w:r>
      <w:r w:rsidR="59B99974">
        <w:t>lection Budget Update</w:t>
      </w:r>
      <w:r w:rsidR="00E366FA">
        <w:t>. This is</w:t>
      </w:r>
      <w:r w:rsidR="11E496D1">
        <w:t xml:space="preserve"> due largely to a significant downward revision to the thermal coal spot price forecast (see Chart </w:t>
      </w:r>
      <w:r w:rsidR="00F74E14">
        <w:t>4.</w:t>
      </w:r>
      <w:r w:rsidR="00BB6023">
        <w:t>4</w:t>
      </w:r>
      <w:r w:rsidR="11E496D1">
        <w:t xml:space="preserve"> below)</w:t>
      </w:r>
      <w:r w:rsidR="59B99974">
        <w:t>.</w:t>
      </w:r>
    </w:p>
    <w:p w14:paraId="60E2A867" w14:textId="77777777" w:rsidR="00DE0394" w:rsidRPr="00C2320B" w:rsidRDefault="00DE0394" w:rsidP="00E4551D">
      <w:pPr>
        <w:pStyle w:val="BodyText"/>
      </w:pPr>
    </w:p>
    <w:p w14:paraId="442B6914" w14:textId="77777777" w:rsidR="009320BA" w:rsidRDefault="009320BA">
      <w:pPr>
        <w:rPr>
          <w:rFonts w:ascii="Public Sans" w:hAnsi="Public Sans"/>
          <w:bCs/>
          <w:i/>
          <w:color w:val="4F4F4F"/>
          <w:kern w:val="28"/>
          <w:sz w:val="22"/>
          <w:szCs w:val="22"/>
          <w:lang w:val="en-AU"/>
        </w:rPr>
      </w:pPr>
      <w:r>
        <w:br w:type="page"/>
      </w:r>
    </w:p>
    <w:p w14:paraId="62FF4690" w14:textId="5074FD94" w:rsidR="00C2320B" w:rsidRPr="00C2320B" w:rsidRDefault="00C2320B" w:rsidP="00011D7F">
      <w:pPr>
        <w:pStyle w:val="Chart4X"/>
      </w:pPr>
      <w:r w:rsidRPr="00C2320B">
        <w:lastRenderedPageBreak/>
        <w:t>Newcastle thermal coal spot price ($US per tonne)</w:t>
      </w:r>
    </w:p>
    <w:p w14:paraId="17FBC43F" w14:textId="0A235711" w:rsidR="009A719B" w:rsidRDefault="007F7301" w:rsidP="00B03095">
      <w:pPr>
        <w:jc w:val="center"/>
      </w:pPr>
      <w:r>
        <w:rPr>
          <w:rFonts w:ascii="Public Sans" w:hAnsi="Public Sans" w:cs="Arial"/>
          <w:noProof/>
          <w:sz w:val="22"/>
          <w:lang w:val="en-AU"/>
        </w:rPr>
        <w:drawing>
          <wp:inline distT="0" distB="0" distL="0" distR="0" wp14:anchorId="2C5405C3" wp14:editId="65CB05BD">
            <wp:extent cx="5637600" cy="2592000"/>
            <wp:effectExtent l="0" t="0" r="1270" b="0"/>
            <wp:docPr id="4" name="Chart 4" descr="Chart 4.4: Newcastle thermal coal spot price ($US per tonne)">
              <a:extLst xmlns:a="http://schemas.openxmlformats.org/drawingml/2006/main">
                <a:ext uri="{FF2B5EF4-FFF2-40B4-BE49-F238E27FC236}">
                  <a16:creationId xmlns:a16="http://schemas.microsoft.com/office/drawing/2014/main" id="{A0351A2F-DF38-B4F6-F783-876FB65B0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23F12E" w14:textId="77777777" w:rsidR="002024CD" w:rsidRDefault="002024CD" w:rsidP="003E1075"/>
    <w:tbl>
      <w:tblPr>
        <w:tblW w:w="9639" w:type="dxa"/>
        <w:shd w:val="pct5" w:color="auto" w:fill="FFFFFF" w:themeFill="background1"/>
        <w:tblLayout w:type="fixed"/>
        <w:tblCellMar>
          <w:left w:w="0" w:type="dxa"/>
          <w:right w:w="0" w:type="dxa"/>
        </w:tblCellMar>
        <w:tblLook w:val="04A0" w:firstRow="1" w:lastRow="0" w:firstColumn="1" w:lastColumn="0" w:noHBand="0" w:noVBand="1"/>
        <w:tblCaption w:val="Box 4.4: Coal royalties "/>
        <w:tblDescription w:val="Box 4.4: Coal royalties "/>
      </w:tblPr>
      <w:tblGrid>
        <w:gridCol w:w="9639"/>
      </w:tblGrid>
      <w:tr w:rsidR="0053545E" w:rsidRPr="008F0B8B" w14:paraId="29EE1310" w14:textId="77777777" w:rsidTr="003E1075">
        <w:trPr>
          <w:trHeight w:val="2694"/>
        </w:trPr>
        <w:tc>
          <w:tcPr>
            <w:tcW w:w="9639" w:type="dxa"/>
            <w:shd w:val="pct5" w:color="auto" w:fill="FFFFFF" w:themeFill="background1"/>
            <w:tcMar>
              <w:top w:w="0" w:type="dxa"/>
              <w:left w:w="108" w:type="dxa"/>
              <w:bottom w:w="0" w:type="dxa"/>
              <w:right w:w="108" w:type="dxa"/>
            </w:tcMar>
          </w:tcPr>
          <w:p w14:paraId="5597068C" w14:textId="3EE8047C" w:rsidR="0053545E" w:rsidRPr="00C20D6D" w:rsidRDefault="0053545E" w:rsidP="007D5981">
            <w:pPr>
              <w:pStyle w:val="Box4XBoxHeading"/>
            </w:pPr>
            <w:r w:rsidRPr="00C20D6D">
              <w:rPr>
                <w:sz w:val="18"/>
                <w:szCs w:val="18"/>
              </w:rPr>
              <w:br w:type="page"/>
            </w:r>
            <w:r w:rsidR="00FA3AE5">
              <w:t xml:space="preserve">Coal </w:t>
            </w:r>
            <w:r w:rsidR="00174C74">
              <w:t>r</w:t>
            </w:r>
            <w:r>
              <w:t xml:space="preserve">oyalties </w:t>
            </w:r>
          </w:p>
          <w:p w14:paraId="1EA6D79F" w14:textId="4DA89AE0" w:rsidR="00FA3AE5" w:rsidRPr="00FA3AE5" w:rsidRDefault="00FA3AE5" w:rsidP="00E4551D">
            <w:pPr>
              <w:pStyle w:val="BodyText"/>
            </w:pPr>
            <w:r w:rsidRPr="00FA3AE5">
              <w:t xml:space="preserve">The Coal Market Price Emergency declaration will end on 30 June 2024. Thereafter, coal royalty rates will increase </w:t>
            </w:r>
            <w:r w:rsidR="003C089F">
              <w:t>by 2.6 percentage points</w:t>
            </w:r>
            <w:r w:rsidRPr="00FA3AE5">
              <w:t xml:space="preserve"> to ensure that the people of N</w:t>
            </w:r>
            <w:r w:rsidR="001440CF">
              <w:t xml:space="preserve">ew </w:t>
            </w:r>
            <w:r w:rsidRPr="00FA3AE5">
              <w:t>S</w:t>
            </w:r>
            <w:r w:rsidR="001440CF">
              <w:t xml:space="preserve">outh </w:t>
            </w:r>
            <w:r w:rsidRPr="00FA3AE5">
              <w:t>W</w:t>
            </w:r>
            <w:r w:rsidR="00E66EBE">
              <w:t>ales</w:t>
            </w:r>
            <w:r w:rsidRPr="00FA3AE5">
              <w:t xml:space="preserve"> receive a fair return for the natural resources the State owns. </w:t>
            </w:r>
            <w:r w:rsidR="00530DE1">
              <w:t>F</w:t>
            </w:r>
            <w:r w:rsidRPr="00FA3AE5">
              <w:t>rom 1 July 2024</w:t>
            </w:r>
            <w:r w:rsidR="00530DE1">
              <w:t>,</w:t>
            </w:r>
            <w:r w:rsidRPr="00FA3AE5">
              <w:t xml:space="preserve"> royalty rates will increase from 8.2 per cent to 10.8 per cent</w:t>
            </w:r>
            <w:r w:rsidR="0063539B" w:rsidRPr="00FA3AE5">
              <w:t xml:space="preserve"> for open cut coal</w:t>
            </w:r>
            <w:r w:rsidRPr="00FA3AE5">
              <w:t>; from 7.2</w:t>
            </w:r>
            <w:r w:rsidR="00195F86">
              <w:t> </w:t>
            </w:r>
            <w:r w:rsidRPr="00FA3AE5">
              <w:t>per</w:t>
            </w:r>
            <w:r w:rsidR="00195F86">
              <w:t> </w:t>
            </w:r>
            <w:r w:rsidRPr="00FA3AE5">
              <w:t>cent to 9.8 per cent for underground coal (mines less than 400 met</w:t>
            </w:r>
            <w:r w:rsidR="00A2331B">
              <w:t>re</w:t>
            </w:r>
            <w:r w:rsidRPr="00FA3AE5">
              <w:t>s below ground); and from 6.2 percent to 8.8 per cent for deep underground coal (mines more than 400 met</w:t>
            </w:r>
            <w:r w:rsidR="008B2D16">
              <w:t>re</w:t>
            </w:r>
            <w:r w:rsidRPr="00FA3AE5">
              <w:t xml:space="preserve">s below ground). </w:t>
            </w:r>
          </w:p>
          <w:p w14:paraId="0CF8EEFD" w14:textId="14C9A239" w:rsidR="00FA3AE5" w:rsidRPr="00FA3AE5" w:rsidRDefault="00FA3AE5" w:rsidP="00E4551D">
            <w:pPr>
              <w:pStyle w:val="BodyText"/>
            </w:pPr>
            <w:r w:rsidRPr="00FA3AE5">
              <w:t>Coal royalties were last changed in January 2009, when rates were increased by 1.2</w:t>
            </w:r>
            <w:r w:rsidR="00F94508">
              <w:t> </w:t>
            </w:r>
            <w:r w:rsidRPr="00FA3AE5">
              <w:t xml:space="preserve">percentage points. Between then and July 2021, export thermal coal prices averaged around </w:t>
            </w:r>
            <w:r w:rsidR="00AD71C3">
              <w:t>US</w:t>
            </w:r>
            <w:r w:rsidRPr="00FA3AE5">
              <w:t>$</w:t>
            </w:r>
            <w:r w:rsidR="000C1D2B" w:rsidRPr="008512F7">
              <w:t>85</w:t>
            </w:r>
            <w:r w:rsidRPr="00FA3AE5">
              <w:t xml:space="preserve"> per tonne. Since 2021, a range of external factors, including the Russian invasion of Ukraine, has led to an unprecedented surge in the price of energy commodities, including coal. </w:t>
            </w:r>
          </w:p>
          <w:p w14:paraId="1DE30972" w14:textId="07803AB2" w:rsidR="0053545E" w:rsidRPr="00C20D6D" w:rsidRDefault="00FA3AE5" w:rsidP="00E4551D">
            <w:pPr>
              <w:pStyle w:val="BodyText"/>
            </w:pPr>
            <w:r w:rsidRPr="00FA3AE5">
              <w:t>The increase in coal royalty rates ensures N</w:t>
            </w:r>
            <w:r w:rsidR="004A1C4F">
              <w:t xml:space="preserve">ew </w:t>
            </w:r>
            <w:r w:rsidRPr="00FA3AE5">
              <w:t>S</w:t>
            </w:r>
            <w:r w:rsidR="004A1C4F">
              <w:t xml:space="preserve">outh </w:t>
            </w:r>
            <w:r w:rsidRPr="00FA3AE5">
              <w:t>W</w:t>
            </w:r>
            <w:r w:rsidR="004A1C4F">
              <w:t>ales</w:t>
            </w:r>
            <w:r w:rsidRPr="00FA3AE5">
              <w:t xml:space="preserve"> continues to receive a fair return on its natural resources in the current market environment of persistently high coal prices. </w:t>
            </w:r>
            <w:r w:rsidR="00A75688">
              <w:t xml:space="preserve">This change will raise an </w:t>
            </w:r>
            <w:r w:rsidR="00860C9F">
              <w:t>estimated $2.</w:t>
            </w:r>
            <w:r w:rsidR="00D743AE">
              <w:t>7</w:t>
            </w:r>
            <w:r w:rsidR="00860C9F">
              <w:t xml:space="preserve"> billion over the </w:t>
            </w:r>
            <w:r w:rsidR="00D743AE">
              <w:t>four</w:t>
            </w:r>
            <w:r w:rsidR="00482959">
              <w:t xml:space="preserve"> years to </w:t>
            </w:r>
            <w:r w:rsidR="00E14405">
              <w:t>December 2027</w:t>
            </w:r>
            <w:r w:rsidR="00482959">
              <w:t xml:space="preserve"> and provide an ongoing lift in royalty revenue </w:t>
            </w:r>
            <w:r w:rsidR="00216452">
              <w:t>over the long-term</w:t>
            </w:r>
            <w:r w:rsidR="008A034A">
              <w:t>.</w:t>
            </w:r>
            <w:r w:rsidR="001F22AF" w:rsidRPr="001F22AF">
              <w:t xml:space="preserve"> </w:t>
            </w:r>
          </w:p>
        </w:tc>
      </w:tr>
    </w:tbl>
    <w:p w14:paraId="4F7FA779" w14:textId="60E3EFFE" w:rsidR="00A648A1" w:rsidRDefault="00A648A1" w:rsidP="00296887"/>
    <w:sectPr w:rsidR="00A648A1" w:rsidSect="00020DE7">
      <w:headerReference w:type="even" r:id="rId15"/>
      <w:headerReference w:type="default" r:id="rId16"/>
      <w:footerReference w:type="even" r:id="rId17"/>
      <w:footerReference w:type="default" r:id="rId18"/>
      <w:headerReference w:type="first" r:id="rId19"/>
      <w:footerReference w:type="first" r:id="rId20"/>
      <w:pgSz w:w="11907" w:h="16840" w:code="9"/>
      <w:pgMar w:top="1134" w:right="1134" w:bottom="851"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10FA" w14:textId="77777777" w:rsidR="002D3616" w:rsidRDefault="002D3616">
      <w:r>
        <w:separator/>
      </w:r>
    </w:p>
  </w:endnote>
  <w:endnote w:type="continuationSeparator" w:id="0">
    <w:p w14:paraId="29297433" w14:textId="77777777" w:rsidR="002D3616" w:rsidRDefault="002D3616">
      <w:r>
        <w:continuationSeparator/>
      </w:r>
    </w:p>
  </w:endnote>
  <w:endnote w:type="continuationNotice" w:id="1">
    <w:p w14:paraId="71E71F0C" w14:textId="77777777" w:rsidR="002D3616" w:rsidRDefault="002D3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C6BE" w14:textId="0CDF856F" w:rsidR="006212B5" w:rsidRPr="009E5213" w:rsidRDefault="00580D7E" w:rsidP="00014057">
    <w:pPr>
      <w:pBdr>
        <w:top w:val="single" w:sz="4" w:space="4" w:color="auto"/>
      </w:pBdr>
      <w:tabs>
        <w:tab w:val="right" w:pos="9639"/>
      </w:tabs>
      <w:rPr>
        <w:rFonts w:ascii="Arial" w:hAnsi="Arial" w:cs="Arial"/>
        <w:sz w:val="10"/>
        <w:szCs w:val="12"/>
      </w:rPr>
    </w:pPr>
    <w:r w:rsidRPr="00F10588">
      <w:rPr>
        <w:rFonts w:ascii="Public Sans" w:hAnsi="Public Sans" w:cs="Arial"/>
        <w:sz w:val="18"/>
        <w:szCs w:val="18"/>
      </w:rPr>
      <w:t>4</w:t>
    </w:r>
    <w:r w:rsidR="009E5213" w:rsidRPr="00F10588">
      <w:rPr>
        <w:rFonts w:ascii="Public Sans" w:hAnsi="Public Sans" w:cs="Arial"/>
        <w:sz w:val="18"/>
        <w:szCs w:val="18"/>
      </w:rPr>
      <w:t xml:space="preserve"> - </w:t>
    </w:r>
    <w:r w:rsidR="009E5213" w:rsidRPr="00F10588">
      <w:rPr>
        <w:rFonts w:ascii="Public Sans" w:hAnsi="Public Sans" w:cs="Arial"/>
        <w:sz w:val="18"/>
        <w:szCs w:val="18"/>
      </w:rPr>
      <w:fldChar w:fldCharType="begin"/>
    </w:r>
    <w:r w:rsidR="009E5213" w:rsidRPr="00F10588">
      <w:rPr>
        <w:rFonts w:ascii="Public Sans" w:hAnsi="Public Sans" w:cs="Arial"/>
        <w:sz w:val="18"/>
        <w:szCs w:val="18"/>
      </w:rPr>
      <w:instrText xml:space="preserve"> PAGE   \* MERGEFORMAT </w:instrText>
    </w:r>
    <w:r w:rsidR="009E5213" w:rsidRPr="00F10588">
      <w:rPr>
        <w:rFonts w:ascii="Public Sans" w:hAnsi="Public Sans" w:cs="Arial"/>
        <w:sz w:val="18"/>
        <w:szCs w:val="18"/>
      </w:rPr>
      <w:fldChar w:fldCharType="separate"/>
    </w:r>
    <w:r w:rsidR="009E5213" w:rsidRPr="00F10588">
      <w:rPr>
        <w:rFonts w:ascii="Public Sans" w:hAnsi="Public Sans" w:cs="Arial"/>
        <w:sz w:val="18"/>
        <w:szCs w:val="18"/>
      </w:rPr>
      <w:t>2</w:t>
    </w:r>
    <w:r w:rsidR="009E5213" w:rsidRPr="00F10588">
      <w:rPr>
        <w:rFonts w:ascii="Public Sans" w:hAnsi="Public Sans" w:cs="Arial"/>
        <w:noProof/>
        <w:sz w:val="18"/>
        <w:szCs w:val="18"/>
      </w:rPr>
      <w:fldChar w:fldCharType="end"/>
    </w:r>
    <w:r w:rsidR="009E5213" w:rsidRPr="00F10588">
      <w:rPr>
        <w:rFonts w:ascii="Public Sans" w:hAnsi="Public Sans" w:cs="Arial"/>
        <w:noProof/>
        <w:sz w:val="18"/>
        <w:szCs w:val="18"/>
      </w:rPr>
      <w:tab/>
    </w:r>
    <w:r w:rsidR="009E5213" w:rsidRPr="00F10588">
      <w:rPr>
        <w:rFonts w:ascii="Public Sans" w:hAnsi="Public Sans" w:cs="Arial"/>
        <w:sz w:val="18"/>
        <w:szCs w:val="18"/>
      </w:rPr>
      <w:t>Budget Statement 2023-24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7283" w14:textId="69EDDD5F" w:rsidR="006212B5" w:rsidRPr="009E5213" w:rsidRDefault="009E5213" w:rsidP="00014057">
    <w:pPr>
      <w:pBdr>
        <w:top w:val="single" w:sz="4" w:space="4" w:color="auto"/>
      </w:pBdr>
      <w:tabs>
        <w:tab w:val="right" w:pos="9639"/>
      </w:tabs>
      <w:rPr>
        <w:rFonts w:ascii="Arial" w:hAnsi="Arial" w:cs="Arial"/>
        <w:sz w:val="10"/>
        <w:szCs w:val="12"/>
      </w:rPr>
    </w:pPr>
    <w:r w:rsidRPr="00F10588">
      <w:rPr>
        <w:rFonts w:ascii="Public Sans" w:hAnsi="Public Sans" w:cs="Arial"/>
        <w:sz w:val="18"/>
        <w:szCs w:val="18"/>
      </w:rPr>
      <w:t>Budget Statement 2023-24</w:t>
    </w:r>
    <w:r w:rsidRPr="00F10588">
      <w:rPr>
        <w:rFonts w:ascii="Public Sans" w:hAnsi="Public Sans" w:cs="Arial"/>
        <w:sz w:val="18"/>
        <w:szCs w:val="18"/>
      </w:rPr>
      <w:tab/>
    </w:r>
    <w:r w:rsidR="00F5279F" w:rsidRPr="00F10588">
      <w:rPr>
        <w:rFonts w:ascii="Public Sans" w:hAnsi="Public Sans" w:cs="Arial"/>
        <w:sz w:val="18"/>
        <w:szCs w:val="18"/>
      </w:rPr>
      <w:t>4</w:t>
    </w:r>
    <w:r w:rsidRPr="00F10588">
      <w:rPr>
        <w:rFonts w:ascii="Public Sans" w:hAnsi="Public Sans" w:cs="Arial"/>
        <w:sz w:val="18"/>
        <w:szCs w:val="18"/>
      </w:rPr>
      <w:t xml:space="preserve"> - </w:t>
    </w:r>
    <w:r w:rsidRPr="00F10588">
      <w:rPr>
        <w:rFonts w:ascii="Public Sans" w:hAnsi="Public Sans" w:cs="Arial"/>
        <w:sz w:val="18"/>
        <w:szCs w:val="18"/>
      </w:rPr>
      <w:fldChar w:fldCharType="begin"/>
    </w:r>
    <w:r w:rsidRPr="00F10588">
      <w:rPr>
        <w:rFonts w:ascii="Public Sans" w:hAnsi="Public Sans" w:cs="Arial"/>
        <w:sz w:val="18"/>
        <w:szCs w:val="18"/>
      </w:rPr>
      <w:instrText xml:space="preserve"> PAGE   \* MERGEFORMAT </w:instrText>
    </w:r>
    <w:r w:rsidRPr="00F10588">
      <w:rPr>
        <w:rFonts w:ascii="Public Sans" w:hAnsi="Public Sans" w:cs="Arial"/>
        <w:sz w:val="18"/>
        <w:szCs w:val="18"/>
      </w:rPr>
      <w:fldChar w:fldCharType="separate"/>
    </w:r>
    <w:r w:rsidRPr="00F10588">
      <w:rPr>
        <w:rFonts w:ascii="Public Sans" w:hAnsi="Public Sans" w:cs="Arial"/>
        <w:sz w:val="18"/>
        <w:szCs w:val="18"/>
      </w:rPr>
      <w:t>1</w:t>
    </w:r>
    <w:r w:rsidRPr="00F10588">
      <w:rPr>
        <w:rFonts w:ascii="Public Sans" w:hAnsi="Public San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90F" w14:textId="7B33A292" w:rsidR="00F10588" w:rsidRPr="009E5213" w:rsidRDefault="009E5213" w:rsidP="00014057">
    <w:pPr>
      <w:pBdr>
        <w:top w:val="single" w:sz="4" w:space="4" w:color="auto"/>
      </w:pBdr>
      <w:tabs>
        <w:tab w:val="right" w:pos="9639"/>
      </w:tabs>
      <w:rPr>
        <w:rFonts w:ascii="Arial" w:hAnsi="Arial" w:cs="Arial"/>
        <w:sz w:val="10"/>
        <w:szCs w:val="12"/>
      </w:rPr>
    </w:pPr>
    <w:r w:rsidRPr="009C60DC">
      <w:rPr>
        <w:rFonts w:ascii="Public Sans" w:hAnsi="Public Sans" w:cs="Arial"/>
        <w:sz w:val="18"/>
        <w:szCs w:val="18"/>
      </w:rPr>
      <w:t>Budget Statement 2023-24</w:t>
    </w:r>
    <w:r w:rsidRPr="009C60DC">
      <w:rPr>
        <w:rFonts w:ascii="Public Sans" w:hAnsi="Public Sans" w:cs="Arial"/>
        <w:sz w:val="18"/>
        <w:szCs w:val="18"/>
      </w:rPr>
      <w:tab/>
    </w:r>
    <w:r w:rsidR="00580D7E" w:rsidRPr="009C60DC">
      <w:rPr>
        <w:rFonts w:ascii="Public Sans" w:hAnsi="Public Sans" w:cs="Arial"/>
        <w:sz w:val="18"/>
        <w:szCs w:val="18"/>
      </w:rPr>
      <w:t>4</w:t>
    </w:r>
    <w:r w:rsidRPr="009C60DC">
      <w:rPr>
        <w:rFonts w:ascii="Public Sans" w:hAnsi="Public Sans" w:cs="Arial"/>
        <w:sz w:val="18"/>
        <w:szCs w:val="18"/>
      </w:rPr>
      <w:t xml:space="preserve"> - </w:t>
    </w:r>
    <w:r w:rsidRPr="009C60DC">
      <w:rPr>
        <w:rFonts w:ascii="Public Sans" w:hAnsi="Public Sans" w:cs="Arial"/>
        <w:sz w:val="18"/>
        <w:szCs w:val="18"/>
      </w:rPr>
      <w:fldChar w:fldCharType="begin"/>
    </w:r>
    <w:r w:rsidRPr="009C60DC">
      <w:rPr>
        <w:rFonts w:ascii="Public Sans" w:hAnsi="Public Sans" w:cs="Arial"/>
        <w:sz w:val="18"/>
        <w:szCs w:val="18"/>
      </w:rPr>
      <w:instrText xml:space="preserve"> PAGE   \* MERGEFORMAT </w:instrText>
    </w:r>
    <w:r w:rsidRPr="009C60DC">
      <w:rPr>
        <w:rFonts w:ascii="Public Sans" w:hAnsi="Public Sans" w:cs="Arial"/>
        <w:sz w:val="18"/>
        <w:szCs w:val="18"/>
      </w:rPr>
      <w:fldChar w:fldCharType="separate"/>
    </w:r>
    <w:r w:rsidRPr="009C60DC">
      <w:rPr>
        <w:rFonts w:ascii="Public Sans" w:hAnsi="Public Sans" w:cs="Arial"/>
        <w:sz w:val="18"/>
        <w:szCs w:val="18"/>
      </w:rPr>
      <w:t>5</w:t>
    </w:r>
    <w:r w:rsidRPr="009C60DC">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6A15B" w14:textId="77777777" w:rsidR="002D3616" w:rsidRDefault="002D3616">
      <w:pPr>
        <w:spacing w:before="120"/>
      </w:pPr>
      <w:r>
        <w:separator/>
      </w:r>
    </w:p>
  </w:footnote>
  <w:footnote w:type="continuationSeparator" w:id="0">
    <w:p w14:paraId="1F201760" w14:textId="77777777" w:rsidR="002D3616" w:rsidRDefault="002D3616">
      <w:pPr>
        <w:spacing w:before="120"/>
      </w:pPr>
      <w:r>
        <w:continuationSeparator/>
      </w:r>
    </w:p>
  </w:footnote>
  <w:footnote w:type="continuationNotice" w:id="1">
    <w:p w14:paraId="451467D7" w14:textId="77777777" w:rsidR="002D3616" w:rsidRDefault="002D3616">
      <w:pPr>
        <w:rPr>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D7FB" w14:textId="77777777" w:rsidR="00F5279F" w:rsidRPr="00830BAE" w:rsidRDefault="00F5279F" w:rsidP="00F5279F">
    <w:pPr>
      <w:pBdr>
        <w:bottom w:val="single" w:sz="4" w:space="4" w:color="auto"/>
      </w:pBdr>
      <w:rPr>
        <w:rFonts w:ascii="Public Sans" w:eastAsia="Calibri" w:hAnsi="Public Sans" w:cs="Arial"/>
        <w:sz w:val="18"/>
        <w:szCs w:val="18"/>
      </w:rPr>
    </w:pPr>
    <w:r w:rsidRPr="00830BAE">
      <w:rPr>
        <w:rFonts w:ascii="Public Sans" w:eastAsia="Calibri" w:hAnsi="Public Sans" w:cs="Arial"/>
        <w:sz w:val="18"/>
        <w:szCs w:val="18"/>
      </w:rPr>
      <w:t>Revenue</w:t>
    </w:r>
  </w:p>
  <w:p w14:paraId="439DB458" w14:textId="77777777" w:rsidR="009E5213" w:rsidRDefault="009E5213" w:rsidP="009E52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3606" w14:textId="77777777" w:rsidR="00580D7E" w:rsidRPr="00830BAE" w:rsidRDefault="00580D7E" w:rsidP="00580D7E">
    <w:pPr>
      <w:pBdr>
        <w:bottom w:val="single" w:sz="4" w:space="4" w:color="auto"/>
      </w:pBdr>
      <w:jc w:val="right"/>
      <w:rPr>
        <w:rFonts w:ascii="Public Sans" w:eastAsia="Calibri" w:hAnsi="Public Sans" w:cs="Arial"/>
        <w:sz w:val="18"/>
        <w:szCs w:val="18"/>
      </w:rPr>
    </w:pPr>
    <w:r w:rsidRPr="00830BAE">
      <w:rPr>
        <w:rFonts w:ascii="Public Sans" w:eastAsia="Calibri" w:hAnsi="Public Sans" w:cs="Arial"/>
        <w:sz w:val="18"/>
        <w:szCs w:val="18"/>
      </w:rPr>
      <w:t>Revenue</w:t>
    </w:r>
  </w:p>
  <w:p w14:paraId="08E06F2E" w14:textId="10C1D8D6" w:rsidR="009E5213" w:rsidRPr="00580D7E" w:rsidRDefault="009E5213" w:rsidP="00580D7E">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07DE" w14:textId="77777777" w:rsidR="00361FC8" w:rsidRDefault="00361FC8"/>
  <w:p w14:paraId="4EA727DD" w14:textId="5EACA173" w:rsidR="00AB2DCE" w:rsidRDefault="00AB2DCE"/>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E6A3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B13CE9"/>
    <w:multiLevelType w:val="hybridMultilevel"/>
    <w:tmpl w:val="EE969F1C"/>
    <w:lvl w:ilvl="0" w:tplc="EA321640">
      <w:start w:val="1"/>
      <w:numFmt w:val="decimal"/>
      <w:pStyle w:val="ChartA1X"/>
      <w:lvlText w:val="Chart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69716A"/>
    <w:multiLevelType w:val="hybridMultilevel"/>
    <w:tmpl w:val="18BC5E94"/>
    <w:lvl w:ilvl="0" w:tplc="2A182B60">
      <w:start w:val="1"/>
      <w:numFmt w:val="decimal"/>
      <w:pStyle w:val="A22Heading2"/>
      <w:lvlText w:val="A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C22B50"/>
    <w:multiLevelType w:val="hybridMultilevel"/>
    <w:tmpl w:val="2EBE8B06"/>
    <w:lvl w:ilvl="0" w:tplc="DF30B790">
      <w:start w:val="1"/>
      <w:numFmt w:val="decimal"/>
      <w:pStyle w:val="A11Heading2"/>
      <w:lvlText w:val="A1.%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9E3DB3"/>
    <w:multiLevelType w:val="hybridMultilevel"/>
    <w:tmpl w:val="80D86404"/>
    <w:lvl w:ilvl="0" w:tplc="2118EFB4">
      <w:start w:val="1"/>
      <w:numFmt w:val="decimal"/>
      <w:pStyle w:val="FigureBX"/>
      <w:lvlText w:val="Figur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EF3ACE"/>
    <w:multiLevelType w:val="hybridMultilevel"/>
    <w:tmpl w:val="36B4FB4E"/>
    <w:lvl w:ilvl="0" w:tplc="763444AC">
      <w:start w:val="1"/>
      <w:numFmt w:val="decimal"/>
      <w:pStyle w:val="Table7X"/>
      <w:lvlText w:val="Table 7.%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0A161376"/>
    <w:multiLevelType w:val="hybridMultilevel"/>
    <w:tmpl w:val="4B6AB91E"/>
    <w:lvl w:ilvl="0" w:tplc="D0B2D066">
      <w:start w:val="1"/>
      <w:numFmt w:val="decimal"/>
      <w:pStyle w:val="TableBX"/>
      <w:lvlText w:val="Tabl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D475E7"/>
    <w:multiLevelType w:val="hybridMultilevel"/>
    <w:tmpl w:val="91FE4D98"/>
    <w:lvl w:ilvl="0" w:tplc="0FF8E9CE">
      <w:start w:val="1"/>
      <w:numFmt w:val="decimal"/>
      <w:pStyle w:val="ChartBX"/>
      <w:lvlText w:val="Chart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68548E"/>
    <w:multiLevelType w:val="hybridMultilevel"/>
    <w:tmpl w:val="07A6E582"/>
    <w:lvl w:ilvl="0" w:tplc="D0A00826">
      <w:start w:val="1"/>
      <w:numFmt w:val="decimal"/>
      <w:pStyle w:val="Figure7X"/>
      <w:lvlText w:val="Figure 7.%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7833DA"/>
    <w:multiLevelType w:val="hybridMultilevel"/>
    <w:tmpl w:val="26F2694E"/>
    <w:lvl w:ilvl="0" w:tplc="45FE75FC">
      <w:start w:val="1"/>
      <w:numFmt w:val="decimal"/>
      <w:pStyle w:val="Table5X"/>
      <w:lvlText w:val="Table 5.%1:"/>
      <w:lvlJc w:val="left"/>
      <w:pPr>
        <w:ind w:left="360" w:hanging="360"/>
      </w:pPr>
      <w:rPr>
        <w:rFonts w:ascii="Public Sans" w:hAnsi="Public Sans" w:hint="default"/>
        <w:b w:val="0"/>
        <w:i/>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12" w15:restartNumberingAfterBreak="0">
    <w:nsid w:val="1466487C"/>
    <w:multiLevelType w:val="hybridMultilevel"/>
    <w:tmpl w:val="D116BA2E"/>
    <w:lvl w:ilvl="0" w:tplc="82A2E370">
      <w:start w:val="1"/>
      <w:numFmt w:val="decimal"/>
      <w:pStyle w:val="Figure3X"/>
      <w:lvlText w:val="Figure 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307FD1"/>
    <w:multiLevelType w:val="hybridMultilevel"/>
    <w:tmpl w:val="F9385D1C"/>
    <w:lvl w:ilvl="0" w:tplc="6B1CACF0">
      <w:start w:val="1"/>
      <w:numFmt w:val="decimal"/>
      <w:pStyle w:val="E1Heading2"/>
      <w:lvlText w:val="E.%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597091"/>
    <w:multiLevelType w:val="hybridMultilevel"/>
    <w:tmpl w:val="E8826F44"/>
    <w:lvl w:ilvl="0" w:tplc="CCFEA172">
      <w:start w:val="1"/>
      <w:numFmt w:val="decimal"/>
      <w:pStyle w:val="ChartA5X"/>
      <w:lvlText w:val="Chart A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BA3451"/>
    <w:multiLevelType w:val="hybridMultilevel"/>
    <w:tmpl w:val="D3CCD44C"/>
    <w:lvl w:ilvl="0" w:tplc="0658A8F8">
      <w:start w:val="1"/>
      <w:numFmt w:val="decimal"/>
      <w:pStyle w:val="FigureA4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DE7142"/>
    <w:multiLevelType w:val="hybridMultilevel"/>
    <w:tmpl w:val="0826E016"/>
    <w:lvl w:ilvl="0" w:tplc="A75607BC">
      <w:start w:val="1"/>
      <w:numFmt w:val="decimal"/>
      <w:pStyle w:val="TableA1X"/>
      <w:lvlText w:val="Table A1.%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856019"/>
    <w:multiLevelType w:val="hybridMultilevel"/>
    <w:tmpl w:val="24FAF34E"/>
    <w:styleLink w:val="BulletPoints"/>
    <w:lvl w:ilvl="0" w:tplc="A7B65A7E">
      <w:start w:val="1"/>
      <w:numFmt w:val="bullet"/>
      <w:lvlText w:val=""/>
      <w:lvlJc w:val="left"/>
      <w:pPr>
        <w:ind w:left="360" w:hanging="360"/>
      </w:pPr>
      <w:rPr>
        <w:rFonts w:ascii="Symbol" w:hAnsi="Symbol" w:hint="default"/>
        <w:color w:val="0A7CB9"/>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846FD5"/>
    <w:multiLevelType w:val="hybridMultilevel"/>
    <w:tmpl w:val="7CC03A8C"/>
    <w:lvl w:ilvl="0" w:tplc="BC860DF2">
      <w:start w:val="1"/>
      <w:numFmt w:val="decimal"/>
      <w:pStyle w:val="B1Heading2"/>
      <w:lvlText w:val="B.%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16028F"/>
    <w:multiLevelType w:val="hybridMultilevel"/>
    <w:tmpl w:val="11985072"/>
    <w:lvl w:ilvl="0" w:tplc="42F65876">
      <w:start w:val="1"/>
      <w:numFmt w:val="decimal"/>
      <w:pStyle w:val="ChartA4X"/>
      <w:lvlText w:val="Chart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A67470"/>
    <w:multiLevelType w:val="hybridMultilevel"/>
    <w:tmpl w:val="6F860A44"/>
    <w:lvl w:ilvl="0" w:tplc="CE3EB444">
      <w:start w:val="1"/>
      <w:numFmt w:val="decimal"/>
      <w:pStyle w:val="FigureA3X"/>
      <w:lvlText w:val="Figure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B35209"/>
    <w:multiLevelType w:val="hybridMultilevel"/>
    <w:tmpl w:val="33522D0A"/>
    <w:lvl w:ilvl="0" w:tplc="5DEA5146">
      <w:start w:val="1"/>
      <w:numFmt w:val="decimal"/>
      <w:pStyle w:val="Table6X"/>
      <w:lvlText w:val="Table 6.%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C46124"/>
    <w:multiLevelType w:val="hybridMultilevel"/>
    <w:tmpl w:val="9982A7A8"/>
    <w:lvl w:ilvl="0" w:tplc="B35C7842">
      <w:start w:val="1"/>
      <w:numFmt w:val="decimal"/>
      <w:pStyle w:val="Figure4X"/>
      <w:lvlText w:val="Figure 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73AFC"/>
    <w:multiLevelType w:val="hybridMultilevel"/>
    <w:tmpl w:val="77545C4A"/>
    <w:lvl w:ilvl="0" w:tplc="9BA0DB3A">
      <w:start w:val="1"/>
      <w:numFmt w:val="decimal"/>
      <w:pStyle w:val="41Heading2"/>
      <w:lvlText w:val="4.%1"/>
      <w:lvlJc w:val="left"/>
      <w:pPr>
        <w:ind w:left="360" w:hanging="360"/>
      </w:pPr>
      <w:rPr>
        <w:rFonts w:ascii="Public Sans SemiBold" w:hAnsi="Public Sans SemiBold" w:hint="default"/>
        <w:b/>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100178"/>
    <w:multiLevelType w:val="hybridMultilevel"/>
    <w:tmpl w:val="5928A73E"/>
    <w:lvl w:ilvl="0" w:tplc="DE9229E2">
      <w:start w:val="1"/>
      <w:numFmt w:val="decimal"/>
      <w:pStyle w:val="Table1X"/>
      <w:lvlText w:val="Table 1.%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0F238E"/>
    <w:multiLevelType w:val="hybridMultilevel"/>
    <w:tmpl w:val="E5440970"/>
    <w:lvl w:ilvl="0" w:tplc="13E48AEA">
      <w:start w:val="1"/>
      <w:numFmt w:val="decimal"/>
      <w:pStyle w:val="FigureA2X"/>
      <w:lvlText w:val="Figure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B327C4"/>
    <w:multiLevelType w:val="hybridMultilevel"/>
    <w:tmpl w:val="89B69380"/>
    <w:lvl w:ilvl="0" w:tplc="792A9F28">
      <w:start w:val="1"/>
      <w:numFmt w:val="decimal"/>
      <w:pStyle w:val="81Heading2"/>
      <w:lvlText w:val="8.%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2D55888"/>
    <w:multiLevelType w:val="hybridMultilevel"/>
    <w:tmpl w:val="B5B2F452"/>
    <w:lvl w:ilvl="0" w:tplc="4FCC9BE2">
      <w:start w:val="1"/>
      <w:numFmt w:val="decimal"/>
      <w:pStyle w:val="Table4X"/>
      <w:lvlText w:val="Table 4.%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4DC19EF"/>
    <w:multiLevelType w:val="hybridMultilevel"/>
    <w:tmpl w:val="E2E2BBA4"/>
    <w:lvl w:ilvl="0" w:tplc="238C1AF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52376B"/>
    <w:multiLevelType w:val="hybridMultilevel"/>
    <w:tmpl w:val="C26C5F48"/>
    <w:lvl w:ilvl="0" w:tplc="A15014C4">
      <w:start w:val="1"/>
      <w:numFmt w:val="lowerLetter"/>
      <w:lvlText w:val="(%1)"/>
      <w:lvlJc w:val="left"/>
      <w:pPr>
        <w:ind w:left="720" w:hanging="360"/>
      </w:pPr>
      <w:rPr>
        <w:rFonts w:eastAsia="Times New Roman"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A618EB"/>
    <w:multiLevelType w:val="hybridMultilevel"/>
    <w:tmpl w:val="42E6EFFC"/>
    <w:lvl w:ilvl="0" w:tplc="3EF2249E">
      <w:start w:val="1"/>
      <w:numFmt w:val="decimal"/>
      <w:pStyle w:val="Chart2X"/>
      <w:lvlText w:val="Chart 2.%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B425B1"/>
    <w:multiLevelType w:val="hybridMultilevel"/>
    <w:tmpl w:val="A37C711C"/>
    <w:lvl w:ilvl="0" w:tplc="2F0AE4E8">
      <w:start w:val="1"/>
      <w:numFmt w:val="decimal"/>
      <w:pStyle w:val="TableA2X"/>
      <w:lvlText w:val="Table A2.%1:"/>
      <w:lvlJc w:val="left"/>
      <w:pPr>
        <w:ind w:left="360" w:hanging="360"/>
      </w:pPr>
      <w:rPr>
        <w:rFonts w:ascii="Public Sans" w:hAnsi="Public Sans" w:hint="default"/>
        <w:b w:val="0"/>
        <w:i/>
        <w:caps w:val="0"/>
        <w:color w:val="57514D"/>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3AC54CD5"/>
    <w:multiLevelType w:val="hybridMultilevel"/>
    <w:tmpl w:val="3F946DA0"/>
    <w:lvl w:ilvl="0" w:tplc="EF7AE16E">
      <w:start w:val="1"/>
      <w:numFmt w:val="decimal"/>
      <w:pStyle w:val="ChartA2X"/>
      <w:lvlText w:val="Chart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765FA8"/>
    <w:multiLevelType w:val="hybridMultilevel"/>
    <w:tmpl w:val="AE5EE838"/>
    <w:lvl w:ilvl="0" w:tplc="39DAC87A">
      <w:start w:val="1"/>
      <w:numFmt w:val="decimal"/>
      <w:pStyle w:val="Box8XBoxHeading"/>
      <w:lvlText w:val="Box 8.%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402373E"/>
    <w:multiLevelType w:val="hybridMultilevel"/>
    <w:tmpl w:val="7C6C9850"/>
    <w:lvl w:ilvl="0" w:tplc="605AD154">
      <w:start w:val="1"/>
      <w:numFmt w:val="decimal"/>
      <w:pStyle w:val="C1Heading2"/>
      <w:lvlText w:val="C.%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5F00C6"/>
    <w:multiLevelType w:val="hybridMultilevel"/>
    <w:tmpl w:val="222AF2BE"/>
    <w:lvl w:ilvl="0" w:tplc="AB2E823A">
      <w:start w:val="1"/>
      <w:numFmt w:val="decimal"/>
      <w:pStyle w:val="61Heading2"/>
      <w:lvlText w:val="6.%1"/>
      <w:lvlJc w:val="left"/>
      <w:pPr>
        <w:ind w:left="360" w:hanging="360"/>
      </w:pPr>
      <w:rPr>
        <w:rFonts w:ascii="Public Sans SemiBold" w:hAnsi="Public Sans SemiBold" w:hint="default"/>
        <w:b w:val="0"/>
        <w:i w:val="0"/>
        <w:caps w:val="0"/>
        <w:color w:val="22272B"/>
        <w:sz w:val="28"/>
        <w:u w:val="none" w:color="0A7CB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57303A6"/>
    <w:multiLevelType w:val="hybridMultilevel"/>
    <w:tmpl w:val="D6BEEB44"/>
    <w:lvl w:ilvl="0" w:tplc="31947774">
      <w:start w:val="1"/>
      <w:numFmt w:val="decimal"/>
      <w:pStyle w:val="51Heading2"/>
      <w:lvlText w:val="5.%1"/>
      <w:lvlJc w:val="left"/>
      <w:pPr>
        <w:ind w:left="360" w:hanging="360"/>
      </w:pPr>
      <w:rPr>
        <w:rFonts w:ascii="Public Sans SemiBold" w:hAnsi="Public Sans SemiBold" w:hint="default"/>
        <w:b w:val="0"/>
        <w:i w:val="0"/>
        <w:caps w:val="0"/>
        <w:color w:val="22272B"/>
        <w:sz w:val="28"/>
        <w:u w:val="none" w:color="00ABE6"/>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38" w15:restartNumberingAfterBreak="0">
    <w:nsid w:val="45CD10BF"/>
    <w:multiLevelType w:val="hybridMultilevel"/>
    <w:tmpl w:val="F9747B80"/>
    <w:lvl w:ilvl="0" w:tplc="979CEB2E">
      <w:start w:val="1"/>
      <w:numFmt w:val="decimal"/>
      <w:pStyle w:val="Figure5X"/>
      <w:lvlText w:val="Figure 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432C24"/>
    <w:multiLevelType w:val="hybridMultilevel"/>
    <w:tmpl w:val="231688CC"/>
    <w:lvl w:ilvl="0" w:tplc="1BBC7E6A">
      <w:start w:val="1"/>
      <w:numFmt w:val="decimal"/>
      <w:pStyle w:val="FigureEX"/>
      <w:lvlText w:val="Figure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1C3199"/>
    <w:multiLevelType w:val="hybridMultilevel"/>
    <w:tmpl w:val="33BC3D9E"/>
    <w:lvl w:ilvl="0" w:tplc="6A0CC274">
      <w:start w:val="1"/>
      <w:numFmt w:val="decimal"/>
      <w:pStyle w:val="A31Heading2"/>
      <w:lvlText w:val="A3.%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0D3232"/>
    <w:multiLevelType w:val="hybridMultilevel"/>
    <w:tmpl w:val="0F0CAC20"/>
    <w:lvl w:ilvl="0" w:tplc="F00A5FDA">
      <w:start w:val="1"/>
      <w:numFmt w:val="decimal"/>
      <w:pStyle w:val="Chart4X"/>
      <w:lvlText w:val="Chart 4.%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352F38"/>
    <w:multiLevelType w:val="hybridMultilevel"/>
    <w:tmpl w:val="B86203A8"/>
    <w:lvl w:ilvl="0" w:tplc="77B4A580">
      <w:start w:val="1"/>
      <w:numFmt w:val="decimal"/>
      <w:pStyle w:val="31Heading2"/>
      <w:lvlText w:val="3.%1"/>
      <w:lvlJc w:val="left"/>
      <w:pPr>
        <w:ind w:left="360" w:hanging="360"/>
      </w:pPr>
      <w:rPr>
        <w:rFonts w:ascii="Public Sans SemiBold" w:hAnsi="Public Sans SemiBold" w:hint="default"/>
        <w:b w:val="0"/>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795CAD"/>
    <w:multiLevelType w:val="hybridMultilevel"/>
    <w:tmpl w:val="02EECE86"/>
    <w:lvl w:ilvl="0" w:tplc="06D8EE14">
      <w:start w:val="1"/>
      <w:numFmt w:val="decimal"/>
      <w:pStyle w:val="Box7XBoxHeading"/>
      <w:lvlText w:val="Box 7.%1:"/>
      <w:lvlJc w:val="left"/>
      <w:pPr>
        <w:ind w:left="360" w:hanging="360"/>
      </w:pPr>
      <w:rPr>
        <w:rFonts w:ascii="Public Sans SemiBold" w:hAnsi="Public Sans SemiBold" w:hint="default"/>
        <w:b/>
        <w:bCs w:val="0"/>
        <w:i w:val="0"/>
        <w:iCs w:val="0"/>
        <w:caps w:val="0"/>
        <w:smallCaps w:val="0"/>
        <w:strike w:val="0"/>
        <w:dstrike w:val="0"/>
        <w:noProof w:val="0"/>
        <w:vanish w:val="0"/>
        <w:color w:val="002664"/>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B83096"/>
    <w:multiLevelType w:val="hybridMultilevel"/>
    <w:tmpl w:val="CA4C7E5E"/>
    <w:lvl w:ilvl="0" w:tplc="E83AB53E">
      <w:start w:val="1"/>
      <w:numFmt w:val="decimal"/>
      <w:pStyle w:val="ChartA3X"/>
      <w:lvlText w:val="Chart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BB9441E"/>
    <w:multiLevelType w:val="hybridMultilevel"/>
    <w:tmpl w:val="C4767E5A"/>
    <w:lvl w:ilvl="0" w:tplc="11C4EB6A">
      <w:start w:val="1"/>
      <w:numFmt w:val="decimal"/>
      <w:pStyle w:val="BoxHeading"/>
      <w:lvlText w:val="Box 1.%1:"/>
      <w:lvlJc w:val="left"/>
      <w:pPr>
        <w:ind w:left="720" w:hanging="360"/>
      </w:pPr>
      <w:rPr>
        <w:rFonts w:ascii="Arial Bold" w:hAnsi="Arial Bold" w:hint="default"/>
        <w:b/>
        <w:i w:val="0"/>
        <w:sz w:val="23"/>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FB1DA3"/>
    <w:multiLevelType w:val="hybridMultilevel"/>
    <w:tmpl w:val="B96E59FA"/>
    <w:lvl w:ilvl="0" w:tplc="A92A2660">
      <w:start w:val="1"/>
      <w:numFmt w:val="decimal"/>
      <w:pStyle w:val="Box3XBoxHeading"/>
      <w:lvlText w:val="Box 3.%1:"/>
      <w:lvlJc w:val="left"/>
      <w:pPr>
        <w:ind w:left="360" w:hanging="360"/>
      </w:pPr>
      <w:rPr>
        <w:rFonts w:ascii="Public Sans SemiBold" w:hAnsi="Public Sans SemiBold" w:cs="Times New Roman" w:hint="default"/>
        <w:b/>
        <w:i w:val="0"/>
        <w:caps w:val="0"/>
        <w:color w:val="002664"/>
        <w:sz w:val="22"/>
        <w:u w:val="none" w:color="00ABE6"/>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7" w15:restartNumberingAfterBreak="0">
    <w:nsid w:val="4D8E799A"/>
    <w:multiLevelType w:val="hybridMultilevel"/>
    <w:tmpl w:val="DE60B2C6"/>
    <w:lvl w:ilvl="0" w:tplc="3C283CAA">
      <w:start w:val="1"/>
      <w:numFmt w:val="decimal"/>
      <w:pStyle w:val="Box2XBoxHeading"/>
      <w:lvlText w:val="Box 2.%1:"/>
      <w:lvlJc w:val="left"/>
      <w:pPr>
        <w:ind w:left="360" w:hanging="360"/>
      </w:pPr>
      <w:rPr>
        <w:rFonts w:ascii="Public Sans SemiBold" w:hAnsi="Public Sans SemiBold" w:hint="default"/>
        <w:b/>
        <w:i w:val="0"/>
        <w:color w:val="002664"/>
        <w:sz w:val="23"/>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0D536D6"/>
    <w:multiLevelType w:val="hybridMultilevel"/>
    <w:tmpl w:val="F4E23E64"/>
    <w:lvl w:ilvl="0" w:tplc="DB24AB6E">
      <w:start w:val="1"/>
      <w:numFmt w:val="decimal"/>
      <w:pStyle w:val="Box5XBoxHeading"/>
      <w:lvlText w:val="Box 5.%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2BD70C2"/>
    <w:multiLevelType w:val="hybridMultilevel"/>
    <w:tmpl w:val="6B588646"/>
    <w:lvl w:ilvl="0" w:tplc="98C650BE">
      <w:start w:val="1"/>
      <w:numFmt w:val="bullet"/>
      <w:pStyle w:val="Bullet2"/>
      <w:lvlText w:val="–"/>
      <w:lvlJc w:val="left"/>
      <w:pPr>
        <w:tabs>
          <w:tab w:val="num" w:pos="785"/>
        </w:tabs>
        <w:ind w:left="785" w:hanging="360"/>
      </w:pPr>
      <w:rPr>
        <w:rFonts w:ascii="Arial"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36140"/>
    <w:multiLevelType w:val="hybridMultilevel"/>
    <w:tmpl w:val="ED34647C"/>
    <w:lvl w:ilvl="0" w:tplc="7D34DACA">
      <w:start w:val="1"/>
      <w:numFmt w:val="decimal"/>
      <w:pStyle w:val="Chart3X"/>
      <w:lvlText w:val="Chart 3.%1:"/>
      <w:lvlJc w:val="left"/>
      <w:pPr>
        <w:ind w:left="360" w:hanging="360"/>
      </w:pPr>
      <w:rPr>
        <w:rFonts w:ascii="Public Sans" w:hAnsi="Public Sans" w:hint="default"/>
        <w:b w:val="0"/>
        <w:i/>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4F164B4"/>
    <w:multiLevelType w:val="hybridMultilevel"/>
    <w:tmpl w:val="C9C2C8EC"/>
    <w:lvl w:ilvl="0" w:tplc="F36C4050">
      <w:start w:val="1"/>
      <w:numFmt w:val="decimal"/>
      <w:pStyle w:val="ChartCX"/>
      <w:lvlText w:val="Chart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5D6282E"/>
    <w:multiLevelType w:val="hybridMultilevel"/>
    <w:tmpl w:val="B7FA6A5A"/>
    <w:lvl w:ilvl="0" w:tplc="C344A7BE">
      <w:start w:val="1"/>
      <w:numFmt w:val="decimal"/>
      <w:pStyle w:val="Chart7X"/>
      <w:lvlText w:val="Chart 7.%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6041D7B"/>
    <w:multiLevelType w:val="hybridMultilevel"/>
    <w:tmpl w:val="B13E2E64"/>
    <w:lvl w:ilvl="0" w:tplc="7032966E">
      <w:start w:val="1"/>
      <w:numFmt w:val="decimal"/>
      <w:pStyle w:val="ChartFX"/>
      <w:lvlText w:val="Chart F.%1:"/>
      <w:lvlJc w:val="left"/>
      <w:pPr>
        <w:ind w:left="360" w:hanging="360"/>
      </w:pPr>
      <w:rPr>
        <w:rFonts w:ascii="Public Sans" w:hAnsi="Public Sans" w:hint="default"/>
        <w:b w:val="0"/>
        <w:i/>
        <w:caps w:val="0"/>
        <w:color w:val="4F4F4F"/>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55" w15:restartNumberingAfterBreak="0">
    <w:nsid w:val="599E5E30"/>
    <w:multiLevelType w:val="hybridMultilevel"/>
    <w:tmpl w:val="C9EC182C"/>
    <w:lvl w:ilvl="0" w:tplc="AA1685D2">
      <w:start w:val="1"/>
      <w:numFmt w:val="decimal"/>
      <w:pStyle w:val="71Heading2"/>
      <w:lvlText w:val="7.%1"/>
      <w:lvlJc w:val="left"/>
      <w:pPr>
        <w:ind w:left="360" w:hanging="360"/>
      </w:pPr>
      <w:rPr>
        <w:rFonts w:ascii="Public Sans SemiBold" w:hAnsi="Public Sans SemiBold" w:hint="default"/>
        <w:b w:val="0"/>
        <w:i w:val="0"/>
        <w:caps w:val="0"/>
        <w:color w:val="22272B"/>
        <w:sz w:val="2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5A414304"/>
    <w:multiLevelType w:val="hybridMultilevel"/>
    <w:tmpl w:val="A88EE5D4"/>
    <w:lvl w:ilvl="0" w:tplc="EBD27E46">
      <w:start w:val="1"/>
      <w:numFmt w:val="decimal"/>
      <w:pStyle w:val="D1Heading2"/>
      <w:lvlText w:val="D.%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D4039FA"/>
    <w:multiLevelType w:val="hybridMultilevel"/>
    <w:tmpl w:val="AC0E05BA"/>
    <w:lvl w:ilvl="0" w:tplc="019400A6">
      <w:start w:val="1"/>
      <w:numFmt w:val="decimal"/>
      <w:pStyle w:val="11Heading2"/>
      <w:lvlText w:val="1.%1"/>
      <w:lvlJc w:val="left"/>
      <w:pPr>
        <w:ind w:left="720" w:hanging="360"/>
      </w:pPr>
      <w:rPr>
        <w:rFonts w:ascii="Public Sans SemiBold" w:hAnsi="Public Sans SemiBold" w:hint="default"/>
        <w:b w:val="0"/>
        <w:bCs w:val="0"/>
        <w:i w:val="0"/>
        <w:iCs w:val="0"/>
        <w:caps w:val="0"/>
        <w:strike w:val="0"/>
        <w:dstrike w:val="0"/>
        <w:vanish w:val="0"/>
        <w:color w:val="22272B"/>
        <w:spacing w:val="0"/>
        <w:kern w:val="0"/>
        <w:position w:val="0"/>
        <w:sz w:val="28"/>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DBD6814"/>
    <w:multiLevelType w:val="hybridMultilevel"/>
    <w:tmpl w:val="B6B6E29A"/>
    <w:lvl w:ilvl="0" w:tplc="5BBC99D6">
      <w:start w:val="1"/>
      <w:numFmt w:val="decimal"/>
      <w:pStyle w:val="Chart6X"/>
      <w:lvlText w:val="Chart 6.%1:"/>
      <w:lvlJc w:val="left"/>
      <w:pPr>
        <w:ind w:left="360" w:hanging="360"/>
      </w:pPr>
      <w:rPr>
        <w:rFonts w:ascii="Public Sans" w:hAnsi="Public Sans" w:cs="Arial" w:hint="default"/>
        <w:b w:val="0"/>
        <w:i/>
        <w:caps w:val="0"/>
        <w:strike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F4225C0"/>
    <w:multiLevelType w:val="hybridMultilevel"/>
    <w:tmpl w:val="A23C4474"/>
    <w:lvl w:ilvl="0" w:tplc="72A23DCC">
      <w:start w:val="1"/>
      <w:numFmt w:val="decimal"/>
      <w:pStyle w:val="Figure2X"/>
      <w:lvlText w:val="Figure 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FDA03CA"/>
    <w:multiLevelType w:val="hybridMultilevel"/>
    <w:tmpl w:val="76841D38"/>
    <w:lvl w:ilvl="0" w:tplc="98B616F2">
      <w:start w:val="1"/>
      <w:numFmt w:val="decimal"/>
      <w:pStyle w:val="FigureFX"/>
      <w:lvlText w:val="Figur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0B26314"/>
    <w:multiLevelType w:val="hybridMultilevel"/>
    <w:tmpl w:val="88D86CC8"/>
    <w:lvl w:ilvl="0" w:tplc="D0F0FC8C">
      <w:start w:val="1"/>
      <w:numFmt w:val="decimal"/>
      <w:pStyle w:val="TableFX"/>
      <w:lvlText w:val="Tabl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1541C4A"/>
    <w:multiLevelType w:val="hybridMultilevel"/>
    <w:tmpl w:val="B8DC8144"/>
    <w:lvl w:ilvl="0" w:tplc="F516F9AA">
      <w:start w:val="1"/>
      <w:numFmt w:val="decimal"/>
      <w:pStyle w:val="Figure6X"/>
      <w:lvlText w:val="Figure 6.%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403159E"/>
    <w:multiLevelType w:val="hybridMultilevel"/>
    <w:tmpl w:val="E7D4563E"/>
    <w:lvl w:ilvl="0" w:tplc="76E2174C">
      <w:start w:val="1"/>
      <w:numFmt w:val="bullet"/>
      <w:pStyle w:val="Bullet3"/>
      <w:lvlText w:val="o"/>
      <w:lvlJc w:val="left"/>
      <w:pPr>
        <w:ind w:left="927" w:hanging="360"/>
      </w:pPr>
      <w:rPr>
        <w:rFonts w:ascii="Courier New" w:hAnsi="Courier New" w:cs="Courier New"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4E75030"/>
    <w:multiLevelType w:val="hybridMultilevel"/>
    <w:tmpl w:val="77D24EDE"/>
    <w:lvl w:ilvl="0" w:tplc="AC301ED0">
      <w:start w:val="1"/>
      <w:numFmt w:val="decimal"/>
      <w:pStyle w:val="Heading2"/>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5D44CAF"/>
    <w:multiLevelType w:val="hybridMultilevel"/>
    <w:tmpl w:val="BBF40818"/>
    <w:lvl w:ilvl="0" w:tplc="F8965DD8">
      <w:start w:val="1"/>
      <w:numFmt w:val="decimal"/>
      <w:pStyle w:val="Figure8X"/>
      <w:lvlText w:val="Figure 8.%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8095C94"/>
    <w:multiLevelType w:val="hybridMultilevel"/>
    <w:tmpl w:val="445E5240"/>
    <w:lvl w:ilvl="0" w:tplc="A52E78A0">
      <w:start w:val="1"/>
      <w:numFmt w:val="decimal"/>
      <w:pStyle w:val="21Heading2"/>
      <w:lvlText w:val="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86F44BC"/>
    <w:multiLevelType w:val="hybridMultilevel"/>
    <w:tmpl w:val="3760A860"/>
    <w:lvl w:ilvl="0" w:tplc="E2A69734">
      <w:start w:val="1"/>
      <w:numFmt w:val="decimal"/>
      <w:pStyle w:val="FigureDX"/>
      <w:lvlText w:val="Figure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AE812FE"/>
    <w:multiLevelType w:val="hybridMultilevel"/>
    <w:tmpl w:val="5F585070"/>
    <w:lvl w:ilvl="0" w:tplc="4BBCE72E">
      <w:start w:val="1"/>
      <w:numFmt w:val="bullet"/>
      <w:pStyle w:val="Bulletrecommendtext"/>
      <w:lvlText w:val=""/>
      <w:lvlJc w:val="left"/>
      <w:pPr>
        <w:ind w:left="36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BAD0A08"/>
    <w:multiLevelType w:val="hybridMultilevel"/>
    <w:tmpl w:val="14B6EB2C"/>
    <w:lvl w:ilvl="0" w:tplc="FAF2E3B4">
      <w:start w:val="1"/>
      <w:numFmt w:val="decimal"/>
      <w:pStyle w:val="A41Heading2"/>
      <w:lvlText w:val="A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D633B70"/>
    <w:multiLevelType w:val="hybridMultilevel"/>
    <w:tmpl w:val="1662F512"/>
    <w:lvl w:ilvl="0" w:tplc="6F6E4644">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DFA6ECC"/>
    <w:multiLevelType w:val="hybridMultilevel"/>
    <w:tmpl w:val="E408C6FC"/>
    <w:lvl w:ilvl="0" w:tplc="A5EE317A">
      <w:start w:val="1"/>
      <w:numFmt w:val="decimal"/>
      <w:pStyle w:val="Box6XBoxHeading"/>
      <w:lvlText w:val="Box 6.%1:"/>
      <w:lvlJc w:val="left"/>
      <w:pPr>
        <w:ind w:left="360" w:hanging="360"/>
      </w:pPr>
      <w:rPr>
        <w:rFonts w:ascii="Public Sans SemiBold" w:hAnsi="Public Sans SemiBold" w:cs="Arial" w:hint="default"/>
        <w:b/>
        <w:i w:val="0"/>
        <w:color w:val="002664"/>
        <w:sz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0B8201D"/>
    <w:multiLevelType w:val="hybridMultilevel"/>
    <w:tmpl w:val="00F05DDE"/>
    <w:lvl w:ilvl="0" w:tplc="233C1998">
      <w:start w:val="1"/>
      <w:numFmt w:val="decimal"/>
      <w:pStyle w:val="TableEX"/>
      <w:lvlText w:val="Table E.%1:"/>
      <w:lvlJc w:val="left"/>
      <w:pPr>
        <w:ind w:left="72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3112603"/>
    <w:multiLevelType w:val="hybridMultilevel"/>
    <w:tmpl w:val="700AA76E"/>
    <w:lvl w:ilvl="0" w:tplc="19B6A9D2">
      <w:start w:val="1"/>
      <w:numFmt w:val="decimal"/>
      <w:pStyle w:val="Chart1X"/>
      <w:lvlText w:val="Chart 1.%1:"/>
      <w:lvlJc w:val="left"/>
      <w:pPr>
        <w:ind w:left="360" w:hanging="360"/>
      </w:pPr>
      <w:rPr>
        <w:rFonts w:ascii="Public Sans" w:hAnsi="Public Sans" w:cs="Arial" w:hint="default"/>
        <w:b w:val="0"/>
        <w:i/>
        <w:caps w:val="0"/>
        <w:color w:val="57514D"/>
        <w:sz w:val="22"/>
        <w:szCs w:val="22"/>
        <w:u w:val="none"/>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15:restartNumberingAfterBreak="0">
    <w:nsid w:val="73BB309D"/>
    <w:multiLevelType w:val="hybridMultilevel"/>
    <w:tmpl w:val="1A8A6AB6"/>
    <w:lvl w:ilvl="0" w:tplc="8BCEF202">
      <w:start w:val="1"/>
      <w:numFmt w:val="decimal"/>
      <w:pStyle w:val="FigureA5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4AC412F"/>
    <w:multiLevelType w:val="hybridMultilevel"/>
    <w:tmpl w:val="9CF26A7A"/>
    <w:lvl w:ilvl="0" w:tplc="5D3AE340">
      <w:start w:val="1"/>
      <w:numFmt w:val="decimal"/>
      <w:pStyle w:val="Table8X"/>
      <w:lvlText w:val="Table 8.%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6543C04"/>
    <w:multiLevelType w:val="hybridMultilevel"/>
    <w:tmpl w:val="7DDCF040"/>
    <w:lvl w:ilvl="0" w:tplc="05EC7EE6">
      <w:start w:val="1"/>
      <w:numFmt w:val="decimal"/>
      <w:pStyle w:val="ChartDX"/>
      <w:lvlText w:val="Chart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6B3043F"/>
    <w:multiLevelType w:val="hybridMultilevel"/>
    <w:tmpl w:val="746E3E0E"/>
    <w:lvl w:ilvl="0" w:tplc="CF465CF8">
      <w:start w:val="1"/>
      <w:numFmt w:val="decimal"/>
      <w:pStyle w:val="Table3X"/>
      <w:lvlText w:val="Table 3.%1:"/>
      <w:lvlJc w:val="left"/>
      <w:pPr>
        <w:ind w:left="360" w:hanging="360"/>
      </w:pPr>
      <w:rPr>
        <w:rFonts w:ascii="Public Sans" w:hAnsi="Public Sans" w:hint="default"/>
        <w:b w:val="0"/>
        <w:i/>
        <w:caps w:val="0"/>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82868C0"/>
    <w:multiLevelType w:val="hybridMultilevel"/>
    <w:tmpl w:val="F0E2B930"/>
    <w:lvl w:ilvl="0" w:tplc="7FCEA4D2">
      <w:start w:val="1"/>
      <w:numFmt w:val="decimal"/>
      <w:pStyle w:val="Figure1X"/>
      <w:lvlText w:val="Figure 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9C00E47"/>
    <w:multiLevelType w:val="hybridMultilevel"/>
    <w:tmpl w:val="8BEA0916"/>
    <w:lvl w:ilvl="0" w:tplc="C3C84DF0">
      <w:start w:val="1"/>
      <w:numFmt w:val="decimal"/>
      <w:pStyle w:val="FigureA1X"/>
      <w:lvlText w:val="Figure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A1A1949"/>
    <w:multiLevelType w:val="hybridMultilevel"/>
    <w:tmpl w:val="9FD2BDDA"/>
    <w:lvl w:ilvl="0" w:tplc="53264B4E">
      <w:start w:val="1"/>
      <w:numFmt w:val="decimal"/>
      <w:pStyle w:val="Chart5X"/>
      <w:lvlText w:val="Chart 5.%1:"/>
      <w:lvlJc w:val="left"/>
      <w:pPr>
        <w:ind w:left="360" w:hanging="360"/>
      </w:pPr>
      <w:rPr>
        <w:rFonts w:ascii="Public Sans" w:hAnsi="Public Sans" w:cs="Arial" w:hint="default"/>
        <w:b w:val="0"/>
        <w:i/>
        <w:caps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A876093"/>
    <w:multiLevelType w:val="hybridMultilevel"/>
    <w:tmpl w:val="F55668B2"/>
    <w:lvl w:ilvl="0" w:tplc="EF78693C">
      <w:start w:val="1"/>
      <w:numFmt w:val="decimal"/>
      <w:pStyle w:val="Box4XBoxHeading"/>
      <w:lvlText w:val="Box 4.%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C6919CF"/>
    <w:multiLevelType w:val="hybridMultilevel"/>
    <w:tmpl w:val="2912DF38"/>
    <w:lvl w:ilvl="0" w:tplc="BAC2257E">
      <w:start w:val="1"/>
      <w:numFmt w:val="decimal"/>
      <w:pStyle w:val="F1Heading2"/>
      <w:lvlText w:val="F.%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E2945C9"/>
    <w:multiLevelType w:val="hybridMultilevel"/>
    <w:tmpl w:val="E24C0D4E"/>
    <w:lvl w:ilvl="0" w:tplc="EADED0DE">
      <w:start w:val="1"/>
      <w:numFmt w:val="decimal"/>
      <w:pStyle w:val="FigureCX"/>
      <w:lvlText w:val="Figur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E58502F"/>
    <w:multiLevelType w:val="hybridMultilevel"/>
    <w:tmpl w:val="F2AE8534"/>
    <w:lvl w:ilvl="0" w:tplc="5E58E244">
      <w:start w:val="1"/>
      <w:numFmt w:val="decimal"/>
      <w:pStyle w:val="TableCX"/>
      <w:lvlText w:val="Tabl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7E6F1F"/>
    <w:multiLevelType w:val="hybridMultilevel"/>
    <w:tmpl w:val="90905708"/>
    <w:lvl w:ilvl="0" w:tplc="AFB4FA42">
      <w:start w:val="1"/>
      <w:numFmt w:val="decimal"/>
      <w:pStyle w:val="ChartEX"/>
      <w:lvlText w:val="Chart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3668973">
    <w:abstractNumId w:val="18"/>
  </w:num>
  <w:num w:numId="2" w16cid:durableId="332954556">
    <w:abstractNumId w:val="8"/>
  </w:num>
  <w:num w:numId="3" w16cid:durableId="868681259">
    <w:abstractNumId w:val="68"/>
  </w:num>
  <w:num w:numId="4" w16cid:durableId="1775586443">
    <w:abstractNumId w:val="45"/>
  </w:num>
  <w:num w:numId="5" w16cid:durableId="1133249331">
    <w:abstractNumId w:val="30"/>
  </w:num>
  <w:num w:numId="6" w16cid:durableId="1517578498">
    <w:abstractNumId w:val="0"/>
  </w:num>
  <w:num w:numId="7" w16cid:durableId="575239353">
    <w:abstractNumId w:val="57"/>
  </w:num>
  <w:num w:numId="8" w16cid:durableId="561794701">
    <w:abstractNumId w:val="66"/>
  </w:num>
  <w:num w:numId="9" w16cid:durableId="839541203">
    <w:abstractNumId w:val="42"/>
  </w:num>
  <w:num w:numId="10" w16cid:durableId="573048346">
    <w:abstractNumId w:val="24"/>
  </w:num>
  <w:num w:numId="11" w16cid:durableId="897667497">
    <w:abstractNumId w:val="37"/>
  </w:num>
  <w:num w:numId="12" w16cid:durableId="2067604591">
    <w:abstractNumId w:val="36"/>
  </w:num>
  <w:num w:numId="13" w16cid:durableId="2119711041">
    <w:abstractNumId w:val="55"/>
  </w:num>
  <w:num w:numId="14" w16cid:durableId="644046989">
    <w:abstractNumId w:val="27"/>
  </w:num>
  <w:num w:numId="15" w16cid:durableId="1297836868">
    <w:abstractNumId w:val="4"/>
  </w:num>
  <w:num w:numId="16" w16cid:durableId="1286886831">
    <w:abstractNumId w:val="3"/>
  </w:num>
  <w:num w:numId="17" w16cid:durableId="1422339491">
    <w:abstractNumId w:val="40"/>
  </w:num>
  <w:num w:numId="18" w16cid:durableId="2090345421">
    <w:abstractNumId w:val="69"/>
  </w:num>
  <w:num w:numId="19" w16cid:durableId="508721203">
    <w:abstractNumId w:val="19"/>
  </w:num>
  <w:num w:numId="20" w16cid:durableId="111947923">
    <w:abstractNumId w:val="70"/>
  </w:num>
  <w:num w:numId="21" w16cid:durableId="1131440231">
    <w:abstractNumId w:val="47"/>
  </w:num>
  <w:num w:numId="22" w16cid:durableId="170604332">
    <w:abstractNumId w:val="46"/>
  </w:num>
  <w:num w:numId="23" w16cid:durableId="1343895890">
    <w:abstractNumId w:val="81"/>
  </w:num>
  <w:num w:numId="24" w16cid:durableId="913583204">
    <w:abstractNumId w:val="49"/>
  </w:num>
  <w:num w:numId="25" w16cid:durableId="999767537">
    <w:abstractNumId w:val="71"/>
  </w:num>
  <w:num w:numId="26" w16cid:durableId="285162686">
    <w:abstractNumId w:val="1"/>
  </w:num>
  <w:num w:numId="27" w16cid:durableId="1946109848">
    <w:abstractNumId w:val="43"/>
  </w:num>
  <w:num w:numId="28" w16cid:durableId="1596937195">
    <w:abstractNumId w:val="34"/>
  </w:num>
  <w:num w:numId="29" w16cid:durableId="562643337">
    <w:abstractNumId w:val="50"/>
  </w:num>
  <w:num w:numId="30" w16cid:durableId="2098944788">
    <w:abstractNumId w:val="63"/>
  </w:num>
  <w:num w:numId="31" w16cid:durableId="1257177363">
    <w:abstractNumId w:val="35"/>
  </w:num>
  <w:num w:numId="32" w16cid:durableId="1933201290">
    <w:abstractNumId w:val="25"/>
  </w:num>
  <w:num w:numId="33" w16cid:durableId="1228763236">
    <w:abstractNumId w:val="73"/>
  </w:num>
  <w:num w:numId="34" w16cid:durableId="2096392790">
    <w:abstractNumId w:val="31"/>
  </w:num>
  <w:num w:numId="35" w16cid:durableId="1008023694">
    <w:abstractNumId w:val="51"/>
  </w:num>
  <w:num w:numId="36" w16cid:durableId="1501500366">
    <w:abstractNumId w:val="41"/>
  </w:num>
  <w:num w:numId="37" w16cid:durableId="1899894355">
    <w:abstractNumId w:val="80"/>
  </w:num>
  <w:num w:numId="38" w16cid:durableId="375010785">
    <w:abstractNumId w:val="58"/>
  </w:num>
  <w:num w:numId="39" w16cid:durableId="632516150">
    <w:abstractNumId w:val="53"/>
  </w:num>
  <w:num w:numId="40" w16cid:durableId="1321613932">
    <w:abstractNumId w:val="2"/>
  </w:num>
  <w:num w:numId="41" w16cid:durableId="1003364404">
    <w:abstractNumId w:val="33"/>
  </w:num>
  <w:num w:numId="42" w16cid:durableId="74666061">
    <w:abstractNumId w:val="44"/>
  </w:num>
  <w:num w:numId="43" w16cid:durableId="739595376">
    <w:abstractNumId w:val="20"/>
  </w:num>
  <w:num w:numId="44" w16cid:durableId="1190339371">
    <w:abstractNumId w:val="15"/>
  </w:num>
  <w:num w:numId="45" w16cid:durableId="219445142">
    <w:abstractNumId w:val="9"/>
  </w:num>
  <w:num w:numId="46" w16cid:durableId="28066997">
    <w:abstractNumId w:val="52"/>
  </w:num>
  <w:num w:numId="47" w16cid:durableId="510992984">
    <w:abstractNumId w:val="76"/>
  </w:num>
  <w:num w:numId="48" w16cid:durableId="1293904364">
    <w:abstractNumId w:val="85"/>
  </w:num>
  <w:num w:numId="49" w16cid:durableId="449473128">
    <w:abstractNumId w:val="54"/>
  </w:num>
  <w:num w:numId="50" w16cid:durableId="1717662938">
    <w:abstractNumId w:val="56"/>
  </w:num>
  <w:num w:numId="51" w16cid:durableId="525604527">
    <w:abstractNumId w:val="13"/>
  </w:num>
  <w:num w:numId="52" w16cid:durableId="1564951278">
    <w:abstractNumId w:val="82"/>
  </w:num>
  <w:num w:numId="53" w16cid:durableId="1734965344">
    <w:abstractNumId w:val="78"/>
  </w:num>
  <w:num w:numId="54" w16cid:durableId="1322853813">
    <w:abstractNumId w:val="59"/>
  </w:num>
  <w:num w:numId="55" w16cid:durableId="1141919285">
    <w:abstractNumId w:val="12"/>
  </w:num>
  <w:num w:numId="56" w16cid:durableId="252591574">
    <w:abstractNumId w:val="23"/>
  </w:num>
  <w:num w:numId="57" w16cid:durableId="234166171">
    <w:abstractNumId w:val="38"/>
  </w:num>
  <w:num w:numId="58" w16cid:durableId="1012417811">
    <w:abstractNumId w:val="62"/>
  </w:num>
  <w:num w:numId="59" w16cid:durableId="444886589">
    <w:abstractNumId w:val="10"/>
  </w:num>
  <w:num w:numId="60" w16cid:durableId="1605992037">
    <w:abstractNumId w:val="65"/>
  </w:num>
  <w:num w:numId="61" w16cid:durableId="1169636085">
    <w:abstractNumId w:val="79"/>
  </w:num>
  <w:num w:numId="62" w16cid:durableId="402916016">
    <w:abstractNumId w:val="26"/>
  </w:num>
  <w:num w:numId="63" w16cid:durableId="1242984158">
    <w:abstractNumId w:val="21"/>
  </w:num>
  <w:num w:numId="64" w16cid:durableId="374894251">
    <w:abstractNumId w:val="16"/>
  </w:num>
  <w:num w:numId="65" w16cid:durableId="1901402131">
    <w:abstractNumId w:val="74"/>
  </w:num>
  <w:num w:numId="66" w16cid:durableId="874930751">
    <w:abstractNumId w:val="5"/>
  </w:num>
  <w:num w:numId="67" w16cid:durableId="1442459628">
    <w:abstractNumId w:val="83"/>
  </w:num>
  <w:num w:numId="68" w16cid:durableId="1050809046">
    <w:abstractNumId w:val="67"/>
  </w:num>
  <w:num w:numId="69" w16cid:durableId="1498568542">
    <w:abstractNumId w:val="39"/>
  </w:num>
  <w:num w:numId="70" w16cid:durableId="71658625">
    <w:abstractNumId w:val="60"/>
  </w:num>
  <w:num w:numId="71" w16cid:durableId="1630428401">
    <w:abstractNumId w:val="64"/>
  </w:num>
  <w:num w:numId="72" w16cid:durableId="1414083764">
    <w:abstractNumId w:val="48"/>
  </w:num>
  <w:num w:numId="73" w16cid:durableId="254436354">
    <w:abstractNumId w:val="77"/>
  </w:num>
  <w:num w:numId="74" w16cid:durableId="2059351012">
    <w:abstractNumId w:val="28"/>
  </w:num>
  <w:num w:numId="75" w16cid:durableId="2041588538">
    <w:abstractNumId w:val="11"/>
  </w:num>
  <w:num w:numId="76" w16cid:durableId="328872135">
    <w:abstractNumId w:val="22"/>
  </w:num>
  <w:num w:numId="77" w16cid:durableId="1835298160">
    <w:abstractNumId w:val="6"/>
  </w:num>
  <w:num w:numId="78" w16cid:durableId="1056591985">
    <w:abstractNumId w:val="75"/>
  </w:num>
  <w:num w:numId="79" w16cid:durableId="504590802">
    <w:abstractNumId w:val="17"/>
  </w:num>
  <w:num w:numId="80" w16cid:durableId="1301837788">
    <w:abstractNumId w:val="32"/>
  </w:num>
  <w:num w:numId="81" w16cid:durableId="749622435">
    <w:abstractNumId w:val="7"/>
  </w:num>
  <w:num w:numId="82" w16cid:durableId="1019741299">
    <w:abstractNumId w:val="84"/>
  </w:num>
  <w:num w:numId="83" w16cid:durableId="1479301151">
    <w:abstractNumId w:val="14"/>
  </w:num>
  <w:num w:numId="84" w16cid:durableId="1964337807">
    <w:abstractNumId w:val="72"/>
  </w:num>
  <w:num w:numId="85" w16cid:durableId="966088704">
    <w:abstractNumId w:val="61"/>
  </w:num>
  <w:num w:numId="86" w16cid:durableId="1776948966">
    <w:abstractNumId w:val="2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BB"/>
    <w:rsid w:val="00001288"/>
    <w:rsid w:val="00001D3B"/>
    <w:rsid w:val="00001E24"/>
    <w:rsid w:val="00002C52"/>
    <w:rsid w:val="00002E74"/>
    <w:rsid w:val="00003099"/>
    <w:rsid w:val="00003441"/>
    <w:rsid w:val="0000379F"/>
    <w:rsid w:val="00003E23"/>
    <w:rsid w:val="000048ED"/>
    <w:rsid w:val="00004FF3"/>
    <w:rsid w:val="00005101"/>
    <w:rsid w:val="00005160"/>
    <w:rsid w:val="000064EF"/>
    <w:rsid w:val="000065A1"/>
    <w:rsid w:val="000067CE"/>
    <w:rsid w:val="00006E13"/>
    <w:rsid w:val="00006EFB"/>
    <w:rsid w:val="00007199"/>
    <w:rsid w:val="000072EB"/>
    <w:rsid w:val="0000764D"/>
    <w:rsid w:val="00010026"/>
    <w:rsid w:val="00010BD2"/>
    <w:rsid w:val="00010CD7"/>
    <w:rsid w:val="0001192A"/>
    <w:rsid w:val="00011D7F"/>
    <w:rsid w:val="00012CD3"/>
    <w:rsid w:val="00013810"/>
    <w:rsid w:val="00013BFF"/>
    <w:rsid w:val="00013C06"/>
    <w:rsid w:val="00013E2A"/>
    <w:rsid w:val="00014057"/>
    <w:rsid w:val="00014B9C"/>
    <w:rsid w:val="00014BE8"/>
    <w:rsid w:val="00014ED1"/>
    <w:rsid w:val="000150CA"/>
    <w:rsid w:val="00015BD0"/>
    <w:rsid w:val="00015FCE"/>
    <w:rsid w:val="000163FC"/>
    <w:rsid w:val="00016991"/>
    <w:rsid w:val="00017137"/>
    <w:rsid w:val="000176E8"/>
    <w:rsid w:val="0001785C"/>
    <w:rsid w:val="00017FCE"/>
    <w:rsid w:val="000201ED"/>
    <w:rsid w:val="0002035E"/>
    <w:rsid w:val="00020369"/>
    <w:rsid w:val="0002078D"/>
    <w:rsid w:val="00020A1C"/>
    <w:rsid w:val="00020CF2"/>
    <w:rsid w:val="00020DE7"/>
    <w:rsid w:val="00020E89"/>
    <w:rsid w:val="00021096"/>
    <w:rsid w:val="00021195"/>
    <w:rsid w:val="00021536"/>
    <w:rsid w:val="000217CC"/>
    <w:rsid w:val="0002206B"/>
    <w:rsid w:val="000224B2"/>
    <w:rsid w:val="000238A0"/>
    <w:rsid w:val="000239DC"/>
    <w:rsid w:val="00023E15"/>
    <w:rsid w:val="00024B66"/>
    <w:rsid w:val="00025076"/>
    <w:rsid w:val="00026016"/>
    <w:rsid w:val="00026405"/>
    <w:rsid w:val="0002658A"/>
    <w:rsid w:val="00026834"/>
    <w:rsid w:val="00026B15"/>
    <w:rsid w:val="00026F56"/>
    <w:rsid w:val="00027F85"/>
    <w:rsid w:val="0003051C"/>
    <w:rsid w:val="0003067B"/>
    <w:rsid w:val="000306F1"/>
    <w:rsid w:val="0003131E"/>
    <w:rsid w:val="000317A8"/>
    <w:rsid w:val="00031989"/>
    <w:rsid w:val="00031B1A"/>
    <w:rsid w:val="00031CCC"/>
    <w:rsid w:val="00031E7A"/>
    <w:rsid w:val="00031EC0"/>
    <w:rsid w:val="0003231A"/>
    <w:rsid w:val="00032DB5"/>
    <w:rsid w:val="0003346A"/>
    <w:rsid w:val="00033F2A"/>
    <w:rsid w:val="000349BE"/>
    <w:rsid w:val="00034FA6"/>
    <w:rsid w:val="00035665"/>
    <w:rsid w:val="00035750"/>
    <w:rsid w:val="00036E23"/>
    <w:rsid w:val="000372DF"/>
    <w:rsid w:val="000379BD"/>
    <w:rsid w:val="00037AD6"/>
    <w:rsid w:val="00037D55"/>
    <w:rsid w:val="00037E84"/>
    <w:rsid w:val="00040072"/>
    <w:rsid w:val="0004016A"/>
    <w:rsid w:val="0004086B"/>
    <w:rsid w:val="000408AB"/>
    <w:rsid w:val="000416F3"/>
    <w:rsid w:val="000417DE"/>
    <w:rsid w:val="000429F9"/>
    <w:rsid w:val="00043142"/>
    <w:rsid w:val="00043231"/>
    <w:rsid w:val="00043980"/>
    <w:rsid w:val="00044270"/>
    <w:rsid w:val="0004440A"/>
    <w:rsid w:val="00044C51"/>
    <w:rsid w:val="00044E9B"/>
    <w:rsid w:val="00044F89"/>
    <w:rsid w:val="000457C3"/>
    <w:rsid w:val="00045836"/>
    <w:rsid w:val="000467A6"/>
    <w:rsid w:val="00047563"/>
    <w:rsid w:val="00047750"/>
    <w:rsid w:val="00047B1C"/>
    <w:rsid w:val="00047C32"/>
    <w:rsid w:val="000501BA"/>
    <w:rsid w:val="000513D6"/>
    <w:rsid w:val="0005188A"/>
    <w:rsid w:val="00051C45"/>
    <w:rsid w:val="000523D2"/>
    <w:rsid w:val="000528CC"/>
    <w:rsid w:val="000528D6"/>
    <w:rsid w:val="00052C29"/>
    <w:rsid w:val="00053A89"/>
    <w:rsid w:val="00053B25"/>
    <w:rsid w:val="00053C4C"/>
    <w:rsid w:val="00053D92"/>
    <w:rsid w:val="0005413E"/>
    <w:rsid w:val="00054204"/>
    <w:rsid w:val="0005473A"/>
    <w:rsid w:val="00054BE5"/>
    <w:rsid w:val="00054EB9"/>
    <w:rsid w:val="00055144"/>
    <w:rsid w:val="000552D0"/>
    <w:rsid w:val="00055FB3"/>
    <w:rsid w:val="000566C7"/>
    <w:rsid w:val="00056A31"/>
    <w:rsid w:val="00056D84"/>
    <w:rsid w:val="00056DCD"/>
    <w:rsid w:val="00056E1B"/>
    <w:rsid w:val="00056F02"/>
    <w:rsid w:val="000577BB"/>
    <w:rsid w:val="0005797A"/>
    <w:rsid w:val="00057CB6"/>
    <w:rsid w:val="00057F9F"/>
    <w:rsid w:val="00061046"/>
    <w:rsid w:val="00061057"/>
    <w:rsid w:val="00061062"/>
    <w:rsid w:val="000615E0"/>
    <w:rsid w:val="00061DA8"/>
    <w:rsid w:val="00061FC2"/>
    <w:rsid w:val="0006218E"/>
    <w:rsid w:val="0006257A"/>
    <w:rsid w:val="00062D3A"/>
    <w:rsid w:val="00063094"/>
    <w:rsid w:val="00063AF9"/>
    <w:rsid w:val="00063B7E"/>
    <w:rsid w:val="00063CB3"/>
    <w:rsid w:val="00063DEE"/>
    <w:rsid w:val="000652B1"/>
    <w:rsid w:val="000654F0"/>
    <w:rsid w:val="000657D1"/>
    <w:rsid w:val="00065CA4"/>
    <w:rsid w:val="00066168"/>
    <w:rsid w:val="00067419"/>
    <w:rsid w:val="0006741C"/>
    <w:rsid w:val="000674F6"/>
    <w:rsid w:val="00067952"/>
    <w:rsid w:val="00067D94"/>
    <w:rsid w:val="000701AC"/>
    <w:rsid w:val="00070332"/>
    <w:rsid w:val="00070D45"/>
    <w:rsid w:val="00071EFD"/>
    <w:rsid w:val="0007200C"/>
    <w:rsid w:val="0007243E"/>
    <w:rsid w:val="00072946"/>
    <w:rsid w:val="000731B5"/>
    <w:rsid w:val="0007374B"/>
    <w:rsid w:val="00073FB9"/>
    <w:rsid w:val="0007481A"/>
    <w:rsid w:val="00074DD3"/>
    <w:rsid w:val="00074DFE"/>
    <w:rsid w:val="00075250"/>
    <w:rsid w:val="000757E1"/>
    <w:rsid w:val="00076E59"/>
    <w:rsid w:val="00077207"/>
    <w:rsid w:val="00077E83"/>
    <w:rsid w:val="00080A3E"/>
    <w:rsid w:val="00080B53"/>
    <w:rsid w:val="00081098"/>
    <w:rsid w:val="000816CA"/>
    <w:rsid w:val="000829CF"/>
    <w:rsid w:val="000830FB"/>
    <w:rsid w:val="00083609"/>
    <w:rsid w:val="00083F76"/>
    <w:rsid w:val="00084215"/>
    <w:rsid w:val="000847D9"/>
    <w:rsid w:val="00084A27"/>
    <w:rsid w:val="00084DD6"/>
    <w:rsid w:val="00085445"/>
    <w:rsid w:val="00085C89"/>
    <w:rsid w:val="00085F04"/>
    <w:rsid w:val="00086B10"/>
    <w:rsid w:val="00086C31"/>
    <w:rsid w:val="00086E71"/>
    <w:rsid w:val="00087332"/>
    <w:rsid w:val="000873DE"/>
    <w:rsid w:val="000874A1"/>
    <w:rsid w:val="000876E5"/>
    <w:rsid w:val="0008772D"/>
    <w:rsid w:val="000877D4"/>
    <w:rsid w:val="000906CF"/>
    <w:rsid w:val="000909F0"/>
    <w:rsid w:val="00090BE2"/>
    <w:rsid w:val="00091026"/>
    <w:rsid w:val="00091B14"/>
    <w:rsid w:val="00092160"/>
    <w:rsid w:val="000925F2"/>
    <w:rsid w:val="00092DC0"/>
    <w:rsid w:val="00092E5F"/>
    <w:rsid w:val="0009322B"/>
    <w:rsid w:val="00093462"/>
    <w:rsid w:val="00093720"/>
    <w:rsid w:val="00094262"/>
    <w:rsid w:val="000948DC"/>
    <w:rsid w:val="0009639E"/>
    <w:rsid w:val="000969D1"/>
    <w:rsid w:val="00096B1A"/>
    <w:rsid w:val="00096FC7"/>
    <w:rsid w:val="00097239"/>
    <w:rsid w:val="00097C25"/>
    <w:rsid w:val="00097EA2"/>
    <w:rsid w:val="00097FAA"/>
    <w:rsid w:val="000A055D"/>
    <w:rsid w:val="000A0665"/>
    <w:rsid w:val="000A0733"/>
    <w:rsid w:val="000A0BC1"/>
    <w:rsid w:val="000A0C41"/>
    <w:rsid w:val="000A1120"/>
    <w:rsid w:val="000A12E1"/>
    <w:rsid w:val="000A14F4"/>
    <w:rsid w:val="000A1AE2"/>
    <w:rsid w:val="000A1BFE"/>
    <w:rsid w:val="000A1E8F"/>
    <w:rsid w:val="000A2191"/>
    <w:rsid w:val="000A2224"/>
    <w:rsid w:val="000A2281"/>
    <w:rsid w:val="000A2C49"/>
    <w:rsid w:val="000A3022"/>
    <w:rsid w:val="000A389E"/>
    <w:rsid w:val="000A3C81"/>
    <w:rsid w:val="000A3CB0"/>
    <w:rsid w:val="000A3CFA"/>
    <w:rsid w:val="000A408E"/>
    <w:rsid w:val="000A4669"/>
    <w:rsid w:val="000A46BF"/>
    <w:rsid w:val="000A535E"/>
    <w:rsid w:val="000A559F"/>
    <w:rsid w:val="000A5A70"/>
    <w:rsid w:val="000A69A0"/>
    <w:rsid w:val="000A6CD7"/>
    <w:rsid w:val="000A75C8"/>
    <w:rsid w:val="000A7F2E"/>
    <w:rsid w:val="000B01F5"/>
    <w:rsid w:val="000B09F1"/>
    <w:rsid w:val="000B10C3"/>
    <w:rsid w:val="000B121C"/>
    <w:rsid w:val="000B193D"/>
    <w:rsid w:val="000B1D67"/>
    <w:rsid w:val="000B2789"/>
    <w:rsid w:val="000B27AC"/>
    <w:rsid w:val="000B28BB"/>
    <w:rsid w:val="000B2968"/>
    <w:rsid w:val="000B31FB"/>
    <w:rsid w:val="000B3EB5"/>
    <w:rsid w:val="000B3EBC"/>
    <w:rsid w:val="000B416A"/>
    <w:rsid w:val="000B4477"/>
    <w:rsid w:val="000B581D"/>
    <w:rsid w:val="000B5F35"/>
    <w:rsid w:val="000B5FB4"/>
    <w:rsid w:val="000B6400"/>
    <w:rsid w:val="000B6414"/>
    <w:rsid w:val="000B671E"/>
    <w:rsid w:val="000B69EB"/>
    <w:rsid w:val="000B7436"/>
    <w:rsid w:val="000B7896"/>
    <w:rsid w:val="000C0487"/>
    <w:rsid w:val="000C0CF0"/>
    <w:rsid w:val="000C1085"/>
    <w:rsid w:val="000C1383"/>
    <w:rsid w:val="000C1771"/>
    <w:rsid w:val="000C1809"/>
    <w:rsid w:val="000C19CB"/>
    <w:rsid w:val="000C1C45"/>
    <w:rsid w:val="000C1CBA"/>
    <w:rsid w:val="000C1D2B"/>
    <w:rsid w:val="000C1F5E"/>
    <w:rsid w:val="000C22F1"/>
    <w:rsid w:val="000C292B"/>
    <w:rsid w:val="000C2B09"/>
    <w:rsid w:val="000C2D8F"/>
    <w:rsid w:val="000C2E6A"/>
    <w:rsid w:val="000C4529"/>
    <w:rsid w:val="000C46CE"/>
    <w:rsid w:val="000C486F"/>
    <w:rsid w:val="000C4FF4"/>
    <w:rsid w:val="000C5375"/>
    <w:rsid w:val="000C5551"/>
    <w:rsid w:val="000C5651"/>
    <w:rsid w:val="000C5BD4"/>
    <w:rsid w:val="000C5C40"/>
    <w:rsid w:val="000C5D23"/>
    <w:rsid w:val="000C61FD"/>
    <w:rsid w:val="000C6984"/>
    <w:rsid w:val="000C72EE"/>
    <w:rsid w:val="000C7495"/>
    <w:rsid w:val="000C74B9"/>
    <w:rsid w:val="000C78B4"/>
    <w:rsid w:val="000C78BF"/>
    <w:rsid w:val="000C78EE"/>
    <w:rsid w:val="000D046C"/>
    <w:rsid w:val="000D0940"/>
    <w:rsid w:val="000D0F27"/>
    <w:rsid w:val="000D10C9"/>
    <w:rsid w:val="000D13AE"/>
    <w:rsid w:val="000D1468"/>
    <w:rsid w:val="000D1AA5"/>
    <w:rsid w:val="000D26C2"/>
    <w:rsid w:val="000D27EC"/>
    <w:rsid w:val="000D2F31"/>
    <w:rsid w:val="000D331A"/>
    <w:rsid w:val="000D37BC"/>
    <w:rsid w:val="000D3FB3"/>
    <w:rsid w:val="000D4667"/>
    <w:rsid w:val="000D47E5"/>
    <w:rsid w:val="000D4B5C"/>
    <w:rsid w:val="000D4C0A"/>
    <w:rsid w:val="000D5451"/>
    <w:rsid w:val="000D556B"/>
    <w:rsid w:val="000D5FD8"/>
    <w:rsid w:val="000D65CB"/>
    <w:rsid w:val="000D6C0C"/>
    <w:rsid w:val="000D6C62"/>
    <w:rsid w:val="000D72C0"/>
    <w:rsid w:val="000D78C8"/>
    <w:rsid w:val="000E1131"/>
    <w:rsid w:val="000E1196"/>
    <w:rsid w:val="000E281E"/>
    <w:rsid w:val="000E2AF4"/>
    <w:rsid w:val="000E2F8F"/>
    <w:rsid w:val="000E2FAE"/>
    <w:rsid w:val="000E3056"/>
    <w:rsid w:val="000E319B"/>
    <w:rsid w:val="000E3608"/>
    <w:rsid w:val="000E3C15"/>
    <w:rsid w:val="000E3F77"/>
    <w:rsid w:val="000E4281"/>
    <w:rsid w:val="000E4BD0"/>
    <w:rsid w:val="000E534A"/>
    <w:rsid w:val="000E60DA"/>
    <w:rsid w:val="000E68D8"/>
    <w:rsid w:val="000E69A0"/>
    <w:rsid w:val="000E6C79"/>
    <w:rsid w:val="000E6F9A"/>
    <w:rsid w:val="000E74A9"/>
    <w:rsid w:val="000E7B45"/>
    <w:rsid w:val="000F08C5"/>
    <w:rsid w:val="000F1094"/>
    <w:rsid w:val="000F16CC"/>
    <w:rsid w:val="000F1754"/>
    <w:rsid w:val="000F184E"/>
    <w:rsid w:val="000F1C15"/>
    <w:rsid w:val="000F2683"/>
    <w:rsid w:val="000F2B60"/>
    <w:rsid w:val="000F2F12"/>
    <w:rsid w:val="000F3268"/>
    <w:rsid w:val="000F32D9"/>
    <w:rsid w:val="000F3346"/>
    <w:rsid w:val="000F37C4"/>
    <w:rsid w:val="000F38D0"/>
    <w:rsid w:val="000F4A78"/>
    <w:rsid w:val="000F56A2"/>
    <w:rsid w:val="000F5814"/>
    <w:rsid w:val="000F6769"/>
    <w:rsid w:val="000F73EE"/>
    <w:rsid w:val="000F7606"/>
    <w:rsid w:val="000F7AA1"/>
    <w:rsid w:val="000F7C96"/>
    <w:rsid w:val="000F7E28"/>
    <w:rsid w:val="00100166"/>
    <w:rsid w:val="00100326"/>
    <w:rsid w:val="001010C4"/>
    <w:rsid w:val="00101247"/>
    <w:rsid w:val="00103967"/>
    <w:rsid w:val="001041DB"/>
    <w:rsid w:val="001049A7"/>
    <w:rsid w:val="001057EB"/>
    <w:rsid w:val="0010585E"/>
    <w:rsid w:val="00105962"/>
    <w:rsid w:val="00105B67"/>
    <w:rsid w:val="00105FDB"/>
    <w:rsid w:val="001061FB"/>
    <w:rsid w:val="00106329"/>
    <w:rsid w:val="00110136"/>
    <w:rsid w:val="001123CA"/>
    <w:rsid w:val="00113293"/>
    <w:rsid w:val="00113624"/>
    <w:rsid w:val="001136FE"/>
    <w:rsid w:val="00114901"/>
    <w:rsid w:val="0011525A"/>
    <w:rsid w:val="00115C22"/>
    <w:rsid w:val="00116105"/>
    <w:rsid w:val="001162D2"/>
    <w:rsid w:val="00116DC0"/>
    <w:rsid w:val="00117739"/>
    <w:rsid w:val="001179FB"/>
    <w:rsid w:val="0012062C"/>
    <w:rsid w:val="00120BDC"/>
    <w:rsid w:val="00120C50"/>
    <w:rsid w:val="00120DA1"/>
    <w:rsid w:val="00120DAE"/>
    <w:rsid w:val="00121189"/>
    <w:rsid w:val="0012144E"/>
    <w:rsid w:val="00121515"/>
    <w:rsid w:val="00121A3B"/>
    <w:rsid w:val="00121AF5"/>
    <w:rsid w:val="001229D5"/>
    <w:rsid w:val="00122ACB"/>
    <w:rsid w:val="00122B45"/>
    <w:rsid w:val="0012386F"/>
    <w:rsid w:val="00124486"/>
    <w:rsid w:val="00124714"/>
    <w:rsid w:val="00124AF8"/>
    <w:rsid w:val="001252BD"/>
    <w:rsid w:val="00125414"/>
    <w:rsid w:val="00126CB1"/>
    <w:rsid w:val="001272B7"/>
    <w:rsid w:val="0012768B"/>
    <w:rsid w:val="001278D6"/>
    <w:rsid w:val="001308F1"/>
    <w:rsid w:val="00130C60"/>
    <w:rsid w:val="00130E7D"/>
    <w:rsid w:val="00131809"/>
    <w:rsid w:val="00132695"/>
    <w:rsid w:val="00132D37"/>
    <w:rsid w:val="00133092"/>
    <w:rsid w:val="00133442"/>
    <w:rsid w:val="00133B67"/>
    <w:rsid w:val="00133C59"/>
    <w:rsid w:val="00133D13"/>
    <w:rsid w:val="00134274"/>
    <w:rsid w:val="001344E9"/>
    <w:rsid w:val="00134A99"/>
    <w:rsid w:val="001357D7"/>
    <w:rsid w:val="0013587E"/>
    <w:rsid w:val="00136023"/>
    <w:rsid w:val="0013639D"/>
    <w:rsid w:val="0013675C"/>
    <w:rsid w:val="00136D15"/>
    <w:rsid w:val="00136E08"/>
    <w:rsid w:val="001370D4"/>
    <w:rsid w:val="00137279"/>
    <w:rsid w:val="00137524"/>
    <w:rsid w:val="00137622"/>
    <w:rsid w:val="00137887"/>
    <w:rsid w:val="00137E8E"/>
    <w:rsid w:val="00137F0C"/>
    <w:rsid w:val="00137F0F"/>
    <w:rsid w:val="001409B6"/>
    <w:rsid w:val="0014154D"/>
    <w:rsid w:val="001418E8"/>
    <w:rsid w:val="001419DC"/>
    <w:rsid w:val="00141FF9"/>
    <w:rsid w:val="00142417"/>
    <w:rsid w:val="001427B8"/>
    <w:rsid w:val="001432EB"/>
    <w:rsid w:val="001440CF"/>
    <w:rsid w:val="0014482E"/>
    <w:rsid w:val="00145F72"/>
    <w:rsid w:val="00146336"/>
    <w:rsid w:val="001463CE"/>
    <w:rsid w:val="001464BC"/>
    <w:rsid w:val="001469A1"/>
    <w:rsid w:val="00146CDE"/>
    <w:rsid w:val="0014787D"/>
    <w:rsid w:val="00147907"/>
    <w:rsid w:val="00147BD5"/>
    <w:rsid w:val="00147C4D"/>
    <w:rsid w:val="00147DF8"/>
    <w:rsid w:val="00147E81"/>
    <w:rsid w:val="00147EE1"/>
    <w:rsid w:val="00147FA5"/>
    <w:rsid w:val="001500D3"/>
    <w:rsid w:val="00150363"/>
    <w:rsid w:val="0015080C"/>
    <w:rsid w:val="0015083E"/>
    <w:rsid w:val="001509FA"/>
    <w:rsid w:val="0015122B"/>
    <w:rsid w:val="001513A9"/>
    <w:rsid w:val="001513C0"/>
    <w:rsid w:val="00151DE6"/>
    <w:rsid w:val="00151E8E"/>
    <w:rsid w:val="00152133"/>
    <w:rsid w:val="00153224"/>
    <w:rsid w:val="00153487"/>
    <w:rsid w:val="00153554"/>
    <w:rsid w:val="00153922"/>
    <w:rsid w:val="00153A5C"/>
    <w:rsid w:val="00153C4E"/>
    <w:rsid w:val="001540E2"/>
    <w:rsid w:val="00154191"/>
    <w:rsid w:val="00154770"/>
    <w:rsid w:val="00154A09"/>
    <w:rsid w:val="00154B4E"/>
    <w:rsid w:val="00154E50"/>
    <w:rsid w:val="00154F86"/>
    <w:rsid w:val="00155086"/>
    <w:rsid w:val="00155195"/>
    <w:rsid w:val="00155280"/>
    <w:rsid w:val="001554E0"/>
    <w:rsid w:val="0015577E"/>
    <w:rsid w:val="001558B0"/>
    <w:rsid w:val="00156368"/>
    <w:rsid w:val="00156615"/>
    <w:rsid w:val="001568BE"/>
    <w:rsid w:val="00156C94"/>
    <w:rsid w:val="00156DD1"/>
    <w:rsid w:val="001572CF"/>
    <w:rsid w:val="0015792B"/>
    <w:rsid w:val="00157D61"/>
    <w:rsid w:val="001607A1"/>
    <w:rsid w:val="00160C3B"/>
    <w:rsid w:val="00160D44"/>
    <w:rsid w:val="00161370"/>
    <w:rsid w:val="00161752"/>
    <w:rsid w:val="00161C79"/>
    <w:rsid w:val="00162621"/>
    <w:rsid w:val="00162AD5"/>
    <w:rsid w:val="00162B6F"/>
    <w:rsid w:val="00163466"/>
    <w:rsid w:val="0016361B"/>
    <w:rsid w:val="00163C89"/>
    <w:rsid w:val="001641EF"/>
    <w:rsid w:val="00164385"/>
    <w:rsid w:val="001649FD"/>
    <w:rsid w:val="00164FBF"/>
    <w:rsid w:val="00164FF8"/>
    <w:rsid w:val="00165994"/>
    <w:rsid w:val="00165CCE"/>
    <w:rsid w:val="00165E4A"/>
    <w:rsid w:val="00166751"/>
    <w:rsid w:val="00166B13"/>
    <w:rsid w:val="00166C3B"/>
    <w:rsid w:val="00166F07"/>
    <w:rsid w:val="001675BC"/>
    <w:rsid w:val="0016771C"/>
    <w:rsid w:val="00167900"/>
    <w:rsid w:val="00170178"/>
    <w:rsid w:val="00170272"/>
    <w:rsid w:val="00170BAD"/>
    <w:rsid w:val="00171347"/>
    <w:rsid w:val="00171F7F"/>
    <w:rsid w:val="00172F8C"/>
    <w:rsid w:val="00172FBF"/>
    <w:rsid w:val="00173044"/>
    <w:rsid w:val="00173ED3"/>
    <w:rsid w:val="001741CF"/>
    <w:rsid w:val="001747FD"/>
    <w:rsid w:val="00174B53"/>
    <w:rsid w:val="00174C74"/>
    <w:rsid w:val="00174E03"/>
    <w:rsid w:val="00174F94"/>
    <w:rsid w:val="00175882"/>
    <w:rsid w:val="0017618F"/>
    <w:rsid w:val="0017634C"/>
    <w:rsid w:val="0017636C"/>
    <w:rsid w:val="00176E7D"/>
    <w:rsid w:val="0017720C"/>
    <w:rsid w:val="0017727E"/>
    <w:rsid w:val="00177C10"/>
    <w:rsid w:val="00177CAD"/>
    <w:rsid w:val="00180091"/>
    <w:rsid w:val="001803A6"/>
    <w:rsid w:val="001806F2"/>
    <w:rsid w:val="00180A97"/>
    <w:rsid w:val="00180E82"/>
    <w:rsid w:val="00181020"/>
    <w:rsid w:val="0018147D"/>
    <w:rsid w:val="00181587"/>
    <w:rsid w:val="00181FA2"/>
    <w:rsid w:val="0018222F"/>
    <w:rsid w:val="0018243B"/>
    <w:rsid w:val="001826FA"/>
    <w:rsid w:val="00182A10"/>
    <w:rsid w:val="001843D9"/>
    <w:rsid w:val="001849A0"/>
    <w:rsid w:val="00185698"/>
    <w:rsid w:val="00185783"/>
    <w:rsid w:val="00185DFE"/>
    <w:rsid w:val="00185EAC"/>
    <w:rsid w:val="00186855"/>
    <w:rsid w:val="00186E0A"/>
    <w:rsid w:val="00187206"/>
    <w:rsid w:val="001872B0"/>
    <w:rsid w:val="00187515"/>
    <w:rsid w:val="0018753C"/>
    <w:rsid w:val="00187552"/>
    <w:rsid w:val="0018755F"/>
    <w:rsid w:val="00187650"/>
    <w:rsid w:val="00187C53"/>
    <w:rsid w:val="0019090E"/>
    <w:rsid w:val="00190E7B"/>
    <w:rsid w:val="0019144A"/>
    <w:rsid w:val="00191965"/>
    <w:rsid w:val="00191BBD"/>
    <w:rsid w:val="00191D52"/>
    <w:rsid w:val="0019202B"/>
    <w:rsid w:val="0019213F"/>
    <w:rsid w:val="001926EA"/>
    <w:rsid w:val="001929A9"/>
    <w:rsid w:val="001936B8"/>
    <w:rsid w:val="001937DA"/>
    <w:rsid w:val="00194298"/>
    <w:rsid w:val="001948B6"/>
    <w:rsid w:val="0019588A"/>
    <w:rsid w:val="0019599E"/>
    <w:rsid w:val="00195DE1"/>
    <w:rsid w:val="00195F86"/>
    <w:rsid w:val="00196743"/>
    <w:rsid w:val="00196B5E"/>
    <w:rsid w:val="00197082"/>
    <w:rsid w:val="00197811"/>
    <w:rsid w:val="00197B21"/>
    <w:rsid w:val="00197F36"/>
    <w:rsid w:val="001A0A66"/>
    <w:rsid w:val="001A1F77"/>
    <w:rsid w:val="001A20E5"/>
    <w:rsid w:val="001A231C"/>
    <w:rsid w:val="001A2D19"/>
    <w:rsid w:val="001A329E"/>
    <w:rsid w:val="001A37DE"/>
    <w:rsid w:val="001A3E5D"/>
    <w:rsid w:val="001A3EAB"/>
    <w:rsid w:val="001A42B5"/>
    <w:rsid w:val="001A4903"/>
    <w:rsid w:val="001A4D79"/>
    <w:rsid w:val="001A5732"/>
    <w:rsid w:val="001A6914"/>
    <w:rsid w:val="001A6C4D"/>
    <w:rsid w:val="001A7358"/>
    <w:rsid w:val="001A7483"/>
    <w:rsid w:val="001A7DE0"/>
    <w:rsid w:val="001B063E"/>
    <w:rsid w:val="001B067C"/>
    <w:rsid w:val="001B1F80"/>
    <w:rsid w:val="001B2200"/>
    <w:rsid w:val="001B2600"/>
    <w:rsid w:val="001B3058"/>
    <w:rsid w:val="001B35B6"/>
    <w:rsid w:val="001B40A6"/>
    <w:rsid w:val="001B4747"/>
    <w:rsid w:val="001B4814"/>
    <w:rsid w:val="001B48B5"/>
    <w:rsid w:val="001B4A15"/>
    <w:rsid w:val="001B5B14"/>
    <w:rsid w:val="001B66BA"/>
    <w:rsid w:val="001B6788"/>
    <w:rsid w:val="001B6B39"/>
    <w:rsid w:val="001B6D43"/>
    <w:rsid w:val="001C0080"/>
    <w:rsid w:val="001C02C9"/>
    <w:rsid w:val="001C08CD"/>
    <w:rsid w:val="001C0AD5"/>
    <w:rsid w:val="001C0E85"/>
    <w:rsid w:val="001C1313"/>
    <w:rsid w:val="001C181F"/>
    <w:rsid w:val="001C1955"/>
    <w:rsid w:val="001C1F4B"/>
    <w:rsid w:val="001C22FB"/>
    <w:rsid w:val="001C4655"/>
    <w:rsid w:val="001C4BCF"/>
    <w:rsid w:val="001C523C"/>
    <w:rsid w:val="001C54DF"/>
    <w:rsid w:val="001C5828"/>
    <w:rsid w:val="001C584B"/>
    <w:rsid w:val="001C6181"/>
    <w:rsid w:val="001C6207"/>
    <w:rsid w:val="001C668C"/>
    <w:rsid w:val="001C68CA"/>
    <w:rsid w:val="001C6C1B"/>
    <w:rsid w:val="001C7068"/>
    <w:rsid w:val="001C7114"/>
    <w:rsid w:val="001C7191"/>
    <w:rsid w:val="001D0750"/>
    <w:rsid w:val="001D09D4"/>
    <w:rsid w:val="001D0CCB"/>
    <w:rsid w:val="001D1C75"/>
    <w:rsid w:val="001D1E0E"/>
    <w:rsid w:val="001D2971"/>
    <w:rsid w:val="001D2B5E"/>
    <w:rsid w:val="001D2D7F"/>
    <w:rsid w:val="001D3A0A"/>
    <w:rsid w:val="001D406C"/>
    <w:rsid w:val="001D4565"/>
    <w:rsid w:val="001D49F7"/>
    <w:rsid w:val="001D4B9B"/>
    <w:rsid w:val="001D4DCD"/>
    <w:rsid w:val="001D5105"/>
    <w:rsid w:val="001D6225"/>
    <w:rsid w:val="001D6E0F"/>
    <w:rsid w:val="001D73AF"/>
    <w:rsid w:val="001D73D9"/>
    <w:rsid w:val="001D797A"/>
    <w:rsid w:val="001D7BB9"/>
    <w:rsid w:val="001D7E74"/>
    <w:rsid w:val="001E0B68"/>
    <w:rsid w:val="001E10B9"/>
    <w:rsid w:val="001E12ED"/>
    <w:rsid w:val="001E1343"/>
    <w:rsid w:val="001E1346"/>
    <w:rsid w:val="001E1395"/>
    <w:rsid w:val="001E1981"/>
    <w:rsid w:val="001E2249"/>
    <w:rsid w:val="001E23AF"/>
    <w:rsid w:val="001E248E"/>
    <w:rsid w:val="001E3058"/>
    <w:rsid w:val="001E3097"/>
    <w:rsid w:val="001E34C4"/>
    <w:rsid w:val="001E3508"/>
    <w:rsid w:val="001E3840"/>
    <w:rsid w:val="001E3B9F"/>
    <w:rsid w:val="001E43C2"/>
    <w:rsid w:val="001E4E95"/>
    <w:rsid w:val="001E5118"/>
    <w:rsid w:val="001E52D7"/>
    <w:rsid w:val="001E5CD1"/>
    <w:rsid w:val="001E66EB"/>
    <w:rsid w:val="001E671B"/>
    <w:rsid w:val="001E6967"/>
    <w:rsid w:val="001E6EC2"/>
    <w:rsid w:val="001E7656"/>
    <w:rsid w:val="001E7824"/>
    <w:rsid w:val="001F0EB9"/>
    <w:rsid w:val="001F111C"/>
    <w:rsid w:val="001F1B01"/>
    <w:rsid w:val="001F1DD6"/>
    <w:rsid w:val="001F212B"/>
    <w:rsid w:val="001F22AF"/>
    <w:rsid w:val="001F3039"/>
    <w:rsid w:val="001F3577"/>
    <w:rsid w:val="001F35CD"/>
    <w:rsid w:val="001F3C7F"/>
    <w:rsid w:val="001F3E54"/>
    <w:rsid w:val="001F4899"/>
    <w:rsid w:val="001F4D73"/>
    <w:rsid w:val="001F4EDE"/>
    <w:rsid w:val="001F5A8E"/>
    <w:rsid w:val="001F5FB7"/>
    <w:rsid w:val="001F6714"/>
    <w:rsid w:val="001F7543"/>
    <w:rsid w:val="001F7961"/>
    <w:rsid w:val="001F7C9A"/>
    <w:rsid w:val="002003D8"/>
    <w:rsid w:val="00201D1B"/>
    <w:rsid w:val="002024CD"/>
    <w:rsid w:val="002024EE"/>
    <w:rsid w:val="00203801"/>
    <w:rsid w:val="002039CA"/>
    <w:rsid w:val="00204291"/>
    <w:rsid w:val="0020445D"/>
    <w:rsid w:val="002058E8"/>
    <w:rsid w:val="00205D8D"/>
    <w:rsid w:val="00205EB2"/>
    <w:rsid w:val="002074A4"/>
    <w:rsid w:val="00207CC9"/>
    <w:rsid w:val="00207CEA"/>
    <w:rsid w:val="00210607"/>
    <w:rsid w:val="0021091F"/>
    <w:rsid w:val="00210A78"/>
    <w:rsid w:val="00210CFF"/>
    <w:rsid w:val="00211013"/>
    <w:rsid w:val="00211351"/>
    <w:rsid w:val="002119E0"/>
    <w:rsid w:val="00211D9F"/>
    <w:rsid w:val="00211E2A"/>
    <w:rsid w:val="00212193"/>
    <w:rsid w:val="002126FB"/>
    <w:rsid w:val="00212AA1"/>
    <w:rsid w:val="00213E2F"/>
    <w:rsid w:val="00214478"/>
    <w:rsid w:val="002144A6"/>
    <w:rsid w:val="00214B53"/>
    <w:rsid w:val="00214E0B"/>
    <w:rsid w:val="00214F8B"/>
    <w:rsid w:val="00215B31"/>
    <w:rsid w:val="00216452"/>
    <w:rsid w:val="002172F3"/>
    <w:rsid w:val="00217509"/>
    <w:rsid w:val="002179AD"/>
    <w:rsid w:val="00217EB8"/>
    <w:rsid w:val="00220059"/>
    <w:rsid w:val="00220229"/>
    <w:rsid w:val="0022086C"/>
    <w:rsid w:val="00220992"/>
    <w:rsid w:val="002209C7"/>
    <w:rsid w:val="00220C83"/>
    <w:rsid w:val="002213BC"/>
    <w:rsid w:val="00221570"/>
    <w:rsid w:val="00221C3B"/>
    <w:rsid w:val="002221BF"/>
    <w:rsid w:val="002227BB"/>
    <w:rsid w:val="00222B07"/>
    <w:rsid w:val="00222FA2"/>
    <w:rsid w:val="00222FBD"/>
    <w:rsid w:val="0022308F"/>
    <w:rsid w:val="00223512"/>
    <w:rsid w:val="00224FFF"/>
    <w:rsid w:val="00225276"/>
    <w:rsid w:val="00225A02"/>
    <w:rsid w:val="00225BDB"/>
    <w:rsid w:val="00225C13"/>
    <w:rsid w:val="00226192"/>
    <w:rsid w:val="002261CC"/>
    <w:rsid w:val="00226EA2"/>
    <w:rsid w:val="00226F0A"/>
    <w:rsid w:val="002278F9"/>
    <w:rsid w:val="002305D5"/>
    <w:rsid w:val="002313B7"/>
    <w:rsid w:val="00231F79"/>
    <w:rsid w:val="002321F9"/>
    <w:rsid w:val="0023231C"/>
    <w:rsid w:val="0023288B"/>
    <w:rsid w:val="00232C98"/>
    <w:rsid w:val="00233427"/>
    <w:rsid w:val="002341F6"/>
    <w:rsid w:val="00234226"/>
    <w:rsid w:val="0023424A"/>
    <w:rsid w:val="002345EC"/>
    <w:rsid w:val="00234A0A"/>
    <w:rsid w:val="00234EE7"/>
    <w:rsid w:val="002359A8"/>
    <w:rsid w:val="00235B88"/>
    <w:rsid w:val="00235CEA"/>
    <w:rsid w:val="002378CF"/>
    <w:rsid w:val="00237D23"/>
    <w:rsid w:val="002402B5"/>
    <w:rsid w:val="002402FE"/>
    <w:rsid w:val="00240422"/>
    <w:rsid w:val="002404D9"/>
    <w:rsid w:val="00240979"/>
    <w:rsid w:val="00241542"/>
    <w:rsid w:val="00241A2F"/>
    <w:rsid w:val="002421A2"/>
    <w:rsid w:val="002424A0"/>
    <w:rsid w:val="00242508"/>
    <w:rsid w:val="00242C94"/>
    <w:rsid w:val="00243D7A"/>
    <w:rsid w:val="00244172"/>
    <w:rsid w:val="002448A6"/>
    <w:rsid w:val="002448EB"/>
    <w:rsid w:val="00244C7D"/>
    <w:rsid w:val="00244CB4"/>
    <w:rsid w:val="00244E57"/>
    <w:rsid w:val="00245409"/>
    <w:rsid w:val="00245584"/>
    <w:rsid w:val="00246830"/>
    <w:rsid w:val="00246D1B"/>
    <w:rsid w:val="00247000"/>
    <w:rsid w:val="002471D7"/>
    <w:rsid w:val="002502E3"/>
    <w:rsid w:val="0025076D"/>
    <w:rsid w:val="00250936"/>
    <w:rsid w:val="0025169F"/>
    <w:rsid w:val="00251A51"/>
    <w:rsid w:val="00251EA3"/>
    <w:rsid w:val="00252E81"/>
    <w:rsid w:val="002534ED"/>
    <w:rsid w:val="0025393A"/>
    <w:rsid w:val="00253A93"/>
    <w:rsid w:val="00253DD9"/>
    <w:rsid w:val="002543CE"/>
    <w:rsid w:val="00254F61"/>
    <w:rsid w:val="002550F1"/>
    <w:rsid w:val="002557E2"/>
    <w:rsid w:val="00255A07"/>
    <w:rsid w:val="002566B7"/>
    <w:rsid w:val="00256808"/>
    <w:rsid w:val="00256F3B"/>
    <w:rsid w:val="00257D63"/>
    <w:rsid w:val="00260545"/>
    <w:rsid w:val="002608EA"/>
    <w:rsid w:val="002610A5"/>
    <w:rsid w:val="002612AB"/>
    <w:rsid w:val="002616BD"/>
    <w:rsid w:val="00261AF3"/>
    <w:rsid w:val="00261B57"/>
    <w:rsid w:val="00262572"/>
    <w:rsid w:val="00262768"/>
    <w:rsid w:val="00262802"/>
    <w:rsid w:val="00262962"/>
    <w:rsid w:val="00263653"/>
    <w:rsid w:val="002646D5"/>
    <w:rsid w:val="002652D1"/>
    <w:rsid w:val="002654E2"/>
    <w:rsid w:val="002660B7"/>
    <w:rsid w:val="002666DF"/>
    <w:rsid w:val="00266FF0"/>
    <w:rsid w:val="00267259"/>
    <w:rsid w:val="00267315"/>
    <w:rsid w:val="00267CFE"/>
    <w:rsid w:val="00267DA0"/>
    <w:rsid w:val="00267F00"/>
    <w:rsid w:val="0027007B"/>
    <w:rsid w:val="002705BC"/>
    <w:rsid w:val="00270CCC"/>
    <w:rsid w:val="002713B8"/>
    <w:rsid w:val="00271846"/>
    <w:rsid w:val="002719EF"/>
    <w:rsid w:val="00271C5A"/>
    <w:rsid w:val="00271F7D"/>
    <w:rsid w:val="00272328"/>
    <w:rsid w:val="002726FE"/>
    <w:rsid w:val="00272737"/>
    <w:rsid w:val="00273636"/>
    <w:rsid w:val="002740C5"/>
    <w:rsid w:val="00274476"/>
    <w:rsid w:val="002746AA"/>
    <w:rsid w:val="00274D08"/>
    <w:rsid w:val="00274E84"/>
    <w:rsid w:val="00274F31"/>
    <w:rsid w:val="00275263"/>
    <w:rsid w:val="002754E0"/>
    <w:rsid w:val="002759EF"/>
    <w:rsid w:val="00275BCB"/>
    <w:rsid w:val="00275F8B"/>
    <w:rsid w:val="002762FB"/>
    <w:rsid w:val="00276329"/>
    <w:rsid w:val="00276599"/>
    <w:rsid w:val="00276D77"/>
    <w:rsid w:val="002778D8"/>
    <w:rsid w:val="00277B38"/>
    <w:rsid w:val="00280671"/>
    <w:rsid w:val="00280DB6"/>
    <w:rsid w:val="0028111C"/>
    <w:rsid w:val="002817A9"/>
    <w:rsid w:val="00281971"/>
    <w:rsid w:val="00281A56"/>
    <w:rsid w:val="00282A98"/>
    <w:rsid w:val="00283042"/>
    <w:rsid w:val="00283164"/>
    <w:rsid w:val="002832DE"/>
    <w:rsid w:val="00283886"/>
    <w:rsid w:val="00283A15"/>
    <w:rsid w:val="00283A5B"/>
    <w:rsid w:val="00283FDA"/>
    <w:rsid w:val="00284120"/>
    <w:rsid w:val="00284300"/>
    <w:rsid w:val="00284896"/>
    <w:rsid w:val="00284E38"/>
    <w:rsid w:val="00284EFC"/>
    <w:rsid w:val="00285602"/>
    <w:rsid w:val="00285B52"/>
    <w:rsid w:val="00285FF7"/>
    <w:rsid w:val="00287DC5"/>
    <w:rsid w:val="00290952"/>
    <w:rsid w:val="00290BAD"/>
    <w:rsid w:val="00290EE5"/>
    <w:rsid w:val="00291169"/>
    <w:rsid w:val="00291E86"/>
    <w:rsid w:val="0029203B"/>
    <w:rsid w:val="00292592"/>
    <w:rsid w:val="00292628"/>
    <w:rsid w:val="002940EA"/>
    <w:rsid w:val="0029494D"/>
    <w:rsid w:val="00294D71"/>
    <w:rsid w:val="00294FA6"/>
    <w:rsid w:val="0029564F"/>
    <w:rsid w:val="002963CC"/>
    <w:rsid w:val="00296484"/>
    <w:rsid w:val="0029683C"/>
    <w:rsid w:val="00296887"/>
    <w:rsid w:val="0029727F"/>
    <w:rsid w:val="00297E92"/>
    <w:rsid w:val="002A0256"/>
    <w:rsid w:val="002A050B"/>
    <w:rsid w:val="002A05DD"/>
    <w:rsid w:val="002A07D4"/>
    <w:rsid w:val="002A0E63"/>
    <w:rsid w:val="002A16CA"/>
    <w:rsid w:val="002A199D"/>
    <w:rsid w:val="002A23B2"/>
    <w:rsid w:val="002A2DC8"/>
    <w:rsid w:val="002A2EB7"/>
    <w:rsid w:val="002A3DD5"/>
    <w:rsid w:val="002A40FD"/>
    <w:rsid w:val="002A4216"/>
    <w:rsid w:val="002A4267"/>
    <w:rsid w:val="002A42BA"/>
    <w:rsid w:val="002A4629"/>
    <w:rsid w:val="002A475C"/>
    <w:rsid w:val="002A52A6"/>
    <w:rsid w:val="002A5790"/>
    <w:rsid w:val="002A5D1F"/>
    <w:rsid w:val="002A5E07"/>
    <w:rsid w:val="002A60D7"/>
    <w:rsid w:val="002A691C"/>
    <w:rsid w:val="002A69CC"/>
    <w:rsid w:val="002A6A03"/>
    <w:rsid w:val="002A7439"/>
    <w:rsid w:val="002A7D36"/>
    <w:rsid w:val="002B1747"/>
    <w:rsid w:val="002B22FD"/>
    <w:rsid w:val="002B2378"/>
    <w:rsid w:val="002B28C5"/>
    <w:rsid w:val="002B2DA4"/>
    <w:rsid w:val="002B2ECB"/>
    <w:rsid w:val="002B42DA"/>
    <w:rsid w:val="002B470B"/>
    <w:rsid w:val="002B4946"/>
    <w:rsid w:val="002B4D40"/>
    <w:rsid w:val="002B553E"/>
    <w:rsid w:val="002B5E91"/>
    <w:rsid w:val="002B68CF"/>
    <w:rsid w:val="002B6ECA"/>
    <w:rsid w:val="002B700E"/>
    <w:rsid w:val="002B7574"/>
    <w:rsid w:val="002B787A"/>
    <w:rsid w:val="002B7A4D"/>
    <w:rsid w:val="002B7B1A"/>
    <w:rsid w:val="002B7E30"/>
    <w:rsid w:val="002C072D"/>
    <w:rsid w:val="002C0A80"/>
    <w:rsid w:val="002C0E29"/>
    <w:rsid w:val="002C0EB8"/>
    <w:rsid w:val="002C10BA"/>
    <w:rsid w:val="002C12E5"/>
    <w:rsid w:val="002C1954"/>
    <w:rsid w:val="002C1AD5"/>
    <w:rsid w:val="002C1AE0"/>
    <w:rsid w:val="002C1D6A"/>
    <w:rsid w:val="002C228F"/>
    <w:rsid w:val="002C2805"/>
    <w:rsid w:val="002C2EEE"/>
    <w:rsid w:val="002C3070"/>
    <w:rsid w:val="002C387F"/>
    <w:rsid w:val="002C391E"/>
    <w:rsid w:val="002C40A1"/>
    <w:rsid w:val="002C40E8"/>
    <w:rsid w:val="002C4B90"/>
    <w:rsid w:val="002C4CE7"/>
    <w:rsid w:val="002C4E35"/>
    <w:rsid w:val="002C5294"/>
    <w:rsid w:val="002C54FB"/>
    <w:rsid w:val="002C5682"/>
    <w:rsid w:val="002C5926"/>
    <w:rsid w:val="002C6C0F"/>
    <w:rsid w:val="002C7837"/>
    <w:rsid w:val="002C78E1"/>
    <w:rsid w:val="002C7A47"/>
    <w:rsid w:val="002C7B20"/>
    <w:rsid w:val="002C7B9C"/>
    <w:rsid w:val="002C7BDC"/>
    <w:rsid w:val="002D03BE"/>
    <w:rsid w:val="002D06E3"/>
    <w:rsid w:val="002D19A6"/>
    <w:rsid w:val="002D19D8"/>
    <w:rsid w:val="002D1A12"/>
    <w:rsid w:val="002D1C9A"/>
    <w:rsid w:val="002D24D2"/>
    <w:rsid w:val="002D2B78"/>
    <w:rsid w:val="002D31A0"/>
    <w:rsid w:val="002D3616"/>
    <w:rsid w:val="002D3655"/>
    <w:rsid w:val="002D3729"/>
    <w:rsid w:val="002D3E45"/>
    <w:rsid w:val="002D435A"/>
    <w:rsid w:val="002D4486"/>
    <w:rsid w:val="002D4FCD"/>
    <w:rsid w:val="002D4FD9"/>
    <w:rsid w:val="002D5681"/>
    <w:rsid w:val="002D625D"/>
    <w:rsid w:val="002D651D"/>
    <w:rsid w:val="002D65D9"/>
    <w:rsid w:val="002D6EC7"/>
    <w:rsid w:val="002D704A"/>
    <w:rsid w:val="002D7628"/>
    <w:rsid w:val="002D7BC0"/>
    <w:rsid w:val="002D7C2C"/>
    <w:rsid w:val="002E012D"/>
    <w:rsid w:val="002E055C"/>
    <w:rsid w:val="002E08E8"/>
    <w:rsid w:val="002E0A67"/>
    <w:rsid w:val="002E0E8C"/>
    <w:rsid w:val="002E0F95"/>
    <w:rsid w:val="002E100E"/>
    <w:rsid w:val="002E1027"/>
    <w:rsid w:val="002E138D"/>
    <w:rsid w:val="002E1449"/>
    <w:rsid w:val="002E1B77"/>
    <w:rsid w:val="002E1CE0"/>
    <w:rsid w:val="002E1E49"/>
    <w:rsid w:val="002E3ECD"/>
    <w:rsid w:val="002E4004"/>
    <w:rsid w:val="002E4088"/>
    <w:rsid w:val="002E4564"/>
    <w:rsid w:val="002E4926"/>
    <w:rsid w:val="002E53E4"/>
    <w:rsid w:val="002E61D6"/>
    <w:rsid w:val="002E6562"/>
    <w:rsid w:val="002E6766"/>
    <w:rsid w:val="002E67C1"/>
    <w:rsid w:val="002E6D58"/>
    <w:rsid w:val="002E6DEB"/>
    <w:rsid w:val="002E6E0B"/>
    <w:rsid w:val="002E70D1"/>
    <w:rsid w:val="002E741F"/>
    <w:rsid w:val="002E74F7"/>
    <w:rsid w:val="002F01E4"/>
    <w:rsid w:val="002F0738"/>
    <w:rsid w:val="002F07E2"/>
    <w:rsid w:val="002F080C"/>
    <w:rsid w:val="002F0F6C"/>
    <w:rsid w:val="002F12F2"/>
    <w:rsid w:val="002F2B24"/>
    <w:rsid w:val="002F2D80"/>
    <w:rsid w:val="002F3050"/>
    <w:rsid w:val="002F312F"/>
    <w:rsid w:val="002F3883"/>
    <w:rsid w:val="002F3B2F"/>
    <w:rsid w:val="002F421B"/>
    <w:rsid w:val="002F4640"/>
    <w:rsid w:val="002F47C6"/>
    <w:rsid w:val="002F4BD6"/>
    <w:rsid w:val="002F4EC0"/>
    <w:rsid w:val="002F538F"/>
    <w:rsid w:val="002F578A"/>
    <w:rsid w:val="002F5961"/>
    <w:rsid w:val="002F70D3"/>
    <w:rsid w:val="002F78AC"/>
    <w:rsid w:val="00300E35"/>
    <w:rsid w:val="00301200"/>
    <w:rsid w:val="003013C7"/>
    <w:rsid w:val="00301812"/>
    <w:rsid w:val="00301B4E"/>
    <w:rsid w:val="00301F72"/>
    <w:rsid w:val="00302018"/>
    <w:rsid w:val="00302617"/>
    <w:rsid w:val="00302C53"/>
    <w:rsid w:val="00302D68"/>
    <w:rsid w:val="00303883"/>
    <w:rsid w:val="003038B1"/>
    <w:rsid w:val="0030480F"/>
    <w:rsid w:val="00304A01"/>
    <w:rsid w:val="00305CBF"/>
    <w:rsid w:val="00306D03"/>
    <w:rsid w:val="003075D0"/>
    <w:rsid w:val="00307657"/>
    <w:rsid w:val="00310EBE"/>
    <w:rsid w:val="00311069"/>
    <w:rsid w:val="0031166C"/>
    <w:rsid w:val="00311BE4"/>
    <w:rsid w:val="0031221D"/>
    <w:rsid w:val="0031292B"/>
    <w:rsid w:val="00312CF8"/>
    <w:rsid w:val="0031305D"/>
    <w:rsid w:val="0031477D"/>
    <w:rsid w:val="003147F5"/>
    <w:rsid w:val="0031606A"/>
    <w:rsid w:val="00316478"/>
    <w:rsid w:val="003167C8"/>
    <w:rsid w:val="003169CC"/>
    <w:rsid w:val="00316DBC"/>
    <w:rsid w:val="003205C8"/>
    <w:rsid w:val="00320936"/>
    <w:rsid w:val="003210D9"/>
    <w:rsid w:val="00321369"/>
    <w:rsid w:val="003216C3"/>
    <w:rsid w:val="003220B1"/>
    <w:rsid w:val="00322634"/>
    <w:rsid w:val="00322AFF"/>
    <w:rsid w:val="00322CA8"/>
    <w:rsid w:val="00323376"/>
    <w:rsid w:val="003234FB"/>
    <w:rsid w:val="00323ABB"/>
    <w:rsid w:val="00323CA9"/>
    <w:rsid w:val="003240A3"/>
    <w:rsid w:val="00324A66"/>
    <w:rsid w:val="00324F86"/>
    <w:rsid w:val="00325096"/>
    <w:rsid w:val="00325D6F"/>
    <w:rsid w:val="003267A1"/>
    <w:rsid w:val="00326A9E"/>
    <w:rsid w:val="00327C89"/>
    <w:rsid w:val="00327D22"/>
    <w:rsid w:val="0033002E"/>
    <w:rsid w:val="00330497"/>
    <w:rsid w:val="0033113F"/>
    <w:rsid w:val="003317A3"/>
    <w:rsid w:val="00331A93"/>
    <w:rsid w:val="00331B9D"/>
    <w:rsid w:val="0033346C"/>
    <w:rsid w:val="003335E3"/>
    <w:rsid w:val="00333C6D"/>
    <w:rsid w:val="003340A6"/>
    <w:rsid w:val="003340D6"/>
    <w:rsid w:val="003340D7"/>
    <w:rsid w:val="00334590"/>
    <w:rsid w:val="00334AA0"/>
    <w:rsid w:val="00335943"/>
    <w:rsid w:val="00335DDB"/>
    <w:rsid w:val="0033632A"/>
    <w:rsid w:val="0033643C"/>
    <w:rsid w:val="0033670C"/>
    <w:rsid w:val="00336F6E"/>
    <w:rsid w:val="00337A2F"/>
    <w:rsid w:val="00337EB8"/>
    <w:rsid w:val="00337EC3"/>
    <w:rsid w:val="00337F4C"/>
    <w:rsid w:val="00341479"/>
    <w:rsid w:val="00341E5E"/>
    <w:rsid w:val="00342CD3"/>
    <w:rsid w:val="00342E7A"/>
    <w:rsid w:val="00343277"/>
    <w:rsid w:val="003433A1"/>
    <w:rsid w:val="003434CB"/>
    <w:rsid w:val="00343983"/>
    <w:rsid w:val="00343DC9"/>
    <w:rsid w:val="0034518B"/>
    <w:rsid w:val="00345E2D"/>
    <w:rsid w:val="003463B5"/>
    <w:rsid w:val="003465FE"/>
    <w:rsid w:val="00346910"/>
    <w:rsid w:val="003469EC"/>
    <w:rsid w:val="00346E20"/>
    <w:rsid w:val="00347196"/>
    <w:rsid w:val="0034722C"/>
    <w:rsid w:val="00347735"/>
    <w:rsid w:val="00350646"/>
    <w:rsid w:val="00350B68"/>
    <w:rsid w:val="00350CF1"/>
    <w:rsid w:val="00351249"/>
    <w:rsid w:val="00351402"/>
    <w:rsid w:val="003517FF"/>
    <w:rsid w:val="00351C5C"/>
    <w:rsid w:val="00351C88"/>
    <w:rsid w:val="00351DE3"/>
    <w:rsid w:val="0035250B"/>
    <w:rsid w:val="00352EAF"/>
    <w:rsid w:val="00352FD7"/>
    <w:rsid w:val="003532AD"/>
    <w:rsid w:val="00353974"/>
    <w:rsid w:val="00353A25"/>
    <w:rsid w:val="003540D0"/>
    <w:rsid w:val="00354DE7"/>
    <w:rsid w:val="00356182"/>
    <w:rsid w:val="00356415"/>
    <w:rsid w:val="0035692C"/>
    <w:rsid w:val="00356DDB"/>
    <w:rsid w:val="00357406"/>
    <w:rsid w:val="0035774A"/>
    <w:rsid w:val="00357869"/>
    <w:rsid w:val="00357A86"/>
    <w:rsid w:val="00357AF3"/>
    <w:rsid w:val="00360188"/>
    <w:rsid w:val="0036045E"/>
    <w:rsid w:val="00360B8B"/>
    <w:rsid w:val="00360C86"/>
    <w:rsid w:val="00360E71"/>
    <w:rsid w:val="00360E91"/>
    <w:rsid w:val="00361509"/>
    <w:rsid w:val="003615F8"/>
    <w:rsid w:val="00361CEE"/>
    <w:rsid w:val="00361DD1"/>
    <w:rsid w:val="00361FC8"/>
    <w:rsid w:val="003623F7"/>
    <w:rsid w:val="00362528"/>
    <w:rsid w:val="003627FF"/>
    <w:rsid w:val="00362A6A"/>
    <w:rsid w:val="00362A75"/>
    <w:rsid w:val="0036344E"/>
    <w:rsid w:val="00364223"/>
    <w:rsid w:val="00365432"/>
    <w:rsid w:val="003661A7"/>
    <w:rsid w:val="00366816"/>
    <w:rsid w:val="00366FD2"/>
    <w:rsid w:val="003675C1"/>
    <w:rsid w:val="00367A32"/>
    <w:rsid w:val="00367A40"/>
    <w:rsid w:val="00367CC1"/>
    <w:rsid w:val="00367DC2"/>
    <w:rsid w:val="00370271"/>
    <w:rsid w:val="00370851"/>
    <w:rsid w:val="00370D7D"/>
    <w:rsid w:val="00371646"/>
    <w:rsid w:val="0037172E"/>
    <w:rsid w:val="003718A1"/>
    <w:rsid w:val="00371AAE"/>
    <w:rsid w:val="00371F97"/>
    <w:rsid w:val="00372157"/>
    <w:rsid w:val="00372B3D"/>
    <w:rsid w:val="00372C4E"/>
    <w:rsid w:val="00372D90"/>
    <w:rsid w:val="00373149"/>
    <w:rsid w:val="003736E4"/>
    <w:rsid w:val="003737E6"/>
    <w:rsid w:val="00373BC3"/>
    <w:rsid w:val="0037449C"/>
    <w:rsid w:val="003744A7"/>
    <w:rsid w:val="003746EF"/>
    <w:rsid w:val="003754A6"/>
    <w:rsid w:val="0037556E"/>
    <w:rsid w:val="00375963"/>
    <w:rsid w:val="003767A9"/>
    <w:rsid w:val="00376926"/>
    <w:rsid w:val="00376932"/>
    <w:rsid w:val="00377506"/>
    <w:rsid w:val="00377CB2"/>
    <w:rsid w:val="0038138C"/>
    <w:rsid w:val="003818C4"/>
    <w:rsid w:val="003823B2"/>
    <w:rsid w:val="00382A84"/>
    <w:rsid w:val="00382F52"/>
    <w:rsid w:val="00383B01"/>
    <w:rsid w:val="0038417C"/>
    <w:rsid w:val="003845B5"/>
    <w:rsid w:val="00384D2D"/>
    <w:rsid w:val="0038509A"/>
    <w:rsid w:val="00385E24"/>
    <w:rsid w:val="0038601D"/>
    <w:rsid w:val="00386BDB"/>
    <w:rsid w:val="003870A8"/>
    <w:rsid w:val="00387421"/>
    <w:rsid w:val="00387979"/>
    <w:rsid w:val="003903E4"/>
    <w:rsid w:val="00390501"/>
    <w:rsid w:val="00390ADB"/>
    <w:rsid w:val="00390CE4"/>
    <w:rsid w:val="00391024"/>
    <w:rsid w:val="00391202"/>
    <w:rsid w:val="00391523"/>
    <w:rsid w:val="00391A67"/>
    <w:rsid w:val="0039318E"/>
    <w:rsid w:val="003935A9"/>
    <w:rsid w:val="00393FA9"/>
    <w:rsid w:val="00394B09"/>
    <w:rsid w:val="003950D9"/>
    <w:rsid w:val="003950DE"/>
    <w:rsid w:val="003951C9"/>
    <w:rsid w:val="00395855"/>
    <w:rsid w:val="00395D9F"/>
    <w:rsid w:val="003960F7"/>
    <w:rsid w:val="003961D7"/>
    <w:rsid w:val="00396466"/>
    <w:rsid w:val="00396E0A"/>
    <w:rsid w:val="00396E76"/>
    <w:rsid w:val="0039761E"/>
    <w:rsid w:val="00397834"/>
    <w:rsid w:val="003A0ABE"/>
    <w:rsid w:val="003A0CB8"/>
    <w:rsid w:val="003A0D8D"/>
    <w:rsid w:val="003A130F"/>
    <w:rsid w:val="003A1F19"/>
    <w:rsid w:val="003A3280"/>
    <w:rsid w:val="003A3567"/>
    <w:rsid w:val="003A3EF7"/>
    <w:rsid w:val="003A3F1F"/>
    <w:rsid w:val="003A4110"/>
    <w:rsid w:val="003A574F"/>
    <w:rsid w:val="003A5B36"/>
    <w:rsid w:val="003A5F93"/>
    <w:rsid w:val="003A62BA"/>
    <w:rsid w:val="003A67AB"/>
    <w:rsid w:val="003A6D17"/>
    <w:rsid w:val="003A6F19"/>
    <w:rsid w:val="003A7201"/>
    <w:rsid w:val="003A74EE"/>
    <w:rsid w:val="003A78D5"/>
    <w:rsid w:val="003B00B6"/>
    <w:rsid w:val="003B0744"/>
    <w:rsid w:val="003B0AA1"/>
    <w:rsid w:val="003B1071"/>
    <w:rsid w:val="003B14E5"/>
    <w:rsid w:val="003B371D"/>
    <w:rsid w:val="003B3B97"/>
    <w:rsid w:val="003B3DF0"/>
    <w:rsid w:val="003B419C"/>
    <w:rsid w:val="003B41AD"/>
    <w:rsid w:val="003B48E6"/>
    <w:rsid w:val="003B4C77"/>
    <w:rsid w:val="003B4D17"/>
    <w:rsid w:val="003B519E"/>
    <w:rsid w:val="003B51A1"/>
    <w:rsid w:val="003B5268"/>
    <w:rsid w:val="003B52C9"/>
    <w:rsid w:val="003B5FF8"/>
    <w:rsid w:val="003B6625"/>
    <w:rsid w:val="003B67E5"/>
    <w:rsid w:val="003B6DB2"/>
    <w:rsid w:val="003C089F"/>
    <w:rsid w:val="003C0F26"/>
    <w:rsid w:val="003C1B24"/>
    <w:rsid w:val="003C2D4F"/>
    <w:rsid w:val="003C3119"/>
    <w:rsid w:val="003C365D"/>
    <w:rsid w:val="003C37F4"/>
    <w:rsid w:val="003C3AB1"/>
    <w:rsid w:val="003C436A"/>
    <w:rsid w:val="003C47DF"/>
    <w:rsid w:val="003C4930"/>
    <w:rsid w:val="003C5ABC"/>
    <w:rsid w:val="003C5DCD"/>
    <w:rsid w:val="003C6132"/>
    <w:rsid w:val="003C620A"/>
    <w:rsid w:val="003C6F84"/>
    <w:rsid w:val="003C73CD"/>
    <w:rsid w:val="003C73F1"/>
    <w:rsid w:val="003C7B50"/>
    <w:rsid w:val="003D01F3"/>
    <w:rsid w:val="003D15DC"/>
    <w:rsid w:val="003D1CD3"/>
    <w:rsid w:val="003D2709"/>
    <w:rsid w:val="003D2844"/>
    <w:rsid w:val="003D33D1"/>
    <w:rsid w:val="003D35A3"/>
    <w:rsid w:val="003D3696"/>
    <w:rsid w:val="003D37B5"/>
    <w:rsid w:val="003D3A54"/>
    <w:rsid w:val="003D3A85"/>
    <w:rsid w:val="003D401A"/>
    <w:rsid w:val="003D4172"/>
    <w:rsid w:val="003D459A"/>
    <w:rsid w:val="003D5144"/>
    <w:rsid w:val="003D5204"/>
    <w:rsid w:val="003D5C7B"/>
    <w:rsid w:val="003D5DE4"/>
    <w:rsid w:val="003D5F75"/>
    <w:rsid w:val="003D6222"/>
    <w:rsid w:val="003D62DB"/>
    <w:rsid w:val="003D6C7F"/>
    <w:rsid w:val="003D6E32"/>
    <w:rsid w:val="003D6E77"/>
    <w:rsid w:val="003D70CD"/>
    <w:rsid w:val="003D7577"/>
    <w:rsid w:val="003D7CEF"/>
    <w:rsid w:val="003E03E7"/>
    <w:rsid w:val="003E0AA6"/>
    <w:rsid w:val="003E0B73"/>
    <w:rsid w:val="003E0CAA"/>
    <w:rsid w:val="003E0D80"/>
    <w:rsid w:val="003E1075"/>
    <w:rsid w:val="003E148B"/>
    <w:rsid w:val="003E1810"/>
    <w:rsid w:val="003E1F7E"/>
    <w:rsid w:val="003E2475"/>
    <w:rsid w:val="003E28A6"/>
    <w:rsid w:val="003E296F"/>
    <w:rsid w:val="003E314D"/>
    <w:rsid w:val="003E3280"/>
    <w:rsid w:val="003E3A9A"/>
    <w:rsid w:val="003E5036"/>
    <w:rsid w:val="003E52D4"/>
    <w:rsid w:val="003E5488"/>
    <w:rsid w:val="003E60D6"/>
    <w:rsid w:val="003E69A2"/>
    <w:rsid w:val="003E6F2B"/>
    <w:rsid w:val="003E75E2"/>
    <w:rsid w:val="003E7BB9"/>
    <w:rsid w:val="003F0AEC"/>
    <w:rsid w:val="003F0BC5"/>
    <w:rsid w:val="003F1A86"/>
    <w:rsid w:val="003F1EF0"/>
    <w:rsid w:val="003F20E4"/>
    <w:rsid w:val="003F31DA"/>
    <w:rsid w:val="003F366F"/>
    <w:rsid w:val="003F3F84"/>
    <w:rsid w:val="003F5133"/>
    <w:rsid w:val="003F533E"/>
    <w:rsid w:val="003F5673"/>
    <w:rsid w:val="003F64BE"/>
    <w:rsid w:val="003F6843"/>
    <w:rsid w:val="003F7045"/>
    <w:rsid w:val="003F7626"/>
    <w:rsid w:val="003F7B63"/>
    <w:rsid w:val="00400E47"/>
    <w:rsid w:val="00401025"/>
    <w:rsid w:val="0040132B"/>
    <w:rsid w:val="0040154D"/>
    <w:rsid w:val="004015BA"/>
    <w:rsid w:val="00401D0D"/>
    <w:rsid w:val="00402651"/>
    <w:rsid w:val="0040285E"/>
    <w:rsid w:val="00403572"/>
    <w:rsid w:val="00403613"/>
    <w:rsid w:val="0040386F"/>
    <w:rsid w:val="00403DA0"/>
    <w:rsid w:val="00404B53"/>
    <w:rsid w:val="00404BE3"/>
    <w:rsid w:val="00404ED8"/>
    <w:rsid w:val="00405372"/>
    <w:rsid w:val="004054BA"/>
    <w:rsid w:val="00405FF3"/>
    <w:rsid w:val="00406406"/>
    <w:rsid w:val="00406709"/>
    <w:rsid w:val="00406ECD"/>
    <w:rsid w:val="004074BA"/>
    <w:rsid w:val="004103BC"/>
    <w:rsid w:val="00410470"/>
    <w:rsid w:val="00410AA1"/>
    <w:rsid w:val="00410F90"/>
    <w:rsid w:val="00412036"/>
    <w:rsid w:val="00412D51"/>
    <w:rsid w:val="00413226"/>
    <w:rsid w:val="00413441"/>
    <w:rsid w:val="00413E37"/>
    <w:rsid w:val="00414A87"/>
    <w:rsid w:val="00414A8F"/>
    <w:rsid w:val="0041547F"/>
    <w:rsid w:val="00415A13"/>
    <w:rsid w:val="0041608B"/>
    <w:rsid w:val="00416581"/>
    <w:rsid w:val="004167B6"/>
    <w:rsid w:val="004167BC"/>
    <w:rsid w:val="00416809"/>
    <w:rsid w:val="00416877"/>
    <w:rsid w:val="004172F3"/>
    <w:rsid w:val="00417754"/>
    <w:rsid w:val="00417B2D"/>
    <w:rsid w:val="00421255"/>
    <w:rsid w:val="0042185B"/>
    <w:rsid w:val="00421B55"/>
    <w:rsid w:val="00421BF1"/>
    <w:rsid w:val="00421EAF"/>
    <w:rsid w:val="00422A39"/>
    <w:rsid w:val="00422EEF"/>
    <w:rsid w:val="00422FA4"/>
    <w:rsid w:val="00423D04"/>
    <w:rsid w:val="00424201"/>
    <w:rsid w:val="004247D7"/>
    <w:rsid w:val="00424ACB"/>
    <w:rsid w:val="00424BB4"/>
    <w:rsid w:val="00424E39"/>
    <w:rsid w:val="00425322"/>
    <w:rsid w:val="004257D9"/>
    <w:rsid w:val="00425886"/>
    <w:rsid w:val="00425CF5"/>
    <w:rsid w:val="0042603E"/>
    <w:rsid w:val="0042697B"/>
    <w:rsid w:val="00427E8F"/>
    <w:rsid w:val="00427E95"/>
    <w:rsid w:val="0043020B"/>
    <w:rsid w:val="00430535"/>
    <w:rsid w:val="00430E69"/>
    <w:rsid w:val="004314EE"/>
    <w:rsid w:val="00431DE1"/>
    <w:rsid w:val="00431FF1"/>
    <w:rsid w:val="00432860"/>
    <w:rsid w:val="00432D0C"/>
    <w:rsid w:val="004331F4"/>
    <w:rsid w:val="004334E4"/>
    <w:rsid w:val="00433D3A"/>
    <w:rsid w:val="00434078"/>
    <w:rsid w:val="004340BF"/>
    <w:rsid w:val="00434C78"/>
    <w:rsid w:val="00434CE8"/>
    <w:rsid w:val="004353C7"/>
    <w:rsid w:val="00435C5C"/>
    <w:rsid w:val="004362A2"/>
    <w:rsid w:val="004363FA"/>
    <w:rsid w:val="004370BC"/>
    <w:rsid w:val="00437246"/>
    <w:rsid w:val="0044058E"/>
    <w:rsid w:val="00440B5E"/>
    <w:rsid w:val="00441CE6"/>
    <w:rsid w:val="00441DB5"/>
    <w:rsid w:val="00442315"/>
    <w:rsid w:val="00442AE1"/>
    <w:rsid w:val="00442DCE"/>
    <w:rsid w:val="00442F44"/>
    <w:rsid w:val="00443F8C"/>
    <w:rsid w:val="004444E4"/>
    <w:rsid w:val="00444D1E"/>
    <w:rsid w:val="00444DF0"/>
    <w:rsid w:val="00445B1E"/>
    <w:rsid w:val="00445C73"/>
    <w:rsid w:val="004461AD"/>
    <w:rsid w:val="00446989"/>
    <w:rsid w:val="0044706A"/>
    <w:rsid w:val="004470A0"/>
    <w:rsid w:val="004477E9"/>
    <w:rsid w:val="00447A3D"/>
    <w:rsid w:val="00447ECA"/>
    <w:rsid w:val="004504E0"/>
    <w:rsid w:val="00450523"/>
    <w:rsid w:val="00450980"/>
    <w:rsid w:val="00450BB8"/>
    <w:rsid w:val="00451215"/>
    <w:rsid w:val="0045125B"/>
    <w:rsid w:val="0045128E"/>
    <w:rsid w:val="00451696"/>
    <w:rsid w:val="00451F20"/>
    <w:rsid w:val="00452241"/>
    <w:rsid w:val="0045225A"/>
    <w:rsid w:val="004523A9"/>
    <w:rsid w:val="004528A6"/>
    <w:rsid w:val="004528F2"/>
    <w:rsid w:val="00452AC3"/>
    <w:rsid w:val="00453B35"/>
    <w:rsid w:val="00454720"/>
    <w:rsid w:val="00454DDF"/>
    <w:rsid w:val="0045578C"/>
    <w:rsid w:val="00455A5B"/>
    <w:rsid w:val="00456200"/>
    <w:rsid w:val="00456793"/>
    <w:rsid w:val="00457097"/>
    <w:rsid w:val="0045713C"/>
    <w:rsid w:val="004571E5"/>
    <w:rsid w:val="00457248"/>
    <w:rsid w:val="004576E1"/>
    <w:rsid w:val="004579E7"/>
    <w:rsid w:val="00457FA6"/>
    <w:rsid w:val="004601CB"/>
    <w:rsid w:val="0046094D"/>
    <w:rsid w:val="00460E53"/>
    <w:rsid w:val="00460F84"/>
    <w:rsid w:val="0046102A"/>
    <w:rsid w:val="00461D42"/>
    <w:rsid w:val="00461E09"/>
    <w:rsid w:val="00461E95"/>
    <w:rsid w:val="004620BB"/>
    <w:rsid w:val="00462480"/>
    <w:rsid w:val="0046252D"/>
    <w:rsid w:val="00463321"/>
    <w:rsid w:val="004636D0"/>
    <w:rsid w:val="00463767"/>
    <w:rsid w:val="0046431D"/>
    <w:rsid w:val="00464571"/>
    <w:rsid w:val="00464A3E"/>
    <w:rsid w:val="00464D92"/>
    <w:rsid w:val="00464FDF"/>
    <w:rsid w:val="004660E2"/>
    <w:rsid w:val="00466B57"/>
    <w:rsid w:val="00466BC9"/>
    <w:rsid w:val="00466E76"/>
    <w:rsid w:val="004674CE"/>
    <w:rsid w:val="004678D0"/>
    <w:rsid w:val="00470B52"/>
    <w:rsid w:val="00471905"/>
    <w:rsid w:val="0047229F"/>
    <w:rsid w:val="004725FB"/>
    <w:rsid w:val="00472905"/>
    <w:rsid w:val="00472C05"/>
    <w:rsid w:val="00472CCD"/>
    <w:rsid w:val="004733A2"/>
    <w:rsid w:val="004735DD"/>
    <w:rsid w:val="004738DD"/>
    <w:rsid w:val="00473BDB"/>
    <w:rsid w:val="00474887"/>
    <w:rsid w:val="00474E13"/>
    <w:rsid w:val="004753F3"/>
    <w:rsid w:val="00475978"/>
    <w:rsid w:val="00475B0D"/>
    <w:rsid w:val="00475EE1"/>
    <w:rsid w:val="00475FDA"/>
    <w:rsid w:val="0047624A"/>
    <w:rsid w:val="004764B9"/>
    <w:rsid w:val="00476578"/>
    <w:rsid w:val="00476EE1"/>
    <w:rsid w:val="004770B9"/>
    <w:rsid w:val="00477CA9"/>
    <w:rsid w:val="00477D6F"/>
    <w:rsid w:val="00480579"/>
    <w:rsid w:val="00480704"/>
    <w:rsid w:val="0048087C"/>
    <w:rsid w:val="00480A9C"/>
    <w:rsid w:val="00481845"/>
    <w:rsid w:val="00481C75"/>
    <w:rsid w:val="00482959"/>
    <w:rsid w:val="00484262"/>
    <w:rsid w:val="004854AE"/>
    <w:rsid w:val="004866C3"/>
    <w:rsid w:val="00486793"/>
    <w:rsid w:val="00487A1E"/>
    <w:rsid w:val="00487ACA"/>
    <w:rsid w:val="00487D3D"/>
    <w:rsid w:val="00490322"/>
    <w:rsid w:val="00490C93"/>
    <w:rsid w:val="00491ECE"/>
    <w:rsid w:val="004920F8"/>
    <w:rsid w:val="004926A5"/>
    <w:rsid w:val="00492BFA"/>
    <w:rsid w:val="0049337C"/>
    <w:rsid w:val="00493743"/>
    <w:rsid w:val="00493803"/>
    <w:rsid w:val="00493B4E"/>
    <w:rsid w:val="00493D09"/>
    <w:rsid w:val="00493D29"/>
    <w:rsid w:val="0049507A"/>
    <w:rsid w:val="00495606"/>
    <w:rsid w:val="00495626"/>
    <w:rsid w:val="004959D6"/>
    <w:rsid w:val="00496078"/>
    <w:rsid w:val="00496566"/>
    <w:rsid w:val="0049785B"/>
    <w:rsid w:val="00497AE4"/>
    <w:rsid w:val="004A01CA"/>
    <w:rsid w:val="004A04E5"/>
    <w:rsid w:val="004A0D7C"/>
    <w:rsid w:val="004A10F5"/>
    <w:rsid w:val="004A18E3"/>
    <w:rsid w:val="004A1C4F"/>
    <w:rsid w:val="004A247A"/>
    <w:rsid w:val="004A2587"/>
    <w:rsid w:val="004A2C26"/>
    <w:rsid w:val="004A3877"/>
    <w:rsid w:val="004A3990"/>
    <w:rsid w:val="004A46EA"/>
    <w:rsid w:val="004A4BDB"/>
    <w:rsid w:val="004A4C26"/>
    <w:rsid w:val="004A4DFB"/>
    <w:rsid w:val="004A4EDB"/>
    <w:rsid w:val="004A5083"/>
    <w:rsid w:val="004A5693"/>
    <w:rsid w:val="004A6FDD"/>
    <w:rsid w:val="004A78AA"/>
    <w:rsid w:val="004A7F37"/>
    <w:rsid w:val="004B022B"/>
    <w:rsid w:val="004B061D"/>
    <w:rsid w:val="004B06A1"/>
    <w:rsid w:val="004B0BDF"/>
    <w:rsid w:val="004B13FA"/>
    <w:rsid w:val="004B153B"/>
    <w:rsid w:val="004B1BE2"/>
    <w:rsid w:val="004B1F3E"/>
    <w:rsid w:val="004B2D94"/>
    <w:rsid w:val="004B3E6F"/>
    <w:rsid w:val="004B409B"/>
    <w:rsid w:val="004B4831"/>
    <w:rsid w:val="004B4C7F"/>
    <w:rsid w:val="004B4EA4"/>
    <w:rsid w:val="004B4F0A"/>
    <w:rsid w:val="004B4F6E"/>
    <w:rsid w:val="004B560E"/>
    <w:rsid w:val="004B5A62"/>
    <w:rsid w:val="004B5EB2"/>
    <w:rsid w:val="004B62F9"/>
    <w:rsid w:val="004B64CE"/>
    <w:rsid w:val="004B66DB"/>
    <w:rsid w:val="004B6A9C"/>
    <w:rsid w:val="004B7F24"/>
    <w:rsid w:val="004C018C"/>
    <w:rsid w:val="004C0782"/>
    <w:rsid w:val="004C11B1"/>
    <w:rsid w:val="004C134C"/>
    <w:rsid w:val="004C2006"/>
    <w:rsid w:val="004C2B2E"/>
    <w:rsid w:val="004C2E7F"/>
    <w:rsid w:val="004C2FE7"/>
    <w:rsid w:val="004C36CF"/>
    <w:rsid w:val="004C510D"/>
    <w:rsid w:val="004C53A1"/>
    <w:rsid w:val="004C5C05"/>
    <w:rsid w:val="004C63F5"/>
    <w:rsid w:val="004C6787"/>
    <w:rsid w:val="004C6F2C"/>
    <w:rsid w:val="004C6F3B"/>
    <w:rsid w:val="004C77BD"/>
    <w:rsid w:val="004C7A99"/>
    <w:rsid w:val="004C7B17"/>
    <w:rsid w:val="004C7EFC"/>
    <w:rsid w:val="004D0012"/>
    <w:rsid w:val="004D0117"/>
    <w:rsid w:val="004D0470"/>
    <w:rsid w:val="004D087C"/>
    <w:rsid w:val="004D0967"/>
    <w:rsid w:val="004D0D4F"/>
    <w:rsid w:val="004D0F02"/>
    <w:rsid w:val="004D17D0"/>
    <w:rsid w:val="004D18D7"/>
    <w:rsid w:val="004D1F07"/>
    <w:rsid w:val="004D2A2A"/>
    <w:rsid w:val="004D35D1"/>
    <w:rsid w:val="004D365B"/>
    <w:rsid w:val="004D381D"/>
    <w:rsid w:val="004D38A5"/>
    <w:rsid w:val="004D38B4"/>
    <w:rsid w:val="004D3CFE"/>
    <w:rsid w:val="004D3D80"/>
    <w:rsid w:val="004D4A49"/>
    <w:rsid w:val="004D50DE"/>
    <w:rsid w:val="004D5683"/>
    <w:rsid w:val="004D6681"/>
    <w:rsid w:val="004D6BC9"/>
    <w:rsid w:val="004D6DED"/>
    <w:rsid w:val="004D6F1E"/>
    <w:rsid w:val="004D731C"/>
    <w:rsid w:val="004D7793"/>
    <w:rsid w:val="004D77B1"/>
    <w:rsid w:val="004E043C"/>
    <w:rsid w:val="004E0799"/>
    <w:rsid w:val="004E0A1F"/>
    <w:rsid w:val="004E0B4E"/>
    <w:rsid w:val="004E1B7F"/>
    <w:rsid w:val="004E20DF"/>
    <w:rsid w:val="004E243D"/>
    <w:rsid w:val="004E28E8"/>
    <w:rsid w:val="004E2938"/>
    <w:rsid w:val="004E2C7F"/>
    <w:rsid w:val="004E30D0"/>
    <w:rsid w:val="004E3BB3"/>
    <w:rsid w:val="004E51A6"/>
    <w:rsid w:val="004E5FF0"/>
    <w:rsid w:val="004E647B"/>
    <w:rsid w:val="004E6C59"/>
    <w:rsid w:val="004E7462"/>
    <w:rsid w:val="004E7ECA"/>
    <w:rsid w:val="004F00DD"/>
    <w:rsid w:val="004F01F2"/>
    <w:rsid w:val="004F0259"/>
    <w:rsid w:val="004F03B6"/>
    <w:rsid w:val="004F10C5"/>
    <w:rsid w:val="004F1E48"/>
    <w:rsid w:val="004F2CBC"/>
    <w:rsid w:val="004F3601"/>
    <w:rsid w:val="004F36B6"/>
    <w:rsid w:val="004F39A7"/>
    <w:rsid w:val="004F3E63"/>
    <w:rsid w:val="004F3FE5"/>
    <w:rsid w:val="004F41E6"/>
    <w:rsid w:val="004F4676"/>
    <w:rsid w:val="004F49D0"/>
    <w:rsid w:val="004F49FC"/>
    <w:rsid w:val="004F4E2E"/>
    <w:rsid w:val="004F5340"/>
    <w:rsid w:val="004F57DE"/>
    <w:rsid w:val="004F5853"/>
    <w:rsid w:val="004F5F81"/>
    <w:rsid w:val="004F618D"/>
    <w:rsid w:val="004F628B"/>
    <w:rsid w:val="004F6E50"/>
    <w:rsid w:val="004F761A"/>
    <w:rsid w:val="004F7A1C"/>
    <w:rsid w:val="00500358"/>
    <w:rsid w:val="005004B3"/>
    <w:rsid w:val="00500543"/>
    <w:rsid w:val="00500B42"/>
    <w:rsid w:val="00500BDD"/>
    <w:rsid w:val="00500DC2"/>
    <w:rsid w:val="0050138F"/>
    <w:rsid w:val="0050147D"/>
    <w:rsid w:val="00501487"/>
    <w:rsid w:val="00501C39"/>
    <w:rsid w:val="005023AC"/>
    <w:rsid w:val="00502755"/>
    <w:rsid w:val="0050291D"/>
    <w:rsid w:val="005055AE"/>
    <w:rsid w:val="005061DD"/>
    <w:rsid w:val="00506C05"/>
    <w:rsid w:val="00506CCE"/>
    <w:rsid w:val="00506DF9"/>
    <w:rsid w:val="00507908"/>
    <w:rsid w:val="005105A7"/>
    <w:rsid w:val="0051064D"/>
    <w:rsid w:val="00510870"/>
    <w:rsid w:val="00510D72"/>
    <w:rsid w:val="00511325"/>
    <w:rsid w:val="0051144A"/>
    <w:rsid w:val="00511BE2"/>
    <w:rsid w:val="00512746"/>
    <w:rsid w:val="005129B7"/>
    <w:rsid w:val="00512F9D"/>
    <w:rsid w:val="00513E40"/>
    <w:rsid w:val="00513F28"/>
    <w:rsid w:val="00513FE4"/>
    <w:rsid w:val="00514777"/>
    <w:rsid w:val="00515125"/>
    <w:rsid w:val="005153F4"/>
    <w:rsid w:val="00515A39"/>
    <w:rsid w:val="00516FAD"/>
    <w:rsid w:val="005170F7"/>
    <w:rsid w:val="0051714A"/>
    <w:rsid w:val="005171BC"/>
    <w:rsid w:val="00517575"/>
    <w:rsid w:val="0051EEED"/>
    <w:rsid w:val="00520249"/>
    <w:rsid w:val="005206C0"/>
    <w:rsid w:val="00521437"/>
    <w:rsid w:val="00521E56"/>
    <w:rsid w:val="0052208F"/>
    <w:rsid w:val="00522E2F"/>
    <w:rsid w:val="00524864"/>
    <w:rsid w:val="00524E3D"/>
    <w:rsid w:val="005250E6"/>
    <w:rsid w:val="00525182"/>
    <w:rsid w:val="00525229"/>
    <w:rsid w:val="00525671"/>
    <w:rsid w:val="005262DF"/>
    <w:rsid w:val="0052653D"/>
    <w:rsid w:val="0052687C"/>
    <w:rsid w:val="005268D8"/>
    <w:rsid w:val="005270B1"/>
    <w:rsid w:val="005273B5"/>
    <w:rsid w:val="005275B2"/>
    <w:rsid w:val="0052783C"/>
    <w:rsid w:val="00527C1E"/>
    <w:rsid w:val="005305FD"/>
    <w:rsid w:val="00530801"/>
    <w:rsid w:val="00530DE1"/>
    <w:rsid w:val="00531163"/>
    <w:rsid w:val="00531198"/>
    <w:rsid w:val="005312AE"/>
    <w:rsid w:val="00531BC5"/>
    <w:rsid w:val="00531D2E"/>
    <w:rsid w:val="00532219"/>
    <w:rsid w:val="005324C8"/>
    <w:rsid w:val="0053256E"/>
    <w:rsid w:val="005325B6"/>
    <w:rsid w:val="0053273D"/>
    <w:rsid w:val="0053275F"/>
    <w:rsid w:val="0053277D"/>
    <w:rsid w:val="00532DC1"/>
    <w:rsid w:val="00533AA7"/>
    <w:rsid w:val="00533E3A"/>
    <w:rsid w:val="0053400B"/>
    <w:rsid w:val="00534D5C"/>
    <w:rsid w:val="00534EE5"/>
    <w:rsid w:val="0053529F"/>
    <w:rsid w:val="0053545E"/>
    <w:rsid w:val="00535783"/>
    <w:rsid w:val="00535BEE"/>
    <w:rsid w:val="00535D76"/>
    <w:rsid w:val="005361C1"/>
    <w:rsid w:val="0053620B"/>
    <w:rsid w:val="005365E0"/>
    <w:rsid w:val="00536E4E"/>
    <w:rsid w:val="00537230"/>
    <w:rsid w:val="0053754F"/>
    <w:rsid w:val="00537636"/>
    <w:rsid w:val="0053763F"/>
    <w:rsid w:val="005400F7"/>
    <w:rsid w:val="0054018A"/>
    <w:rsid w:val="00540F53"/>
    <w:rsid w:val="0054134B"/>
    <w:rsid w:val="005415F4"/>
    <w:rsid w:val="00541AA7"/>
    <w:rsid w:val="00541BD2"/>
    <w:rsid w:val="005427C6"/>
    <w:rsid w:val="005427D8"/>
    <w:rsid w:val="00544580"/>
    <w:rsid w:val="005447F3"/>
    <w:rsid w:val="00545227"/>
    <w:rsid w:val="0054576E"/>
    <w:rsid w:val="0054577E"/>
    <w:rsid w:val="005458D6"/>
    <w:rsid w:val="00545C09"/>
    <w:rsid w:val="00545F70"/>
    <w:rsid w:val="00546071"/>
    <w:rsid w:val="00546093"/>
    <w:rsid w:val="00546C4A"/>
    <w:rsid w:val="00546DD6"/>
    <w:rsid w:val="00546E96"/>
    <w:rsid w:val="005477D2"/>
    <w:rsid w:val="0055010F"/>
    <w:rsid w:val="00550127"/>
    <w:rsid w:val="00550173"/>
    <w:rsid w:val="00550A71"/>
    <w:rsid w:val="0055129A"/>
    <w:rsid w:val="005515E6"/>
    <w:rsid w:val="00551921"/>
    <w:rsid w:val="00551B57"/>
    <w:rsid w:val="00551CED"/>
    <w:rsid w:val="00552386"/>
    <w:rsid w:val="0055243D"/>
    <w:rsid w:val="00552B2E"/>
    <w:rsid w:val="00552E0E"/>
    <w:rsid w:val="00553AFE"/>
    <w:rsid w:val="00553D51"/>
    <w:rsid w:val="00554138"/>
    <w:rsid w:val="005541CC"/>
    <w:rsid w:val="00554EDE"/>
    <w:rsid w:val="0055565E"/>
    <w:rsid w:val="00555F4A"/>
    <w:rsid w:val="00556845"/>
    <w:rsid w:val="00556895"/>
    <w:rsid w:val="0055776C"/>
    <w:rsid w:val="00557A1D"/>
    <w:rsid w:val="00557AF8"/>
    <w:rsid w:val="00557D21"/>
    <w:rsid w:val="00557DBA"/>
    <w:rsid w:val="00560957"/>
    <w:rsid w:val="00560B9D"/>
    <w:rsid w:val="0056114A"/>
    <w:rsid w:val="0056126C"/>
    <w:rsid w:val="005613BD"/>
    <w:rsid w:val="00561564"/>
    <w:rsid w:val="005618C5"/>
    <w:rsid w:val="00562B71"/>
    <w:rsid w:val="00563887"/>
    <w:rsid w:val="00563A67"/>
    <w:rsid w:val="00563E28"/>
    <w:rsid w:val="0056445B"/>
    <w:rsid w:val="00565036"/>
    <w:rsid w:val="00565043"/>
    <w:rsid w:val="0056525D"/>
    <w:rsid w:val="005652D3"/>
    <w:rsid w:val="00566313"/>
    <w:rsid w:val="00566587"/>
    <w:rsid w:val="005676E2"/>
    <w:rsid w:val="00567C92"/>
    <w:rsid w:val="00567F3B"/>
    <w:rsid w:val="00570931"/>
    <w:rsid w:val="00570AC3"/>
    <w:rsid w:val="005711F0"/>
    <w:rsid w:val="0057142D"/>
    <w:rsid w:val="00571672"/>
    <w:rsid w:val="00571CA1"/>
    <w:rsid w:val="00571F7E"/>
    <w:rsid w:val="00571F96"/>
    <w:rsid w:val="005727CF"/>
    <w:rsid w:val="0057306E"/>
    <w:rsid w:val="0057337D"/>
    <w:rsid w:val="00573563"/>
    <w:rsid w:val="00573F93"/>
    <w:rsid w:val="0057460B"/>
    <w:rsid w:val="005748F9"/>
    <w:rsid w:val="00574B5F"/>
    <w:rsid w:val="00575291"/>
    <w:rsid w:val="005765D4"/>
    <w:rsid w:val="005766B8"/>
    <w:rsid w:val="0057686C"/>
    <w:rsid w:val="00576D87"/>
    <w:rsid w:val="00577566"/>
    <w:rsid w:val="00577734"/>
    <w:rsid w:val="00580D7E"/>
    <w:rsid w:val="00580DE7"/>
    <w:rsid w:val="00580FCE"/>
    <w:rsid w:val="005812D5"/>
    <w:rsid w:val="005819FD"/>
    <w:rsid w:val="00581B6A"/>
    <w:rsid w:val="00581E85"/>
    <w:rsid w:val="00582EF8"/>
    <w:rsid w:val="005833A0"/>
    <w:rsid w:val="005833FC"/>
    <w:rsid w:val="00583867"/>
    <w:rsid w:val="0058387C"/>
    <w:rsid w:val="0058399B"/>
    <w:rsid w:val="00583B0C"/>
    <w:rsid w:val="00583BD2"/>
    <w:rsid w:val="00583F1B"/>
    <w:rsid w:val="0058424D"/>
    <w:rsid w:val="00584D39"/>
    <w:rsid w:val="005855D2"/>
    <w:rsid w:val="00585AA8"/>
    <w:rsid w:val="00585B40"/>
    <w:rsid w:val="0058624C"/>
    <w:rsid w:val="00586F05"/>
    <w:rsid w:val="00587274"/>
    <w:rsid w:val="005874B9"/>
    <w:rsid w:val="00587A24"/>
    <w:rsid w:val="00587B08"/>
    <w:rsid w:val="00587E2A"/>
    <w:rsid w:val="00587E95"/>
    <w:rsid w:val="00590507"/>
    <w:rsid w:val="0059079A"/>
    <w:rsid w:val="005908C8"/>
    <w:rsid w:val="00590AC5"/>
    <w:rsid w:val="00590AC8"/>
    <w:rsid w:val="00590EE2"/>
    <w:rsid w:val="005911AE"/>
    <w:rsid w:val="00591529"/>
    <w:rsid w:val="0059183A"/>
    <w:rsid w:val="0059188D"/>
    <w:rsid w:val="00591DC5"/>
    <w:rsid w:val="00592457"/>
    <w:rsid w:val="00592803"/>
    <w:rsid w:val="00592A36"/>
    <w:rsid w:val="00592A98"/>
    <w:rsid w:val="00592EAC"/>
    <w:rsid w:val="00593100"/>
    <w:rsid w:val="00593239"/>
    <w:rsid w:val="00593CB2"/>
    <w:rsid w:val="00593FFF"/>
    <w:rsid w:val="0059404F"/>
    <w:rsid w:val="00595499"/>
    <w:rsid w:val="00595A53"/>
    <w:rsid w:val="00595C9D"/>
    <w:rsid w:val="005968C7"/>
    <w:rsid w:val="0059697E"/>
    <w:rsid w:val="00596F3C"/>
    <w:rsid w:val="005977E6"/>
    <w:rsid w:val="005A052C"/>
    <w:rsid w:val="005A0CE7"/>
    <w:rsid w:val="005A1FCD"/>
    <w:rsid w:val="005A2040"/>
    <w:rsid w:val="005A254F"/>
    <w:rsid w:val="005A29BD"/>
    <w:rsid w:val="005A3A8C"/>
    <w:rsid w:val="005A45E8"/>
    <w:rsid w:val="005A45FB"/>
    <w:rsid w:val="005A4A68"/>
    <w:rsid w:val="005A5006"/>
    <w:rsid w:val="005A5367"/>
    <w:rsid w:val="005A6525"/>
    <w:rsid w:val="005A6736"/>
    <w:rsid w:val="005A6956"/>
    <w:rsid w:val="005A6FCB"/>
    <w:rsid w:val="005A7428"/>
    <w:rsid w:val="005A7A0E"/>
    <w:rsid w:val="005A7E85"/>
    <w:rsid w:val="005A7FCD"/>
    <w:rsid w:val="005B0861"/>
    <w:rsid w:val="005B1200"/>
    <w:rsid w:val="005B1709"/>
    <w:rsid w:val="005B1A8C"/>
    <w:rsid w:val="005B1F3A"/>
    <w:rsid w:val="005B2154"/>
    <w:rsid w:val="005B2F40"/>
    <w:rsid w:val="005B2F9E"/>
    <w:rsid w:val="005B3018"/>
    <w:rsid w:val="005B3E2F"/>
    <w:rsid w:val="005B50C3"/>
    <w:rsid w:val="005B54AA"/>
    <w:rsid w:val="005B5DDB"/>
    <w:rsid w:val="005B62A9"/>
    <w:rsid w:val="005B630A"/>
    <w:rsid w:val="005B69DF"/>
    <w:rsid w:val="005B6A16"/>
    <w:rsid w:val="005B7A31"/>
    <w:rsid w:val="005B7B58"/>
    <w:rsid w:val="005B7BD0"/>
    <w:rsid w:val="005B7E0C"/>
    <w:rsid w:val="005C07EB"/>
    <w:rsid w:val="005C1193"/>
    <w:rsid w:val="005C1564"/>
    <w:rsid w:val="005C16D9"/>
    <w:rsid w:val="005C178A"/>
    <w:rsid w:val="005C2106"/>
    <w:rsid w:val="005C379B"/>
    <w:rsid w:val="005C37D3"/>
    <w:rsid w:val="005C38C5"/>
    <w:rsid w:val="005C3AA8"/>
    <w:rsid w:val="005C3D1B"/>
    <w:rsid w:val="005C46F9"/>
    <w:rsid w:val="005C49CD"/>
    <w:rsid w:val="005C53BB"/>
    <w:rsid w:val="005C584F"/>
    <w:rsid w:val="005C5B39"/>
    <w:rsid w:val="005C5ED5"/>
    <w:rsid w:val="005C63D4"/>
    <w:rsid w:val="005C6DB8"/>
    <w:rsid w:val="005C7476"/>
    <w:rsid w:val="005C76D1"/>
    <w:rsid w:val="005C7A65"/>
    <w:rsid w:val="005C7B3B"/>
    <w:rsid w:val="005D04A8"/>
    <w:rsid w:val="005D04C7"/>
    <w:rsid w:val="005D04C8"/>
    <w:rsid w:val="005D0C9F"/>
    <w:rsid w:val="005D0CCE"/>
    <w:rsid w:val="005D110C"/>
    <w:rsid w:val="005D11CE"/>
    <w:rsid w:val="005D1FAE"/>
    <w:rsid w:val="005D2A58"/>
    <w:rsid w:val="005D2C88"/>
    <w:rsid w:val="005D3868"/>
    <w:rsid w:val="005D4007"/>
    <w:rsid w:val="005D4192"/>
    <w:rsid w:val="005D4BBB"/>
    <w:rsid w:val="005D4FA3"/>
    <w:rsid w:val="005D5553"/>
    <w:rsid w:val="005D5ADF"/>
    <w:rsid w:val="005D6CE2"/>
    <w:rsid w:val="005D6E72"/>
    <w:rsid w:val="005D7B77"/>
    <w:rsid w:val="005D7BA3"/>
    <w:rsid w:val="005D7CFC"/>
    <w:rsid w:val="005E0C0D"/>
    <w:rsid w:val="005E0C76"/>
    <w:rsid w:val="005E0F91"/>
    <w:rsid w:val="005E1B8F"/>
    <w:rsid w:val="005E1B9A"/>
    <w:rsid w:val="005E2202"/>
    <w:rsid w:val="005E2473"/>
    <w:rsid w:val="005E3A37"/>
    <w:rsid w:val="005E3DEE"/>
    <w:rsid w:val="005E3DFB"/>
    <w:rsid w:val="005E4716"/>
    <w:rsid w:val="005E4A21"/>
    <w:rsid w:val="005E4C2A"/>
    <w:rsid w:val="005E514B"/>
    <w:rsid w:val="005E5995"/>
    <w:rsid w:val="005E5C71"/>
    <w:rsid w:val="005E631F"/>
    <w:rsid w:val="005E6B1E"/>
    <w:rsid w:val="005E6C5A"/>
    <w:rsid w:val="005E6CF4"/>
    <w:rsid w:val="005E7769"/>
    <w:rsid w:val="005E777C"/>
    <w:rsid w:val="005E7CB0"/>
    <w:rsid w:val="005F006B"/>
    <w:rsid w:val="005F09FB"/>
    <w:rsid w:val="005F0FE6"/>
    <w:rsid w:val="005F1711"/>
    <w:rsid w:val="005F1C6E"/>
    <w:rsid w:val="005F236F"/>
    <w:rsid w:val="005F2838"/>
    <w:rsid w:val="005F292A"/>
    <w:rsid w:val="005F2AAE"/>
    <w:rsid w:val="005F2E85"/>
    <w:rsid w:val="005F3190"/>
    <w:rsid w:val="005F32D3"/>
    <w:rsid w:val="005F3859"/>
    <w:rsid w:val="005F3B3C"/>
    <w:rsid w:val="005F3BE4"/>
    <w:rsid w:val="005F43E8"/>
    <w:rsid w:val="005F56D4"/>
    <w:rsid w:val="005F5955"/>
    <w:rsid w:val="00600AD6"/>
    <w:rsid w:val="00600C44"/>
    <w:rsid w:val="00600DE8"/>
    <w:rsid w:val="00600FAE"/>
    <w:rsid w:val="0060188D"/>
    <w:rsid w:val="00601E2D"/>
    <w:rsid w:val="006029CF"/>
    <w:rsid w:val="00602A6B"/>
    <w:rsid w:val="00603286"/>
    <w:rsid w:val="00603920"/>
    <w:rsid w:val="00603A6C"/>
    <w:rsid w:val="00603E68"/>
    <w:rsid w:val="006040D9"/>
    <w:rsid w:val="006042E4"/>
    <w:rsid w:val="00604BD1"/>
    <w:rsid w:val="0060584C"/>
    <w:rsid w:val="00605CC8"/>
    <w:rsid w:val="0060625D"/>
    <w:rsid w:val="00606381"/>
    <w:rsid w:val="0060660C"/>
    <w:rsid w:val="00606B05"/>
    <w:rsid w:val="00606CDF"/>
    <w:rsid w:val="00607473"/>
    <w:rsid w:val="00607AF5"/>
    <w:rsid w:val="00610A57"/>
    <w:rsid w:val="00610B0B"/>
    <w:rsid w:val="00611706"/>
    <w:rsid w:val="00611A47"/>
    <w:rsid w:val="00611C26"/>
    <w:rsid w:val="00611D6E"/>
    <w:rsid w:val="0061258E"/>
    <w:rsid w:val="0061289B"/>
    <w:rsid w:val="006128C4"/>
    <w:rsid w:val="00612DBB"/>
    <w:rsid w:val="00613023"/>
    <w:rsid w:val="00613095"/>
    <w:rsid w:val="00613A1F"/>
    <w:rsid w:val="00613C86"/>
    <w:rsid w:val="00615505"/>
    <w:rsid w:val="00615507"/>
    <w:rsid w:val="00615701"/>
    <w:rsid w:val="00615935"/>
    <w:rsid w:val="00615B1F"/>
    <w:rsid w:val="00615EFA"/>
    <w:rsid w:val="00616401"/>
    <w:rsid w:val="00616B8D"/>
    <w:rsid w:val="00616E92"/>
    <w:rsid w:val="00617987"/>
    <w:rsid w:val="006179F5"/>
    <w:rsid w:val="00617B67"/>
    <w:rsid w:val="00620A0B"/>
    <w:rsid w:val="00620D04"/>
    <w:rsid w:val="006211E3"/>
    <w:rsid w:val="006212B5"/>
    <w:rsid w:val="0062136A"/>
    <w:rsid w:val="00621C56"/>
    <w:rsid w:val="00621F1A"/>
    <w:rsid w:val="00622973"/>
    <w:rsid w:val="00623A82"/>
    <w:rsid w:val="0062410E"/>
    <w:rsid w:val="00624A06"/>
    <w:rsid w:val="006251C5"/>
    <w:rsid w:val="006257AC"/>
    <w:rsid w:val="00625D1E"/>
    <w:rsid w:val="00625FB0"/>
    <w:rsid w:val="00626101"/>
    <w:rsid w:val="006268DD"/>
    <w:rsid w:val="00626A36"/>
    <w:rsid w:val="00627632"/>
    <w:rsid w:val="00627A18"/>
    <w:rsid w:val="00627C3A"/>
    <w:rsid w:val="00630AFC"/>
    <w:rsid w:val="00630DB5"/>
    <w:rsid w:val="006313FB"/>
    <w:rsid w:val="006316EE"/>
    <w:rsid w:val="006319ED"/>
    <w:rsid w:val="00631C7E"/>
    <w:rsid w:val="0063200F"/>
    <w:rsid w:val="006324BC"/>
    <w:rsid w:val="006324C2"/>
    <w:rsid w:val="0063303B"/>
    <w:rsid w:val="0063324A"/>
    <w:rsid w:val="0063407F"/>
    <w:rsid w:val="006346F2"/>
    <w:rsid w:val="00634711"/>
    <w:rsid w:val="00634913"/>
    <w:rsid w:val="00634BDD"/>
    <w:rsid w:val="00634FF2"/>
    <w:rsid w:val="0063539B"/>
    <w:rsid w:val="00636398"/>
    <w:rsid w:val="0063669E"/>
    <w:rsid w:val="0063674B"/>
    <w:rsid w:val="006369E4"/>
    <w:rsid w:val="00637220"/>
    <w:rsid w:val="0063726D"/>
    <w:rsid w:val="00637323"/>
    <w:rsid w:val="00637C29"/>
    <w:rsid w:val="0064099E"/>
    <w:rsid w:val="00640E6F"/>
    <w:rsid w:val="006413D4"/>
    <w:rsid w:val="00641AA1"/>
    <w:rsid w:val="00641EF9"/>
    <w:rsid w:val="006424F2"/>
    <w:rsid w:val="006430CC"/>
    <w:rsid w:val="006433A2"/>
    <w:rsid w:val="00643958"/>
    <w:rsid w:val="00643B67"/>
    <w:rsid w:val="00643CE7"/>
    <w:rsid w:val="00643EEA"/>
    <w:rsid w:val="0064415E"/>
    <w:rsid w:val="00644624"/>
    <w:rsid w:val="00644832"/>
    <w:rsid w:val="006450AE"/>
    <w:rsid w:val="00645824"/>
    <w:rsid w:val="00645B88"/>
    <w:rsid w:val="00646430"/>
    <w:rsid w:val="00646E03"/>
    <w:rsid w:val="00646FDF"/>
    <w:rsid w:val="006472F7"/>
    <w:rsid w:val="0064797E"/>
    <w:rsid w:val="006479EC"/>
    <w:rsid w:val="00647ACD"/>
    <w:rsid w:val="0065047B"/>
    <w:rsid w:val="00650A5D"/>
    <w:rsid w:val="00650C27"/>
    <w:rsid w:val="00650C7D"/>
    <w:rsid w:val="00650DDB"/>
    <w:rsid w:val="00650EEE"/>
    <w:rsid w:val="00651E67"/>
    <w:rsid w:val="00651E80"/>
    <w:rsid w:val="00652225"/>
    <w:rsid w:val="00652504"/>
    <w:rsid w:val="00652554"/>
    <w:rsid w:val="006526E8"/>
    <w:rsid w:val="006533C4"/>
    <w:rsid w:val="0065347F"/>
    <w:rsid w:val="00653529"/>
    <w:rsid w:val="00653D80"/>
    <w:rsid w:val="00654D82"/>
    <w:rsid w:val="00654DA8"/>
    <w:rsid w:val="00654E7C"/>
    <w:rsid w:val="0065531B"/>
    <w:rsid w:val="006556E6"/>
    <w:rsid w:val="006556FA"/>
    <w:rsid w:val="00655D80"/>
    <w:rsid w:val="00655EA0"/>
    <w:rsid w:val="00656B4E"/>
    <w:rsid w:val="00656C71"/>
    <w:rsid w:val="0065770A"/>
    <w:rsid w:val="00657800"/>
    <w:rsid w:val="006579B3"/>
    <w:rsid w:val="00657B1F"/>
    <w:rsid w:val="0066015B"/>
    <w:rsid w:val="006603E9"/>
    <w:rsid w:val="00660848"/>
    <w:rsid w:val="00660B4C"/>
    <w:rsid w:val="00660C23"/>
    <w:rsid w:val="0066101B"/>
    <w:rsid w:val="00661129"/>
    <w:rsid w:val="00661286"/>
    <w:rsid w:val="00661330"/>
    <w:rsid w:val="006619A1"/>
    <w:rsid w:val="00661D97"/>
    <w:rsid w:val="00662BE9"/>
    <w:rsid w:val="00662CAE"/>
    <w:rsid w:val="006630A8"/>
    <w:rsid w:val="0066347E"/>
    <w:rsid w:val="00663E3B"/>
    <w:rsid w:val="00663FA3"/>
    <w:rsid w:val="00664267"/>
    <w:rsid w:val="0066472E"/>
    <w:rsid w:val="0066526C"/>
    <w:rsid w:val="006658C8"/>
    <w:rsid w:val="00665B8F"/>
    <w:rsid w:val="006664C1"/>
    <w:rsid w:val="00667F70"/>
    <w:rsid w:val="00670C2E"/>
    <w:rsid w:val="00671001"/>
    <w:rsid w:val="00671819"/>
    <w:rsid w:val="00671FE2"/>
    <w:rsid w:val="0067202A"/>
    <w:rsid w:val="006725E4"/>
    <w:rsid w:val="006730B3"/>
    <w:rsid w:val="006739FB"/>
    <w:rsid w:val="00673AD8"/>
    <w:rsid w:val="00673BA6"/>
    <w:rsid w:val="006744F1"/>
    <w:rsid w:val="00675049"/>
    <w:rsid w:val="006758A4"/>
    <w:rsid w:val="00675BE8"/>
    <w:rsid w:val="00676503"/>
    <w:rsid w:val="00676505"/>
    <w:rsid w:val="00676842"/>
    <w:rsid w:val="00676918"/>
    <w:rsid w:val="00676A20"/>
    <w:rsid w:val="006775E6"/>
    <w:rsid w:val="006801BC"/>
    <w:rsid w:val="006805E4"/>
    <w:rsid w:val="00680A08"/>
    <w:rsid w:val="00680A4A"/>
    <w:rsid w:val="00681DDA"/>
    <w:rsid w:val="00681E51"/>
    <w:rsid w:val="00681E90"/>
    <w:rsid w:val="00682000"/>
    <w:rsid w:val="00682C49"/>
    <w:rsid w:val="00682FED"/>
    <w:rsid w:val="00683078"/>
    <w:rsid w:val="006832D4"/>
    <w:rsid w:val="00683471"/>
    <w:rsid w:val="0068368A"/>
    <w:rsid w:val="006836C0"/>
    <w:rsid w:val="0068396B"/>
    <w:rsid w:val="006839DA"/>
    <w:rsid w:val="006848A0"/>
    <w:rsid w:val="00684A54"/>
    <w:rsid w:val="00684B35"/>
    <w:rsid w:val="00684D0D"/>
    <w:rsid w:val="00684F9D"/>
    <w:rsid w:val="00685C43"/>
    <w:rsid w:val="00685D2C"/>
    <w:rsid w:val="0068612D"/>
    <w:rsid w:val="006861CC"/>
    <w:rsid w:val="006864F6"/>
    <w:rsid w:val="006867DC"/>
    <w:rsid w:val="006872B3"/>
    <w:rsid w:val="00687613"/>
    <w:rsid w:val="00687F8B"/>
    <w:rsid w:val="0069039F"/>
    <w:rsid w:val="00690504"/>
    <w:rsid w:val="006905D9"/>
    <w:rsid w:val="00690D05"/>
    <w:rsid w:val="006921CC"/>
    <w:rsid w:val="006934D7"/>
    <w:rsid w:val="00693BB9"/>
    <w:rsid w:val="006940F3"/>
    <w:rsid w:val="0069437C"/>
    <w:rsid w:val="00694855"/>
    <w:rsid w:val="0069508E"/>
    <w:rsid w:val="00695972"/>
    <w:rsid w:val="0069691A"/>
    <w:rsid w:val="00697236"/>
    <w:rsid w:val="0069728F"/>
    <w:rsid w:val="00697291"/>
    <w:rsid w:val="00697B15"/>
    <w:rsid w:val="006A078F"/>
    <w:rsid w:val="006A0DED"/>
    <w:rsid w:val="006A1396"/>
    <w:rsid w:val="006A164A"/>
    <w:rsid w:val="006A1658"/>
    <w:rsid w:val="006A1878"/>
    <w:rsid w:val="006A1BB5"/>
    <w:rsid w:val="006A217B"/>
    <w:rsid w:val="006A2765"/>
    <w:rsid w:val="006A2A9E"/>
    <w:rsid w:val="006A2EED"/>
    <w:rsid w:val="006A40EE"/>
    <w:rsid w:val="006A4F1E"/>
    <w:rsid w:val="006A5204"/>
    <w:rsid w:val="006A543C"/>
    <w:rsid w:val="006A5954"/>
    <w:rsid w:val="006A5D54"/>
    <w:rsid w:val="006A5D55"/>
    <w:rsid w:val="006A679E"/>
    <w:rsid w:val="006A7103"/>
    <w:rsid w:val="006A75A3"/>
    <w:rsid w:val="006A76B3"/>
    <w:rsid w:val="006A79C9"/>
    <w:rsid w:val="006B03EE"/>
    <w:rsid w:val="006B1419"/>
    <w:rsid w:val="006B184E"/>
    <w:rsid w:val="006B1938"/>
    <w:rsid w:val="006B1C8E"/>
    <w:rsid w:val="006B237A"/>
    <w:rsid w:val="006B3BA9"/>
    <w:rsid w:val="006B3DB2"/>
    <w:rsid w:val="006B4128"/>
    <w:rsid w:val="006B457D"/>
    <w:rsid w:val="006B4944"/>
    <w:rsid w:val="006B5C0E"/>
    <w:rsid w:val="006B67B9"/>
    <w:rsid w:val="006B6CBB"/>
    <w:rsid w:val="006B6F4A"/>
    <w:rsid w:val="006B6FD0"/>
    <w:rsid w:val="006B70C2"/>
    <w:rsid w:val="006B70E5"/>
    <w:rsid w:val="006B7C6D"/>
    <w:rsid w:val="006C02CD"/>
    <w:rsid w:val="006C03E2"/>
    <w:rsid w:val="006C16F0"/>
    <w:rsid w:val="006C16F1"/>
    <w:rsid w:val="006C1752"/>
    <w:rsid w:val="006C1B86"/>
    <w:rsid w:val="006C1BA0"/>
    <w:rsid w:val="006C1D2E"/>
    <w:rsid w:val="006C36DA"/>
    <w:rsid w:val="006C38C2"/>
    <w:rsid w:val="006C3B5B"/>
    <w:rsid w:val="006C47A1"/>
    <w:rsid w:val="006C5607"/>
    <w:rsid w:val="006C6691"/>
    <w:rsid w:val="006C69D6"/>
    <w:rsid w:val="006C6A08"/>
    <w:rsid w:val="006C6AE4"/>
    <w:rsid w:val="006C6FAE"/>
    <w:rsid w:val="006C7DF4"/>
    <w:rsid w:val="006D0C9C"/>
    <w:rsid w:val="006D0CC3"/>
    <w:rsid w:val="006D248C"/>
    <w:rsid w:val="006D265F"/>
    <w:rsid w:val="006D2738"/>
    <w:rsid w:val="006D28F4"/>
    <w:rsid w:val="006D42B9"/>
    <w:rsid w:val="006D4B8F"/>
    <w:rsid w:val="006D4BB2"/>
    <w:rsid w:val="006D534D"/>
    <w:rsid w:val="006D596C"/>
    <w:rsid w:val="006D61B6"/>
    <w:rsid w:val="006D6768"/>
    <w:rsid w:val="006D6821"/>
    <w:rsid w:val="006D692F"/>
    <w:rsid w:val="006D7CC3"/>
    <w:rsid w:val="006E00E5"/>
    <w:rsid w:val="006E020B"/>
    <w:rsid w:val="006E0A95"/>
    <w:rsid w:val="006E0C28"/>
    <w:rsid w:val="006E174B"/>
    <w:rsid w:val="006E1904"/>
    <w:rsid w:val="006E1B08"/>
    <w:rsid w:val="006E1C5B"/>
    <w:rsid w:val="006E391E"/>
    <w:rsid w:val="006E3CAD"/>
    <w:rsid w:val="006E50F3"/>
    <w:rsid w:val="006E525C"/>
    <w:rsid w:val="006E5B75"/>
    <w:rsid w:val="006E6D66"/>
    <w:rsid w:val="006E714E"/>
    <w:rsid w:val="006E7618"/>
    <w:rsid w:val="006E764A"/>
    <w:rsid w:val="006E7830"/>
    <w:rsid w:val="006F0266"/>
    <w:rsid w:val="006F0A80"/>
    <w:rsid w:val="006F0C13"/>
    <w:rsid w:val="006F0CE1"/>
    <w:rsid w:val="006F1DC3"/>
    <w:rsid w:val="006F1ECB"/>
    <w:rsid w:val="006F1F95"/>
    <w:rsid w:val="006F214F"/>
    <w:rsid w:val="006F21A8"/>
    <w:rsid w:val="006F2441"/>
    <w:rsid w:val="006F2617"/>
    <w:rsid w:val="006F274D"/>
    <w:rsid w:val="006F2B35"/>
    <w:rsid w:val="006F2C1B"/>
    <w:rsid w:val="006F2D4A"/>
    <w:rsid w:val="006F36B5"/>
    <w:rsid w:val="006F42F3"/>
    <w:rsid w:val="006F4693"/>
    <w:rsid w:val="006F47E3"/>
    <w:rsid w:val="006F4846"/>
    <w:rsid w:val="006F4FE2"/>
    <w:rsid w:val="006F5299"/>
    <w:rsid w:val="006F5788"/>
    <w:rsid w:val="006F69B2"/>
    <w:rsid w:val="006F6CAE"/>
    <w:rsid w:val="00700CE5"/>
    <w:rsid w:val="00700D48"/>
    <w:rsid w:val="00701771"/>
    <w:rsid w:val="00701924"/>
    <w:rsid w:val="00701CC1"/>
    <w:rsid w:val="007025D0"/>
    <w:rsid w:val="00702BC6"/>
    <w:rsid w:val="007036B9"/>
    <w:rsid w:val="00703902"/>
    <w:rsid w:val="00703F28"/>
    <w:rsid w:val="0070420F"/>
    <w:rsid w:val="00704296"/>
    <w:rsid w:val="00704659"/>
    <w:rsid w:val="00704704"/>
    <w:rsid w:val="00704B14"/>
    <w:rsid w:val="00704DE6"/>
    <w:rsid w:val="00705512"/>
    <w:rsid w:val="0070582F"/>
    <w:rsid w:val="0070593A"/>
    <w:rsid w:val="007059A6"/>
    <w:rsid w:val="00706021"/>
    <w:rsid w:val="007060DC"/>
    <w:rsid w:val="007061B3"/>
    <w:rsid w:val="00706DDC"/>
    <w:rsid w:val="007072CB"/>
    <w:rsid w:val="00707B57"/>
    <w:rsid w:val="00707C15"/>
    <w:rsid w:val="007107B4"/>
    <w:rsid w:val="00710FC8"/>
    <w:rsid w:val="00711235"/>
    <w:rsid w:val="007118E2"/>
    <w:rsid w:val="0071196E"/>
    <w:rsid w:val="00711FBA"/>
    <w:rsid w:val="0071235F"/>
    <w:rsid w:val="00712603"/>
    <w:rsid w:val="00712837"/>
    <w:rsid w:val="00713827"/>
    <w:rsid w:val="00713E55"/>
    <w:rsid w:val="007151FC"/>
    <w:rsid w:val="007155AD"/>
    <w:rsid w:val="00716BA4"/>
    <w:rsid w:val="007170F4"/>
    <w:rsid w:val="0071758B"/>
    <w:rsid w:val="0071770E"/>
    <w:rsid w:val="007177D8"/>
    <w:rsid w:val="00717A08"/>
    <w:rsid w:val="00717B11"/>
    <w:rsid w:val="00717C21"/>
    <w:rsid w:val="0071A29A"/>
    <w:rsid w:val="0072005D"/>
    <w:rsid w:val="00720945"/>
    <w:rsid w:val="00721913"/>
    <w:rsid w:val="00721EB0"/>
    <w:rsid w:val="0072243C"/>
    <w:rsid w:val="00722622"/>
    <w:rsid w:val="00722CA7"/>
    <w:rsid w:val="00723299"/>
    <w:rsid w:val="00723C3F"/>
    <w:rsid w:val="00724387"/>
    <w:rsid w:val="00724895"/>
    <w:rsid w:val="00724984"/>
    <w:rsid w:val="00724BED"/>
    <w:rsid w:val="00724D3B"/>
    <w:rsid w:val="00725EA3"/>
    <w:rsid w:val="007263AC"/>
    <w:rsid w:val="00727F97"/>
    <w:rsid w:val="0073053E"/>
    <w:rsid w:val="007305F6"/>
    <w:rsid w:val="00730875"/>
    <w:rsid w:val="00730939"/>
    <w:rsid w:val="00730A77"/>
    <w:rsid w:val="007314A2"/>
    <w:rsid w:val="0073192D"/>
    <w:rsid w:val="00731FD3"/>
    <w:rsid w:val="00732572"/>
    <w:rsid w:val="00732FB3"/>
    <w:rsid w:val="0073308A"/>
    <w:rsid w:val="00733112"/>
    <w:rsid w:val="00733712"/>
    <w:rsid w:val="007338C0"/>
    <w:rsid w:val="00733AC4"/>
    <w:rsid w:val="0073492D"/>
    <w:rsid w:val="00734943"/>
    <w:rsid w:val="00734A16"/>
    <w:rsid w:val="0073574A"/>
    <w:rsid w:val="00735852"/>
    <w:rsid w:val="007367AD"/>
    <w:rsid w:val="00737532"/>
    <w:rsid w:val="0073788E"/>
    <w:rsid w:val="00740482"/>
    <w:rsid w:val="00740997"/>
    <w:rsid w:val="00740B17"/>
    <w:rsid w:val="007415ED"/>
    <w:rsid w:val="00743810"/>
    <w:rsid w:val="00743CAB"/>
    <w:rsid w:val="007441D1"/>
    <w:rsid w:val="00745269"/>
    <w:rsid w:val="00745307"/>
    <w:rsid w:val="007456AF"/>
    <w:rsid w:val="00746AB9"/>
    <w:rsid w:val="00746D2A"/>
    <w:rsid w:val="00747682"/>
    <w:rsid w:val="00747DC3"/>
    <w:rsid w:val="00750EC9"/>
    <w:rsid w:val="0075188D"/>
    <w:rsid w:val="00751E20"/>
    <w:rsid w:val="007520AC"/>
    <w:rsid w:val="00752397"/>
    <w:rsid w:val="00752860"/>
    <w:rsid w:val="00752FB1"/>
    <w:rsid w:val="0075365E"/>
    <w:rsid w:val="00753D67"/>
    <w:rsid w:val="00754145"/>
    <w:rsid w:val="00754236"/>
    <w:rsid w:val="00754511"/>
    <w:rsid w:val="00754E53"/>
    <w:rsid w:val="0075501B"/>
    <w:rsid w:val="00755479"/>
    <w:rsid w:val="0075574A"/>
    <w:rsid w:val="00756249"/>
    <w:rsid w:val="00756532"/>
    <w:rsid w:val="00756C46"/>
    <w:rsid w:val="00756C82"/>
    <w:rsid w:val="00756F3A"/>
    <w:rsid w:val="0075755C"/>
    <w:rsid w:val="00757ED0"/>
    <w:rsid w:val="00760F61"/>
    <w:rsid w:val="0076150D"/>
    <w:rsid w:val="0076151B"/>
    <w:rsid w:val="00761DBC"/>
    <w:rsid w:val="007621A8"/>
    <w:rsid w:val="0076245A"/>
    <w:rsid w:val="007626E7"/>
    <w:rsid w:val="00763312"/>
    <w:rsid w:val="007638C2"/>
    <w:rsid w:val="00763948"/>
    <w:rsid w:val="00763997"/>
    <w:rsid w:val="007639AC"/>
    <w:rsid w:val="00764D6C"/>
    <w:rsid w:val="0076514C"/>
    <w:rsid w:val="00765C9B"/>
    <w:rsid w:val="00766BCF"/>
    <w:rsid w:val="00766E87"/>
    <w:rsid w:val="00767614"/>
    <w:rsid w:val="007678CF"/>
    <w:rsid w:val="00767B0F"/>
    <w:rsid w:val="0077009A"/>
    <w:rsid w:val="00770CC3"/>
    <w:rsid w:val="0077172C"/>
    <w:rsid w:val="0077189E"/>
    <w:rsid w:val="00772AE8"/>
    <w:rsid w:val="007732F0"/>
    <w:rsid w:val="007735BB"/>
    <w:rsid w:val="00773A26"/>
    <w:rsid w:val="00773B34"/>
    <w:rsid w:val="007741FC"/>
    <w:rsid w:val="00775217"/>
    <w:rsid w:val="00775BFA"/>
    <w:rsid w:val="007763DA"/>
    <w:rsid w:val="00776F72"/>
    <w:rsid w:val="00777656"/>
    <w:rsid w:val="00777DAD"/>
    <w:rsid w:val="00780737"/>
    <w:rsid w:val="0078106C"/>
    <w:rsid w:val="007815FF"/>
    <w:rsid w:val="00781876"/>
    <w:rsid w:val="007818A3"/>
    <w:rsid w:val="00781E2A"/>
    <w:rsid w:val="0078200F"/>
    <w:rsid w:val="00782730"/>
    <w:rsid w:val="007834C0"/>
    <w:rsid w:val="007835CE"/>
    <w:rsid w:val="007838BF"/>
    <w:rsid w:val="00783B6A"/>
    <w:rsid w:val="00783BDA"/>
    <w:rsid w:val="007841B7"/>
    <w:rsid w:val="00784894"/>
    <w:rsid w:val="00785200"/>
    <w:rsid w:val="00785236"/>
    <w:rsid w:val="0078551C"/>
    <w:rsid w:val="00785A07"/>
    <w:rsid w:val="00785E09"/>
    <w:rsid w:val="00786150"/>
    <w:rsid w:val="0078622B"/>
    <w:rsid w:val="007866BA"/>
    <w:rsid w:val="00787649"/>
    <w:rsid w:val="00787750"/>
    <w:rsid w:val="007878DA"/>
    <w:rsid w:val="00787D2F"/>
    <w:rsid w:val="00787F21"/>
    <w:rsid w:val="00790494"/>
    <w:rsid w:val="007904E4"/>
    <w:rsid w:val="00790834"/>
    <w:rsid w:val="00790905"/>
    <w:rsid w:val="00790989"/>
    <w:rsid w:val="0079098C"/>
    <w:rsid w:val="00790CC1"/>
    <w:rsid w:val="00791DE7"/>
    <w:rsid w:val="007927EE"/>
    <w:rsid w:val="0079399F"/>
    <w:rsid w:val="00794076"/>
    <w:rsid w:val="0079439C"/>
    <w:rsid w:val="007953D2"/>
    <w:rsid w:val="007954F1"/>
    <w:rsid w:val="00795C0C"/>
    <w:rsid w:val="00795E63"/>
    <w:rsid w:val="0079609C"/>
    <w:rsid w:val="00796567"/>
    <w:rsid w:val="00796B99"/>
    <w:rsid w:val="00796BCF"/>
    <w:rsid w:val="00796BD3"/>
    <w:rsid w:val="00796D5B"/>
    <w:rsid w:val="007974A4"/>
    <w:rsid w:val="00797928"/>
    <w:rsid w:val="007979F4"/>
    <w:rsid w:val="00797A2D"/>
    <w:rsid w:val="00797D08"/>
    <w:rsid w:val="007A06E5"/>
    <w:rsid w:val="007A0924"/>
    <w:rsid w:val="007A0937"/>
    <w:rsid w:val="007A0DDC"/>
    <w:rsid w:val="007A0E50"/>
    <w:rsid w:val="007A0F34"/>
    <w:rsid w:val="007A1532"/>
    <w:rsid w:val="007A15C2"/>
    <w:rsid w:val="007A1B87"/>
    <w:rsid w:val="007A21C7"/>
    <w:rsid w:val="007A230D"/>
    <w:rsid w:val="007A231B"/>
    <w:rsid w:val="007A2959"/>
    <w:rsid w:val="007A2ABF"/>
    <w:rsid w:val="007A3A88"/>
    <w:rsid w:val="007A3BB1"/>
    <w:rsid w:val="007A417F"/>
    <w:rsid w:val="007A41E4"/>
    <w:rsid w:val="007A4823"/>
    <w:rsid w:val="007A48AF"/>
    <w:rsid w:val="007A4E90"/>
    <w:rsid w:val="007A5C06"/>
    <w:rsid w:val="007A5CAE"/>
    <w:rsid w:val="007A6148"/>
    <w:rsid w:val="007A632A"/>
    <w:rsid w:val="007A65A1"/>
    <w:rsid w:val="007A6C02"/>
    <w:rsid w:val="007A7301"/>
    <w:rsid w:val="007A774B"/>
    <w:rsid w:val="007A78EA"/>
    <w:rsid w:val="007A7D05"/>
    <w:rsid w:val="007B19AF"/>
    <w:rsid w:val="007B2357"/>
    <w:rsid w:val="007B2377"/>
    <w:rsid w:val="007B23EE"/>
    <w:rsid w:val="007B2818"/>
    <w:rsid w:val="007B2D12"/>
    <w:rsid w:val="007B2FC5"/>
    <w:rsid w:val="007B2FC6"/>
    <w:rsid w:val="007B3699"/>
    <w:rsid w:val="007B3C2A"/>
    <w:rsid w:val="007B3D37"/>
    <w:rsid w:val="007B3E3B"/>
    <w:rsid w:val="007B3E64"/>
    <w:rsid w:val="007B4478"/>
    <w:rsid w:val="007B4AD1"/>
    <w:rsid w:val="007B4C52"/>
    <w:rsid w:val="007B6111"/>
    <w:rsid w:val="007B69A4"/>
    <w:rsid w:val="007B7CA8"/>
    <w:rsid w:val="007C0257"/>
    <w:rsid w:val="007C0546"/>
    <w:rsid w:val="007C06EC"/>
    <w:rsid w:val="007C07A2"/>
    <w:rsid w:val="007C089A"/>
    <w:rsid w:val="007C0AD9"/>
    <w:rsid w:val="007C1AFC"/>
    <w:rsid w:val="007C23D7"/>
    <w:rsid w:val="007C23E7"/>
    <w:rsid w:val="007C263E"/>
    <w:rsid w:val="007C3892"/>
    <w:rsid w:val="007C3BE3"/>
    <w:rsid w:val="007C3BEB"/>
    <w:rsid w:val="007C4598"/>
    <w:rsid w:val="007C566A"/>
    <w:rsid w:val="007C56D8"/>
    <w:rsid w:val="007C5AC8"/>
    <w:rsid w:val="007C68F1"/>
    <w:rsid w:val="007C70C5"/>
    <w:rsid w:val="007C72EF"/>
    <w:rsid w:val="007C7876"/>
    <w:rsid w:val="007C7FF5"/>
    <w:rsid w:val="007D028A"/>
    <w:rsid w:val="007D055A"/>
    <w:rsid w:val="007D060E"/>
    <w:rsid w:val="007D06AF"/>
    <w:rsid w:val="007D0A35"/>
    <w:rsid w:val="007D1177"/>
    <w:rsid w:val="007D1297"/>
    <w:rsid w:val="007D148B"/>
    <w:rsid w:val="007D15C1"/>
    <w:rsid w:val="007D1A3E"/>
    <w:rsid w:val="007D1B31"/>
    <w:rsid w:val="007D1D91"/>
    <w:rsid w:val="007D2F12"/>
    <w:rsid w:val="007D3710"/>
    <w:rsid w:val="007D37D6"/>
    <w:rsid w:val="007D3ED5"/>
    <w:rsid w:val="007D4528"/>
    <w:rsid w:val="007D46D5"/>
    <w:rsid w:val="007D541F"/>
    <w:rsid w:val="007D5981"/>
    <w:rsid w:val="007D61C4"/>
    <w:rsid w:val="007D6A8F"/>
    <w:rsid w:val="007D6AB3"/>
    <w:rsid w:val="007D6D3E"/>
    <w:rsid w:val="007D6F12"/>
    <w:rsid w:val="007D7065"/>
    <w:rsid w:val="007D7508"/>
    <w:rsid w:val="007E169F"/>
    <w:rsid w:val="007E1744"/>
    <w:rsid w:val="007E1B93"/>
    <w:rsid w:val="007E1F74"/>
    <w:rsid w:val="007E2164"/>
    <w:rsid w:val="007E23F5"/>
    <w:rsid w:val="007E2F24"/>
    <w:rsid w:val="007E326F"/>
    <w:rsid w:val="007E3327"/>
    <w:rsid w:val="007E3742"/>
    <w:rsid w:val="007E4433"/>
    <w:rsid w:val="007E4762"/>
    <w:rsid w:val="007E4B9A"/>
    <w:rsid w:val="007E4BC9"/>
    <w:rsid w:val="007E4F06"/>
    <w:rsid w:val="007E50AE"/>
    <w:rsid w:val="007E51C4"/>
    <w:rsid w:val="007E689A"/>
    <w:rsid w:val="007E7217"/>
    <w:rsid w:val="007E7605"/>
    <w:rsid w:val="007E7817"/>
    <w:rsid w:val="007E793A"/>
    <w:rsid w:val="007E7961"/>
    <w:rsid w:val="007E7C60"/>
    <w:rsid w:val="007F08A1"/>
    <w:rsid w:val="007F08BB"/>
    <w:rsid w:val="007F0CFB"/>
    <w:rsid w:val="007F0D83"/>
    <w:rsid w:val="007F0EA7"/>
    <w:rsid w:val="007F1AB7"/>
    <w:rsid w:val="007F2AD4"/>
    <w:rsid w:val="007F2AF4"/>
    <w:rsid w:val="007F2D5F"/>
    <w:rsid w:val="007F2F89"/>
    <w:rsid w:val="007F30B2"/>
    <w:rsid w:val="007F3170"/>
    <w:rsid w:val="007F35B7"/>
    <w:rsid w:val="007F3CE0"/>
    <w:rsid w:val="007F429E"/>
    <w:rsid w:val="007F4458"/>
    <w:rsid w:val="007F45E9"/>
    <w:rsid w:val="007F4A6E"/>
    <w:rsid w:val="007F531A"/>
    <w:rsid w:val="007F54D3"/>
    <w:rsid w:val="007F5635"/>
    <w:rsid w:val="007F5B21"/>
    <w:rsid w:val="007F66FE"/>
    <w:rsid w:val="007F6F98"/>
    <w:rsid w:val="007F6FAD"/>
    <w:rsid w:val="007F7301"/>
    <w:rsid w:val="007F7AF5"/>
    <w:rsid w:val="007F7EB7"/>
    <w:rsid w:val="0080076A"/>
    <w:rsid w:val="00800C12"/>
    <w:rsid w:val="00801452"/>
    <w:rsid w:val="008014CF"/>
    <w:rsid w:val="00801741"/>
    <w:rsid w:val="00801A4E"/>
    <w:rsid w:val="00801B44"/>
    <w:rsid w:val="00801CBF"/>
    <w:rsid w:val="00802175"/>
    <w:rsid w:val="008022A9"/>
    <w:rsid w:val="00802658"/>
    <w:rsid w:val="0080372A"/>
    <w:rsid w:val="00803778"/>
    <w:rsid w:val="00803B60"/>
    <w:rsid w:val="00804130"/>
    <w:rsid w:val="00804370"/>
    <w:rsid w:val="00804990"/>
    <w:rsid w:val="00804B6C"/>
    <w:rsid w:val="008052DB"/>
    <w:rsid w:val="00805627"/>
    <w:rsid w:val="008059B0"/>
    <w:rsid w:val="00805E22"/>
    <w:rsid w:val="00806235"/>
    <w:rsid w:val="00806739"/>
    <w:rsid w:val="008068D5"/>
    <w:rsid w:val="00806C49"/>
    <w:rsid w:val="00807080"/>
    <w:rsid w:val="0080708F"/>
    <w:rsid w:val="00807169"/>
    <w:rsid w:val="008074CE"/>
    <w:rsid w:val="00807C94"/>
    <w:rsid w:val="00810FFA"/>
    <w:rsid w:val="00811B5E"/>
    <w:rsid w:val="00811C16"/>
    <w:rsid w:val="00811D69"/>
    <w:rsid w:val="008123BD"/>
    <w:rsid w:val="00812BC2"/>
    <w:rsid w:val="00812C20"/>
    <w:rsid w:val="008132A7"/>
    <w:rsid w:val="00813871"/>
    <w:rsid w:val="00813969"/>
    <w:rsid w:val="0081398D"/>
    <w:rsid w:val="00813DD4"/>
    <w:rsid w:val="0081424A"/>
    <w:rsid w:val="0081457A"/>
    <w:rsid w:val="00814953"/>
    <w:rsid w:val="00814FDF"/>
    <w:rsid w:val="00815026"/>
    <w:rsid w:val="008169FD"/>
    <w:rsid w:val="00817077"/>
    <w:rsid w:val="008173A7"/>
    <w:rsid w:val="00817603"/>
    <w:rsid w:val="008179B4"/>
    <w:rsid w:val="00817B0B"/>
    <w:rsid w:val="00820831"/>
    <w:rsid w:val="008209CD"/>
    <w:rsid w:val="00821098"/>
    <w:rsid w:val="0082174E"/>
    <w:rsid w:val="00821930"/>
    <w:rsid w:val="008223B8"/>
    <w:rsid w:val="008223FA"/>
    <w:rsid w:val="00823337"/>
    <w:rsid w:val="00823D9A"/>
    <w:rsid w:val="00824515"/>
    <w:rsid w:val="00824A6D"/>
    <w:rsid w:val="00824D8D"/>
    <w:rsid w:val="0082541F"/>
    <w:rsid w:val="0082547A"/>
    <w:rsid w:val="00825B74"/>
    <w:rsid w:val="00826F93"/>
    <w:rsid w:val="008270DF"/>
    <w:rsid w:val="008276C5"/>
    <w:rsid w:val="00827702"/>
    <w:rsid w:val="0082779F"/>
    <w:rsid w:val="00830BAE"/>
    <w:rsid w:val="00830CA8"/>
    <w:rsid w:val="0083109B"/>
    <w:rsid w:val="00831651"/>
    <w:rsid w:val="00831B39"/>
    <w:rsid w:val="00831F97"/>
    <w:rsid w:val="00832263"/>
    <w:rsid w:val="008323F2"/>
    <w:rsid w:val="00832431"/>
    <w:rsid w:val="00832B8F"/>
    <w:rsid w:val="00832F88"/>
    <w:rsid w:val="00833D8D"/>
    <w:rsid w:val="00833E03"/>
    <w:rsid w:val="0083428D"/>
    <w:rsid w:val="00834DB8"/>
    <w:rsid w:val="00835F0E"/>
    <w:rsid w:val="008363AF"/>
    <w:rsid w:val="0083651B"/>
    <w:rsid w:val="00836635"/>
    <w:rsid w:val="00837863"/>
    <w:rsid w:val="00837A8F"/>
    <w:rsid w:val="00837B0E"/>
    <w:rsid w:val="00837FA5"/>
    <w:rsid w:val="008400B1"/>
    <w:rsid w:val="008403C1"/>
    <w:rsid w:val="008403C3"/>
    <w:rsid w:val="0084055A"/>
    <w:rsid w:val="008406EE"/>
    <w:rsid w:val="00840EEA"/>
    <w:rsid w:val="00841085"/>
    <w:rsid w:val="00841CC4"/>
    <w:rsid w:val="00841EE0"/>
    <w:rsid w:val="0084207C"/>
    <w:rsid w:val="00842396"/>
    <w:rsid w:val="00842C48"/>
    <w:rsid w:val="00842CB1"/>
    <w:rsid w:val="00843131"/>
    <w:rsid w:val="00843379"/>
    <w:rsid w:val="0084358C"/>
    <w:rsid w:val="00843978"/>
    <w:rsid w:val="00843AAE"/>
    <w:rsid w:val="008442CF"/>
    <w:rsid w:val="0084489D"/>
    <w:rsid w:val="00844C86"/>
    <w:rsid w:val="00845218"/>
    <w:rsid w:val="008452FB"/>
    <w:rsid w:val="0084537B"/>
    <w:rsid w:val="0084540F"/>
    <w:rsid w:val="0084542D"/>
    <w:rsid w:val="00845651"/>
    <w:rsid w:val="00845744"/>
    <w:rsid w:val="00846835"/>
    <w:rsid w:val="00846CEA"/>
    <w:rsid w:val="008470DC"/>
    <w:rsid w:val="00847DC3"/>
    <w:rsid w:val="00847E9B"/>
    <w:rsid w:val="008512F7"/>
    <w:rsid w:val="00851A53"/>
    <w:rsid w:val="00851A9F"/>
    <w:rsid w:val="00851D76"/>
    <w:rsid w:val="008522D7"/>
    <w:rsid w:val="0085269C"/>
    <w:rsid w:val="008527E5"/>
    <w:rsid w:val="008530EE"/>
    <w:rsid w:val="008530F7"/>
    <w:rsid w:val="00853233"/>
    <w:rsid w:val="00853732"/>
    <w:rsid w:val="00853771"/>
    <w:rsid w:val="00853EAD"/>
    <w:rsid w:val="00853F00"/>
    <w:rsid w:val="00854703"/>
    <w:rsid w:val="00854A25"/>
    <w:rsid w:val="00854EB5"/>
    <w:rsid w:val="00854F4B"/>
    <w:rsid w:val="0085595A"/>
    <w:rsid w:val="00855CED"/>
    <w:rsid w:val="00856559"/>
    <w:rsid w:val="008565B3"/>
    <w:rsid w:val="00856C17"/>
    <w:rsid w:val="00857010"/>
    <w:rsid w:val="0085706B"/>
    <w:rsid w:val="0085798F"/>
    <w:rsid w:val="00857BB0"/>
    <w:rsid w:val="008601BA"/>
    <w:rsid w:val="00860233"/>
    <w:rsid w:val="0086048D"/>
    <w:rsid w:val="008606A9"/>
    <w:rsid w:val="008606BD"/>
    <w:rsid w:val="008606F4"/>
    <w:rsid w:val="0086079D"/>
    <w:rsid w:val="00860C9F"/>
    <w:rsid w:val="00860CD9"/>
    <w:rsid w:val="0086128C"/>
    <w:rsid w:val="00861292"/>
    <w:rsid w:val="0086253A"/>
    <w:rsid w:val="00862703"/>
    <w:rsid w:val="0086294E"/>
    <w:rsid w:val="00862C04"/>
    <w:rsid w:val="00862D9A"/>
    <w:rsid w:val="00862F4C"/>
    <w:rsid w:val="0086352F"/>
    <w:rsid w:val="0086358F"/>
    <w:rsid w:val="00863905"/>
    <w:rsid w:val="00864AD5"/>
    <w:rsid w:val="00864C6F"/>
    <w:rsid w:val="00865564"/>
    <w:rsid w:val="0086617F"/>
    <w:rsid w:val="008661D2"/>
    <w:rsid w:val="00866328"/>
    <w:rsid w:val="008668F3"/>
    <w:rsid w:val="00866941"/>
    <w:rsid w:val="00866A35"/>
    <w:rsid w:val="00870382"/>
    <w:rsid w:val="008704DC"/>
    <w:rsid w:val="0087087C"/>
    <w:rsid w:val="00870919"/>
    <w:rsid w:val="00871147"/>
    <w:rsid w:val="00871244"/>
    <w:rsid w:val="008723C2"/>
    <w:rsid w:val="00872981"/>
    <w:rsid w:val="00872FB5"/>
    <w:rsid w:val="008734B7"/>
    <w:rsid w:val="008734C9"/>
    <w:rsid w:val="008734FF"/>
    <w:rsid w:val="008736C2"/>
    <w:rsid w:val="00873725"/>
    <w:rsid w:val="00873D56"/>
    <w:rsid w:val="0087424C"/>
    <w:rsid w:val="008743BF"/>
    <w:rsid w:val="008747C0"/>
    <w:rsid w:val="00874964"/>
    <w:rsid w:val="00875523"/>
    <w:rsid w:val="008755BC"/>
    <w:rsid w:val="00875667"/>
    <w:rsid w:val="00875909"/>
    <w:rsid w:val="00876015"/>
    <w:rsid w:val="008762AC"/>
    <w:rsid w:val="00876D55"/>
    <w:rsid w:val="00876F27"/>
    <w:rsid w:val="008772D5"/>
    <w:rsid w:val="00877381"/>
    <w:rsid w:val="008773A7"/>
    <w:rsid w:val="00877475"/>
    <w:rsid w:val="008777CE"/>
    <w:rsid w:val="00877AE1"/>
    <w:rsid w:val="008804A3"/>
    <w:rsid w:val="008805A1"/>
    <w:rsid w:val="00881EF1"/>
    <w:rsid w:val="00882A84"/>
    <w:rsid w:val="00882F0D"/>
    <w:rsid w:val="008830B2"/>
    <w:rsid w:val="0088317F"/>
    <w:rsid w:val="00883567"/>
    <w:rsid w:val="00883690"/>
    <w:rsid w:val="00884908"/>
    <w:rsid w:val="00884E84"/>
    <w:rsid w:val="00885290"/>
    <w:rsid w:val="0088581B"/>
    <w:rsid w:val="008858B0"/>
    <w:rsid w:val="00885C6C"/>
    <w:rsid w:val="00885DB3"/>
    <w:rsid w:val="00886011"/>
    <w:rsid w:val="00886047"/>
    <w:rsid w:val="008871D6"/>
    <w:rsid w:val="008873F3"/>
    <w:rsid w:val="00887B17"/>
    <w:rsid w:val="00890317"/>
    <w:rsid w:val="00890432"/>
    <w:rsid w:val="0089071B"/>
    <w:rsid w:val="00890B00"/>
    <w:rsid w:val="00890FA8"/>
    <w:rsid w:val="00890FF0"/>
    <w:rsid w:val="00891142"/>
    <w:rsid w:val="00892370"/>
    <w:rsid w:val="008928F5"/>
    <w:rsid w:val="00892B31"/>
    <w:rsid w:val="008932E6"/>
    <w:rsid w:val="00893658"/>
    <w:rsid w:val="00893D98"/>
    <w:rsid w:val="00894733"/>
    <w:rsid w:val="0089646A"/>
    <w:rsid w:val="00896C8C"/>
    <w:rsid w:val="008970B9"/>
    <w:rsid w:val="0089756E"/>
    <w:rsid w:val="0089766C"/>
    <w:rsid w:val="008A0048"/>
    <w:rsid w:val="008A013D"/>
    <w:rsid w:val="008A034A"/>
    <w:rsid w:val="008A054E"/>
    <w:rsid w:val="008A0871"/>
    <w:rsid w:val="008A0C69"/>
    <w:rsid w:val="008A0D15"/>
    <w:rsid w:val="008A16D1"/>
    <w:rsid w:val="008A1BB1"/>
    <w:rsid w:val="008A1C21"/>
    <w:rsid w:val="008A1CCA"/>
    <w:rsid w:val="008A267D"/>
    <w:rsid w:val="008A30C5"/>
    <w:rsid w:val="008A32BC"/>
    <w:rsid w:val="008A3CF6"/>
    <w:rsid w:val="008A4050"/>
    <w:rsid w:val="008A40E1"/>
    <w:rsid w:val="008A44F9"/>
    <w:rsid w:val="008A4946"/>
    <w:rsid w:val="008A49C7"/>
    <w:rsid w:val="008A4A02"/>
    <w:rsid w:val="008A4A16"/>
    <w:rsid w:val="008A4A5D"/>
    <w:rsid w:val="008A4BF1"/>
    <w:rsid w:val="008A4C27"/>
    <w:rsid w:val="008A4E58"/>
    <w:rsid w:val="008A52F5"/>
    <w:rsid w:val="008A53B6"/>
    <w:rsid w:val="008A5C37"/>
    <w:rsid w:val="008A6627"/>
    <w:rsid w:val="008A69BF"/>
    <w:rsid w:val="008A6EB5"/>
    <w:rsid w:val="008A6F3C"/>
    <w:rsid w:val="008A7017"/>
    <w:rsid w:val="008A76C2"/>
    <w:rsid w:val="008A789C"/>
    <w:rsid w:val="008A792B"/>
    <w:rsid w:val="008B019F"/>
    <w:rsid w:val="008B080B"/>
    <w:rsid w:val="008B10A7"/>
    <w:rsid w:val="008B1B79"/>
    <w:rsid w:val="008B2215"/>
    <w:rsid w:val="008B2D16"/>
    <w:rsid w:val="008B3211"/>
    <w:rsid w:val="008B3CA0"/>
    <w:rsid w:val="008B3DA1"/>
    <w:rsid w:val="008B49F7"/>
    <w:rsid w:val="008B5C2F"/>
    <w:rsid w:val="008B5C3D"/>
    <w:rsid w:val="008B60AB"/>
    <w:rsid w:val="008B67AD"/>
    <w:rsid w:val="008B7111"/>
    <w:rsid w:val="008B7B27"/>
    <w:rsid w:val="008C00E9"/>
    <w:rsid w:val="008C1274"/>
    <w:rsid w:val="008C13EB"/>
    <w:rsid w:val="008C1428"/>
    <w:rsid w:val="008C1680"/>
    <w:rsid w:val="008C17D7"/>
    <w:rsid w:val="008C1907"/>
    <w:rsid w:val="008C1ADF"/>
    <w:rsid w:val="008C1C12"/>
    <w:rsid w:val="008C1C28"/>
    <w:rsid w:val="008C1C5A"/>
    <w:rsid w:val="008C25CB"/>
    <w:rsid w:val="008C3B3D"/>
    <w:rsid w:val="008C3BF6"/>
    <w:rsid w:val="008C49E0"/>
    <w:rsid w:val="008C4C86"/>
    <w:rsid w:val="008C557E"/>
    <w:rsid w:val="008C5BBF"/>
    <w:rsid w:val="008C5E95"/>
    <w:rsid w:val="008C6C88"/>
    <w:rsid w:val="008C6DAD"/>
    <w:rsid w:val="008C78A4"/>
    <w:rsid w:val="008C79B4"/>
    <w:rsid w:val="008D01CF"/>
    <w:rsid w:val="008D033A"/>
    <w:rsid w:val="008D0765"/>
    <w:rsid w:val="008D09A6"/>
    <w:rsid w:val="008D0BE4"/>
    <w:rsid w:val="008D1D5B"/>
    <w:rsid w:val="008D20CC"/>
    <w:rsid w:val="008D2209"/>
    <w:rsid w:val="008D264D"/>
    <w:rsid w:val="008D2D18"/>
    <w:rsid w:val="008D2F52"/>
    <w:rsid w:val="008D2F7E"/>
    <w:rsid w:val="008D3064"/>
    <w:rsid w:val="008D310E"/>
    <w:rsid w:val="008D32E1"/>
    <w:rsid w:val="008D351A"/>
    <w:rsid w:val="008D401D"/>
    <w:rsid w:val="008D4822"/>
    <w:rsid w:val="008D524C"/>
    <w:rsid w:val="008D55EF"/>
    <w:rsid w:val="008D5B25"/>
    <w:rsid w:val="008D65B8"/>
    <w:rsid w:val="008D69C8"/>
    <w:rsid w:val="008D6F6B"/>
    <w:rsid w:val="008D7796"/>
    <w:rsid w:val="008D7936"/>
    <w:rsid w:val="008D795F"/>
    <w:rsid w:val="008D7AD2"/>
    <w:rsid w:val="008D7D0B"/>
    <w:rsid w:val="008E0E31"/>
    <w:rsid w:val="008E1390"/>
    <w:rsid w:val="008E1A57"/>
    <w:rsid w:val="008E1F3F"/>
    <w:rsid w:val="008E2BA0"/>
    <w:rsid w:val="008E3635"/>
    <w:rsid w:val="008E3AB1"/>
    <w:rsid w:val="008E3E84"/>
    <w:rsid w:val="008E43DB"/>
    <w:rsid w:val="008E4762"/>
    <w:rsid w:val="008E4AE7"/>
    <w:rsid w:val="008E546A"/>
    <w:rsid w:val="008E56BB"/>
    <w:rsid w:val="008E5FEF"/>
    <w:rsid w:val="008E62EB"/>
    <w:rsid w:val="008E6650"/>
    <w:rsid w:val="008E66BA"/>
    <w:rsid w:val="008E6959"/>
    <w:rsid w:val="008E6998"/>
    <w:rsid w:val="008E79E3"/>
    <w:rsid w:val="008E7BCB"/>
    <w:rsid w:val="008E7E7E"/>
    <w:rsid w:val="008F0455"/>
    <w:rsid w:val="008F06DC"/>
    <w:rsid w:val="008F0CD8"/>
    <w:rsid w:val="008F116F"/>
    <w:rsid w:val="008F176C"/>
    <w:rsid w:val="008F1C8D"/>
    <w:rsid w:val="008F248F"/>
    <w:rsid w:val="008F24AC"/>
    <w:rsid w:val="008F2922"/>
    <w:rsid w:val="008F2F90"/>
    <w:rsid w:val="008F3036"/>
    <w:rsid w:val="008F3F5A"/>
    <w:rsid w:val="008F5442"/>
    <w:rsid w:val="008F5E69"/>
    <w:rsid w:val="008F6351"/>
    <w:rsid w:val="008F6B4C"/>
    <w:rsid w:val="008F7827"/>
    <w:rsid w:val="009002E5"/>
    <w:rsid w:val="009006C9"/>
    <w:rsid w:val="00900CA5"/>
    <w:rsid w:val="00901329"/>
    <w:rsid w:val="0090158D"/>
    <w:rsid w:val="00901DD3"/>
    <w:rsid w:val="0090219E"/>
    <w:rsid w:val="0090248D"/>
    <w:rsid w:val="009030FA"/>
    <w:rsid w:val="00903716"/>
    <w:rsid w:val="00903869"/>
    <w:rsid w:val="009044BA"/>
    <w:rsid w:val="00905589"/>
    <w:rsid w:val="00905B80"/>
    <w:rsid w:val="00905C83"/>
    <w:rsid w:val="00906439"/>
    <w:rsid w:val="00906910"/>
    <w:rsid w:val="00906E5F"/>
    <w:rsid w:val="00906F29"/>
    <w:rsid w:val="0090771C"/>
    <w:rsid w:val="00910602"/>
    <w:rsid w:val="0091098D"/>
    <w:rsid w:val="00910BEC"/>
    <w:rsid w:val="00910FBB"/>
    <w:rsid w:val="00911907"/>
    <w:rsid w:val="00911B2F"/>
    <w:rsid w:val="009125E9"/>
    <w:rsid w:val="0091287F"/>
    <w:rsid w:val="00912908"/>
    <w:rsid w:val="00912C45"/>
    <w:rsid w:val="00912F26"/>
    <w:rsid w:val="00913699"/>
    <w:rsid w:val="00913FE8"/>
    <w:rsid w:val="0091408C"/>
    <w:rsid w:val="0091444E"/>
    <w:rsid w:val="0091469E"/>
    <w:rsid w:val="00914838"/>
    <w:rsid w:val="009149B0"/>
    <w:rsid w:val="00914CE1"/>
    <w:rsid w:val="00915364"/>
    <w:rsid w:val="0091549F"/>
    <w:rsid w:val="009154CE"/>
    <w:rsid w:val="0091564A"/>
    <w:rsid w:val="00915D39"/>
    <w:rsid w:val="00916C21"/>
    <w:rsid w:val="00916C9E"/>
    <w:rsid w:val="00917049"/>
    <w:rsid w:val="009176BC"/>
    <w:rsid w:val="0092066C"/>
    <w:rsid w:val="0092090F"/>
    <w:rsid w:val="009209A3"/>
    <w:rsid w:val="00921438"/>
    <w:rsid w:val="00921CF4"/>
    <w:rsid w:val="009238C2"/>
    <w:rsid w:val="00923BB3"/>
    <w:rsid w:val="00923EB0"/>
    <w:rsid w:val="00923F68"/>
    <w:rsid w:val="0092409A"/>
    <w:rsid w:val="00924145"/>
    <w:rsid w:val="009244C2"/>
    <w:rsid w:val="009254EA"/>
    <w:rsid w:val="00925596"/>
    <w:rsid w:val="00925CE2"/>
    <w:rsid w:val="00925D95"/>
    <w:rsid w:val="00926341"/>
    <w:rsid w:val="009267E5"/>
    <w:rsid w:val="00926EBE"/>
    <w:rsid w:val="00926EE2"/>
    <w:rsid w:val="0092796D"/>
    <w:rsid w:val="00927DF1"/>
    <w:rsid w:val="009300C5"/>
    <w:rsid w:val="009304C2"/>
    <w:rsid w:val="00930752"/>
    <w:rsid w:val="009320BA"/>
    <w:rsid w:val="00932874"/>
    <w:rsid w:val="00932B45"/>
    <w:rsid w:val="00932CC8"/>
    <w:rsid w:val="0093301E"/>
    <w:rsid w:val="009330F3"/>
    <w:rsid w:val="00933B14"/>
    <w:rsid w:val="00933C0D"/>
    <w:rsid w:val="00933E5D"/>
    <w:rsid w:val="0093470B"/>
    <w:rsid w:val="00934B41"/>
    <w:rsid w:val="00934C61"/>
    <w:rsid w:val="0093504F"/>
    <w:rsid w:val="009355BB"/>
    <w:rsid w:val="00935732"/>
    <w:rsid w:val="009359BE"/>
    <w:rsid w:val="00935E1A"/>
    <w:rsid w:val="009373BC"/>
    <w:rsid w:val="00937564"/>
    <w:rsid w:val="00937A5A"/>
    <w:rsid w:val="0094018D"/>
    <w:rsid w:val="00940B11"/>
    <w:rsid w:val="0094174C"/>
    <w:rsid w:val="00942100"/>
    <w:rsid w:val="00942340"/>
    <w:rsid w:val="009438E4"/>
    <w:rsid w:val="00943934"/>
    <w:rsid w:val="00943A22"/>
    <w:rsid w:val="00943D45"/>
    <w:rsid w:val="00943ED0"/>
    <w:rsid w:val="00943EDD"/>
    <w:rsid w:val="00943FA8"/>
    <w:rsid w:val="0094467C"/>
    <w:rsid w:val="00944A35"/>
    <w:rsid w:val="00944A62"/>
    <w:rsid w:val="00946D17"/>
    <w:rsid w:val="009471F6"/>
    <w:rsid w:val="00947326"/>
    <w:rsid w:val="00947A78"/>
    <w:rsid w:val="009500B1"/>
    <w:rsid w:val="00950625"/>
    <w:rsid w:val="009506C8"/>
    <w:rsid w:val="009509FC"/>
    <w:rsid w:val="00950D68"/>
    <w:rsid w:val="00950FF8"/>
    <w:rsid w:val="009517A4"/>
    <w:rsid w:val="00951D99"/>
    <w:rsid w:val="00951FF8"/>
    <w:rsid w:val="00952188"/>
    <w:rsid w:val="0095224C"/>
    <w:rsid w:val="009525D9"/>
    <w:rsid w:val="00952CAD"/>
    <w:rsid w:val="00953E69"/>
    <w:rsid w:val="009543D7"/>
    <w:rsid w:val="009544EF"/>
    <w:rsid w:val="009548AC"/>
    <w:rsid w:val="00954D45"/>
    <w:rsid w:val="009555D5"/>
    <w:rsid w:val="00955742"/>
    <w:rsid w:val="00955EE0"/>
    <w:rsid w:val="00956290"/>
    <w:rsid w:val="00956BDC"/>
    <w:rsid w:val="00956CFA"/>
    <w:rsid w:val="00956D3B"/>
    <w:rsid w:val="00956F3C"/>
    <w:rsid w:val="00957471"/>
    <w:rsid w:val="009604D6"/>
    <w:rsid w:val="009610AA"/>
    <w:rsid w:val="009615DA"/>
    <w:rsid w:val="00961A7A"/>
    <w:rsid w:val="00961B4B"/>
    <w:rsid w:val="00962427"/>
    <w:rsid w:val="00962F12"/>
    <w:rsid w:val="009631D8"/>
    <w:rsid w:val="009636A2"/>
    <w:rsid w:val="00963927"/>
    <w:rsid w:val="00963BDA"/>
    <w:rsid w:val="00964015"/>
    <w:rsid w:val="009642CE"/>
    <w:rsid w:val="009643FB"/>
    <w:rsid w:val="00964749"/>
    <w:rsid w:val="00964DB6"/>
    <w:rsid w:val="00964DBE"/>
    <w:rsid w:val="0096511C"/>
    <w:rsid w:val="00965978"/>
    <w:rsid w:val="00965BBF"/>
    <w:rsid w:val="00965E74"/>
    <w:rsid w:val="00966228"/>
    <w:rsid w:val="00966959"/>
    <w:rsid w:val="00966AFD"/>
    <w:rsid w:val="009700C5"/>
    <w:rsid w:val="00970318"/>
    <w:rsid w:val="00970CD0"/>
    <w:rsid w:val="00971423"/>
    <w:rsid w:val="00971507"/>
    <w:rsid w:val="0097155B"/>
    <w:rsid w:val="00971CB2"/>
    <w:rsid w:val="00971D06"/>
    <w:rsid w:val="0097279B"/>
    <w:rsid w:val="00972BD8"/>
    <w:rsid w:val="00972F70"/>
    <w:rsid w:val="00974105"/>
    <w:rsid w:val="0097465F"/>
    <w:rsid w:val="009748F9"/>
    <w:rsid w:val="0097505C"/>
    <w:rsid w:val="00975092"/>
    <w:rsid w:val="00975B3F"/>
    <w:rsid w:val="00975C3B"/>
    <w:rsid w:val="00975CEF"/>
    <w:rsid w:val="00976141"/>
    <w:rsid w:val="00976599"/>
    <w:rsid w:val="00976F78"/>
    <w:rsid w:val="009771B2"/>
    <w:rsid w:val="009773B5"/>
    <w:rsid w:val="00977A84"/>
    <w:rsid w:val="00977F23"/>
    <w:rsid w:val="009805E2"/>
    <w:rsid w:val="00980D98"/>
    <w:rsid w:val="00980DFC"/>
    <w:rsid w:val="0098129F"/>
    <w:rsid w:val="009814D9"/>
    <w:rsid w:val="009814FC"/>
    <w:rsid w:val="00981B84"/>
    <w:rsid w:val="00982B39"/>
    <w:rsid w:val="00982D5A"/>
    <w:rsid w:val="009833D5"/>
    <w:rsid w:val="00983FF1"/>
    <w:rsid w:val="009841E3"/>
    <w:rsid w:val="00984517"/>
    <w:rsid w:val="0098595B"/>
    <w:rsid w:val="00985A82"/>
    <w:rsid w:val="00985B20"/>
    <w:rsid w:val="00985CA7"/>
    <w:rsid w:val="00985D5C"/>
    <w:rsid w:val="0098694E"/>
    <w:rsid w:val="00986B16"/>
    <w:rsid w:val="009876C1"/>
    <w:rsid w:val="009876F9"/>
    <w:rsid w:val="00991739"/>
    <w:rsid w:val="00991CDC"/>
    <w:rsid w:val="00991F8C"/>
    <w:rsid w:val="00992175"/>
    <w:rsid w:val="00992904"/>
    <w:rsid w:val="00992AF8"/>
    <w:rsid w:val="00992D24"/>
    <w:rsid w:val="009939F1"/>
    <w:rsid w:val="00993CCC"/>
    <w:rsid w:val="00993D96"/>
    <w:rsid w:val="009942AF"/>
    <w:rsid w:val="009947A8"/>
    <w:rsid w:val="009948FC"/>
    <w:rsid w:val="00995933"/>
    <w:rsid w:val="00995C92"/>
    <w:rsid w:val="0099617F"/>
    <w:rsid w:val="009963A2"/>
    <w:rsid w:val="00996406"/>
    <w:rsid w:val="0099679F"/>
    <w:rsid w:val="009968EA"/>
    <w:rsid w:val="00997E03"/>
    <w:rsid w:val="00997E13"/>
    <w:rsid w:val="009A0F8C"/>
    <w:rsid w:val="009A1058"/>
    <w:rsid w:val="009A125F"/>
    <w:rsid w:val="009A15C2"/>
    <w:rsid w:val="009A1BC4"/>
    <w:rsid w:val="009A1E7B"/>
    <w:rsid w:val="009A1F19"/>
    <w:rsid w:val="009A2176"/>
    <w:rsid w:val="009A25A5"/>
    <w:rsid w:val="009A2792"/>
    <w:rsid w:val="009A2F6E"/>
    <w:rsid w:val="009A318C"/>
    <w:rsid w:val="009A37CC"/>
    <w:rsid w:val="009A38E5"/>
    <w:rsid w:val="009A3BDF"/>
    <w:rsid w:val="009A3F4A"/>
    <w:rsid w:val="009A3FE7"/>
    <w:rsid w:val="009A470F"/>
    <w:rsid w:val="009A48A7"/>
    <w:rsid w:val="009A4D87"/>
    <w:rsid w:val="009A545D"/>
    <w:rsid w:val="009A5493"/>
    <w:rsid w:val="009A6707"/>
    <w:rsid w:val="009A6AA8"/>
    <w:rsid w:val="009A6B93"/>
    <w:rsid w:val="009A709E"/>
    <w:rsid w:val="009A719B"/>
    <w:rsid w:val="009A72CA"/>
    <w:rsid w:val="009A7578"/>
    <w:rsid w:val="009B00EE"/>
    <w:rsid w:val="009B065C"/>
    <w:rsid w:val="009B0A0D"/>
    <w:rsid w:val="009B0E03"/>
    <w:rsid w:val="009B14B6"/>
    <w:rsid w:val="009B19DF"/>
    <w:rsid w:val="009B1CC0"/>
    <w:rsid w:val="009B2639"/>
    <w:rsid w:val="009B2A55"/>
    <w:rsid w:val="009B2BBB"/>
    <w:rsid w:val="009B2D48"/>
    <w:rsid w:val="009B2DDD"/>
    <w:rsid w:val="009B3771"/>
    <w:rsid w:val="009B400B"/>
    <w:rsid w:val="009B4637"/>
    <w:rsid w:val="009B4E92"/>
    <w:rsid w:val="009B5109"/>
    <w:rsid w:val="009B5C29"/>
    <w:rsid w:val="009B6520"/>
    <w:rsid w:val="009B6937"/>
    <w:rsid w:val="009B6CB3"/>
    <w:rsid w:val="009B7122"/>
    <w:rsid w:val="009B78EC"/>
    <w:rsid w:val="009B7AD9"/>
    <w:rsid w:val="009B7C38"/>
    <w:rsid w:val="009C059E"/>
    <w:rsid w:val="009C1187"/>
    <w:rsid w:val="009C1405"/>
    <w:rsid w:val="009C1539"/>
    <w:rsid w:val="009C1EFB"/>
    <w:rsid w:val="009C222B"/>
    <w:rsid w:val="009C23BA"/>
    <w:rsid w:val="009C24CE"/>
    <w:rsid w:val="009C260D"/>
    <w:rsid w:val="009C26E0"/>
    <w:rsid w:val="009C2A04"/>
    <w:rsid w:val="009C2DB6"/>
    <w:rsid w:val="009C3299"/>
    <w:rsid w:val="009C3621"/>
    <w:rsid w:val="009C3737"/>
    <w:rsid w:val="009C400D"/>
    <w:rsid w:val="009C43F7"/>
    <w:rsid w:val="009C5206"/>
    <w:rsid w:val="009C5279"/>
    <w:rsid w:val="009C55D8"/>
    <w:rsid w:val="009C60DC"/>
    <w:rsid w:val="009C6599"/>
    <w:rsid w:val="009C6646"/>
    <w:rsid w:val="009C73A3"/>
    <w:rsid w:val="009C7899"/>
    <w:rsid w:val="009C7E50"/>
    <w:rsid w:val="009D00D0"/>
    <w:rsid w:val="009D05E8"/>
    <w:rsid w:val="009D175C"/>
    <w:rsid w:val="009D1B61"/>
    <w:rsid w:val="009D237D"/>
    <w:rsid w:val="009D26D7"/>
    <w:rsid w:val="009D2EBA"/>
    <w:rsid w:val="009D2FC8"/>
    <w:rsid w:val="009D33FA"/>
    <w:rsid w:val="009D3628"/>
    <w:rsid w:val="009D43D5"/>
    <w:rsid w:val="009D464A"/>
    <w:rsid w:val="009D46E1"/>
    <w:rsid w:val="009D49A8"/>
    <w:rsid w:val="009D4E16"/>
    <w:rsid w:val="009D4E98"/>
    <w:rsid w:val="009D51AC"/>
    <w:rsid w:val="009D54C1"/>
    <w:rsid w:val="009D5934"/>
    <w:rsid w:val="009D61A4"/>
    <w:rsid w:val="009D68F8"/>
    <w:rsid w:val="009D7180"/>
    <w:rsid w:val="009D724A"/>
    <w:rsid w:val="009E0150"/>
    <w:rsid w:val="009E0D25"/>
    <w:rsid w:val="009E16F7"/>
    <w:rsid w:val="009E1732"/>
    <w:rsid w:val="009E1F08"/>
    <w:rsid w:val="009E225C"/>
    <w:rsid w:val="009E29D1"/>
    <w:rsid w:val="009E2B15"/>
    <w:rsid w:val="009E31B0"/>
    <w:rsid w:val="009E3A51"/>
    <w:rsid w:val="009E4909"/>
    <w:rsid w:val="009E4B3B"/>
    <w:rsid w:val="009E4CEE"/>
    <w:rsid w:val="009E5213"/>
    <w:rsid w:val="009E5244"/>
    <w:rsid w:val="009E5868"/>
    <w:rsid w:val="009E70BE"/>
    <w:rsid w:val="009E7382"/>
    <w:rsid w:val="009E7A41"/>
    <w:rsid w:val="009F038E"/>
    <w:rsid w:val="009F05EC"/>
    <w:rsid w:val="009F067B"/>
    <w:rsid w:val="009F06AA"/>
    <w:rsid w:val="009F0AFD"/>
    <w:rsid w:val="009F0CB5"/>
    <w:rsid w:val="009F1B09"/>
    <w:rsid w:val="009F2954"/>
    <w:rsid w:val="009F3632"/>
    <w:rsid w:val="009F3892"/>
    <w:rsid w:val="009F3B01"/>
    <w:rsid w:val="009F3BB9"/>
    <w:rsid w:val="009F4003"/>
    <w:rsid w:val="009F471C"/>
    <w:rsid w:val="009F4EBD"/>
    <w:rsid w:val="009F6A40"/>
    <w:rsid w:val="009F78A8"/>
    <w:rsid w:val="009F7D5F"/>
    <w:rsid w:val="00A0011A"/>
    <w:rsid w:val="00A0057A"/>
    <w:rsid w:val="00A00CEB"/>
    <w:rsid w:val="00A00E3B"/>
    <w:rsid w:val="00A01659"/>
    <w:rsid w:val="00A01B2E"/>
    <w:rsid w:val="00A01FA0"/>
    <w:rsid w:val="00A0264E"/>
    <w:rsid w:val="00A02A53"/>
    <w:rsid w:val="00A02B83"/>
    <w:rsid w:val="00A03680"/>
    <w:rsid w:val="00A038F2"/>
    <w:rsid w:val="00A045F3"/>
    <w:rsid w:val="00A0474B"/>
    <w:rsid w:val="00A05048"/>
    <w:rsid w:val="00A057A8"/>
    <w:rsid w:val="00A058F3"/>
    <w:rsid w:val="00A05D0E"/>
    <w:rsid w:val="00A05E32"/>
    <w:rsid w:val="00A05F33"/>
    <w:rsid w:val="00A0627F"/>
    <w:rsid w:val="00A06516"/>
    <w:rsid w:val="00A0663A"/>
    <w:rsid w:val="00A06F7D"/>
    <w:rsid w:val="00A077E7"/>
    <w:rsid w:val="00A07DC4"/>
    <w:rsid w:val="00A07F65"/>
    <w:rsid w:val="00A10AE8"/>
    <w:rsid w:val="00A10BA1"/>
    <w:rsid w:val="00A10EDF"/>
    <w:rsid w:val="00A10FDB"/>
    <w:rsid w:val="00A1120F"/>
    <w:rsid w:val="00A12D45"/>
    <w:rsid w:val="00A13562"/>
    <w:rsid w:val="00A13EEB"/>
    <w:rsid w:val="00A143C8"/>
    <w:rsid w:val="00A14974"/>
    <w:rsid w:val="00A14C48"/>
    <w:rsid w:val="00A14F5A"/>
    <w:rsid w:val="00A15316"/>
    <w:rsid w:val="00A15CAD"/>
    <w:rsid w:val="00A15CF1"/>
    <w:rsid w:val="00A15F98"/>
    <w:rsid w:val="00A1649C"/>
    <w:rsid w:val="00A16B6C"/>
    <w:rsid w:val="00A16C02"/>
    <w:rsid w:val="00A170A5"/>
    <w:rsid w:val="00A177D8"/>
    <w:rsid w:val="00A177E0"/>
    <w:rsid w:val="00A17AAC"/>
    <w:rsid w:val="00A17EB0"/>
    <w:rsid w:val="00A2006D"/>
    <w:rsid w:val="00A2075B"/>
    <w:rsid w:val="00A20A10"/>
    <w:rsid w:val="00A20A44"/>
    <w:rsid w:val="00A21DC9"/>
    <w:rsid w:val="00A22759"/>
    <w:rsid w:val="00A22842"/>
    <w:rsid w:val="00A229F2"/>
    <w:rsid w:val="00A23051"/>
    <w:rsid w:val="00A2331B"/>
    <w:rsid w:val="00A238E8"/>
    <w:rsid w:val="00A23DA6"/>
    <w:rsid w:val="00A23EDB"/>
    <w:rsid w:val="00A2439C"/>
    <w:rsid w:val="00A246F4"/>
    <w:rsid w:val="00A24B0D"/>
    <w:rsid w:val="00A25A01"/>
    <w:rsid w:val="00A26350"/>
    <w:rsid w:val="00A26F91"/>
    <w:rsid w:val="00A2715B"/>
    <w:rsid w:val="00A27FE2"/>
    <w:rsid w:val="00A3021F"/>
    <w:rsid w:val="00A3134B"/>
    <w:rsid w:val="00A31CCC"/>
    <w:rsid w:val="00A3231A"/>
    <w:rsid w:val="00A326CD"/>
    <w:rsid w:val="00A32E0D"/>
    <w:rsid w:val="00A33AB6"/>
    <w:rsid w:val="00A33B2C"/>
    <w:rsid w:val="00A33E59"/>
    <w:rsid w:val="00A3415D"/>
    <w:rsid w:val="00A3436D"/>
    <w:rsid w:val="00A34C81"/>
    <w:rsid w:val="00A3512D"/>
    <w:rsid w:val="00A3548A"/>
    <w:rsid w:val="00A35703"/>
    <w:rsid w:val="00A35FB2"/>
    <w:rsid w:val="00A36769"/>
    <w:rsid w:val="00A36EF1"/>
    <w:rsid w:val="00A371D5"/>
    <w:rsid w:val="00A402A1"/>
    <w:rsid w:val="00A402F2"/>
    <w:rsid w:val="00A40F5D"/>
    <w:rsid w:val="00A41123"/>
    <w:rsid w:val="00A4120A"/>
    <w:rsid w:val="00A41268"/>
    <w:rsid w:val="00A41C0B"/>
    <w:rsid w:val="00A4226A"/>
    <w:rsid w:val="00A434C6"/>
    <w:rsid w:val="00A43DB6"/>
    <w:rsid w:val="00A44108"/>
    <w:rsid w:val="00A44C72"/>
    <w:rsid w:val="00A450A0"/>
    <w:rsid w:val="00A45742"/>
    <w:rsid w:val="00A45768"/>
    <w:rsid w:val="00A458EB"/>
    <w:rsid w:val="00A45994"/>
    <w:rsid w:val="00A4611C"/>
    <w:rsid w:val="00A4619A"/>
    <w:rsid w:val="00A46446"/>
    <w:rsid w:val="00A465E5"/>
    <w:rsid w:val="00A46A2A"/>
    <w:rsid w:val="00A46A8D"/>
    <w:rsid w:val="00A47862"/>
    <w:rsid w:val="00A478F7"/>
    <w:rsid w:val="00A47A92"/>
    <w:rsid w:val="00A47B65"/>
    <w:rsid w:val="00A47CE0"/>
    <w:rsid w:val="00A504E1"/>
    <w:rsid w:val="00A50D86"/>
    <w:rsid w:val="00A50E3A"/>
    <w:rsid w:val="00A50FAD"/>
    <w:rsid w:val="00A51771"/>
    <w:rsid w:val="00A51A01"/>
    <w:rsid w:val="00A51C23"/>
    <w:rsid w:val="00A52D96"/>
    <w:rsid w:val="00A52FAD"/>
    <w:rsid w:val="00A5326A"/>
    <w:rsid w:val="00A535C4"/>
    <w:rsid w:val="00A537D4"/>
    <w:rsid w:val="00A53D9D"/>
    <w:rsid w:val="00A545EC"/>
    <w:rsid w:val="00A545F2"/>
    <w:rsid w:val="00A54B2D"/>
    <w:rsid w:val="00A54EEA"/>
    <w:rsid w:val="00A55535"/>
    <w:rsid w:val="00A56516"/>
    <w:rsid w:val="00A5680B"/>
    <w:rsid w:val="00A56FE1"/>
    <w:rsid w:val="00A577CF"/>
    <w:rsid w:val="00A6075F"/>
    <w:rsid w:val="00A60A21"/>
    <w:rsid w:val="00A610EE"/>
    <w:rsid w:val="00A613F8"/>
    <w:rsid w:val="00A61F10"/>
    <w:rsid w:val="00A62571"/>
    <w:rsid w:val="00A62AFC"/>
    <w:rsid w:val="00A62BF8"/>
    <w:rsid w:val="00A62EEA"/>
    <w:rsid w:val="00A631B6"/>
    <w:rsid w:val="00A6379E"/>
    <w:rsid w:val="00A638A0"/>
    <w:rsid w:val="00A63934"/>
    <w:rsid w:val="00A63EFE"/>
    <w:rsid w:val="00A64296"/>
    <w:rsid w:val="00A64446"/>
    <w:rsid w:val="00A64531"/>
    <w:rsid w:val="00A64796"/>
    <w:rsid w:val="00A648A1"/>
    <w:rsid w:val="00A64AF4"/>
    <w:rsid w:val="00A65218"/>
    <w:rsid w:val="00A65355"/>
    <w:rsid w:val="00A6549D"/>
    <w:rsid w:val="00A65EFD"/>
    <w:rsid w:val="00A65FD1"/>
    <w:rsid w:val="00A70864"/>
    <w:rsid w:val="00A70A12"/>
    <w:rsid w:val="00A70C9E"/>
    <w:rsid w:val="00A71738"/>
    <w:rsid w:val="00A71A5F"/>
    <w:rsid w:val="00A71CBB"/>
    <w:rsid w:val="00A71E5A"/>
    <w:rsid w:val="00A71EBD"/>
    <w:rsid w:val="00A71FDA"/>
    <w:rsid w:val="00A730D0"/>
    <w:rsid w:val="00A73137"/>
    <w:rsid w:val="00A73430"/>
    <w:rsid w:val="00A73D39"/>
    <w:rsid w:val="00A73E1E"/>
    <w:rsid w:val="00A74859"/>
    <w:rsid w:val="00A74D27"/>
    <w:rsid w:val="00A75599"/>
    <w:rsid w:val="00A755CA"/>
    <w:rsid w:val="00A75688"/>
    <w:rsid w:val="00A75B91"/>
    <w:rsid w:val="00A7606C"/>
    <w:rsid w:val="00A76600"/>
    <w:rsid w:val="00A76DA6"/>
    <w:rsid w:val="00A76E57"/>
    <w:rsid w:val="00A77F3F"/>
    <w:rsid w:val="00A80569"/>
    <w:rsid w:val="00A80E6A"/>
    <w:rsid w:val="00A80F0C"/>
    <w:rsid w:val="00A810C1"/>
    <w:rsid w:val="00A811CA"/>
    <w:rsid w:val="00A8297A"/>
    <w:rsid w:val="00A82C4E"/>
    <w:rsid w:val="00A83114"/>
    <w:rsid w:val="00A83353"/>
    <w:rsid w:val="00A8378B"/>
    <w:rsid w:val="00A8444E"/>
    <w:rsid w:val="00A8449A"/>
    <w:rsid w:val="00A85201"/>
    <w:rsid w:val="00A85A1D"/>
    <w:rsid w:val="00A86B4F"/>
    <w:rsid w:val="00A86CFC"/>
    <w:rsid w:val="00A87176"/>
    <w:rsid w:val="00A873EB"/>
    <w:rsid w:val="00A87924"/>
    <w:rsid w:val="00A87A97"/>
    <w:rsid w:val="00A87CFD"/>
    <w:rsid w:val="00A903EA"/>
    <w:rsid w:val="00A90780"/>
    <w:rsid w:val="00A90871"/>
    <w:rsid w:val="00A909CF"/>
    <w:rsid w:val="00A90AEF"/>
    <w:rsid w:val="00A90D33"/>
    <w:rsid w:val="00A911E3"/>
    <w:rsid w:val="00A91224"/>
    <w:rsid w:val="00A9153D"/>
    <w:rsid w:val="00A91715"/>
    <w:rsid w:val="00A9182C"/>
    <w:rsid w:val="00A926C0"/>
    <w:rsid w:val="00A9285F"/>
    <w:rsid w:val="00A92A3D"/>
    <w:rsid w:val="00A92C66"/>
    <w:rsid w:val="00A9302E"/>
    <w:rsid w:val="00A93B46"/>
    <w:rsid w:val="00A941AC"/>
    <w:rsid w:val="00A942C1"/>
    <w:rsid w:val="00A94387"/>
    <w:rsid w:val="00A9453D"/>
    <w:rsid w:val="00A94BB6"/>
    <w:rsid w:val="00A94DA1"/>
    <w:rsid w:val="00A953AD"/>
    <w:rsid w:val="00A9685A"/>
    <w:rsid w:val="00A96A30"/>
    <w:rsid w:val="00A9736B"/>
    <w:rsid w:val="00A9767A"/>
    <w:rsid w:val="00A978DD"/>
    <w:rsid w:val="00AA0BAE"/>
    <w:rsid w:val="00AA1003"/>
    <w:rsid w:val="00AA1221"/>
    <w:rsid w:val="00AA1B72"/>
    <w:rsid w:val="00AA254D"/>
    <w:rsid w:val="00AA291E"/>
    <w:rsid w:val="00AA2DBE"/>
    <w:rsid w:val="00AA3406"/>
    <w:rsid w:val="00AA3973"/>
    <w:rsid w:val="00AA3987"/>
    <w:rsid w:val="00AA401C"/>
    <w:rsid w:val="00AA462A"/>
    <w:rsid w:val="00AA4C34"/>
    <w:rsid w:val="00AA4EB3"/>
    <w:rsid w:val="00AA53A9"/>
    <w:rsid w:val="00AA53D3"/>
    <w:rsid w:val="00AA5572"/>
    <w:rsid w:val="00AA5AEF"/>
    <w:rsid w:val="00AA611F"/>
    <w:rsid w:val="00AA6622"/>
    <w:rsid w:val="00AA6854"/>
    <w:rsid w:val="00AA7B42"/>
    <w:rsid w:val="00AA7BA7"/>
    <w:rsid w:val="00AB11EB"/>
    <w:rsid w:val="00AB1872"/>
    <w:rsid w:val="00AB1C82"/>
    <w:rsid w:val="00AB1CAE"/>
    <w:rsid w:val="00AB23E9"/>
    <w:rsid w:val="00AB265E"/>
    <w:rsid w:val="00AB2B82"/>
    <w:rsid w:val="00AB2D60"/>
    <w:rsid w:val="00AB2DCE"/>
    <w:rsid w:val="00AB2E28"/>
    <w:rsid w:val="00AB303C"/>
    <w:rsid w:val="00AB3173"/>
    <w:rsid w:val="00AB3375"/>
    <w:rsid w:val="00AB420D"/>
    <w:rsid w:val="00AB4343"/>
    <w:rsid w:val="00AB48EA"/>
    <w:rsid w:val="00AB4AC0"/>
    <w:rsid w:val="00AB4C03"/>
    <w:rsid w:val="00AB516D"/>
    <w:rsid w:val="00AB5D21"/>
    <w:rsid w:val="00AB6284"/>
    <w:rsid w:val="00AB6A10"/>
    <w:rsid w:val="00AB7284"/>
    <w:rsid w:val="00AB7538"/>
    <w:rsid w:val="00AB7E2A"/>
    <w:rsid w:val="00AC0659"/>
    <w:rsid w:val="00AC13B4"/>
    <w:rsid w:val="00AC1AC1"/>
    <w:rsid w:val="00AC1D06"/>
    <w:rsid w:val="00AC1D0D"/>
    <w:rsid w:val="00AC253F"/>
    <w:rsid w:val="00AC36C5"/>
    <w:rsid w:val="00AC3F14"/>
    <w:rsid w:val="00AC4583"/>
    <w:rsid w:val="00AC4EF2"/>
    <w:rsid w:val="00AC596D"/>
    <w:rsid w:val="00AC5AC2"/>
    <w:rsid w:val="00AC61D5"/>
    <w:rsid w:val="00AC6DD2"/>
    <w:rsid w:val="00AD0078"/>
    <w:rsid w:val="00AD0500"/>
    <w:rsid w:val="00AD07FB"/>
    <w:rsid w:val="00AD1AAC"/>
    <w:rsid w:val="00AD1D21"/>
    <w:rsid w:val="00AD1D2A"/>
    <w:rsid w:val="00AD249E"/>
    <w:rsid w:val="00AD24DD"/>
    <w:rsid w:val="00AD2511"/>
    <w:rsid w:val="00AD26A9"/>
    <w:rsid w:val="00AD276B"/>
    <w:rsid w:val="00AD2B09"/>
    <w:rsid w:val="00AD2E73"/>
    <w:rsid w:val="00AD36B7"/>
    <w:rsid w:val="00AD37D4"/>
    <w:rsid w:val="00AD3944"/>
    <w:rsid w:val="00AD3DA5"/>
    <w:rsid w:val="00AD3E39"/>
    <w:rsid w:val="00AD4396"/>
    <w:rsid w:val="00AD43B0"/>
    <w:rsid w:val="00AD43DF"/>
    <w:rsid w:val="00AD46BE"/>
    <w:rsid w:val="00AD473C"/>
    <w:rsid w:val="00AD6A02"/>
    <w:rsid w:val="00AD71C3"/>
    <w:rsid w:val="00AD7AB9"/>
    <w:rsid w:val="00AD7B55"/>
    <w:rsid w:val="00AD7C30"/>
    <w:rsid w:val="00AD7CED"/>
    <w:rsid w:val="00AE0169"/>
    <w:rsid w:val="00AE01F9"/>
    <w:rsid w:val="00AE06E4"/>
    <w:rsid w:val="00AE0AD0"/>
    <w:rsid w:val="00AE0BF6"/>
    <w:rsid w:val="00AE0F43"/>
    <w:rsid w:val="00AE16CA"/>
    <w:rsid w:val="00AE19CC"/>
    <w:rsid w:val="00AE23CC"/>
    <w:rsid w:val="00AE2930"/>
    <w:rsid w:val="00AE298F"/>
    <w:rsid w:val="00AE2E83"/>
    <w:rsid w:val="00AE3050"/>
    <w:rsid w:val="00AE31D8"/>
    <w:rsid w:val="00AE4AF5"/>
    <w:rsid w:val="00AE5079"/>
    <w:rsid w:val="00AE51D7"/>
    <w:rsid w:val="00AE5505"/>
    <w:rsid w:val="00AE57C7"/>
    <w:rsid w:val="00AE59EC"/>
    <w:rsid w:val="00AE5F27"/>
    <w:rsid w:val="00AE6703"/>
    <w:rsid w:val="00AE6726"/>
    <w:rsid w:val="00AE6A6C"/>
    <w:rsid w:val="00AE728D"/>
    <w:rsid w:val="00AE7709"/>
    <w:rsid w:val="00AE7BB1"/>
    <w:rsid w:val="00AF005F"/>
    <w:rsid w:val="00AF00E5"/>
    <w:rsid w:val="00AF0855"/>
    <w:rsid w:val="00AF094C"/>
    <w:rsid w:val="00AF0E5F"/>
    <w:rsid w:val="00AF0F6E"/>
    <w:rsid w:val="00AF11F8"/>
    <w:rsid w:val="00AF1B0B"/>
    <w:rsid w:val="00AF1B38"/>
    <w:rsid w:val="00AF1BC4"/>
    <w:rsid w:val="00AF1C75"/>
    <w:rsid w:val="00AF2ABC"/>
    <w:rsid w:val="00AF2AEA"/>
    <w:rsid w:val="00AF357B"/>
    <w:rsid w:val="00AF394F"/>
    <w:rsid w:val="00AF3F32"/>
    <w:rsid w:val="00AF402A"/>
    <w:rsid w:val="00AF4276"/>
    <w:rsid w:val="00AF487B"/>
    <w:rsid w:val="00AF51A5"/>
    <w:rsid w:val="00AF540D"/>
    <w:rsid w:val="00AF54F3"/>
    <w:rsid w:val="00AF55D8"/>
    <w:rsid w:val="00AF6439"/>
    <w:rsid w:val="00AF6598"/>
    <w:rsid w:val="00AF676E"/>
    <w:rsid w:val="00AF6A78"/>
    <w:rsid w:val="00AF6C2E"/>
    <w:rsid w:val="00AF6D19"/>
    <w:rsid w:val="00AF6E3A"/>
    <w:rsid w:val="00AF78FD"/>
    <w:rsid w:val="00AF7CA3"/>
    <w:rsid w:val="00B00220"/>
    <w:rsid w:val="00B002C8"/>
    <w:rsid w:val="00B00A1A"/>
    <w:rsid w:val="00B00F2A"/>
    <w:rsid w:val="00B0165D"/>
    <w:rsid w:val="00B01903"/>
    <w:rsid w:val="00B01FB2"/>
    <w:rsid w:val="00B026C0"/>
    <w:rsid w:val="00B02724"/>
    <w:rsid w:val="00B02729"/>
    <w:rsid w:val="00B0303F"/>
    <w:rsid w:val="00B03095"/>
    <w:rsid w:val="00B030DC"/>
    <w:rsid w:val="00B033BE"/>
    <w:rsid w:val="00B037A0"/>
    <w:rsid w:val="00B044F9"/>
    <w:rsid w:val="00B045E5"/>
    <w:rsid w:val="00B0583F"/>
    <w:rsid w:val="00B05F79"/>
    <w:rsid w:val="00B06308"/>
    <w:rsid w:val="00B0634C"/>
    <w:rsid w:val="00B0662E"/>
    <w:rsid w:val="00B06997"/>
    <w:rsid w:val="00B06F25"/>
    <w:rsid w:val="00B070A1"/>
    <w:rsid w:val="00B073CB"/>
    <w:rsid w:val="00B0748B"/>
    <w:rsid w:val="00B07634"/>
    <w:rsid w:val="00B07686"/>
    <w:rsid w:val="00B1079E"/>
    <w:rsid w:val="00B10EAF"/>
    <w:rsid w:val="00B11323"/>
    <w:rsid w:val="00B11435"/>
    <w:rsid w:val="00B11804"/>
    <w:rsid w:val="00B11A87"/>
    <w:rsid w:val="00B11D24"/>
    <w:rsid w:val="00B123C9"/>
    <w:rsid w:val="00B1247A"/>
    <w:rsid w:val="00B12E41"/>
    <w:rsid w:val="00B12F73"/>
    <w:rsid w:val="00B1361E"/>
    <w:rsid w:val="00B13886"/>
    <w:rsid w:val="00B13B18"/>
    <w:rsid w:val="00B158D8"/>
    <w:rsid w:val="00B15D49"/>
    <w:rsid w:val="00B16147"/>
    <w:rsid w:val="00B16CA0"/>
    <w:rsid w:val="00B16D1C"/>
    <w:rsid w:val="00B1731F"/>
    <w:rsid w:val="00B202E1"/>
    <w:rsid w:val="00B20BBB"/>
    <w:rsid w:val="00B21699"/>
    <w:rsid w:val="00B228FA"/>
    <w:rsid w:val="00B22CC6"/>
    <w:rsid w:val="00B23BDD"/>
    <w:rsid w:val="00B23C16"/>
    <w:rsid w:val="00B24504"/>
    <w:rsid w:val="00B24555"/>
    <w:rsid w:val="00B245D0"/>
    <w:rsid w:val="00B24793"/>
    <w:rsid w:val="00B24830"/>
    <w:rsid w:val="00B26361"/>
    <w:rsid w:val="00B264F3"/>
    <w:rsid w:val="00B2670C"/>
    <w:rsid w:val="00B2676D"/>
    <w:rsid w:val="00B267D2"/>
    <w:rsid w:val="00B2780F"/>
    <w:rsid w:val="00B30292"/>
    <w:rsid w:val="00B3093D"/>
    <w:rsid w:val="00B30BA4"/>
    <w:rsid w:val="00B30F53"/>
    <w:rsid w:val="00B31425"/>
    <w:rsid w:val="00B31784"/>
    <w:rsid w:val="00B31D4E"/>
    <w:rsid w:val="00B31F2D"/>
    <w:rsid w:val="00B32602"/>
    <w:rsid w:val="00B32985"/>
    <w:rsid w:val="00B33530"/>
    <w:rsid w:val="00B33EE6"/>
    <w:rsid w:val="00B3477E"/>
    <w:rsid w:val="00B35034"/>
    <w:rsid w:val="00B355EF"/>
    <w:rsid w:val="00B36C5B"/>
    <w:rsid w:val="00B37326"/>
    <w:rsid w:val="00B37666"/>
    <w:rsid w:val="00B37B39"/>
    <w:rsid w:val="00B4028B"/>
    <w:rsid w:val="00B40451"/>
    <w:rsid w:val="00B40C6C"/>
    <w:rsid w:val="00B41127"/>
    <w:rsid w:val="00B41756"/>
    <w:rsid w:val="00B418FD"/>
    <w:rsid w:val="00B422EF"/>
    <w:rsid w:val="00B42A60"/>
    <w:rsid w:val="00B42BCE"/>
    <w:rsid w:val="00B42E0C"/>
    <w:rsid w:val="00B438A1"/>
    <w:rsid w:val="00B43984"/>
    <w:rsid w:val="00B43D87"/>
    <w:rsid w:val="00B44026"/>
    <w:rsid w:val="00B44051"/>
    <w:rsid w:val="00B44381"/>
    <w:rsid w:val="00B456FF"/>
    <w:rsid w:val="00B45B3A"/>
    <w:rsid w:val="00B45D3C"/>
    <w:rsid w:val="00B45F8B"/>
    <w:rsid w:val="00B461CD"/>
    <w:rsid w:val="00B473D2"/>
    <w:rsid w:val="00B47ACA"/>
    <w:rsid w:val="00B50B47"/>
    <w:rsid w:val="00B50F1F"/>
    <w:rsid w:val="00B51B6D"/>
    <w:rsid w:val="00B51DE3"/>
    <w:rsid w:val="00B51EE3"/>
    <w:rsid w:val="00B522D3"/>
    <w:rsid w:val="00B53810"/>
    <w:rsid w:val="00B539F3"/>
    <w:rsid w:val="00B53AC7"/>
    <w:rsid w:val="00B5421A"/>
    <w:rsid w:val="00B5513D"/>
    <w:rsid w:val="00B5570E"/>
    <w:rsid w:val="00B5573B"/>
    <w:rsid w:val="00B55A6E"/>
    <w:rsid w:val="00B56A70"/>
    <w:rsid w:val="00B56C82"/>
    <w:rsid w:val="00B56E2B"/>
    <w:rsid w:val="00B5743D"/>
    <w:rsid w:val="00B60210"/>
    <w:rsid w:val="00B6063D"/>
    <w:rsid w:val="00B607C0"/>
    <w:rsid w:val="00B60E57"/>
    <w:rsid w:val="00B612DD"/>
    <w:rsid w:val="00B61306"/>
    <w:rsid w:val="00B61351"/>
    <w:rsid w:val="00B62E4F"/>
    <w:rsid w:val="00B63141"/>
    <w:rsid w:val="00B64379"/>
    <w:rsid w:val="00B647B3"/>
    <w:rsid w:val="00B64B2F"/>
    <w:rsid w:val="00B64D9E"/>
    <w:rsid w:val="00B652E8"/>
    <w:rsid w:val="00B6561F"/>
    <w:rsid w:val="00B66159"/>
    <w:rsid w:val="00B663C7"/>
    <w:rsid w:val="00B6662B"/>
    <w:rsid w:val="00B6677D"/>
    <w:rsid w:val="00B66B11"/>
    <w:rsid w:val="00B66B14"/>
    <w:rsid w:val="00B66DA8"/>
    <w:rsid w:val="00B66FC8"/>
    <w:rsid w:val="00B67036"/>
    <w:rsid w:val="00B6731B"/>
    <w:rsid w:val="00B6785E"/>
    <w:rsid w:val="00B67DB9"/>
    <w:rsid w:val="00B70C86"/>
    <w:rsid w:val="00B7118B"/>
    <w:rsid w:val="00B717A1"/>
    <w:rsid w:val="00B718A8"/>
    <w:rsid w:val="00B72A2E"/>
    <w:rsid w:val="00B72E20"/>
    <w:rsid w:val="00B72EE0"/>
    <w:rsid w:val="00B73121"/>
    <w:rsid w:val="00B731DC"/>
    <w:rsid w:val="00B73677"/>
    <w:rsid w:val="00B73B6B"/>
    <w:rsid w:val="00B73FC9"/>
    <w:rsid w:val="00B74A04"/>
    <w:rsid w:val="00B74D67"/>
    <w:rsid w:val="00B754CC"/>
    <w:rsid w:val="00B763D2"/>
    <w:rsid w:val="00B76F03"/>
    <w:rsid w:val="00B76F58"/>
    <w:rsid w:val="00B777DA"/>
    <w:rsid w:val="00B77E25"/>
    <w:rsid w:val="00B80009"/>
    <w:rsid w:val="00B80FD6"/>
    <w:rsid w:val="00B8111B"/>
    <w:rsid w:val="00B81571"/>
    <w:rsid w:val="00B81A5D"/>
    <w:rsid w:val="00B81E59"/>
    <w:rsid w:val="00B81E71"/>
    <w:rsid w:val="00B82805"/>
    <w:rsid w:val="00B8433A"/>
    <w:rsid w:val="00B845BB"/>
    <w:rsid w:val="00B847A1"/>
    <w:rsid w:val="00B84E02"/>
    <w:rsid w:val="00B8525A"/>
    <w:rsid w:val="00B857D8"/>
    <w:rsid w:val="00B860ED"/>
    <w:rsid w:val="00B864EE"/>
    <w:rsid w:val="00B865FE"/>
    <w:rsid w:val="00B87386"/>
    <w:rsid w:val="00B87714"/>
    <w:rsid w:val="00B87860"/>
    <w:rsid w:val="00B87A3F"/>
    <w:rsid w:val="00B87B21"/>
    <w:rsid w:val="00B87B8B"/>
    <w:rsid w:val="00B87BA0"/>
    <w:rsid w:val="00B87F1E"/>
    <w:rsid w:val="00B90255"/>
    <w:rsid w:val="00B9037C"/>
    <w:rsid w:val="00B90386"/>
    <w:rsid w:val="00B9039E"/>
    <w:rsid w:val="00B904FF"/>
    <w:rsid w:val="00B90E19"/>
    <w:rsid w:val="00B90FCF"/>
    <w:rsid w:val="00B9287E"/>
    <w:rsid w:val="00B92B29"/>
    <w:rsid w:val="00B93D08"/>
    <w:rsid w:val="00B93F0A"/>
    <w:rsid w:val="00B94740"/>
    <w:rsid w:val="00B94B3A"/>
    <w:rsid w:val="00B94F07"/>
    <w:rsid w:val="00B953BD"/>
    <w:rsid w:val="00B95E5B"/>
    <w:rsid w:val="00B96A22"/>
    <w:rsid w:val="00B96F53"/>
    <w:rsid w:val="00B97379"/>
    <w:rsid w:val="00B975C6"/>
    <w:rsid w:val="00B97705"/>
    <w:rsid w:val="00B97AFB"/>
    <w:rsid w:val="00B97C96"/>
    <w:rsid w:val="00BA0427"/>
    <w:rsid w:val="00BA10F2"/>
    <w:rsid w:val="00BA137D"/>
    <w:rsid w:val="00BA1579"/>
    <w:rsid w:val="00BA2C64"/>
    <w:rsid w:val="00BA2CC4"/>
    <w:rsid w:val="00BA30ED"/>
    <w:rsid w:val="00BA3858"/>
    <w:rsid w:val="00BA38C9"/>
    <w:rsid w:val="00BA38E1"/>
    <w:rsid w:val="00BA3A32"/>
    <w:rsid w:val="00BA3AF7"/>
    <w:rsid w:val="00BA3B3C"/>
    <w:rsid w:val="00BA3DFD"/>
    <w:rsid w:val="00BA3F75"/>
    <w:rsid w:val="00BA4016"/>
    <w:rsid w:val="00BA513C"/>
    <w:rsid w:val="00BA51B4"/>
    <w:rsid w:val="00BA547F"/>
    <w:rsid w:val="00BA5BD3"/>
    <w:rsid w:val="00BA63EB"/>
    <w:rsid w:val="00BA708E"/>
    <w:rsid w:val="00BA7FAF"/>
    <w:rsid w:val="00BB056E"/>
    <w:rsid w:val="00BB0E01"/>
    <w:rsid w:val="00BB17AF"/>
    <w:rsid w:val="00BB266F"/>
    <w:rsid w:val="00BB279B"/>
    <w:rsid w:val="00BB2C2F"/>
    <w:rsid w:val="00BB3579"/>
    <w:rsid w:val="00BB45C9"/>
    <w:rsid w:val="00BB4C29"/>
    <w:rsid w:val="00BB5A14"/>
    <w:rsid w:val="00BB5E7E"/>
    <w:rsid w:val="00BB6023"/>
    <w:rsid w:val="00BB63C4"/>
    <w:rsid w:val="00BB69C9"/>
    <w:rsid w:val="00BB6DA0"/>
    <w:rsid w:val="00BB75FA"/>
    <w:rsid w:val="00BB7EE4"/>
    <w:rsid w:val="00BC0631"/>
    <w:rsid w:val="00BC2C08"/>
    <w:rsid w:val="00BC2FA3"/>
    <w:rsid w:val="00BC30C6"/>
    <w:rsid w:val="00BC3831"/>
    <w:rsid w:val="00BC3855"/>
    <w:rsid w:val="00BC42DE"/>
    <w:rsid w:val="00BC48FF"/>
    <w:rsid w:val="00BC6418"/>
    <w:rsid w:val="00BC6A9E"/>
    <w:rsid w:val="00BC6C06"/>
    <w:rsid w:val="00BC6C68"/>
    <w:rsid w:val="00BC77D2"/>
    <w:rsid w:val="00BC7B51"/>
    <w:rsid w:val="00BC7F25"/>
    <w:rsid w:val="00BD0385"/>
    <w:rsid w:val="00BD045F"/>
    <w:rsid w:val="00BD12C4"/>
    <w:rsid w:val="00BD1B15"/>
    <w:rsid w:val="00BD1FF7"/>
    <w:rsid w:val="00BD2374"/>
    <w:rsid w:val="00BD2C23"/>
    <w:rsid w:val="00BD3080"/>
    <w:rsid w:val="00BD33D2"/>
    <w:rsid w:val="00BD37AC"/>
    <w:rsid w:val="00BD3A6D"/>
    <w:rsid w:val="00BD3E44"/>
    <w:rsid w:val="00BD46AF"/>
    <w:rsid w:val="00BD535E"/>
    <w:rsid w:val="00BD594F"/>
    <w:rsid w:val="00BD5E48"/>
    <w:rsid w:val="00BD6793"/>
    <w:rsid w:val="00BD6B42"/>
    <w:rsid w:val="00BD73BC"/>
    <w:rsid w:val="00BD77C2"/>
    <w:rsid w:val="00BE061E"/>
    <w:rsid w:val="00BE16D5"/>
    <w:rsid w:val="00BE1840"/>
    <w:rsid w:val="00BE2153"/>
    <w:rsid w:val="00BE25B5"/>
    <w:rsid w:val="00BE26C5"/>
    <w:rsid w:val="00BE2BB0"/>
    <w:rsid w:val="00BE3103"/>
    <w:rsid w:val="00BE3428"/>
    <w:rsid w:val="00BE42D1"/>
    <w:rsid w:val="00BE46D4"/>
    <w:rsid w:val="00BE5882"/>
    <w:rsid w:val="00BE60F3"/>
    <w:rsid w:val="00BE617E"/>
    <w:rsid w:val="00BE65A5"/>
    <w:rsid w:val="00BE6ADC"/>
    <w:rsid w:val="00BE6AE4"/>
    <w:rsid w:val="00BE76DD"/>
    <w:rsid w:val="00BE7E01"/>
    <w:rsid w:val="00BE7FE9"/>
    <w:rsid w:val="00BF005B"/>
    <w:rsid w:val="00BF06D6"/>
    <w:rsid w:val="00BF08BD"/>
    <w:rsid w:val="00BF0E9E"/>
    <w:rsid w:val="00BF11CB"/>
    <w:rsid w:val="00BF1361"/>
    <w:rsid w:val="00BF2042"/>
    <w:rsid w:val="00BF2AB1"/>
    <w:rsid w:val="00BF329B"/>
    <w:rsid w:val="00BF3B6A"/>
    <w:rsid w:val="00BF40B1"/>
    <w:rsid w:val="00BF41CE"/>
    <w:rsid w:val="00BF463B"/>
    <w:rsid w:val="00BF4A4A"/>
    <w:rsid w:val="00BF4E1B"/>
    <w:rsid w:val="00BF5390"/>
    <w:rsid w:val="00BF5745"/>
    <w:rsid w:val="00BF5B0E"/>
    <w:rsid w:val="00BF5BE9"/>
    <w:rsid w:val="00BF60E9"/>
    <w:rsid w:val="00BF6AE0"/>
    <w:rsid w:val="00BF6DA1"/>
    <w:rsid w:val="00BF776F"/>
    <w:rsid w:val="00BF79C4"/>
    <w:rsid w:val="00C002D2"/>
    <w:rsid w:val="00C00C09"/>
    <w:rsid w:val="00C00E47"/>
    <w:rsid w:val="00C0145D"/>
    <w:rsid w:val="00C0160C"/>
    <w:rsid w:val="00C01B20"/>
    <w:rsid w:val="00C01D74"/>
    <w:rsid w:val="00C026F4"/>
    <w:rsid w:val="00C03B94"/>
    <w:rsid w:val="00C03C1E"/>
    <w:rsid w:val="00C04872"/>
    <w:rsid w:val="00C04A93"/>
    <w:rsid w:val="00C05094"/>
    <w:rsid w:val="00C051B2"/>
    <w:rsid w:val="00C05220"/>
    <w:rsid w:val="00C0565A"/>
    <w:rsid w:val="00C05BB6"/>
    <w:rsid w:val="00C05DBC"/>
    <w:rsid w:val="00C063F8"/>
    <w:rsid w:val="00C065DA"/>
    <w:rsid w:val="00C0676C"/>
    <w:rsid w:val="00C0723F"/>
    <w:rsid w:val="00C0765B"/>
    <w:rsid w:val="00C0791B"/>
    <w:rsid w:val="00C07D72"/>
    <w:rsid w:val="00C07F15"/>
    <w:rsid w:val="00C10F25"/>
    <w:rsid w:val="00C1178B"/>
    <w:rsid w:val="00C11E64"/>
    <w:rsid w:val="00C11F8A"/>
    <w:rsid w:val="00C123CA"/>
    <w:rsid w:val="00C1248A"/>
    <w:rsid w:val="00C124AE"/>
    <w:rsid w:val="00C12DBC"/>
    <w:rsid w:val="00C133AB"/>
    <w:rsid w:val="00C136B6"/>
    <w:rsid w:val="00C13A44"/>
    <w:rsid w:val="00C13E2F"/>
    <w:rsid w:val="00C13E6C"/>
    <w:rsid w:val="00C15BE0"/>
    <w:rsid w:val="00C15EF3"/>
    <w:rsid w:val="00C1693E"/>
    <w:rsid w:val="00C1724C"/>
    <w:rsid w:val="00C173C2"/>
    <w:rsid w:val="00C173CB"/>
    <w:rsid w:val="00C1743F"/>
    <w:rsid w:val="00C17A54"/>
    <w:rsid w:val="00C17BCB"/>
    <w:rsid w:val="00C17F8D"/>
    <w:rsid w:val="00C205BF"/>
    <w:rsid w:val="00C2115F"/>
    <w:rsid w:val="00C2120A"/>
    <w:rsid w:val="00C21C60"/>
    <w:rsid w:val="00C21CD7"/>
    <w:rsid w:val="00C223D0"/>
    <w:rsid w:val="00C2276C"/>
    <w:rsid w:val="00C22856"/>
    <w:rsid w:val="00C22E06"/>
    <w:rsid w:val="00C2320B"/>
    <w:rsid w:val="00C233F5"/>
    <w:rsid w:val="00C24037"/>
    <w:rsid w:val="00C24824"/>
    <w:rsid w:val="00C24E94"/>
    <w:rsid w:val="00C2537A"/>
    <w:rsid w:val="00C26375"/>
    <w:rsid w:val="00C26BE9"/>
    <w:rsid w:val="00C27E1A"/>
    <w:rsid w:val="00C30A1B"/>
    <w:rsid w:val="00C30AC9"/>
    <w:rsid w:val="00C30EEB"/>
    <w:rsid w:val="00C3196F"/>
    <w:rsid w:val="00C3219F"/>
    <w:rsid w:val="00C336E0"/>
    <w:rsid w:val="00C33B8F"/>
    <w:rsid w:val="00C33DD4"/>
    <w:rsid w:val="00C3407C"/>
    <w:rsid w:val="00C34493"/>
    <w:rsid w:val="00C349E9"/>
    <w:rsid w:val="00C34A56"/>
    <w:rsid w:val="00C35A12"/>
    <w:rsid w:val="00C36369"/>
    <w:rsid w:val="00C3640D"/>
    <w:rsid w:val="00C3683B"/>
    <w:rsid w:val="00C37116"/>
    <w:rsid w:val="00C37E01"/>
    <w:rsid w:val="00C40068"/>
    <w:rsid w:val="00C405CF"/>
    <w:rsid w:val="00C40897"/>
    <w:rsid w:val="00C40B98"/>
    <w:rsid w:val="00C41539"/>
    <w:rsid w:val="00C415DF"/>
    <w:rsid w:val="00C41C2B"/>
    <w:rsid w:val="00C41FBB"/>
    <w:rsid w:val="00C4203B"/>
    <w:rsid w:val="00C420A8"/>
    <w:rsid w:val="00C42227"/>
    <w:rsid w:val="00C42DAE"/>
    <w:rsid w:val="00C42E97"/>
    <w:rsid w:val="00C4309D"/>
    <w:rsid w:val="00C4364B"/>
    <w:rsid w:val="00C43A3A"/>
    <w:rsid w:val="00C43D6D"/>
    <w:rsid w:val="00C444F3"/>
    <w:rsid w:val="00C44CEB"/>
    <w:rsid w:val="00C45030"/>
    <w:rsid w:val="00C4566F"/>
    <w:rsid w:val="00C4591D"/>
    <w:rsid w:val="00C4634F"/>
    <w:rsid w:val="00C46795"/>
    <w:rsid w:val="00C46916"/>
    <w:rsid w:val="00C4781B"/>
    <w:rsid w:val="00C478CD"/>
    <w:rsid w:val="00C47D89"/>
    <w:rsid w:val="00C505A3"/>
    <w:rsid w:val="00C50FE0"/>
    <w:rsid w:val="00C514C4"/>
    <w:rsid w:val="00C51617"/>
    <w:rsid w:val="00C5182B"/>
    <w:rsid w:val="00C51950"/>
    <w:rsid w:val="00C51A90"/>
    <w:rsid w:val="00C51CB8"/>
    <w:rsid w:val="00C51F56"/>
    <w:rsid w:val="00C52FEB"/>
    <w:rsid w:val="00C53AC7"/>
    <w:rsid w:val="00C53D3C"/>
    <w:rsid w:val="00C540DF"/>
    <w:rsid w:val="00C54D64"/>
    <w:rsid w:val="00C5520F"/>
    <w:rsid w:val="00C55C00"/>
    <w:rsid w:val="00C5602C"/>
    <w:rsid w:val="00C56173"/>
    <w:rsid w:val="00C5654A"/>
    <w:rsid w:val="00C568DC"/>
    <w:rsid w:val="00C57418"/>
    <w:rsid w:val="00C57710"/>
    <w:rsid w:val="00C57795"/>
    <w:rsid w:val="00C5798F"/>
    <w:rsid w:val="00C57CEE"/>
    <w:rsid w:val="00C6001D"/>
    <w:rsid w:val="00C60041"/>
    <w:rsid w:val="00C60150"/>
    <w:rsid w:val="00C60314"/>
    <w:rsid w:val="00C60DAB"/>
    <w:rsid w:val="00C620F4"/>
    <w:rsid w:val="00C62605"/>
    <w:rsid w:val="00C626BE"/>
    <w:rsid w:val="00C626D7"/>
    <w:rsid w:val="00C63105"/>
    <w:rsid w:val="00C63988"/>
    <w:rsid w:val="00C63A6E"/>
    <w:rsid w:val="00C641A4"/>
    <w:rsid w:val="00C64477"/>
    <w:rsid w:val="00C64753"/>
    <w:rsid w:val="00C64A8E"/>
    <w:rsid w:val="00C65821"/>
    <w:rsid w:val="00C65D82"/>
    <w:rsid w:val="00C66570"/>
    <w:rsid w:val="00C666D3"/>
    <w:rsid w:val="00C66881"/>
    <w:rsid w:val="00C66A30"/>
    <w:rsid w:val="00C670C1"/>
    <w:rsid w:val="00C67318"/>
    <w:rsid w:val="00C676B5"/>
    <w:rsid w:val="00C677C2"/>
    <w:rsid w:val="00C70903"/>
    <w:rsid w:val="00C70C3A"/>
    <w:rsid w:val="00C70F52"/>
    <w:rsid w:val="00C71406"/>
    <w:rsid w:val="00C719BD"/>
    <w:rsid w:val="00C71A5F"/>
    <w:rsid w:val="00C71BD6"/>
    <w:rsid w:val="00C71FA8"/>
    <w:rsid w:val="00C72374"/>
    <w:rsid w:val="00C72538"/>
    <w:rsid w:val="00C72B69"/>
    <w:rsid w:val="00C72EB2"/>
    <w:rsid w:val="00C72ECF"/>
    <w:rsid w:val="00C72F58"/>
    <w:rsid w:val="00C7308F"/>
    <w:rsid w:val="00C73A10"/>
    <w:rsid w:val="00C74279"/>
    <w:rsid w:val="00C744BC"/>
    <w:rsid w:val="00C74721"/>
    <w:rsid w:val="00C74EFF"/>
    <w:rsid w:val="00C75170"/>
    <w:rsid w:val="00C751EA"/>
    <w:rsid w:val="00C7592E"/>
    <w:rsid w:val="00C766C2"/>
    <w:rsid w:val="00C76CA7"/>
    <w:rsid w:val="00C771E9"/>
    <w:rsid w:val="00C779D0"/>
    <w:rsid w:val="00C779EC"/>
    <w:rsid w:val="00C8129D"/>
    <w:rsid w:val="00C81410"/>
    <w:rsid w:val="00C815B7"/>
    <w:rsid w:val="00C81B48"/>
    <w:rsid w:val="00C82124"/>
    <w:rsid w:val="00C823BF"/>
    <w:rsid w:val="00C82A59"/>
    <w:rsid w:val="00C82B4C"/>
    <w:rsid w:val="00C82B63"/>
    <w:rsid w:val="00C82D4E"/>
    <w:rsid w:val="00C8394A"/>
    <w:rsid w:val="00C83D1A"/>
    <w:rsid w:val="00C846D8"/>
    <w:rsid w:val="00C84ABF"/>
    <w:rsid w:val="00C84FCA"/>
    <w:rsid w:val="00C8513C"/>
    <w:rsid w:val="00C85CD8"/>
    <w:rsid w:val="00C85ECB"/>
    <w:rsid w:val="00C8605B"/>
    <w:rsid w:val="00C86347"/>
    <w:rsid w:val="00C86576"/>
    <w:rsid w:val="00C86603"/>
    <w:rsid w:val="00C867BB"/>
    <w:rsid w:val="00C86E1A"/>
    <w:rsid w:val="00C87287"/>
    <w:rsid w:val="00C872C3"/>
    <w:rsid w:val="00C875AB"/>
    <w:rsid w:val="00C87F6F"/>
    <w:rsid w:val="00C90562"/>
    <w:rsid w:val="00C90626"/>
    <w:rsid w:val="00C90903"/>
    <w:rsid w:val="00C90B75"/>
    <w:rsid w:val="00C90CDA"/>
    <w:rsid w:val="00C90DAD"/>
    <w:rsid w:val="00C91F94"/>
    <w:rsid w:val="00C927FB"/>
    <w:rsid w:val="00C929BF"/>
    <w:rsid w:val="00C9384D"/>
    <w:rsid w:val="00C93AC9"/>
    <w:rsid w:val="00C94047"/>
    <w:rsid w:val="00C94A20"/>
    <w:rsid w:val="00C95206"/>
    <w:rsid w:val="00C9539E"/>
    <w:rsid w:val="00C9546B"/>
    <w:rsid w:val="00C957DB"/>
    <w:rsid w:val="00C95FF0"/>
    <w:rsid w:val="00C9622C"/>
    <w:rsid w:val="00C96B66"/>
    <w:rsid w:val="00C96D5F"/>
    <w:rsid w:val="00C96F2C"/>
    <w:rsid w:val="00C9728B"/>
    <w:rsid w:val="00C97341"/>
    <w:rsid w:val="00CA0764"/>
    <w:rsid w:val="00CA095D"/>
    <w:rsid w:val="00CA09B6"/>
    <w:rsid w:val="00CA0B93"/>
    <w:rsid w:val="00CA1468"/>
    <w:rsid w:val="00CA14D1"/>
    <w:rsid w:val="00CA14D3"/>
    <w:rsid w:val="00CA1629"/>
    <w:rsid w:val="00CA1988"/>
    <w:rsid w:val="00CA19DE"/>
    <w:rsid w:val="00CA1E59"/>
    <w:rsid w:val="00CA1FA3"/>
    <w:rsid w:val="00CA310C"/>
    <w:rsid w:val="00CA3E1D"/>
    <w:rsid w:val="00CA54C2"/>
    <w:rsid w:val="00CA5CC2"/>
    <w:rsid w:val="00CA6003"/>
    <w:rsid w:val="00CA6804"/>
    <w:rsid w:val="00CA6EDD"/>
    <w:rsid w:val="00CA7632"/>
    <w:rsid w:val="00CA77E7"/>
    <w:rsid w:val="00CA7D0F"/>
    <w:rsid w:val="00CA7E63"/>
    <w:rsid w:val="00CB0224"/>
    <w:rsid w:val="00CB0685"/>
    <w:rsid w:val="00CB0D8B"/>
    <w:rsid w:val="00CB0DE9"/>
    <w:rsid w:val="00CB0EBD"/>
    <w:rsid w:val="00CB1251"/>
    <w:rsid w:val="00CB13E3"/>
    <w:rsid w:val="00CB146E"/>
    <w:rsid w:val="00CB197A"/>
    <w:rsid w:val="00CB19BA"/>
    <w:rsid w:val="00CB1E30"/>
    <w:rsid w:val="00CB222F"/>
    <w:rsid w:val="00CB2768"/>
    <w:rsid w:val="00CB283B"/>
    <w:rsid w:val="00CB2A60"/>
    <w:rsid w:val="00CB2AEF"/>
    <w:rsid w:val="00CB31EF"/>
    <w:rsid w:val="00CB347D"/>
    <w:rsid w:val="00CB3D79"/>
    <w:rsid w:val="00CB4BC6"/>
    <w:rsid w:val="00CB4C7B"/>
    <w:rsid w:val="00CB5E7A"/>
    <w:rsid w:val="00CB65DE"/>
    <w:rsid w:val="00CB6681"/>
    <w:rsid w:val="00CB69DB"/>
    <w:rsid w:val="00CB73C7"/>
    <w:rsid w:val="00CB78A3"/>
    <w:rsid w:val="00CB7A3D"/>
    <w:rsid w:val="00CC02B9"/>
    <w:rsid w:val="00CC0FED"/>
    <w:rsid w:val="00CC0FF9"/>
    <w:rsid w:val="00CC10A6"/>
    <w:rsid w:val="00CC151A"/>
    <w:rsid w:val="00CC1B10"/>
    <w:rsid w:val="00CC1E36"/>
    <w:rsid w:val="00CC1FF5"/>
    <w:rsid w:val="00CC2C6A"/>
    <w:rsid w:val="00CC30F2"/>
    <w:rsid w:val="00CC39B1"/>
    <w:rsid w:val="00CC40EF"/>
    <w:rsid w:val="00CC4506"/>
    <w:rsid w:val="00CC4D7C"/>
    <w:rsid w:val="00CC4FEC"/>
    <w:rsid w:val="00CC518C"/>
    <w:rsid w:val="00CC5279"/>
    <w:rsid w:val="00CC5907"/>
    <w:rsid w:val="00CC59E3"/>
    <w:rsid w:val="00CC5CEB"/>
    <w:rsid w:val="00CC5D0C"/>
    <w:rsid w:val="00CC5F53"/>
    <w:rsid w:val="00CC6032"/>
    <w:rsid w:val="00CC6168"/>
    <w:rsid w:val="00CC6C4A"/>
    <w:rsid w:val="00CC73B9"/>
    <w:rsid w:val="00CC790F"/>
    <w:rsid w:val="00CC794F"/>
    <w:rsid w:val="00CD11F3"/>
    <w:rsid w:val="00CD1758"/>
    <w:rsid w:val="00CD208B"/>
    <w:rsid w:val="00CD21F2"/>
    <w:rsid w:val="00CD2706"/>
    <w:rsid w:val="00CD28AB"/>
    <w:rsid w:val="00CD29F9"/>
    <w:rsid w:val="00CD2FCE"/>
    <w:rsid w:val="00CD33D6"/>
    <w:rsid w:val="00CD3456"/>
    <w:rsid w:val="00CD356C"/>
    <w:rsid w:val="00CD4A20"/>
    <w:rsid w:val="00CD581D"/>
    <w:rsid w:val="00CD5B5E"/>
    <w:rsid w:val="00CD65E6"/>
    <w:rsid w:val="00CD7555"/>
    <w:rsid w:val="00CE04DF"/>
    <w:rsid w:val="00CE0CC5"/>
    <w:rsid w:val="00CE0E87"/>
    <w:rsid w:val="00CE0FE9"/>
    <w:rsid w:val="00CE240C"/>
    <w:rsid w:val="00CE2732"/>
    <w:rsid w:val="00CE2921"/>
    <w:rsid w:val="00CE373A"/>
    <w:rsid w:val="00CE45F3"/>
    <w:rsid w:val="00CE4D59"/>
    <w:rsid w:val="00CE508F"/>
    <w:rsid w:val="00CE53A3"/>
    <w:rsid w:val="00CE5BC8"/>
    <w:rsid w:val="00CE5EE4"/>
    <w:rsid w:val="00CE5F78"/>
    <w:rsid w:val="00CE60A9"/>
    <w:rsid w:val="00CE60E4"/>
    <w:rsid w:val="00CE6543"/>
    <w:rsid w:val="00CE6C3D"/>
    <w:rsid w:val="00CE7091"/>
    <w:rsid w:val="00CE7C13"/>
    <w:rsid w:val="00CE7F9A"/>
    <w:rsid w:val="00CF0104"/>
    <w:rsid w:val="00CF0AD0"/>
    <w:rsid w:val="00CF109A"/>
    <w:rsid w:val="00CF12E4"/>
    <w:rsid w:val="00CF219A"/>
    <w:rsid w:val="00CF2B91"/>
    <w:rsid w:val="00CF4156"/>
    <w:rsid w:val="00CF47D8"/>
    <w:rsid w:val="00CF4841"/>
    <w:rsid w:val="00CF49A8"/>
    <w:rsid w:val="00CF4CD3"/>
    <w:rsid w:val="00CF5613"/>
    <w:rsid w:val="00CF5AB4"/>
    <w:rsid w:val="00CF5E57"/>
    <w:rsid w:val="00CF683A"/>
    <w:rsid w:val="00CF6B70"/>
    <w:rsid w:val="00CF6DCA"/>
    <w:rsid w:val="00CF7E08"/>
    <w:rsid w:val="00CF7E20"/>
    <w:rsid w:val="00CF7E51"/>
    <w:rsid w:val="00CF7F75"/>
    <w:rsid w:val="00D004AD"/>
    <w:rsid w:val="00D00DB9"/>
    <w:rsid w:val="00D00F4D"/>
    <w:rsid w:val="00D011D4"/>
    <w:rsid w:val="00D0155F"/>
    <w:rsid w:val="00D01824"/>
    <w:rsid w:val="00D01B1B"/>
    <w:rsid w:val="00D01DE7"/>
    <w:rsid w:val="00D024DD"/>
    <w:rsid w:val="00D026E0"/>
    <w:rsid w:val="00D02BA3"/>
    <w:rsid w:val="00D02CC1"/>
    <w:rsid w:val="00D02D4F"/>
    <w:rsid w:val="00D04324"/>
    <w:rsid w:val="00D047EA"/>
    <w:rsid w:val="00D049E6"/>
    <w:rsid w:val="00D051CF"/>
    <w:rsid w:val="00D05371"/>
    <w:rsid w:val="00D058AD"/>
    <w:rsid w:val="00D06530"/>
    <w:rsid w:val="00D06700"/>
    <w:rsid w:val="00D068C1"/>
    <w:rsid w:val="00D06EC4"/>
    <w:rsid w:val="00D074E0"/>
    <w:rsid w:val="00D07663"/>
    <w:rsid w:val="00D078B2"/>
    <w:rsid w:val="00D10790"/>
    <w:rsid w:val="00D10B15"/>
    <w:rsid w:val="00D10D16"/>
    <w:rsid w:val="00D11891"/>
    <w:rsid w:val="00D11CB4"/>
    <w:rsid w:val="00D11F08"/>
    <w:rsid w:val="00D11FC0"/>
    <w:rsid w:val="00D12F2B"/>
    <w:rsid w:val="00D1344B"/>
    <w:rsid w:val="00D140CD"/>
    <w:rsid w:val="00D14E9F"/>
    <w:rsid w:val="00D14F28"/>
    <w:rsid w:val="00D15202"/>
    <w:rsid w:val="00D153A8"/>
    <w:rsid w:val="00D155D7"/>
    <w:rsid w:val="00D15A24"/>
    <w:rsid w:val="00D163A3"/>
    <w:rsid w:val="00D166D1"/>
    <w:rsid w:val="00D16A9F"/>
    <w:rsid w:val="00D171E5"/>
    <w:rsid w:val="00D172AA"/>
    <w:rsid w:val="00D1783C"/>
    <w:rsid w:val="00D17F1A"/>
    <w:rsid w:val="00D20193"/>
    <w:rsid w:val="00D201D1"/>
    <w:rsid w:val="00D204D4"/>
    <w:rsid w:val="00D20581"/>
    <w:rsid w:val="00D20B05"/>
    <w:rsid w:val="00D20BE1"/>
    <w:rsid w:val="00D22659"/>
    <w:rsid w:val="00D2281D"/>
    <w:rsid w:val="00D22CA7"/>
    <w:rsid w:val="00D22DD7"/>
    <w:rsid w:val="00D232C6"/>
    <w:rsid w:val="00D243A4"/>
    <w:rsid w:val="00D2441A"/>
    <w:rsid w:val="00D24452"/>
    <w:rsid w:val="00D24DA6"/>
    <w:rsid w:val="00D25F70"/>
    <w:rsid w:val="00D261D1"/>
    <w:rsid w:val="00D265F2"/>
    <w:rsid w:val="00D26A39"/>
    <w:rsid w:val="00D26DA7"/>
    <w:rsid w:val="00D26E0E"/>
    <w:rsid w:val="00D270F5"/>
    <w:rsid w:val="00D27A25"/>
    <w:rsid w:val="00D27C5B"/>
    <w:rsid w:val="00D30FD5"/>
    <w:rsid w:val="00D31592"/>
    <w:rsid w:val="00D315F4"/>
    <w:rsid w:val="00D31801"/>
    <w:rsid w:val="00D322D7"/>
    <w:rsid w:val="00D32F66"/>
    <w:rsid w:val="00D33231"/>
    <w:rsid w:val="00D333DF"/>
    <w:rsid w:val="00D343F6"/>
    <w:rsid w:val="00D34770"/>
    <w:rsid w:val="00D34795"/>
    <w:rsid w:val="00D349A7"/>
    <w:rsid w:val="00D34E13"/>
    <w:rsid w:val="00D34E2A"/>
    <w:rsid w:val="00D34F29"/>
    <w:rsid w:val="00D35152"/>
    <w:rsid w:val="00D35163"/>
    <w:rsid w:val="00D36998"/>
    <w:rsid w:val="00D36BD2"/>
    <w:rsid w:val="00D36ECF"/>
    <w:rsid w:val="00D371BE"/>
    <w:rsid w:val="00D37A76"/>
    <w:rsid w:val="00D37FE9"/>
    <w:rsid w:val="00D40348"/>
    <w:rsid w:val="00D41118"/>
    <w:rsid w:val="00D414B9"/>
    <w:rsid w:val="00D415C6"/>
    <w:rsid w:val="00D4180E"/>
    <w:rsid w:val="00D41FD7"/>
    <w:rsid w:val="00D4249B"/>
    <w:rsid w:val="00D42C50"/>
    <w:rsid w:val="00D42E27"/>
    <w:rsid w:val="00D43188"/>
    <w:rsid w:val="00D43938"/>
    <w:rsid w:val="00D43E30"/>
    <w:rsid w:val="00D4412C"/>
    <w:rsid w:val="00D444B0"/>
    <w:rsid w:val="00D445DD"/>
    <w:rsid w:val="00D4466A"/>
    <w:rsid w:val="00D44D0B"/>
    <w:rsid w:val="00D44E5C"/>
    <w:rsid w:val="00D463E9"/>
    <w:rsid w:val="00D466F4"/>
    <w:rsid w:val="00D46C8E"/>
    <w:rsid w:val="00D46CC8"/>
    <w:rsid w:val="00D472D3"/>
    <w:rsid w:val="00D478B6"/>
    <w:rsid w:val="00D50051"/>
    <w:rsid w:val="00D50325"/>
    <w:rsid w:val="00D5043D"/>
    <w:rsid w:val="00D5079D"/>
    <w:rsid w:val="00D50D7B"/>
    <w:rsid w:val="00D5105F"/>
    <w:rsid w:val="00D51089"/>
    <w:rsid w:val="00D51A44"/>
    <w:rsid w:val="00D51B8B"/>
    <w:rsid w:val="00D51FF7"/>
    <w:rsid w:val="00D5315F"/>
    <w:rsid w:val="00D536A5"/>
    <w:rsid w:val="00D53714"/>
    <w:rsid w:val="00D5409E"/>
    <w:rsid w:val="00D54336"/>
    <w:rsid w:val="00D544A4"/>
    <w:rsid w:val="00D5457C"/>
    <w:rsid w:val="00D546C2"/>
    <w:rsid w:val="00D54B70"/>
    <w:rsid w:val="00D54BC4"/>
    <w:rsid w:val="00D54D4C"/>
    <w:rsid w:val="00D54DA9"/>
    <w:rsid w:val="00D54F6A"/>
    <w:rsid w:val="00D56036"/>
    <w:rsid w:val="00D56630"/>
    <w:rsid w:val="00D566A0"/>
    <w:rsid w:val="00D56EDB"/>
    <w:rsid w:val="00D60062"/>
    <w:rsid w:val="00D60A69"/>
    <w:rsid w:val="00D60FD5"/>
    <w:rsid w:val="00D6188E"/>
    <w:rsid w:val="00D61C3A"/>
    <w:rsid w:val="00D61CC8"/>
    <w:rsid w:val="00D6227F"/>
    <w:rsid w:val="00D6264F"/>
    <w:rsid w:val="00D62B26"/>
    <w:rsid w:val="00D62C04"/>
    <w:rsid w:val="00D6360D"/>
    <w:rsid w:val="00D63835"/>
    <w:rsid w:val="00D63CA7"/>
    <w:rsid w:val="00D63F6E"/>
    <w:rsid w:val="00D64154"/>
    <w:rsid w:val="00D642BA"/>
    <w:rsid w:val="00D642E6"/>
    <w:rsid w:val="00D64B94"/>
    <w:rsid w:val="00D64EDB"/>
    <w:rsid w:val="00D65201"/>
    <w:rsid w:val="00D652F4"/>
    <w:rsid w:val="00D65798"/>
    <w:rsid w:val="00D65C3D"/>
    <w:rsid w:val="00D66E1E"/>
    <w:rsid w:val="00D6703E"/>
    <w:rsid w:val="00D67487"/>
    <w:rsid w:val="00D67999"/>
    <w:rsid w:val="00D67AF9"/>
    <w:rsid w:val="00D67DBA"/>
    <w:rsid w:val="00D70043"/>
    <w:rsid w:val="00D7088B"/>
    <w:rsid w:val="00D709FC"/>
    <w:rsid w:val="00D70C4C"/>
    <w:rsid w:val="00D71E53"/>
    <w:rsid w:val="00D722A6"/>
    <w:rsid w:val="00D72FBE"/>
    <w:rsid w:val="00D739AD"/>
    <w:rsid w:val="00D73A41"/>
    <w:rsid w:val="00D73CB5"/>
    <w:rsid w:val="00D74360"/>
    <w:rsid w:val="00D743AE"/>
    <w:rsid w:val="00D74599"/>
    <w:rsid w:val="00D74858"/>
    <w:rsid w:val="00D74A5D"/>
    <w:rsid w:val="00D74EAB"/>
    <w:rsid w:val="00D7639F"/>
    <w:rsid w:val="00D76412"/>
    <w:rsid w:val="00D76A84"/>
    <w:rsid w:val="00D77E90"/>
    <w:rsid w:val="00D806CD"/>
    <w:rsid w:val="00D80A0B"/>
    <w:rsid w:val="00D80A14"/>
    <w:rsid w:val="00D81B72"/>
    <w:rsid w:val="00D81D3D"/>
    <w:rsid w:val="00D81EE2"/>
    <w:rsid w:val="00D8236F"/>
    <w:rsid w:val="00D82534"/>
    <w:rsid w:val="00D82C53"/>
    <w:rsid w:val="00D82D6B"/>
    <w:rsid w:val="00D83035"/>
    <w:rsid w:val="00D8379C"/>
    <w:rsid w:val="00D83C68"/>
    <w:rsid w:val="00D83D9E"/>
    <w:rsid w:val="00D8474C"/>
    <w:rsid w:val="00D84E2A"/>
    <w:rsid w:val="00D84F6A"/>
    <w:rsid w:val="00D84F7E"/>
    <w:rsid w:val="00D85264"/>
    <w:rsid w:val="00D85380"/>
    <w:rsid w:val="00D85610"/>
    <w:rsid w:val="00D858B1"/>
    <w:rsid w:val="00D859C3"/>
    <w:rsid w:val="00D85A4F"/>
    <w:rsid w:val="00D85DF6"/>
    <w:rsid w:val="00D86F88"/>
    <w:rsid w:val="00D870CC"/>
    <w:rsid w:val="00D87289"/>
    <w:rsid w:val="00D87D2C"/>
    <w:rsid w:val="00D91947"/>
    <w:rsid w:val="00D9223B"/>
    <w:rsid w:val="00D92292"/>
    <w:rsid w:val="00D92B86"/>
    <w:rsid w:val="00D92D52"/>
    <w:rsid w:val="00D92D79"/>
    <w:rsid w:val="00D92DA9"/>
    <w:rsid w:val="00D9336E"/>
    <w:rsid w:val="00D9347D"/>
    <w:rsid w:val="00D936C8"/>
    <w:rsid w:val="00D93AB0"/>
    <w:rsid w:val="00D93F7C"/>
    <w:rsid w:val="00D949DB"/>
    <w:rsid w:val="00D94A02"/>
    <w:rsid w:val="00D94A9B"/>
    <w:rsid w:val="00D94BC4"/>
    <w:rsid w:val="00D94CE1"/>
    <w:rsid w:val="00D94DA9"/>
    <w:rsid w:val="00D95079"/>
    <w:rsid w:val="00D952BA"/>
    <w:rsid w:val="00D95A9F"/>
    <w:rsid w:val="00D962CD"/>
    <w:rsid w:val="00D96A2C"/>
    <w:rsid w:val="00D97181"/>
    <w:rsid w:val="00D97831"/>
    <w:rsid w:val="00D97848"/>
    <w:rsid w:val="00D9797A"/>
    <w:rsid w:val="00D97BCF"/>
    <w:rsid w:val="00DA0C95"/>
    <w:rsid w:val="00DA0F7A"/>
    <w:rsid w:val="00DA13EB"/>
    <w:rsid w:val="00DA1526"/>
    <w:rsid w:val="00DA2152"/>
    <w:rsid w:val="00DA2CF2"/>
    <w:rsid w:val="00DA4127"/>
    <w:rsid w:val="00DA632C"/>
    <w:rsid w:val="00DA6620"/>
    <w:rsid w:val="00DA6740"/>
    <w:rsid w:val="00DA7012"/>
    <w:rsid w:val="00DA756D"/>
    <w:rsid w:val="00DA7E01"/>
    <w:rsid w:val="00DB020E"/>
    <w:rsid w:val="00DB0A04"/>
    <w:rsid w:val="00DB0E2B"/>
    <w:rsid w:val="00DB158D"/>
    <w:rsid w:val="00DB1C29"/>
    <w:rsid w:val="00DB2109"/>
    <w:rsid w:val="00DB21B4"/>
    <w:rsid w:val="00DB21E7"/>
    <w:rsid w:val="00DB25A6"/>
    <w:rsid w:val="00DB26CA"/>
    <w:rsid w:val="00DB283A"/>
    <w:rsid w:val="00DB2E41"/>
    <w:rsid w:val="00DB31FD"/>
    <w:rsid w:val="00DB3316"/>
    <w:rsid w:val="00DB3586"/>
    <w:rsid w:val="00DB368D"/>
    <w:rsid w:val="00DB4217"/>
    <w:rsid w:val="00DB477D"/>
    <w:rsid w:val="00DB47F3"/>
    <w:rsid w:val="00DB4C1E"/>
    <w:rsid w:val="00DB4F41"/>
    <w:rsid w:val="00DB4FA2"/>
    <w:rsid w:val="00DB51D6"/>
    <w:rsid w:val="00DB5220"/>
    <w:rsid w:val="00DB5239"/>
    <w:rsid w:val="00DB6122"/>
    <w:rsid w:val="00DB6DD2"/>
    <w:rsid w:val="00DC03EF"/>
    <w:rsid w:val="00DC0510"/>
    <w:rsid w:val="00DC0685"/>
    <w:rsid w:val="00DC0D4A"/>
    <w:rsid w:val="00DC1243"/>
    <w:rsid w:val="00DC15BA"/>
    <w:rsid w:val="00DC1E44"/>
    <w:rsid w:val="00DC1EC0"/>
    <w:rsid w:val="00DC22CD"/>
    <w:rsid w:val="00DC28F3"/>
    <w:rsid w:val="00DC31BE"/>
    <w:rsid w:val="00DC36BC"/>
    <w:rsid w:val="00DC3BD2"/>
    <w:rsid w:val="00DC40C6"/>
    <w:rsid w:val="00DC44F1"/>
    <w:rsid w:val="00DC49A5"/>
    <w:rsid w:val="00DC4BEE"/>
    <w:rsid w:val="00DC5116"/>
    <w:rsid w:val="00DC525A"/>
    <w:rsid w:val="00DC56F7"/>
    <w:rsid w:val="00DC6201"/>
    <w:rsid w:val="00DC6252"/>
    <w:rsid w:val="00DC64D0"/>
    <w:rsid w:val="00DC694F"/>
    <w:rsid w:val="00DC7337"/>
    <w:rsid w:val="00DC75C4"/>
    <w:rsid w:val="00DC7BF1"/>
    <w:rsid w:val="00DD0373"/>
    <w:rsid w:val="00DD0717"/>
    <w:rsid w:val="00DD0777"/>
    <w:rsid w:val="00DD0B59"/>
    <w:rsid w:val="00DD0BA7"/>
    <w:rsid w:val="00DD0E1A"/>
    <w:rsid w:val="00DD17F6"/>
    <w:rsid w:val="00DD258B"/>
    <w:rsid w:val="00DD2BF8"/>
    <w:rsid w:val="00DD3724"/>
    <w:rsid w:val="00DD3757"/>
    <w:rsid w:val="00DD3834"/>
    <w:rsid w:val="00DD3911"/>
    <w:rsid w:val="00DD3D92"/>
    <w:rsid w:val="00DD4198"/>
    <w:rsid w:val="00DD420E"/>
    <w:rsid w:val="00DD4B78"/>
    <w:rsid w:val="00DD56CC"/>
    <w:rsid w:val="00DD56DB"/>
    <w:rsid w:val="00DD5D46"/>
    <w:rsid w:val="00DD609D"/>
    <w:rsid w:val="00DD67E1"/>
    <w:rsid w:val="00DD687D"/>
    <w:rsid w:val="00DD69E3"/>
    <w:rsid w:val="00DD6A88"/>
    <w:rsid w:val="00DD6B44"/>
    <w:rsid w:val="00DD6E0E"/>
    <w:rsid w:val="00DD779E"/>
    <w:rsid w:val="00DD78E7"/>
    <w:rsid w:val="00DD7B33"/>
    <w:rsid w:val="00DD7BBF"/>
    <w:rsid w:val="00DD7D0A"/>
    <w:rsid w:val="00DE0394"/>
    <w:rsid w:val="00DE04F8"/>
    <w:rsid w:val="00DE06E5"/>
    <w:rsid w:val="00DE0A12"/>
    <w:rsid w:val="00DE194A"/>
    <w:rsid w:val="00DE1E6E"/>
    <w:rsid w:val="00DE2132"/>
    <w:rsid w:val="00DE3726"/>
    <w:rsid w:val="00DE37AA"/>
    <w:rsid w:val="00DE4AC6"/>
    <w:rsid w:val="00DE4AFA"/>
    <w:rsid w:val="00DE4DE5"/>
    <w:rsid w:val="00DE59A2"/>
    <w:rsid w:val="00DE5DB5"/>
    <w:rsid w:val="00DE5F88"/>
    <w:rsid w:val="00DE643F"/>
    <w:rsid w:val="00DE689A"/>
    <w:rsid w:val="00DE6937"/>
    <w:rsid w:val="00DE6CBE"/>
    <w:rsid w:val="00DE6DD9"/>
    <w:rsid w:val="00DE6F49"/>
    <w:rsid w:val="00DE7029"/>
    <w:rsid w:val="00DE7311"/>
    <w:rsid w:val="00DE75F3"/>
    <w:rsid w:val="00DE7A00"/>
    <w:rsid w:val="00DF00E7"/>
    <w:rsid w:val="00DF08B6"/>
    <w:rsid w:val="00DF092D"/>
    <w:rsid w:val="00DF0A54"/>
    <w:rsid w:val="00DF25E0"/>
    <w:rsid w:val="00DF26D6"/>
    <w:rsid w:val="00DF2ED0"/>
    <w:rsid w:val="00DF2FA6"/>
    <w:rsid w:val="00DF3275"/>
    <w:rsid w:val="00DF357A"/>
    <w:rsid w:val="00DF4191"/>
    <w:rsid w:val="00DF469A"/>
    <w:rsid w:val="00DF5053"/>
    <w:rsid w:val="00DF5ACD"/>
    <w:rsid w:val="00DF5D09"/>
    <w:rsid w:val="00DF5E3E"/>
    <w:rsid w:val="00DF619E"/>
    <w:rsid w:val="00DF6716"/>
    <w:rsid w:val="00DF6731"/>
    <w:rsid w:val="00DF67CD"/>
    <w:rsid w:val="00DF7373"/>
    <w:rsid w:val="00DF75DE"/>
    <w:rsid w:val="00DF7B5A"/>
    <w:rsid w:val="00DF7BC9"/>
    <w:rsid w:val="00E00676"/>
    <w:rsid w:val="00E00E7D"/>
    <w:rsid w:val="00E00E8C"/>
    <w:rsid w:val="00E0124B"/>
    <w:rsid w:val="00E01353"/>
    <w:rsid w:val="00E026F6"/>
    <w:rsid w:val="00E02BA2"/>
    <w:rsid w:val="00E02FD1"/>
    <w:rsid w:val="00E03954"/>
    <w:rsid w:val="00E06052"/>
    <w:rsid w:val="00E0615E"/>
    <w:rsid w:val="00E0650A"/>
    <w:rsid w:val="00E06852"/>
    <w:rsid w:val="00E06933"/>
    <w:rsid w:val="00E0694A"/>
    <w:rsid w:val="00E06C06"/>
    <w:rsid w:val="00E07635"/>
    <w:rsid w:val="00E07BA4"/>
    <w:rsid w:val="00E07E50"/>
    <w:rsid w:val="00E100CD"/>
    <w:rsid w:val="00E1041A"/>
    <w:rsid w:val="00E10FDC"/>
    <w:rsid w:val="00E11625"/>
    <w:rsid w:val="00E11B76"/>
    <w:rsid w:val="00E124D3"/>
    <w:rsid w:val="00E124E8"/>
    <w:rsid w:val="00E12575"/>
    <w:rsid w:val="00E129CC"/>
    <w:rsid w:val="00E130A3"/>
    <w:rsid w:val="00E1343F"/>
    <w:rsid w:val="00E135FE"/>
    <w:rsid w:val="00E13813"/>
    <w:rsid w:val="00E13C9C"/>
    <w:rsid w:val="00E14405"/>
    <w:rsid w:val="00E14910"/>
    <w:rsid w:val="00E14BE1"/>
    <w:rsid w:val="00E1605B"/>
    <w:rsid w:val="00E17025"/>
    <w:rsid w:val="00E176CF"/>
    <w:rsid w:val="00E179EB"/>
    <w:rsid w:val="00E17ADC"/>
    <w:rsid w:val="00E17DC0"/>
    <w:rsid w:val="00E202DE"/>
    <w:rsid w:val="00E20E38"/>
    <w:rsid w:val="00E223E3"/>
    <w:rsid w:val="00E22AAC"/>
    <w:rsid w:val="00E233EE"/>
    <w:rsid w:val="00E23651"/>
    <w:rsid w:val="00E24C06"/>
    <w:rsid w:val="00E25012"/>
    <w:rsid w:val="00E25B6B"/>
    <w:rsid w:val="00E25D59"/>
    <w:rsid w:val="00E26777"/>
    <w:rsid w:val="00E270B0"/>
    <w:rsid w:val="00E270EC"/>
    <w:rsid w:val="00E275D3"/>
    <w:rsid w:val="00E3009B"/>
    <w:rsid w:val="00E30597"/>
    <w:rsid w:val="00E313B9"/>
    <w:rsid w:val="00E31840"/>
    <w:rsid w:val="00E319BB"/>
    <w:rsid w:val="00E3206C"/>
    <w:rsid w:val="00E32281"/>
    <w:rsid w:val="00E32813"/>
    <w:rsid w:val="00E343A9"/>
    <w:rsid w:val="00E34A1D"/>
    <w:rsid w:val="00E34B73"/>
    <w:rsid w:val="00E34E04"/>
    <w:rsid w:val="00E35003"/>
    <w:rsid w:val="00E3527F"/>
    <w:rsid w:val="00E35771"/>
    <w:rsid w:val="00E35BA0"/>
    <w:rsid w:val="00E35E3F"/>
    <w:rsid w:val="00E366FA"/>
    <w:rsid w:val="00E367DC"/>
    <w:rsid w:val="00E36936"/>
    <w:rsid w:val="00E36CBE"/>
    <w:rsid w:val="00E36E89"/>
    <w:rsid w:val="00E3702C"/>
    <w:rsid w:val="00E37875"/>
    <w:rsid w:val="00E37B51"/>
    <w:rsid w:val="00E37E54"/>
    <w:rsid w:val="00E4139F"/>
    <w:rsid w:val="00E417FE"/>
    <w:rsid w:val="00E41A34"/>
    <w:rsid w:val="00E41D64"/>
    <w:rsid w:val="00E42710"/>
    <w:rsid w:val="00E43996"/>
    <w:rsid w:val="00E43E0B"/>
    <w:rsid w:val="00E4416C"/>
    <w:rsid w:val="00E4438D"/>
    <w:rsid w:val="00E44B45"/>
    <w:rsid w:val="00E44E0C"/>
    <w:rsid w:val="00E45280"/>
    <w:rsid w:val="00E45340"/>
    <w:rsid w:val="00E4551D"/>
    <w:rsid w:val="00E45B78"/>
    <w:rsid w:val="00E4655B"/>
    <w:rsid w:val="00E47926"/>
    <w:rsid w:val="00E47A62"/>
    <w:rsid w:val="00E50617"/>
    <w:rsid w:val="00E506AF"/>
    <w:rsid w:val="00E5097A"/>
    <w:rsid w:val="00E50ADC"/>
    <w:rsid w:val="00E50E55"/>
    <w:rsid w:val="00E51553"/>
    <w:rsid w:val="00E5171E"/>
    <w:rsid w:val="00E52047"/>
    <w:rsid w:val="00E52591"/>
    <w:rsid w:val="00E52875"/>
    <w:rsid w:val="00E52896"/>
    <w:rsid w:val="00E528B8"/>
    <w:rsid w:val="00E52B88"/>
    <w:rsid w:val="00E52E41"/>
    <w:rsid w:val="00E52F98"/>
    <w:rsid w:val="00E53469"/>
    <w:rsid w:val="00E5372C"/>
    <w:rsid w:val="00E537C6"/>
    <w:rsid w:val="00E54004"/>
    <w:rsid w:val="00E545FA"/>
    <w:rsid w:val="00E54A3E"/>
    <w:rsid w:val="00E54C28"/>
    <w:rsid w:val="00E54CB5"/>
    <w:rsid w:val="00E55401"/>
    <w:rsid w:val="00E556BD"/>
    <w:rsid w:val="00E558F0"/>
    <w:rsid w:val="00E55966"/>
    <w:rsid w:val="00E55AAB"/>
    <w:rsid w:val="00E55F3D"/>
    <w:rsid w:val="00E563C4"/>
    <w:rsid w:val="00E56424"/>
    <w:rsid w:val="00E56BE3"/>
    <w:rsid w:val="00E57D21"/>
    <w:rsid w:val="00E57E3A"/>
    <w:rsid w:val="00E57EEC"/>
    <w:rsid w:val="00E6059A"/>
    <w:rsid w:val="00E609F9"/>
    <w:rsid w:val="00E60B53"/>
    <w:rsid w:val="00E62AA9"/>
    <w:rsid w:val="00E6312E"/>
    <w:rsid w:val="00E631F7"/>
    <w:rsid w:val="00E63264"/>
    <w:rsid w:val="00E638DC"/>
    <w:rsid w:val="00E64019"/>
    <w:rsid w:val="00E646DA"/>
    <w:rsid w:val="00E648B1"/>
    <w:rsid w:val="00E649D1"/>
    <w:rsid w:val="00E65B36"/>
    <w:rsid w:val="00E66309"/>
    <w:rsid w:val="00E66B75"/>
    <w:rsid w:val="00E66EBE"/>
    <w:rsid w:val="00E66EF0"/>
    <w:rsid w:val="00E67399"/>
    <w:rsid w:val="00E677C9"/>
    <w:rsid w:val="00E677E7"/>
    <w:rsid w:val="00E67A56"/>
    <w:rsid w:val="00E67DE7"/>
    <w:rsid w:val="00E701EE"/>
    <w:rsid w:val="00E70357"/>
    <w:rsid w:val="00E70965"/>
    <w:rsid w:val="00E70A72"/>
    <w:rsid w:val="00E712EB"/>
    <w:rsid w:val="00E71A34"/>
    <w:rsid w:val="00E71F4A"/>
    <w:rsid w:val="00E720C8"/>
    <w:rsid w:val="00E720CD"/>
    <w:rsid w:val="00E7280E"/>
    <w:rsid w:val="00E728D6"/>
    <w:rsid w:val="00E73613"/>
    <w:rsid w:val="00E74094"/>
    <w:rsid w:val="00E744FC"/>
    <w:rsid w:val="00E74BEE"/>
    <w:rsid w:val="00E74EF0"/>
    <w:rsid w:val="00E74F71"/>
    <w:rsid w:val="00E7687F"/>
    <w:rsid w:val="00E77167"/>
    <w:rsid w:val="00E77431"/>
    <w:rsid w:val="00E7771C"/>
    <w:rsid w:val="00E77913"/>
    <w:rsid w:val="00E779AE"/>
    <w:rsid w:val="00E77A82"/>
    <w:rsid w:val="00E80660"/>
    <w:rsid w:val="00E808A5"/>
    <w:rsid w:val="00E808BE"/>
    <w:rsid w:val="00E809EC"/>
    <w:rsid w:val="00E80D71"/>
    <w:rsid w:val="00E81087"/>
    <w:rsid w:val="00E81E10"/>
    <w:rsid w:val="00E826B4"/>
    <w:rsid w:val="00E82EB8"/>
    <w:rsid w:val="00E835E7"/>
    <w:rsid w:val="00E84424"/>
    <w:rsid w:val="00E844C5"/>
    <w:rsid w:val="00E84687"/>
    <w:rsid w:val="00E84A14"/>
    <w:rsid w:val="00E851F8"/>
    <w:rsid w:val="00E86222"/>
    <w:rsid w:val="00E86648"/>
    <w:rsid w:val="00E86ABC"/>
    <w:rsid w:val="00E86EF2"/>
    <w:rsid w:val="00E87475"/>
    <w:rsid w:val="00E879D5"/>
    <w:rsid w:val="00E87DAE"/>
    <w:rsid w:val="00E90371"/>
    <w:rsid w:val="00E90429"/>
    <w:rsid w:val="00E906BE"/>
    <w:rsid w:val="00E90BEE"/>
    <w:rsid w:val="00E90DDB"/>
    <w:rsid w:val="00E90DEA"/>
    <w:rsid w:val="00E91417"/>
    <w:rsid w:val="00E916D4"/>
    <w:rsid w:val="00E918CD"/>
    <w:rsid w:val="00E92142"/>
    <w:rsid w:val="00E923F4"/>
    <w:rsid w:val="00E93080"/>
    <w:rsid w:val="00E93C0A"/>
    <w:rsid w:val="00E93F94"/>
    <w:rsid w:val="00E93FB4"/>
    <w:rsid w:val="00E943C8"/>
    <w:rsid w:val="00E95007"/>
    <w:rsid w:val="00E958B9"/>
    <w:rsid w:val="00E9592A"/>
    <w:rsid w:val="00E95A94"/>
    <w:rsid w:val="00E964D2"/>
    <w:rsid w:val="00E96C96"/>
    <w:rsid w:val="00E96F2E"/>
    <w:rsid w:val="00E97C7A"/>
    <w:rsid w:val="00EA021B"/>
    <w:rsid w:val="00EA0260"/>
    <w:rsid w:val="00EA0839"/>
    <w:rsid w:val="00EA15A0"/>
    <w:rsid w:val="00EA21DD"/>
    <w:rsid w:val="00EA252A"/>
    <w:rsid w:val="00EA2C2B"/>
    <w:rsid w:val="00EA2FC2"/>
    <w:rsid w:val="00EA33FD"/>
    <w:rsid w:val="00EA3724"/>
    <w:rsid w:val="00EA381B"/>
    <w:rsid w:val="00EA47C9"/>
    <w:rsid w:val="00EA4E40"/>
    <w:rsid w:val="00EA5281"/>
    <w:rsid w:val="00EA61F2"/>
    <w:rsid w:val="00EA651C"/>
    <w:rsid w:val="00EA65CC"/>
    <w:rsid w:val="00EA6D74"/>
    <w:rsid w:val="00EA6E26"/>
    <w:rsid w:val="00EA6E80"/>
    <w:rsid w:val="00EA722D"/>
    <w:rsid w:val="00EB0921"/>
    <w:rsid w:val="00EB0E6A"/>
    <w:rsid w:val="00EB11B5"/>
    <w:rsid w:val="00EB1B8E"/>
    <w:rsid w:val="00EB2EEC"/>
    <w:rsid w:val="00EB2EF8"/>
    <w:rsid w:val="00EB36DE"/>
    <w:rsid w:val="00EB3B32"/>
    <w:rsid w:val="00EB524D"/>
    <w:rsid w:val="00EB5357"/>
    <w:rsid w:val="00EB541A"/>
    <w:rsid w:val="00EB552F"/>
    <w:rsid w:val="00EB5E0F"/>
    <w:rsid w:val="00EB6179"/>
    <w:rsid w:val="00EB6310"/>
    <w:rsid w:val="00EB667D"/>
    <w:rsid w:val="00EB728C"/>
    <w:rsid w:val="00EB7326"/>
    <w:rsid w:val="00EC0A69"/>
    <w:rsid w:val="00EC1323"/>
    <w:rsid w:val="00EC14CF"/>
    <w:rsid w:val="00EC15DE"/>
    <w:rsid w:val="00EC161C"/>
    <w:rsid w:val="00EC1D9F"/>
    <w:rsid w:val="00EC2462"/>
    <w:rsid w:val="00EC258D"/>
    <w:rsid w:val="00EC2600"/>
    <w:rsid w:val="00EC2780"/>
    <w:rsid w:val="00EC29B6"/>
    <w:rsid w:val="00EC31E5"/>
    <w:rsid w:val="00EC39B2"/>
    <w:rsid w:val="00EC3BFD"/>
    <w:rsid w:val="00EC3C66"/>
    <w:rsid w:val="00EC3F4F"/>
    <w:rsid w:val="00EC4455"/>
    <w:rsid w:val="00EC44D0"/>
    <w:rsid w:val="00EC482A"/>
    <w:rsid w:val="00EC4A82"/>
    <w:rsid w:val="00EC4D3B"/>
    <w:rsid w:val="00EC51A3"/>
    <w:rsid w:val="00EC5207"/>
    <w:rsid w:val="00EC58CB"/>
    <w:rsid w:val="00EC597E"/>
    <w:rsid w:val="00EC5E4C"/>
    <w:rsid w:val="00EC5F33"/>
    <w:rsid w:val="00EC6665"/>
    <w:rsid w:val="00EC6F2C"/>
    <w:rsid w:val="00EC7A9F"/>
    <w:rsid w:val="00EC7D37"/>
    <w:rsid w:val="00ED0776"/>
    <w:rsid w:val="00ED11E3"/>
    <w:rsid w:val="00ED1BAA"/>
    <w:rsid w:val="00ED1DCE"/>
    <w:rsid w:val="00ED2914"/>
    <w:rsid w:val="00ED2C17"/>
    <w:rsid w:val="00ED33D4"/>
    <w:rsid w:val="00ED3588"/>
    <w:rsid w:val="00ED3D06"/>
    <w:rsid w:val="00ED4116"/>
    <w:rsid w:val="00ED4860"/>
    <w:rsid w:val="00ED48FA"/>
    <w:rsid w:val="00ED4E33"/>
    <w:rsid w:val="00ED4FA7"/>
    <w:rsid w:val="00ED5692"/>
    <w:rsid w:val="00ED5FBD"/>
    <w:rsid w:val="00ED64CA"/>
    <w:rsid w:val="00ED6590"/>
    <w:rsid w:val="00ED6C59"/>
    <w:rsid w:val="00ED6E94"/>
    <w:rsid w:val="00ED788F"/>
    <w:rsid w:val="00ED7AF2"/>
    <w:rsid w:val="00ED7DBB"/>
    <w:rsid w:val="00ED7E7E"/>
    <w:rsid w:val="00EE0340"/>
    <w:rsid w:val="00EE0597"/>
    <w:rsid w:val="00EE0F83"/>
    <w:rsid w:val="00EE1249"/>
    <w:rsid w:val="00EE1509"/>
    <w:rsid w:val="00EE16A3"/>
    <w:rsid w:val="00EE3AFD"/>
    <w:rsid w:val="00EE40E9"/>
    <w:rsid w:val="00EE4127"/>
    <w:rsid w:val="00EE486E"/>
    <w:rsid w:val="00EE4CB5"/>
    <w:rsid w:val="00EE52AD"/>
    <w:rsid w:val="00EE5D6B"/>
    <w:rsid w:val="00EE5F4E"/>
    <w:rsid w:val="00EE6142"/>
    <w:rsid w:val="00EE6430"/>
    <w:rsid w:val="00EE751D"/>
    <w:rsid w:val="00EE7711"/>
    <w:rsid w:val="00EE775D"/>
    <w:rsid w:val="00EF08E3"/>
    <w:rsid w:val="00EF145F"/>
    <w:rsid w:val="00EF14A9"/>
    <w:rsid w:val="00EF166D"/>
    <w:rsid w:val="00EF19B1"/>
    <w:rsid w:val="00EF2C89"/>
    <w:rsid w:val="00EF320E"/>
    <w:rsid w:val="00EF36C7"/>
    <w:rsid w:val="00EF3922"/>
    <w:rsid w:val="00EF39D5"/>
    <w:rsid w:val="00EF3D22"/>
    <w:rsid w:val="00EF3F19"/>
    <w:rsid w:val="00EF42EB"/>
    <w:rsid w:val="00EF43F0"/>
    <w:rsid w:val="00EF4412"/>
    <w:rsid w:val="00EF498D"/>
    <w:rsid w:val="00EF4AAB"/>
    <w:rsid w:val="00EF4FB7"/>
    <w:rsid w:val="00EF53F6"/>
    <w:rsid w:val="00EF55E7"/>
    <w:rsid w:val="00EF5987"/>
    <w:rsid w:val="00EF5A10"/>
    <w:rsid w:val="00F0015A"/>
    <w:rsid w:val="00F00200"/>
    <w:rsid w:val="00F006C0"/>
    <w:rsid w:val="00F00C3A"/>
    <w:rsid w:val="00F011B4"/>
    <w:rsid w:val="00F01721"/>
    <w:rsid w:val="00F01A93"/>
    <w:rsid w:val="00F01CA1"/>
    <w:rsid w:val="00F02721"/>
    <w:rsid w:val="00F02A0B"/>
    <w:rsid w:val="00F02C7D"/>
    <w:rsid w:val="00F02F7E"/>
    <w:rsid w:val="00F030A7"/>
    <w:rsid w:val="00F031B1"/>
    <w:rsid w:val="00F0346F"/>
    <w:rsid w:val="00F0383A"/>
    <w:rsid w:val="00F03B2F"/>
    <w:rsid w:val="00F03D1F"/>
    <w:rsid w:val="00F03DED"/>
    <w:rsid w:val="00F04B96"/>
    <w:rsid w:val="00F04BEF"/>
    <w:rsid w:val="00F0556E"/>
    <w:rsid w:val="00F05E7F"/>
    <w:rsid w:val="00F060B5"/>
    <w:rsid w:val="00F061CF"/>
    <w:rsid w:val="00F0666B"/>
    <w:rsid w:val="00F0681D"/>
    <w:rsid w:val="00F06E3F"/>
    <w:rsid w:val="00F072A5"/>
    <w:rsid w:val="00F0782F"/>
    <w:rsid w:val="00F07AF3"/>
    <w:rsid w:val="00F10330"/>
    <w:rsid w:val="00F10588"/>
    <w:rsid w:val="00F10982"/>
    <w:rsid w:val="00F10B4D"/>
    <w:rsid w:val="00F11207"/>
    <w:rsid w:val="00F1142D"/>
    <w:rsid w:val="00F11903"/>
    <w:rsid w:val="00F11A06"/>
    <w:rsid w:val="00F1221D"/>
    <w:rsid w:val="00F12B52"/>
    <w:rsid w:val="00F12B89"/>
    <w:rsid w:val="00F1341B"/>
    <w:rsid w:val="00F13BE3"/>
    <w:rsid w:val="00F13C7D"/>
    <w:rsid w:val="00F13CFA"/>
    <w:rsid w:val="00F143CB"/>
    <w:rsid w:val="00F14752"/>
    <w:rsid w:val="00F148DB"/>
    <w:rsid w:val="00F14D96"/>
    <w:rsid w:val="00F151B2"/>
    <w:rsid w:val="00F15448"/>
    <w:rsid w:val="00F15601"/>
    <w:rsid w:val="00F1562C"/>
    <w:rsid w:val="00F15792"/>
    <w:rsid w:val="00F15940"/>
    <w:rsid w:val="00F1669C"/>
    <w:rsid w:val="00F16719"/>
    <w:rsid w:val="00F16C78"/>
    <w:rsid w:val="00F16DC3"/>
    <w:rsid w:val="00F170A1"/>
    <w:rsid w:val="00F17380"/>
    <w:rsid w:val="00F17567"/>
    <w:rsid w:val="00F17E32"/>
    <w:rsid w:val="00F200D1"/>
    <w:rsid w:val="00F201F9"/>
    <w:rsid w:val="00F2022C"/>
    <w:rsid w:val="00F2136D"/>
    <w:rsid w:val="00F2159F"/>
    <w:rsid w:val="00F219B6"/>
    <w:rsid w:val="00F21ECC"/>
    <w:rsid w:val="00F22047"/>
    <w:rsid w:val="00F2266A"/>
    <w:rsid w:val="00F228F2"/>
    <w:rsid w:val="00F229D7"/>
    <w:rsid w:val="00F22AC7"/>
    <w:rsid w:val="00F231EC"/>
    <w:rsid w:val="00F234B0"/>
    <w:rsid w:val="00F23E8B"/>
    <w:rsid w:val="00F23FF8"/>
    <w:rsid w:val="00F24063"/>
    <w:rsid w:val="00F240E5"/>
    <w:rsid w:val="00F24A78"/>
    <w:rsid w:val="00F24ED8"/>
    <w:rsid w:val="00F2524F"/>
    <w:rsid w:val="00F257CE"/>
    <w:rsid w:val="00F25943"/>
    <w:rsid w:val="00F25AD2"/>
    <w:rsid w:val="00F261F6"/>
    <w:rsid w:val="00F262E3"/>
    <w:rsid w:val="00F265E5"/>
    <w:rsid w:val="00F26AFA"/>
    <w:rsid w:val="00F30160"/>
    <w:rsid w:val="00F3067B"/>
    <w:rsid w:val="00F31401"/>
    <w:rsid w:val="00F315DE"/>
    <w:rsid w:val="00F31C5F"/>
    <w:rsid w:val="00F32012"/>
    <w:rsid w:val="00F32954"/>
    <w:rsid w:val="00F329CE"/>
    <w:rsid w:val="00F32B48"/>
    <w:rsid w:val="00F331F1"/>
    <w:rsid w:val="00F3384E"/>
    <w:rsid w:val="00F33904"/>
    <w:rsid w:val="00F33B7D"/>
    <w:rsid w:val="00F34288"/>
    <w:rsid w:val="00F348F6"/>
    <w:rsid w:val="00F34C21"/>
    <w:rsid w:val="00F3607E"/>
    <w:rsid w:val="00F362DD"/>
    <w:rsid w:val="00F36429"/>
    <w:rsid w:val="00F366AA"/>
    <w:rsid w:val="00F36BAA"/>
    <w:rsid w:val="00F36CB2"/>
    <w:rsid w:val="00F36DA0"/>
    <w:rsid w:val="00F37373"/>
    <w:rsid w:val="00F373C7"/>
    <w:rsid w:val="00F3745A"/>
    <w:rsid w:val="00F37BA0"/>
    <w:rsid w:val="00F37BD0"/>
    <w:rsid w:val="00F4058F"/>
    <w:rsid w:val="00F40D99"/>
    <w:rsid w:val="00F41CBA"/>
    <w:rsid w:val="00F41FA9"/>
    <w:rsid w:val="00F423BC"/>
    <w:rsid w:val="00F428A7"/>
    <w:rsid w:val="00F42959"/>
    <w:rsid w:val="00F434E5"/>
    <w:rsid w:val="00F4365C"/>
    <w:rsid w:val="00F43E5E"/>
    <w:rsid w:val="00F43FDB"/>
    <w:rsid w:val="00F44531"/>
    <w:rsid w:val="00F446C5"/>
    <w:rsid w:val="00F44D44"/>
    <w:rsid w:val="00F46836"/>
    <w:rsid w:val="00F46E4E"/>
    <w:rsid w:val="00F470C2"/>
    <w:rsid w:val="00F47E56"/>
    <w:rsid w:val="00F50000"/>
    <w:rsid w:val="00F50024"/>
    <w:rsid w:val="00F50512"/>
    <w:rsid w:val="00F506FA"/>
    <w:rsid w:val="00F50AE9"/>
    <w:rsid w:val="00F50BD3"/>
    <w:rsid w:val="00F50C4A"/>
    <w:rsid w:val="00F51449"/>
    <w:rsid w:val="00F51CD8"/>
    <w:rsid w:val="00F52256"/>
    <w:rsid w:val="00F5279F"/>
    <w:rsid w:val="00F52B99"/>
    <w:rsid w:val="00F5311E"/>
    <w:rsid w:val="00F531CD"/>
    <w:rsid w:val="00F53405"/>
    <w:rsid w:val="00F53997"/>
    <w:rsid w:val="00F53FFA"/>
    <w:rsid w:val="00F54EC3"/>
    <w:rsid w:val="00F55038"/>
    <w:rsid w:val="00F5553E"/>
    <w:rsid w:val="00F55C29"/>
    <w:rsid w:val="00F5675E"/>
    <w:rsid w:val="00F56813"/>
    <w:rsid w:val="00F56982"/>
    <w:rsid w:val="00F56A84"/>
    <w:rsid w:val="00F56AF2"/>
    <w:rsid w:val="00F56E4B"/>
    <w:rsid w:val="00F5728B"/>
    <w:rsid w:val="00F57654"/>
    <w:rsid w:val="00F57840"/>
    <w:rsid w:val="00F579A6"/>
    <w:rsid w:val="00F57A5D"/>
    <w:rsid w:val="00F57E4D"/>
    <w:rsid w:val="00F60D25"/>
    <w:rsid w:val="00F6164F"/>
    <w:rsid w:val="00F61F39"/>
    <w:rsid w:val="00F6205D"/>
    <w:rsid w:val="00F62A8B"/>
    <w:rsid w:val="00F62E83"/>
    <w:rsid w:val="00F62F43"/>
    <w:rsid w:val="00F6301D"/>
    <w:rsid w:val="00F636B1"/>
    <w:rsid w:val="00F63846"/>
    <w:rsid w:val="00F63A02"/>
    <w:rsid w:val="00F63D42"/>
    <w:rsid w:val="00F6402D"/>
    <w:rsid w:val="00F64541"/>
    <w:rsid w:val="00F649A4"/>
    <w:rsid w:val="00F64ADE"/>
    <w:rsid w:val="00F64F86"/>
    <w:rsid w:val="00F65AB1"/>
    <w:rsid w:val="00F664FD"/>
    <w:rsid w:val="00F66775"/>
    <w:rsid w:val="00F66F99"/>
    <w:rsid w:val="00F6733E"/>
    <w:rsid w:val="00F6743A"/>
    <w:rsid w:val="00F67463"/>
    <w:rsid w:val="00F67C9E"/>
    <w:rsid w:val="00F70674"/>
    <w:rsid w:val="00F70887"/>
    <w:rsid w:val="00F70BB3"/>
    <w:rsid w:val="00F710CD"/>
    <w:rsid w:val="00F7139A"/>
    <w:rsid w:val="00F719EB"/>
    <w:rsid w:val="00F7245A"/>
    <w:rsid w:val="00F72507"/>
    <w:rsid w:val="00F7297F"/>
    <w:rsid w:val="00F72F78"/>
    <w:rsid w:val="00F7366A"/>
    <w:rsid w:val="00F74152"/>
    <w:rsid w:val="00F743E4"/>
    <w:rsid w:val="00F743E7"/>
    <w:rsid w:val="00F7449F"/>
    <w:rsid w:val="00F7490D"/>
    <w:rsid w:val="00F74E14"/>
    <w:rsid w:val="00F75405"/>
    <w:rsid w:val="00F75BE4"/>
    <w:rsid w:val="00F75E65"/>
    <w:rsid w:val="00F7645E"/>
    <w:rsid w:val="00F771E1"/>
    <w:rsid w:val="00F7736D"/>
    <w:rsid w:val="00F777C2"/>
    <w:rsid w:val="00F77DB8"/>
    <w:rsid w:val="00F80744"/>
    <w:rsid w:val="00F80BDC"/>
    <w:rsid w:val="00F80E00"/>
    <w:rsid w:val="00F8111E"/>
    <w:rsid w:val="00F8112F"/>
    <w:rsid w:val="00F81837"/>
    <w:rsid w:val="00F81865"/>
    <w:rsid w:val="00F81AFA"/>
    <w:rsid w:val="00F81D86"/>
    <w:rsid w:val="00F81F59"/>
    <w:rsid w:val="00F8248D"/>
    <w:rsid w:val="00F82916"/>
    <w:rsid w:val="00F830C8"/>
    <w:rsid w:val="00F8311A"/>
    <w:rsid w:val="00F834F2"/>
    <w:rsid w:val="00F842E9"/>
    <w:rsid w:val="00F84589"/>
    <w:rsid w:val="00F84772"/>
    <w:rsid w:val="00F8483B"/>
    <w:rsid w:val="00F84BBC"/>
    <w:rsid w:val="00F84D90"/>
    <w:rsid w:val="00F8589A"/>
    <w:rsid w:val="00F85985"/>
    <w:rsid w:val="00F85BD3"/>
    <w:rsid w:val="00F87AC8"/>
    <w:rsid w:val="00F90A50"/>
    <w:rsid w:val="00F916B1"/>
    <w:rsid w:val="00F917FE"/>
    <w:rsid w:val="00F91A7F"/>
    <w:rsid w:val="00F91DBC"/>
    <w:rsid w:val="00F9242C"/>
    <w:rsid w:val="00F92FF9"/>
    <w:rsid w:val="00F94223"/>
    <w:rsid w:val="00F94508"/>
    <w:rsid w:val="00F94853"/>
    <w:rsid w:val="00F94C76"/>
    <w:rsid w:val="00F94EF6"/>
    <w:rsid w:val="00F953B3"/>
    <w:rsid w:val="00F95A21"/>
    <w:rsid w:val="00F95C38"/>
    <w:rsid w:val="00F95D6F"/>
    <w:rsid w:val="00F96192"/>
    <w:rsid w:val="00F96A87"/>
    <w:rsid w:val="00F97830"/>
    <w:rsid w:val="00F97CC7"/>
    <w:rsid w:val="00F97DFF"/>
    <w:rsid w:val="00FA07C5"/>
    <w:rsid w:val="00FA0CCF"/>
    <w:rsid w:val="00FA1064"/>
    <w:rsid w:val="00FA26C3"/>
    <w:rsid w:val="00FA335C"/>
    <w:rsid w:val="00FA3542"/>
    <w:rsid w:val="00FA3AE5"/>
    <w:rsid w:val="00FA3E11"/>
    <w:rsid w:val="00FA405B"/>
    <w:rsid w:val="00FA4D96"/>
    <w:rsid w:val="00FA572D"/>
    <w:rsid w:val="00FA5910"/>
    <w:rsid w:val="00FA5C1D"/>
    <w:rsid w:val="00FA6346"/>
    <w:rsid w:val="00FA671C"/>
    <w:rsid w:val="00FA67F2"/>
    <w:rsid w:val="00FA6A5F"/>
    <w:rsid w:val="00FA6E27"/>
    <w:rsid w:val="00FA6FB8"/>
    <w:rsid w:val="00FA7FBE"/>
    <w:rsid w:val="00FB030B"/>
    <w:rsid w:val="00FB07C9"/>
    <w:rsid w:val="00FB0C47"/>
    <w:rsid w:val="00FB0D95"/>
    <w:rsid w:val="00FB155B"/>
    <w:rsid w:val="00FB17DE"/>
    <w:rsid w:val="00FB21D0"/>
    <w:rsid w:val="00FB2386"/>
    <w:rsid w:val="00FB2459"/>
    <w:rsid w:val="00FB262D"/>
    <w:rsid w:val="00FB27C2"/>
    <w:rsid w:val="00FB315F"/>
    <w:rsid w:val="00FB3216"/>
    <w:rsid w:val="00FB3503"/>
    <w:rsid w:val="00FB3A4C"/>
    <w:rsid w:val="00FB52D1"/>
    <w:rsid w:val="00FB551B"/>
    <w:rsid w:val="00FB5755"/>
    <w:rsid w:val="00FB581B"/>
    <w:rsid w:val="00FB639E"/>
    <w:rsid w:val="00FB65E2"/>
    <w:rsid w:val="00FB6B27"/>
    <w:rsid w:val="00FB7449"/>
    <w:rsid w:val="00FB75E2"/>
    <w:rsid w:val="00FB7890"/>
    <w:rsid w:val="00FB7A71"/>
    <w:rsid w:val="00FB7C27"/>
    <w:rsid w:val="00FC00FB"/>
    <w:rsid w:val="00FC01F3"/>
    <w:rsid w:val="00FC051D"/>
    <w:rsid w:val="00FC0860"/>
    <w:rsid w:val="00FC0C17"/>
    <w:rsid w:val="00FC0EA5"/>
    <w:rsid w:val="00FC14DF"/>
    <w:rsid w:val="00FC1DC7"/>
    <w:rsid w:val="00FC21B0"/>
    <w:rsid w:val="00FC2973"/>
    <w:rsid w:val="00FC2F15"/>
    <w:rsid w:val="00FC33B7"/>
    <w:rsid w:val="00FC3DF4"/>
    <w:rsid w:val="00FC40B3"/>
    <w:rsid w:val="00FC461F"/>
    <w:rsid w:val="00FC53F8"/>
    <w:rsid w:val="00FC54DC"/>
    <w:rsid w:val="00FC6306"/>
    <w:rsid w:val="00FC6429"/>
    <w:rsid w:val="00FC64EA"/>
    <w:rsid w:val="00FC64F1"/>
    <w:rsid w:val="00FC66C4"/>
    <w:rsid w:val="00FC6A43"/>
    <w:rsid w:val="00FC6B50"/>
    <w:rsid w:val="00FC6FF0"/>
    <w:rsid w:val="00FC70AF"/>
    <w:rsid w:val="00FC70BB"/>
    <w:rsid w:val="00FC722A"/>
    <w:rsid w:val="00FC7399"/>
    <w:rsid w:val="00FC7A15"/>
    <w:rsid w:val="00FD0D6A"/>
    <w:rsid w:val="00FD1721"/>
    <w:rsid w:val="00FD1BB5"/>
    <w:rsid w:val="00FD1BD0"/>
    <w:rsid w:val="00FD1C42"/>
    <w:rsid w:val="00FD1E60"/>
    <w:rsid w:val="00FD28CE"/>
    <w:rsid w:val="00FD3922"/>
    <w:rsid w:val="00FD3B2B"/>
    <w:rsid w:val="00FD44CA"/>
    <w:rsid w:val="00FD4A2C"/>
    <w:rsid w:val="00FD4D19"/>
    <w:rsid w:val="00FD4D75"/>
    <w:rsid w:val="00FD50E5"/>
    <w:rsid w:val="00FD57B3"/>
    <w:rsid w:val="00FD682B"/>
    <w:rsid w:val="00FD6853"/>
    <w:rsid w:val="00FD6E51"/>
    <w:rsid w:val="00FD707B"/>
    <w:rsid w:val="00FD71B1"/>
    <w:rsid w:val="00FD7850"/>
    <w:rsid w:val="00FE0783"/>
    <w:rsid w:val="00FE0FFC"/>
    <w:rsid w:val="00FE1E7D"/>
    <w:rsid w:val="00FE216D"/>
    <w:rsid w:val="00FE26E6"/>
    <w:rsid w:val="00FE27C6"/>
    <w:rsid w:val="00FE33BB"/>
    <w:rsid w:val="00FE3425"/>
    <w:rsid w:val="00FE417D"/>
    <w:rsid w:val="00FE439D"/>
    <w:rsid w:val="00FE5023"/>
    <w:rsid w:val="00FE5833"/>
    <w:rsid w:val="00FE5D8C"/>
    <w:rsid w:val="00FE63B6"/>
    <w:rsid w:val="00FE6AE9"/>
    <w:rsid w:val="00FE72EC"/>
    <w:rsid w:val="00FE7713"/>
    <w:rsid w:val="00FE7903"/>
    <w:rsid w:val="00FE7D72"/>
    <w:rsid w:val="00FF01EA"/>
    <w:rsid w:val="00FF0F1A"/>
    <w:rsid w:val="00FF12BF"/>
    <w:rsid w:val="00FF146D"/>
    <w:rsid w:val="00FF155A"/>
    <w:rsid w:val="00FF1E60"/>
    <w:rsid w:val="00FF212F"/>
    <w:rsid w:val="00FF21EB"/>
    <w:rsid w:val="00FF22FB"/>
    <w:rsid w:val="00FF24A1"/>
    <w:rsid w:val="00FF3380"/>
    <w:rsid w:val="00FF3BA8"/>
    <w:rsid w:val="00FF3DBE"/>
    <w:rsid w:val="00FF4C39"/>
    <w:rsid w:val="00FF5343"/>
    <w:rsid w:val="00FF5908"/>
    <w:rsid w:val="00FF5B44"/>
    <w:rsid w:val="00FF611A"/>
    <w:rsid w:val="00FF6418"/>
    <w:rsid w:val="00FF6906"/>
    <w:rsid w:val="00FF7325"/>
    <w:rsid w:val="00FF75A8"/>
    <w:rsid w:val="00FF7CDF"/>
    <w:rsid w:val="01424298"/>
    <w:rsid w:val="01538C24"/>
    <w:rsid w:val="01DC3ABF"/>
    <w:rsid w:val="01DE0638"/>
    <w:rsid w:val="01F34F37"/>
    <w:rsid w:val="020024CB"/>
    <w:rsid w:val="020AEDDD"/>
    <w:rsid w:val="0244ACCB"/>
    <w:rsid w:val="0269F31D"/>
    <w:rsid w:val="027F1F97"/>
    <w:rsid w:val="029C8F6C"/>
    <w:rsid w:val="02B161AB"/>
    <w:rsid w:val="02FE7825"/>
    <w:rsid w:val="031C9786"/>
    <w:rsid w:val="0344A3DE"/>
    <w:rsid w:val="0356DA91"/>
    <w:rsid w:val="038CE995"/>
    <w:rsid w:val="03A35964"/>
    <w:rsid w:val="03BD4103"/>
    <w:rsid w:val="03C7F5F1"/>
    <w:rsid w:val="0446639A"/>
    <w:rsid w:val="047E8179"/>
    <w:rsid w:val="050CF12F"/>
    <w:rsid w:val="0527E3AE"/>
    <w:rsid w:val="05359417"/>
    <w:rsid w:val="057741EC"/>
    <w:rsid w:val="057AC78D"/>
    <w:rsid w:val="0593EBBC"/>
    <w:rsid w:val="05A55D79"/>
    <w:rsid w:val="05BF9D92"/>
    <w:rsid w:val="05C5014B"/>
    <w:rsid w:val="05DF0CFC"/>
    <w:rsid w:val="05F40257"/>
    <w:rsid w:val="0638ACB8"/>
    <w:rsid w:val="0638AEFC"/>
    <w:rsid w:val="0670B576"/>
    <w:rsid w:val="06F3BDDC"/>
    <w:rsid w:val="06F4F851"/>
    <w:rsid w:val="06FC6883"/>
    <w:rsid w:val="071F5E6F"/>
    <w:rsid w:val="073D532D"/>
    <w:rsid w:val="0754809D"/>
    <w:rsid w:val="075CFF50"/>
    <w:rsid w:val="078109A7"/>
    <w:rsid w:val="07A994BE"/>
    <w:rsid w:val="07B6223B"/>
    <w:rsid w:val="0858B88A"/>
    <w:rsid w:val="087C289A"/>
    <w:rsid w:val="088D99D6"/>
    <w:rsid w:val="089C76CD"/>
    <w:rsid w:val="08A5A1BD"/>
    <w:rsid w:val="08CBC603"/>
    <w:rsid w:val="08D55955"/>
    <w:rsid w:val="08E1A90A"/>
    <w:rsid w:val="08F45B86"/>
    <w:rsid w:val="08F6C638"/>
    <w:rsid w:val="0992179D"/>
    <w:rsid w:val="09C2BC50"/>
    <w:rsid w:val="0A0D300D"/>
    <w:rsid w:val="0A0FDD33"/>
    <w:rsid w:val="0A268FFA"/>
    <w:rsid w:val="0A26CABB"/>
    <w:rsid w:val="0A5FA63F"/>
    <w:rsid w:val="0AEC0777"/>
    <w:rsid w:val="0AEFEE0C"/>
    <w:rsid w:val="0B5FF90A"/>
    <w:rsid w:val="0B765256"/>
    <w:rsid w:val="0B921221"/>
    <w:rsid w:val="0BBA0E1C"/>
    <w:rsid w:val="0BC29B1C"/>
    <w:rsid w:val="0BC5D5CA"/>
    <w:rsid w:val="0BD14503"/>
    <w:rsid w:val="0BE0097C"/>
    <w:rsid w:val="0BFB76A0"/>
    <w:rsid w:val="0C4D0126"/>
    <w:rsid w:val="0C8BBE6D"/>
    <w:rsid w:val="0CC2F986"/>
    <w:rsid w:val="0CC51D41"/>
    <w:rsid w:val="0CC9A0EA"/>
    <w:rsid w:val="0CE810B7"/>
    <w:rsid w:val="0CE8EF6A"/>
    <w:rsid w:val="0D0D2192"/>
    <w:rsid w:val="0D2FACC1"/>
    <w:rsid w:val="0D4C29EF"/>
    <w:rsid w:val="0D54FA26"/>
    <w:rsid w:val="0DF295C7"/>
    <w:rsid w:val="0E01F153"/>
    <w:rsid w:val="0E25ADAD"/>
    <w:rsid w:val="0E278ECE"/>
    <w:rsid w:val="0EA5F096"/>
    <w:rsid w:val="0EB5B5C8"/>
    <w:rsid w:val="0F4761EF"/>
    <w:rsid w:val="0F6AA7EF"/>
    <w:rsid w:val="0F706362"/>
    <w:rsid w:val="0FAABCBA"/>
    <w:rsid w:val="0FE6D0FC"/>
    <w:rsid w:val="10479827"/>
    <w:rsid w:val="10DF9D4A"/>
    <w:rsid w:val="10E4B6D4"/>
    <w:rsid w:val="1116786C"/>
    <w:rsid w:val="1143DC24"/>
    <w:rsid w:val="11AD7A98"/>
    <w:rsid w:val="11BCC534"/>
    <w:rsid w:val="11E496D1"/>
    <w:rsid w:val="120370CF"/>
    <w:rsid w:val="12077DB5"/>
    <w:rsid w:val="122BDF71"/>
    <w:rsid w:val="125ADA71"/>
    <w:rsid w:val="126925A3"/>
    <w:rsid w:val="12A40D84"/>
    <w:rsid w:val="12BAFAEA"/>
    <w:rsid w:val="12CF7C98"/>
    <w:rsid w:val="1300FDE0"/>
    <w:rsid w:val="13065031"/>
    <w:rsid w:val="13424ED0"/>
    <w:rsid w:val="135A6D36"/>
    <w:rsid w:val="13CDAD01"/>
    <w:rsid w:val="1422522B"/>
    <w:rsid w:val="142EDE7A"/>
    <w:rsid w:val="147B3A7F"/>
    <w:rsid w:val="147D63A3"/>
    <w:rsid w:val="14D6B5A5"/>
    <w:rsid w:val="150A027E"/>
    <w:rsid w:val="15438B4D"/>
    <w:rsid w:val="156A3D13"/>
    <w:rsid w:val="15D25658"/>
    <w:rsid w:val="161621AB"/>
    <w:rsid w:val="1635D0D4"/>
    <w:rsid w:val="16561280"/>
    <w:rsid w:val="16608DE4"/>
    <w:rsid w:val="168756DD"/>
    <w:rsid w:val="16AABB47"/>
    <w:rsid w:val="16E5DC38"/>
    <w:rsid w:val="1700DCAC"/>
    <w:rsid w:val="176BEA48"/>
    <w:rsid w:val="17D5F816"/>
    <w:rsid w:val="17EE2440"/>
    <w:rsid w:val="17FD43C9"/>
    <w:rsid w:val="18903F37"/>
    <w:rsid w:val="18B1FF2E"/>
    <w:rsid w:val="18E624D9"/>
    <w:rsid w:val="191CD07C"/>
    <w:rsid w:val="196988F4"/>
    <w:rsid w:val="1974C547"/>
    <w:rsid w:val="198CFFC3"/>
    <w:rsid w:val="19B71249"/>
    <w:rsid w:val="19D17B41"/>
    <w:rsid w:val="1A0E3A61"/>
    <w:rsid w:val="1A181B53"/>
    <w:rsid w:val="1A5B7612"/>
    <w:rsid w:val="1A7CB2F7"/>
    <w:rsid w:val="1A9B8ABB"/>
    <w:rsid w:val="1AA747F2"/>
    <w:rsid w:val="1AA80663"/>
    <w:rsid w:val="1B17CCFC"/>
    <w:rsid w:val="1BAC45A5"/>
    <w:rsid w:val="1BF2F22D"/>
    <w:rsid w:val="1BF357CF"/>
    <w:rsid w:val="1BFF2F2E"/>
    <w:rsid w:val="1C1979FF"/>
    <w:rsid w:val="1C44395A"/>
    <w:rsid w:val="1C694A70"/>
    <w:rsid w:val="1CC1F1CC"/>
    <w:rsid w:val="1D2BDFD8"/>
    <w:rsid w:val="1D300EC7"/>
    <w:rsid w:val="1DD55780"/>
    <w:rsid w:val="1E083031"/>
    <w:rsid w:val="1EAD1678"/>
    <w:rsid w:val="1ECBDF28"/>
    <w:rsid w:val="1ED9FEAA"/>
    <w:rsid w:val="1EF60BAB"/>
    <w:rsid w:val="1F167C2E"/>
    <w:rsid w:val="1F3C6D64"/>
    <w:rsid w:val="1F4E073D"/>
    <w:rsid w:val="1F63BA72"/>
    <w:rsid w:val="1F78D089"/>
    <w:rsid w:val="1FB6EB47"/>
    <w:rsid w:val="1FCF8DAD"/>
    <w:rsid w:val="1FEE47CD"/>
    <w:rsid w:val="201640D9"/>
    <w:rsid w:val="201D231B"/>
    <w:rsid w:val="20347B54"/>
    <w:rsid w:val="209104EF"/>
    <w:rsid w:val="20C76673"/>
    <w:rsid w:val="21019881"/>
    <w:rsid w:val="213FFCD4"/>
    <w:rsid w:val="2167F936"/>
    <w:rsid w:val="21A65FB3"/>
    <w:rsid w:val="21D79320"/>
    <w:rsid w:val="224D2CA7"/>
    <w:rsid w:val="22A12788"/>
    <w:rsid w:val="22AD1EED"/>
    <w:rsid w:val="22B34A9A"/>
    <w:rsid w:val="22B36916"/>
    <w:rsid w:val="2315342F"/>
    <w:rsid w:val="233CB289"/>
    <w:rsid w:val="235DB7F9"/>
    <w:rsid w:val="23893CB4"/>
    <w:rsid w:val="23E8646B"/>
    <w:rsid w:val="243E74F9"/>
    <w:rsid w:val="24513769"/>
    <w:rsid w:val="24603838"/>
    <w:rsid w:val="24FAE984"/>
    <w:rsid w:val="25941D1D"/>
    <w:rsid w:val="25DCD324"/>
    <w:rsid w:val="261841C6"/>
    <w:rsid w:val="264E98AB"/>
    <w:rsid w:val="26AC5572"/>
    <w:rsid w:val="26CC3622"/>
    <w:rsid w:val="26FE896A"/>
    <w:rsid w:val="27118ED9"/>
    <w:rsid w:val="2715BB05"/>
    <w:rsid w:val="27317580"/>
    <w:rsid w:val="273C4DD5"/>
    <w:rsid w:val="27700FD5"/>
    <w:rsid w:val="2786DA39"/>
    <w:rsid w:val="27BDFB44"/>
    <w:rsid w:val="28551733"/>
    <w:rsid w:val="28649CF8"/>
    <w:rsid w:val="28A7B400"/>
    <w:rsid w:val="28BAAAB8"/>
    <w:rsid w:val="28CA8F61"/>
    <w:rsid w:val="28DB893B"/>
    <w:rsid w:val="28EAA1DC"/>
    <w:rsid w:val="28F38A0C"/>
    <w:rsid w:val="294269B0"/>
    <w:rsid w:val="29532F24"/>
    <w:rsid w:val="297DAEFE"/>
    <w:rsid w:val="2981CFC4"/>
    <w:rsid w:val="29AB794E"/>
    <w:rsid w:val="2A006D59"/>
    <w:rsid w:val="2A2AFE2D"/>
    <w:rsid w:val="2A888032"/>
    <w:rsid w:val="2A88ED06"/>
    <w:rsid w:val="2AD0CC4F"/>
    <w:rsid w:val="2B181D2E"/>
    <w:rsid w:val="2B1C4CE5"/>
    <w:rsid w:val="2B2E4BC9"/>
    <w:rsid w:val="2B4744DD"/>
    <w:rsid w:val="2B48DD46"/>
    <w:rsid w:val="2B4C3230"/>
    <w:rsid w:val="2B71EE7E"/>
    <w:rsid w:val="2B8FB5E3"/>
    <w:rsid w:val="2BA33549"/>
    <w:rsid w:val="2BBDCD18"/>
    <w:rsid w:val="2BCAE22A"/>
    <w:rsid w:val="2BF6D036"/>
    <w:rsid w:val="2C25C5F6"/>
    <w:rsid w:val="2C63DE30"/>
    <w:rsid w:val="2CA32045"/>
    <w:rsid w:val="2D0A4650"/>
    <w:rsid w:val="2D0E04F6"/>
    <w:rsid w:val="2D1B96F6"/>
    <w:rsid w:val="2D2CC1BA"/>
    <w:rsid w:val="2D4592EF"/>
    <w:rsid w:val="2D6288EB"/>
    <w:rsid w:val="2D6C8160"/>
    <w:rsid w:val="2D6E4CA3"/>
    <w:rsid w:val="2DEC4AB4"/>
    <w:rsid w:val="2DFB798D"/>
    <w:rsid w:val="2E440C75"/>
    <w:rsid w:val="2E6D3B2D"/>
    <w:rsid w:val="2E844948"/>
    <w:rsid w:val="2EBE3D0E"/>
    <w:rsid w:val="2EE9DEB0"/>
    <w:rsid w:val="2EFAA0C3"/>
    <w:rsid w:val="2F36DE81"/>
    <w:rsid w:val="2F8CFF08"/>
    <w:rsid w:val="2FB99643"/>
    <w:rsid w:val="2FD9165A"/>
    <w:rsid w:val="2FDD8149"/>
    <w:rsid w:val="30307983"/>
    <w:rsid w:val="303AF25D"/>
    <w:rsid w:val="3041E712"/>
    <w:rsid w:val="304E59F5"/>
    <w:rsid w:val="30546735"/>
    <w:rsid w:val="3094B47E"/>
    <w:rsid w:val="30ADBF16"/>
    <w:rsid w:val="30AFBC69"/>
    <w:rsid w:val="30B8BB1A"/>
    <w:rsid w:val="30F8DD66"/>
    <w:rsid w:val="3179E6AE"/>
    <w:rsid w:val="318462B2"/>
    <w:rsid w:val="31A6DF21"/>
    <w:rsid w:val="31AA9D7A"/>
    <w:rsid w:val="31ADC4B2"/>
    <w:rsid w:val="31E17619"/>
    <w:rsid w:val="31F6DFD0"/>
    <w:rsid w:val="320AB50E"/>
    <w:rsid w:val="321444DD"/>
    <w:rsid w:val="321BAB1F"/>
    <w:rsid w:val="321C6BAD"/>
    <w:rsid w:val="327178AB"/>
    <w:rsid w:val="32970F7E"/>
    <w:rsid w:val="32C19CAB"/>
    <w:rsid w:val="32E1EAF4"/>
    <w:rsid w:val="3340AC50"/>
    <w:rsid w:val="335FF0A4"/>
    <w:rsid w:val="337C8BF7"/>
    <w:rsid w:val="339A1B13"/>
    <w:rsid w:val="33ADD21C"/>
    <w:rsid w:val="33E55FD8"/>
    <w:rsid w:val="345E110E"/>
    <w:rsid w:val="34679816"/>
    <w:rsid w:val="347BE47A"/>
    <w:rsid w:val="34D54EDC"/>
    <w:rsid w:val="352DB649"/>
    <w:rsid w:val="3541E678"/>
    <w:rsid w:val="3546DEA6"/>
    <w:rsid w:val="35683015"/>
    <w:rsid w:val="35CA8397"/>
    <w:rsid w:val="35CC8BF7"/>
    <w:rsid w:val="35CE0677"/>
    <w:rsid w:val="35D1A44E"/>
    <w:rsid w:val="3648092B"/>
    <w:rsid w:val="3673FB27"/>
    <w:rsid w:val="369B8CB0"/>
    <w:rsid w:val="36B12896"/>
    <w:rsid w:val="36D15336"/>
    <w:rsid w:val="36E2AF07"/>
    <w:rsid w:val="37124276"/>
    <w:rsid w:val="374C3620"/>
    <w:rsid w:val="37893376"/>
    <w:rsid w:val="37B04A0E"/>
    <w:rsid w:val="383007FB"/>
    <w:rsid w:val="38317715"/>
    <w:rsid w:val="385E7C6E"/>
    <w:rsid w:val="38EA9FFF"/>
    <w:rsid w:val="391950BB"/>
    <w:rsid w:val="3921F9EE"/>
    <w:rsid w:val="393A9F30"/>
    <w:rsid w:val="3968B651"/>
    <w:rsid w:val="399D5C73"/>
    <w:rsid w:val="39A96B87"/>
    <w:rsid w:val="39FCDAAC"/>
    <w:rsid w:val="3A543B7C"/>
    <w:rsid w:val="3ADB372C"/>
    <w:rsid w:val="3B3CF105"/>
    <w:rsid w:val="3B5926AE"/>
    <w:rsid w:val="3B5BF914"/>
    <w:rsid w:val="3B97FF9F"/>
    <w:rsid w:val="3BF98E1A"/>
    <w:rsid w:val="3BFBFBC2"/>
    <w:rsid w:val="3C0C3B7F"/>
    <w:rsid w:val="3C304F9D"/>
    <w:rsid w:val="3C80B827"/>
    <w:rsid w:val="3CBA8620"/>
    <w:rsid w:val="3CEF5816"/>
    <w:rsid w:val="3CF0BF7A"/>
    <w:rsid w:val="3CF9EBED"/>
    <w:rsid w:val="3D0F10FF"/>
    <w:rsid w:val="3D143E25"/>
    <w:rsid w:val="3D1FE2F5"/>
    <w:rsid w:val="3D7F50F5"/>
    <w:rsid w:val="3DC0582C"/>
    <w:rsid w:val="3DF4CFED"/>
    <w:rsid w:val="3DF513EC"/>
    <w:rsid w:val="3E2DC8DC"/>
    <w:rsid w:val="3E3A7BBF"/>
    <w:rsid w:val="3E716E8B"/>
    <w:rsid w:val="3E97FAF3"/>
    <w:rsid w:val="3ED4988F"/>
    <w:rsid w:val="3EDD7BCF"/>
    <w:rsid w:val="3F365D13"/>
    <w:rsid w:val="3F551001"/>
    <w:rsid w:val="3F5EFB58"/>
    <w:rsid w:val="3F7CC5B0"/>
    <w:rsid w:val="3FB08C8A"/>
    <w:rsid w:val="3FC05589"/>
    <w:rsid w:val="3FE73E1D"/>
    <w:rsid w:val="402E9757"/>
    <w:rsid w:val="403301F4"/>
    <w:rsid w:val="403637DA"/>
    <w:rsid w:val="40F229A4"/>
    <w:rsid w:val="410E9C89"/>
    <w:rsid w:val="4125D29B"/>
    <w:rsid w:val="4178D645"/>
    <w:rsid w:val="41829DA8"/>
    <w:rsid w:val="41C5BD96"/>
    <w:rsid w:val="423FD6D4"/>
    <w:rsid w:val="425AF5D6"/>
    <w:rsid w:val="426254A6"/>
    <w:rsid w:val="42D29827"/>
    <w:rsid w:val="42DDD8C6"/>
    <w:rsid w:val="4328A4BA"/>
    <w:rsid w:val="43295C51"/>
    <w:rsid w:val="43621367"/>
    <w:rsid w:val="436F13A0"/>
    <w:rsid w:val="4399DA02"/>
    <w:rsid w:val="439E2D66"/>
    <w:rsid w:val="43B34C93"/>
    <w:rsid w:val="43F44D9A"/>
    <w:rsid w:val="4409480E"/>
    <w:rsid w:val="442DAFCB"/>
    <w:rsid w:val="4431163C"/>
    <w:rsid w:val="444A930D"/>
    <w:rsid w:val="44639A65"/>
    <w:rsid w:val="4463ECE4"/>
    <w:rsid w:val="4482879F"/>
    <w:rsid w:val="44CDD5AE"/>
    <w:rsid w:val="4509AD26"/>
    <w:rsid w:val="453BB0D1"/>
    <w:rsid w:val="45652B82"/>
    <w:rsid w:val="458356E8"/>
    <w:rsid w:val="463A5002"/>
    <w:rsid w:val="465010F8"/>
    <w:rsid w:val="465260E1"/>
    <w:rsid w:val="46819798"/>
    <w:rsid w:val="46C39C85"/>
    <w:rsid w:val="46CA590B"/>
    <w:rsid w:val="471A126F"/>
    <w:rsid w:val="4725B7E0"/>
    <w:rsid w:val="4755C2D1"/>
    <w:rsid w:val="47753A64"/>
    <w:rsid w:val="47901DCA"/>
    <w:rsid w:val="47BD9661"/>
    <w:rsid w:val="47D4A95B"/>
    <w:rsid w:val="47F6621A"/>
    <w:rsid w:val="4804FBAA"/>
    <w:rsid w:val="48077124"/>
    <w:rsid w:val="486B02D3"/>
    <w:rsid w:val="486D264E"/>
    <w:rsid w:val="486F6964"/>
    <w:rsid w:val="48B7FC8C"/>
    <w:rsid w:val="48CB2886"/>
    <w:rsid w:val="48D0CFA6"/>
    <w:rsid w:val="48DD95D4"/>
    <w:rsid w:val="495C7E25"/>
    <w:rsid w:val="4970C594"/>
    <w:rsid w:val="49838383"/>
    <w:rsid w:val="49E4B9F8"/>
    <w:rsid w:val="49E6E783"/>
    <w:rsid w:val="4A04F03A"/>
    <w:rsid w:val="4A0AE968"/>
    <w:rsid w:val="4A3F6DA0"/>
    <w:rsid w:val="4A7C0A81"/>
    <w:rsid w:val="4AAA75F1"/>
    <w:rsid w:val="4AB3EF0F"/>
    <w:rsid w:val="4AE05519"/>
    <w:rsid w:val="4B05FE41"/>
    <w:rsid w:val="4B277717"/>
    <w:rsid w:val="4BCC03BD"/>
    <w:rsid w:val="4C0D182B"/>
    <w:rsid w:val="4C202D66"/>
    <w:rsid w:val="4C590DBC"/>
    <w:rsid w:val="4C66DA71"/>
    <w:rsid w:val="4C8DB62D"/>
    <w:rsid w:val="4C947FB7"/>
    <w:rsid w:val="4CF5FB7A"/>
    <w:rsid w:val="4D2B16EE"/>
    <w:rsid w:val="4D2BED9D"/>
    <w:rsid w:val="4DF8FE01"/>
    <w:rsid w:val="4DFFBAEB"/>
    <w:rsid w:val="4E066661"/>
    <w:rsid w:val="4E0AC71C"/>
    <w:rsid w:val="4E180ED1"/>
    <w:rsid w:val="4E3C333B"/>
    <w:rsid w:val="4E3FDB85"/>
    <w:rsid w:val="4E488E5B"/>
    <w:rsid w:val="4E62E117"/>
    <w:rsid w:val="4E80EAF6"/>
    <w:rsid w:val="4E9BF868"/>
    <w:rsid w:val="4EAEFDD0"/>
    <w:rsid w:val="4EAF4BEB"/>
    <w:rsid w:val="4EF40061"/>
    <w:rsid w:val="4F24AD3B"/>
    <w:rsid w:val="4F271B59"/>
    <w:rsid w:val="4F2F0227"/>
    <w:rsid w:val="4F5A17C1"/>
    <w:rsid w:val="4FE8E31A"/>
    <w:rsid w:val="5005C0B5"/>
    <w:rsid w:val="506DACFD"/>
    <w:rsid w:val="5075C979"/>
    <w:rsid w:val="5089F16A"/>
    <w:rsid w:val="5092280D"/>
    <w:rsid w:val="50B3BDD6"/>
    <w:rsid w:val="5150B6C2"/>
    <w:rsid w:val="515D68AA"/>
    <w:rsid w:val="518481A5"/>
    <w:rsid w:val="51B7EA39"/>
    <w:rsid w:val="51BA48D9"/>
    <w:rsid w:val="51C55CF1"/>
    <w:rsid w:val="51C55E21"/>
    <w:rsid w:val="51D1C5EF"/>
    <w:rsid w:val="51F7E606"/>
    <w:rsid w:val="523748BD"/>
    <w:rsid w:val="5253CDCB"/>
    <w:rsid w:val="52A3454D"/>
    <w:rsid w:val="5303649F"/>
    <w:rsid w:val="53077796"/>
    <w:rsid w:val="53598208"/>
    <w:rsid w:val="53C1922C"/>
    <w:rsid w:val="53C3D2F1"/>
    <w:rsid w:val="53C82CA3"/>
    <w:rsid w:val="53D86B5B"/>
    <w:rsid w:val="5405053B"/>
    <w:rsid w:val="5457F56A"/>
    <w:rsid w:val="54828C3A"/>
    <w:rsid w:val="549CD999"/>
    <w:rsid w:val="54AC7E7E"/>
    <w:rsid w:val="54E45991"/>
    <w:rsid w:val="54F7896E"/>
    <w:rsid w:val="5506762B"/>
    <w:rsid w:val="55104297"/>
    <w:rsid w:val="55369B5E"/>
    <w:rsid w:val="553E16EF"/>
    <w:rsid w:val="55A5A861"/>
    <w:rsid w:val="55B806B8"/>
    <w:rsid w:val="562FA045"/>
    <w:rsid w:val="565F4AD8"/>
    <w:rsid w:val="566B3A06"/>
    <w:rsid w:val="566D41C5"/>
    <w:rsid w:val="56786072"/>
    <w:rsid w:val="56B5DE48"/>
    <w:rsid w:val="56BB5277"/>
    <w:rsid w:val="56C3B5BF"/>
    <w:rsid w:val="56D6347A"/>
    <w:rsid w:val="570DD2E1"/>
    <w:rsid w:val="57391923"/>
    <w:rsid w:val="573E2968"/>
    <w:rsid w:val="5757E6C6"/>
    <w:rsid w:val="575B42DB"/>
    <w:rsid w:val="5794840A"/>
    <w:rsid w:val="57DA3034"/>
    <w:rsid w:val="5863CE8C"/>
    <w:rsid w:val="586A976F"/>
    <w:rsid w:val="5873B3DF"/>
    <w:rsid w:val="5883AE31"/>
    <w:rsid w:val="588CA710"/>
    <w:rsid w:val="589611FB"/>
    <w:rsid w:val="58BADD94"/>
    <w:rsid w:val="58C060DF"/>
    <w:rsid w:val="58DC8E0D"/>
    <w:rsid w:val="5916C05C"/>
    <w:rsid w:val="591A967D"/>
    <w:rsid w:val="59219828"/>
    <w:rsid w:val="595BA4A1"/>
    <w:rsid w:val="597ACFB9"/>
    <w:rsid w:val="59A33FF4"/>
    <w:rsid w:val="59A5A1C5"/>
    <w:rsid w:val="59AAC5D0"/>
    <w:rsid w:val="59B99974"/>
    <w:rsid w:val="59B9CA9C"/>
    <w:rsid w:val="5A0DD1A8"/>
    <w:rsid w:val="5A27C6E7"/>
    <w:rsid w:val="5A2CBAA9"/>
    <w:rsid w:val="5A3F27EF"/>
    <w:rsid w:val="5A402E73"/>
    <w:rsid w:val="5A56EF78"/>
    <w:rsid w:val="5A97F5EB"/>
    <w:rsid w:val="5ABEBD84"/>
    <w:rsid w:val="5AD55549"/>
    <w:rsid w:val="5B031168"/>
    <w:rsid w:val="5B66CAF2"/>
    <w:rsid w:val="5B860EE2"/>
    <w:rsid w:val="5B8A3CBF"/>
    <w:rsid w:val="5B9DC108"/>
    <w:rsid w:val="5BA31B92"/>
    <w:rsid w:val="5C3A2F98"/>
    <w:rsid w:val="5C522667"/>
    <w:rsid w:val="5C7125AA"/>
    <w:rsid w:val="5CA32D31"/>
    <w:rsid w:val="5DDE0EFD"/>
    <w:rsid w:val="5DF3CDAE"/>
    <w:rsid w:val="5E16116D"/>
    <w:rsid w:val="5E47F6F6"/>
    <w:rsid w:val="5E7D425F"/>
    <w:rsid w:val="5EC1DD81"/>
    <w:rsid w:val="5ED5A1F6"/>
    <w:rsid w:val="5EF11CDC"/>
    <w:rsid w:val="5F024ED6"/>
    <w:rsid w:val="5F7C53D9"/>
    <w:rsid w:val="5F86815B"/>
    <w:rsid w:val="5F94EF19"/>
    <w:rsid w:val="5FFC5FCB"/>
    <w:rsid w:val="6060396F"/>
    <w:rsid w:val="60731799"/>
    <w:rsid w:val="607C194B"/>
    <w:rsid w:val="60CA457E"/>
    <w:rsid w:val="60F9886D"/>
    <w:rsid w:val="60FEE1AE"/>
    <w:rsid w:val="610BED1F"/>
    <w:rsid w:val="610C240A"/>
    <w:rsid w:val="612B6E70"/>
    <w:rsid w:val="614BE28D"/>
    <w:rsid w:val="618F5EE5"/>
    <w:rsid w:val="61BCC10E"/>
    <w:rsid w:val="61D84191"/>
    <w:rsid w:val="61DC0A65"/>
    <w:rsid w:val="61E065AC"/>
    <w:rsid w:val="6219B16A"/>
    <w:rsid w:val="623A6A3A"/>
    <w:rsid w:val="62BEE2EE"/>
    <w:rsid w:val="630153D0"/>
    <w:rsid w:val="635628F7"/>
    <w:rsid w:val="637777B4"/>
    <w:rsid w:val="6383BF6C"/>
    <w:rsid w:val="63890141"/>
    <w:rsid w:val="63C3EA6E"/>
    <w:rsid w:val="63FD0870"/>
    <w:rsid w:val="647C8EA7"/>
    <w:rsid w:val="64D624DB"/>
    <w:rsid w:val="6508473E"/>
    <w:rsid w:val="655299BB"/>
    <w:rsid w:val="65729513"/>
    <w:rsid w:val="65863C39"/>
    <w:rsid w:val="65A254C0"/>
    <w:rsid w:val="661959EB"/>
    <w:rsid w:val="664461E9"/>
    <w:rsid w:val="66660EDA"/>
    <w:rsid w:val="66971F09"/>
    <w:rsid w:val="66F48DDB"/>
    <w:rsid w:val="674D7685"/>
    <w:rsid w:val="679DB3A7"/>
    <w:rsid w:val="67E9F14E"/>
    <w:rsid w:val="68146194"/>
    <w:rsid w:val="6843E844"/>
    <w:rsid w:val="6860E922"/>
    <w:rsid w:val="68D0F3C9"/>
    <w:rsid w:val="6957436C"/>
    <w:rsid w:val="69A82D14"/>
    <w:rsid w:val="69B1A9D8"/>
    <w:rsid w:val="69C6EA98"/>
    <w:rsid w:val="69E54433"/>
    <w:rsid w:val="69EE991E"/>
    <w:rsid w:val="6A39C764"/>
    <w:rsid w:val="6A3A7B62"/>
    <w:rsid w:val="6A5692D4"/>
    <w:rsid w:val="6A9F9350"/>
    <w:rsid w:val="6AFD4F6A"/>
    <w:rsid w:val="6B15F6C2"/>
    <w:rsid w:val="6B1AD167"/>
    <w:rsid w:val="6B25CB74"/>
    <w:rsid w:val="6B261AE6"/>
    <w:rsid w:val="6B2F9E61"/>
    <w:rsid w:val="6B384C69"/>
    <w:rsid w:val="6B4EA548"/>
    <w:rsid w:val="6B535CBA"/>
    <w:rsid w:val="6B778C0B"/>
    <w:rsid w:val="6BA69258"/>
    <w:rsid w:val="6BB563CD"/>
    <w:rsid w:val="6BBCFF26"/>
    <w:rsid w:val="6BC58E7C"/>
    <w:rsid w:val="6BF686B2"/>
    <w:rsid w:val="6C4A55B7"/>
    <w:rsid w:val="6CCBA91C"/>
    <w:rsid w:val="6CE47082"/>
    <w:rsid w:val="6D452540"/>
    <w:rsid w:val="6D484A26"/>
    <w:rsid w:val="6D61E40A"/>
    <w:rsid w:val="6D8427C9"/>
    <w:rsid w:val="6D8D99ED"/>
    <w:rsid w:val="6DAC37CE"/>
    <w:rsid w:val="6DFC23F1"/>
    <w:rsid w:val="6E1F69E1"/>
    <w:rsid w:val="6E2AF9D7"/>
    <w:rsid w:val="6E2B55A1"/>
    <w:rsid w:val="6E5B3ABD"/>
    <w:rsid w:val="6E6B658A"/>
    <w:rsid w:val="6EBEB5E3"/>
    <w:rsid w:val="6ED9DB7D"/>
    <w:rsid w:val="6EE56175"/>
    <w:rsid w:val="6EE757FF"/>
    <w:rsid w:val="6F5A1C01"/>
    <w:rsid w:val="6F7D59BE"/>
    <w:rsid w:val="6F84F517"/>
    <w:rsid w:val="6FA1876B"/>
    <w:rsid w:val="70563323"/>
    <w:rsid w:val="706524B3"/>
    <w:rsid w:val="70C071E1"/>
    <w:rsid w:val="70CA237A"/>
    <w:rsid w:val="70DCF342"/>
    <w:rsid w:val="7163FE2F"/>
    <w:rsid w:val="7167949F"/>
    <w:rsid w:val="71B178AE"/>
    <w:rsid w:val="71F90382"/>
    <w:rsid w:val="71F9BE2B"/>
    <w:rsid w:val="721AF322"/>
    <w:rsid w:val="723AB61C"/>
    <w:rsid w:val="725F5348"/>
    <w:rsid w:val="72AA1CBF"/>
    <w:rsid w:val="72E77AAB"/>
    <w:rsid w:val="72F0F640"/>
    <w:rsid w:val="72F4B807"/>
    <w:rsid w:val="7308EF8E"/>
    <w:rsid w:val="738151D1"/>
    <w:rsid w:val="73902AF1"/>
    <w:rsid w:val="73D328A7"/>
    <w:rsid w:val="73EAA2E3"/>
    <w:rsid w:val="74009077"/>
    <w:rsid w:val="7410E76C"/>
    <w:rsid w:val="742E189A"/>
    <w:rsid w:val="74374314"/>
    <w:rsid w:val="74887640"/>
    <w:rsid w:val="748DDF8E"/>
    <w:rsid w:val="74933454"/>
    <w:rsid w:val="749A3B5B"/>
    <w:rsid w:val="74B31A72"/>
    <w:rsid w:val="74C6234A"/>
    <w:rsid w:val="75031629"/>
    <w:rsid w:val="7522368F"/>
    <w:rsid w:val="765373A4"/>
    <w:rsid w:val="76814B90"/>
    <w:rsid w:val="76DC53BD"/>
    <w:rsid w:val="76DF6FEC"/>
    <w:rsid w:val="76EEAC75"/>
    <w:rsid w:val="77034185"/>
    <w:rsid w:val="77152478"/>
    <w:rsid w:val="7748D422"/>
    <w:rsid w:val="7765A396"/>
    <w:rsid w:val="777993BF"/>
    <w:rsid w:val="7783C805"/>
    <w:rsid w:val="7787B89C"/>
    <w:rsid w:val="77957A6B"/>
    <w:rsid w:val="7807C47D"/>
    <w:rsid w:val="785962DF"/>
    <w:rsid w:val="787FB911"/>
    <w:rsid w:val="788DFEEC"/>
    <w:rsid w:val="78DF3884"/>
    <w:rsid w:val="7904607F"/>
    <w:rsid w:val="790E123D"/>
    <w:rsid w:val="7A370F1B"/>
    <w:rsid w:val="7A3C7AB0"/>
    <w:rsid w:val="7A6726DB"/>
    <w:rsid w:val="7ACA9673"/>
    <w:rsid w:val="7BD1BF4C"/>
    <w:rsid w:val="7BFE217F"/>
    <w:rsid w:val="7C61DED2"/>
    <w:rsid w:val="7C9FD97B"/>
    <w:rsid w:val="7CBF2F54"/>
    <w:rsid w:val="7CC5D7BF"/>
    <w:rsid w:val="7CCB0D13"/>
    <w:rsid w:val="7CE7E1F4"/>
    <w:rsid w:val="7CEC3A23"/>
    <w:rsid w:val="7D09EB22"/>
    <w:rsid w:val="7D50A516"/>
    <w:rsid w:val="7D5B2E63"/>
    <w:rsid w:val="7D72E136"/>
    <w:rsid w:val="7D88DE04"/>
    <w:rsid w:val="7D9F9471"/>
    <w:rsid w:val="7DAB6A86"/>
    <w:rsid w:val="7DFBFD39"/>
    <w:rsid w:val="7E0BE651"/>
    <w:rsid w:val="7E116B03"/>
    <w:rsid w:val="7E40AC5D"/>
    <w:rsid w:val="7E422020"/>
    <w:rsid w:val="7E64D967"/>
    <w:rsid w:val="7E668B2B"/>
    <w:rsid w:val="7E6BCAC7"/>
    <w:rsid w:val="7EBDE68A"/>
    <w:rsid w:val="7ECE2DAE"/>
    <w:rsid w:val="7EE39F43"/>
    <w:rsid w:val="7EFAC456"/>
    <w:rsid w:val="7F3C0D42"/>
    <w:rsid w:val="7F416A9E"/>
    <w:rsid w:val="7F4E7A08"/>
    <w:rsid w:val="7F66BFA9"/>
    <w:rsid w:val="7F8C9701"/>
    <w:rsid w:val="7F986393"/>
    <w:rsid w:val="7FB7AB35"/>
    <w:rsid w:val="7FB9267E"/>
    <w:rsid w:val="7FE7C0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78889"/>
  <w15:docId w15:val="{649D5B09-023F-4650-86B1-61F4A371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99"/>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4C52"/>
    <w:rPr>
      <w:lang w:val="en-US" w:eastAsia="en-US"/>
    </w:rPr>
  </w:style>
  <w:style w:type="paragraph" w:styleId="Heading1">
    <w:name w:val="heading 1"/>
    <w:basedOn w:val="Normal"/>
    <w:next w:val="BodyText"/>
    <w:link w:val="Heading1Char"/>
    <w:qFormat/>
    <w:locked/>
    <w:rsid w:val="00120C50"/>
    <w:pPr>
      <w:keepNext/>
      <w:spacing w:before="400" w:after="600"/>
      <w:ind w:left="851" w:hanging="851"/>
      <w:outlineLvl w:val="0"/>
    </w:pPr>
    <w:rPr>
      <w:rFonts w:ascii="Public Sans SemiBold" w:hAnsi="Public Sans SemiBold"/>
      <w:caps/>
      <w:color w:val="002664"/>
      <w:kern w:val="28"/>
      <w:sz w:val="40"/>
      <w:szCs w:val="36"/>
      <w:lang w:val="en-AU"/>
    </w:rPr>
  </w:style>
  <w:style w:type="paragraph" w:styleId="Heading2">
    <w:name w:val="heading 2"/>
    <w:basedOn w:val="Normal"/>
    <w:next w:val="BodyText"/>
    <w:link w:val="Heading2Char"/>
    <w:semiHidden/>
    <w:qFormat/>
    <w:rsid w:val="00120C50"/>
    <w:pPr>
      <w:keepNext/>
      <w:widowControl w:val="0"/>
      <w:numPr>
        <w:numId w:val="71"/>
      </w:numPr>
      <w:pBdr>
        <w:bottom w:val="single" w:sz="4" w:space="2" w:color="008EBA"/>
      </w:pBdr>
      <w:spacing w:before="240" w:after="100" w:line="240" w:lineRule="atLeast"/>
      <w:outlineLvl w:val="1"/>
    </w:pPr>
    <w:rPr>
      <w:rFonts w:ascii="Arial Bold" w:hAnsi="Arial Bold"/>
      <w:b/>
      <w:color w:val="008EBA"/>
      <w:kern w:val="28"/>
      <w:sz w:val="24"/>
      <w:szCs w:val="36"/>
      <w:lang w:val="en-AU"/>
    </w:rPr>
  </w:style>
  <w:style w:type="paragraph" w:styleId="Heading3">
    <w:name w:val="heading 3"/>
    <w:next w:val="BodyText"/>
    <w:link w:val="Heading3Char"/>
    <w:qFormat/>
    <w:locked/>
    <w:rsid w:val="00587274"/>
    <w:pPr>
      <w:spacing w:before="240" w:after="100" w:line="240" w:lineRule="atLeast"/>
      <w:outlineLvl w:val="2"/>
    </w:pPr>
    <w:rPr>
      <w:rFonts w:ascii="Public Sans SemiBold" w:hAnsi="Public Sans SemiBold"/>
      <w:b/>
      <w:color w:val="22272B"/>
      <w:kern w:val="28"/>
      <w:sz w:val="26"/>
      <w:szCs w:val="36"/>
      <w:lang w:eastAsia="en-US"/>
    </w:rPr>
  </w:style>
  <w:style w:type="paragraph" w:styleId="Heading4">
    <w:name w:val="heading 4"/>
    <w:basedOn w:val="Heading3"/>
    <w:next w:val="BodyText"/>
    <w:link w:val="Heading4Char"/>
    <w:qFormat/>
    <w:locked/>
    <w:rsid w:val="00120C50"/>
    <w:pPr>
      <w:outlineLvl w:val="3"/>
    </w:pPr>
    <w:rPr>
      <w:sz w:val="24"/>
    </w:rPr>
  </w:style>
  <w:style w:type="paragraph" w:styleId="Heading5">
    <w:name w:val="heading 5"/>
    <w:basedOn w:val="Heading4"/>
    <w:next w:val="BodyText"/>
    <w:link w:val="Heading5Char"/>
    <w:qFormat/>
    <w:locked/>
    <w:rsid w:val="00E20E38"/>
    <w:pPr>
      <w:spacing w:after="60"/>
      <w:outlineLvl w:val="4"/>
    </w:pPr>
    <w:rPr>
      <w:b w:val="0"/>
      <w:i/>
    </w:rPr>
  </w:style>
  <w:style w:type="paragraph" w:styleId="Heading6">
    <w:name w:val="heading 6"/>
    <w:basedOn w:val="Heading1"/>
    <w:next w:val="Normal"/>
    <w:link w:val="Heading6Char"/>
    <w:semiHidden/>
    <w:qFormat/>
    <w:rsid w:val="00120C50"/>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semiHidden/>
    <w:qFormat/>
    <w:rsid w:val="00120C50"/>
    <w:pPr>
      <w:spacing w:before="120"/>
      <w:ind w:left="425"/>
      <w:jc w:val="both"/>
      <w:outlineLvl w:val="6"/>
    </w:pPr>
    <w:rPr>
      <w:i w:val="0"/>
    </w:rPr>
  </w:style>
  <w:style w:type="paragraph" w:styleId="Heading8">
    <w:name w:val="heading 8"/>
    <w:basedOn w:val="Heading7"/>
    <w:next w:val="Normal"/>
    <w:link w:val="Heading8Char"/>
    <w:semiHidden/>
    <w:qFormat/>
    <w:rsid w:val="00120C50"/>
    <w:pPr>
      <w:outlineLvl w:val="7"/>
    </w:pPr>
    <w:rPr>
      <w:i/>
    </w:rPr>
  </w:style>
  <w:style w:type="paragraph" w:styleId="Heading9">
    <w:name w:val="heading 9"/>
    <w:basedOn w:val="Heading8"/>
    <w:next w:val="Normal"/>
    <w:link w:val="Heading9Char"/>
    <w:semiHidden/>
    <w:qFormat/>
    <w:rsid w:val="00120C50"/>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locked/>
    <w:rsid w:val="00E4551D"/>
    <w:pPr>
      <w:spacing w:before="120" w:after="120"/>
    </w:pPr>
    <w:rPr>
      <w:rFonts w:ascii="Public Sans" w:hAnsi="Public Sans" w:cs="Arial"/>
      <w:sz w:val="22"/>
      <w:lang w:eastAsia="en-US"/>
    </w:rPr>
  </w:style>
  <w:style w:type="paragraph" w:customStyle="1" w:styleId="Bullet1">
    <w:name w:val="Bullet 1"/>
    <w:basedOn w:val="BodyText"/>
    <w:link w:val="Bullet1Char"/>
    <w:autoRedefine/>
    <w:qFormat/>
    <w:locked/>
    <w:rsid w:val="00244CB4"/>
    <w:pPr>
      <w:numPr>
        <w:numId w:val="86"/>
      </w:numPr>
      <w:tabs>
        <w:tab w:val="left" w:pos="8647"/>
      </w:tabs>
      <w:ind w:left="284" w:hanging="284"/>
    </w:pPr>
    <w:rPr>
      <w:rFonts w:eastAsiaTheme="minorEastAsia"/>
      <w:szCs w:val="23"/>
      <w:lang w:eastAsia="en-AU"/>
    </w:rPr>
  </w:style>
  <w:style w:type="paragraph" w:styleId="NoSpacing">
    <w:name w:val="No Spacing"/>
    <w:basedOn w:val="Normal"/>
    <w:link w:val="NoSpacingChar"/>
    <w:semiHidden/>
    <w:qFormat/>
    <w:rsid w:val="00120C50"/>
  </w:style>
  <w:style w:type="paragraph" w:customStyle="1" w:styleId="Bullet2">
    <w:name w:val="Bullet 2"/>
    <w:basedOn w:val="Bullet1"/>
    <w:locked/>
    <w:rsid w:val="00DF75DE"/>
    <w:pPr>
      <w:numPr>
        <w:numId w:val="29"/>
      </w:numPr>
      <w:tabs>
        <w:tab w:val="clear" w:pos="8647"/>
      </w:tabs>
    </w:pPr>
  </w:style>
  <w:style w:type="character" w:customStyle="1" w:styleId="NoSpacingChar">
    <w:name w:val="No Spacing Char"/>
    <w:link w:val="NoSpacing"/>
    <w:semiHidden/>
    <w:rsid w:val="00120C50"/>
    <w:rPr>
      <w:lang w:val="en-US" w:eastAsia="en-US"/>
    </w:rPr>
  </w:style>
  <w:style w:type="paragraph" w:customStyle="1" w:styleId="Table1X">
    <w:name w:val="Table 1.X"/>
    <w:next w:val="Normal"/>
    <w:semiHidden/>
    <w:qFormat/>
    <w:locked/>
    <w:rsid w:val="00120C50"/>
    <w:pPr>
      <w:numPr>
        <w:numId w:val="32"/>
      </w:numPr>
      <w:spacing w:before="240" w:after="120"/>
    </w:pPr>
    <w:rPr>
      <w:rFonts w:ascii="Public Sans" w:hAnsi="Public Sans"/>
      <w:bCs/>
      <w:i/>
      <w:color w:val="4F4F4F"/>
      <w:kern w:val="28"/>
      <w:sz w:val="22"/>
      <w:szCs w:val="22"/>
      <w:lang w:eastAsia="en-US"/>
    </w:rPr>
  </w:style>
  <w:style w:type="character" w:styleId="FootnoteReference">
    <w:name w:val="footnote reference"/>
    <w:semiHidden/>
    <w:rsid w:val="00120C50"/>
    <w:rPr>
      <w:vertAlign w:val="superscript"/>
    </w:rPr>
  </w:style>
  <w:style w:type="paragraph" w:styleId="FootnoteText">
    <w:name w:val="footnote text"/>
    <w:basedOn w:val="Normal"/>
    <w:link w:val="FootnoteTextChar"/>
    <w:semiHidden/>
    <w:rsid w:val="00120C50"/>
    <w:pPr>
      <w:spacing w:before="80" w:after="80"/>
      <w:ind w:left="709" w:hanging="142"/>
    </w:pPr>
    <w:rPr>
      <w:i/>
      <w:sz w:val="16"/>
    </w:rPr>
  </w:style>
  <w:style w:type="character" w:styleId="EndnoteReference">
    <w:name w:val="endnote reference"/>
    <w:semiHidden/>
    <w:rsid w:val="00120C50"/>
    <w:rPr>
      <w:i/>
      <w:sz w:val="16"/>
      <w:vertAlign w:val="superscript"/>
    </w:rPr>
  </w:style>
  <w:style w:type="paragraph" w:customStyle="1" w:styleId="21Heading2">
    <w:name w:val="2.1 Heading 2"/>
    <w:basedOn w:val="11Heading2"/>
    <w:next w:val="BodyText"/>
    <w:semiHidden/>
    <w:qFormat/>
    <w:locked/>
    <w:rsid w:val="00120C50"/>
    <w:pPr>
      <w:numPr>
        <w:numId w:val="8"/>
      </w:numPr>
    </w:pPr>
    <w:rPr>
      <w:b w:val="0"/>
    </w:rPr>
  </w:style>
  <w:style w:type="paragraph" w:customStyle="1" w:styleId="11Heading2">
    <w:name w:val="1.1 Heading 2"/>
    <w:basedOn w:val="Normal"/>
    <w:semiHidden/>
    <w:qFormat/>
    <w:locked/>
    <w:rsid w:val="00FE1E7D"/>
    <w:pPr>
      <w:numPr>
        <w:numId w:val="7"/>
      </w:numPr>
      <w:pBdr>
        <w:bottom w:val="single" w:sz="4" w:space="4" w:color="0A7CB9"/>
      </w:pBdr>
      <w:spacing w:before="360" w:after="120"/>
    </w:pPr>
    <w:rPr>
      <w:rFonts w:ascii="Arial Bold" w:hAnsi="Arial Bold"/>
      <w:b/>
      <w:color w:val="0A7CB9"/>
      <w:sz w:val="28"/>
      <w:lang w:val="en-AU"/>
    </w:rPr>
  </w:style>
  <w:style w:type="paragraph" w:customStyle="1" w:styleId="Chart1X">
    <w:name w:val="Chart 1.X"/>
    <w:basedOn w:val="Table1X"/>
    <w:next w:val="Normal"/>
    <w:semiHidden/>
    <w:locked/>
    <w:rsid w:val="00120C50"/>
    <w:pPr>
      <w:keepLines/>
      <w:numPr>
        <w:numId w:val="33"/>
      </w:numPr>
    </w:pPr>
  </w:style>
  <w:style w:type="character" w:customStyle="1" w:styleId="Heading2Char">
    <w:name w:val="Heading 2 Char"/>
    <w:link w:val="Heading2"/>
    <w:semiHidden/>
    <w:rsid w:val="00120C50"/>
    <w:rPr>
      <w:rFonts w:ascii="Arial Bold" w:hAnsi="Arial Bold"/>
      <w:b/>
      <w:color w:val="008EBA"/>
      <w:kern w:val="28"/>
      <w:sz w:val="24"/>
      <w:szCs w:val="36"/>
      <w:lang w:eastAsia="en-US"/>
    </w:rPr>
  </w:style>
  <w:style w:type="table" w:styleId="TableGrid">
    <w:name w:val="Table Grid"/>
    <w:basedOn w:val="TableNormal"/>
    <w:rsid w:val="00120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587274"/>
    <w:rPr>
      <w:rFonts w:ascii="Public Sans SemiBold" w:hAnsi="Public Sans SemiBold"/>
      <w:b/>
      <w:color w:val="22272B"/>
      <w:kern w:val="28"/>
      <w:sz w:val="26"/>
      <w:szCs w:val="36"/>
      <w:lang w:eastAsia="en-US"/>
    </w:rPr>
  </w:style>
  <w:style w:type="character" w:customStyle="1" w:styleId="Bullet1Char">
    <w:name w:val="Bullet 1 Char"/>
    <w:link w:val="Bullet1"/>
    <w:rsid w:val="00244CB4"/>
    <w:rPr>
      <w:rFonts w:ascii="Public Sans" w:eastAsiaTheme="minorEastAsia" w:hAnsi="Public Sans" w:cs="Arial"/>
      <w:sz w:val="22"/>
      <w:szCs w:val="23"/>
    </w:rPr>
  </w:style>
  <w:style w:type="paragraph" w:customStyle="1" w:styleId="Box1XBoxHeading">
    <w:name w:val="Box 1.X: Box Heading"/>
    <w:basedOn w:val="Normal"/>
    <w:next w:val="Normal"/>
    <w:semiHidden/>
    <w:qFormat/>
    <w:locked/>
    <w:rsid w:val="00120C50"/>
    <w:pPr>
      <w:numPr>
        <w:numId w:val="20"/>
      </w:numPr>
      <w:spacing w:before="80" w:after="60" w:line="240" w:lineRule="atLeast"/>
    </w:pPr>
    <w:rPr>
      <w:rFonts w:ascii="Public Sans SemiBold" w:hAnsi="Public Sans SemiBold"/>
      <w:b/>
      <w:color w:val="002664"/>
      <w:sz w:val="22"/>
      <w:lang w:val="en-AU"/>
    </w:rPr>
  </w:style>
  <w:style w:type="paragraph" w:customStyle="1" w:styleId="Box3XBoxHeading">
    <w:name w:val="Box 3.X: Box Heading"/>
    <w:basedOn w:val="Box1XBoxHeading"/>
    <w:next w:val="Normal"/>
    <w:semiHidden/>
    <w:qFormat/>
    <w:locked/>
    <w:rsid w:val="00120C50"/>
    <w:pPr>
      <w:numPr>
        <w:numId w:val="22"/>
      </w:numPr>
    </w:pPr>
  </w:style>
  <w:style w:type="paragraph" w:customStyle="1" w:styleId="Box6XBoxHeading">
    <w:name w:val="Box 6.X: Box Heading"/>
    <w:basedOn w:val="Box1XBoxHeading"/>
    <w:autoRedefine/>
    <w:semiHidden/>
    <w:qFormat/>
    <w:locked/>
    <w:rsid w:val="00120C50"/>
    <w:pPr>
      <w:keepLines/>
      <w:widowControl w:val="0"/>
      <w:numPr>
        <w:numId w:val="25"/>
      </w:numPr>
    </w:pPr>
    <w:rPr>
      <w:rFonts w:eastAsia="Arial Unicode MS" w:cs="Arial"/>
      <w:bCs/>
      <w:szCs w:val="17"/>
      <w:lang w:eastAsia="en-AU"/>
    </w:rPr>
  </w:style>
  <w:style w:type="paragraph" w:customStyle="1" w:styleId="Box2XBoxHeading">
    <w:name w:val="Box 2.X: Box Heading"/>
    <w:basedOn w:val="Box1XBoxHeading"/>
    <w:next w:val="Normal"/>
    <w:semiHidden/>
    <w:qFormat/>
    <w:locked/>
    <w:rsid w:val="00120C50"/>
    <w:pPr>
      <w:numPr>
        <w:numId w:val="21"/>
      </w:numPr>
    </w:pPr>
  </w:style>
  <w:style w:type="paragraph" w:customStyle="1" w:styleId="Chart2X">
    <w:name w:val="Chart 2.X"/>
    <w:basedOn w:val="Chart1X"/>
    <w:next w:val="Normal"/>
    <w:semiHidden/>
    <w:locked/>
    <w:rsid w:val="00120C50"/>
    <w:pPr>
      <w:numPr>
        <w:numId w:val="34"/>
      </w:numPr>
    </w:pPr>
    <w:rPr>
      <w:color w:val="57514D"/>
    </w:rPr>
  </w:style>
  <w:style w:type="paragraph" w:customStyle="1" w:styleId="Table2X">
    <w:name w:val="Table 2.X"/>
    <w:basedOn w:val="Table1X"/>
    <w:next w:val="Normal"/>
    <w:semiHidden/>
    <w:qFormat/>
    <w:locked/>
    <w:rsid w:val="00120C50"/>
    <w:pPr>
      <w:numPr>
        <w:numId w:val="72"/>
      </w:numPr>
    </w:pPr>
    <w:rPr>
      <w:lang w:val="fr-FR"/>
    </w:rPr>
  </w:style>
  <w:style w:type="paragraph" w:customStyle="1" w:styleId="Table3X">
    <w:name w:val="Table 3.X"/>
    <w:basedOn w:val="Table1X"/>
    <w:next w:val="Normal"/>
    <w:semiHidden/>
    <w:locked/>
    <w:rsid w:val="00120C50"/>
    <w:pPr>
      <w:widowControl w:val="0"/>
      <w:numPr>
        <w:numId w:val="73"/>
      </w:numPr>
    </w:pPr>
    <w:rPr>
      <w:bCs w:val="0"/>
    </w:rPr>
  </w:style>
  <w:style w:type="paragraph" w:customStyle="1" w:styleId="TableFX">
    <w:name w:val="Table F.X"/>
    <w:basedOn w:val="TableA1X"/>
    <w:next w:val="Normal"/>
    <w:semiHidden/>
    <w:locked/>
    <w:rsid w:val="00120C50"/>
    <w:pPr>
      <w:widowControl w:val="0"/>
      <w:numPr>
        <w:numId w:val="85"/>
      </w:numPr>
    </w:pPr>
    <w:rPr>
      <w:bCs w:val="0"/>
      <w:color w:val="57514D"/>
    </w:rPr>
  </w:style>
  <w:style w:type="paragraph" w:customStyle="1" w:styleId="31Heading2">
    <w:name w:val="3.1 Heading 2"/>
    <w:basedOn w:val="11Heading2"/>
    <w:next w:val="BodyText"/>
    <w:semiHidden/>
    <w:qFormat/>
    <w:locked/>
    <w:rsid w:val="00120C50"/>
    <w:pPr>
      <w:numPr>
        <w:numId w:val="9"/>
      </w:numPr>
      <w:pBdr>
        <w:bottom w:val="single" w:sz="4" w:space="4" w:color="22272B"/>
      </w:pBdr>
    </w:pPr>
    <w:rPr>
      <w:rFonts w:ascii="Public Sans SemiBold" w:hAnsi="Public Sans SemiBold"/>
      <w:b w:val="0"/>
      <w:color w:val="22272B"/>
    </w:rPr>
  </w:style>
  <w:style w:type="paragraph" w:customStyle="1" w:styleId="Box71BoxHeading">
    <w:name w:val="Box 7.1 Box Heading"/>
    <w:basedOn w:val="Normal"/>
    <w:autoRedefine/>
    <w:semiHidden/>
    <w:rsid w:val="00120C50"/>
    <w:pPr>
      <w:keepLines/>
      <w:widowControl w:val="0"/>
      <w:numPr>
        <w:numId w:val="26"/>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semiHidden/>
    <w:qFormat/>
    <w:locked/>
    <w:rsid w:val="00120C50"/>
    <w:pPr>
      <w:numPr>
        <w:numId w:val="35"/>
      </w:numPr>
    </w:pPr>
  </w:style>
  <w:style w:type="paragraph" w:customStyle="1" w:styleId="41Heading2">
    <w:name w:val="4.1 Heading 2"/>
    <w:basedOn w:val="11Heading2"/>
    <w:next w:val="BodyText"/>
    <w:qFormat/>
    <w:locked/>
    <w:rsid w:val="00DF75DE"/>
    <w:pPr>
      <w:numPr>
        <w:numId w:val="10"/>
      </w:numPr>
      <w:pBdr>
        <w:bottom w:val="single" w:sz="4" w:space="4" w:color="22272B"/>
      </w:pBdr>
    </w:pPr>
    <w:rPr>
      <w:rFonts w:ascii="Public Sans SemiBold" w:hAnsi="Public Sans SemiBold"/>
      <w:color w:val="22272B"/>
    </w:rPr>
  </w:style>
  <w:style w:type="paragraph" w:customStyle="1" w:styleId="Box4XBoxHeading">
    <w:name w:val="Box 4.X Box Heading"/>
    <w:basedOn w:val="Box1XBoxHeading"/>
    <w:next w:val="Normal"/>
    <w:autoRedefine/>
    <w:locked/>
    <w:rsid w:val="00652504"/>
    <w:pPr>
      <w:numPr>
        <w:numId w:val="23"/>
      </w:numPr>
      <w:ind w:left="1134" w:hanging="1134"/>
    </w:pPr>
    <w:rPr>
      <w:rFonts w:cs="Arial"/>
      <w:lang w:eastAsia="en-AU"/>
    </w:rPr>
  </w:style>
  <w:style w:type="paragraph" w:customStyle="1" w:styleId="Chart4X">
    <w:name w:val="Chart 4.X"/>
    <w:basedOn w:val="Chart1X"/>
    <w:next w:val="Normal"/>
    <w:locked/>
    <w:rsid w:val="00F7139A"/>
    <w:pPr>
      <w:numPr>
        <w:numId w:val="36"/>
      </w:numPr>
      <w:ind w:left="1418" w:hanging="1418"/>
    </w:pPr>
  </w:style>
  <w:style w:type="paragraph" w:customStyle="1" w:styleId="Table4X">
    <w:name w:val="Table 4.X"/>
    <w:basedOn w:val="Table1X"/>
    <w:next w:val="Normal"/>
    <w:locked/>
    <w:rsid w:val="00652504"/>
    <w:pPr>
      <w:widowControl w:val="0"/>
      <w:numPr>
        <w:numId w:val="74"/>
      </w:numPr>
      <w:ind w:left="1418" w:hanging="1418"/>
    </w:pPr>
    <w:rPr>
      <w:bCs w:val="0"/>
    </w:rPr>
  </w:style>
  <w:style w:type="paragraph" w:customStyle="1" w:styleId="51Heading2">
    <w:name w:val="5.1 Heading 2"/>
    <w:basedOn w:val="11Heading2"/>
    <w:next w:val="BodyText"/>
    <w:semiHidden/>
    <w:qFormat/>
    <w:locked/>
    <w:rsid w:val="00120C50"/>
    <w:pPr>
      <w:numPr>
        <w:numId w:val="11"/>
      </w:numPr>
      <w:pBdr>
        <w:bottom w:val="single" w:sz="4" w:space="4" w:color="22272B"/>
      </w:pBdr>
    </w:pPr>
    <w:rPr>
      <w:rFonts w:ascii="Public Sans SemiBold" w:hAnsi="Public Sans SemiBold"/>
      <w:b w:val="0"/>
      <w:color w:val="22272B"/>
    </w:rPr>
  </w:style>
  <w:style w:type="paragraph" w:customStyle="1" w:styleId="Box5XBoxHeading">
    <w:name w:val="Box 5.X: Box Heading"/>
    <w:basedOn w:val="Box1XBoxHeading"/>
    <w:next w:val="Normal"/>
    <w:semiHidden/>
    <w:qFormat/>
    <w:locked/>
    <w:rsid w:val="00120C50"/>
    <w:pPr>
      <w:numPr>
        <w:numId w:val="24"/>
      </w:numPr>
    </w:pPr>
  </w:style>
  <w:style w:type="paragraph" w:customStyle="1" w:styleId="Chart5X">
    <w:name w:val="Chart 5.X"/>
    <w:basedOn w:val="Chart1X"/>
    <w:next w:val="Normal"/>
    <w:semiHidden/>
    <w:locked/>
    <w:rsid w:val="00120C50"/>
    <w:pPr>
      <w:numPr>
        <w:numId w:val="37"/>
      </w:numPr>
    </w:pPr>
  </w:style>
  <w:style w:type="paragraph" w:customStyle="1" w:styleId="Table5X">
    <w:name w:val="Table 5.X"/>
    <w:basedOn w:val="Table1X"/>
    <w:next w:val="Normal"/>
    <w:semiHidden/>
    <w:locked/>
    <w:rsid w:val="00120C50"/>
    <w:pPr>
      <w:widowControl w:val="0"/>
      <w:numPr>
        <w:numId w:val="75"/>
      </w:numPr>
    </w:pPr>
    <w:rPr>
      <w:bCs w:val="0"/>
    </w:rPr>
  </w:style>
  <w:style w:type="paragraph" w:customStyle="1" w:styleId="Chart6X">
    <w:name w:val="Chart 6.X"/>
    <w:basedOn w:val="Chart1X"/>
    <w:next w:val="Normal"/>
    <w:semiHidden/>
    <w:qFormat/>
    <w:locked/>
    <w:rsid w:val="00120C50"/>
    <w:pPr>
      <w:numPr>
        <w:numId w:val="38"/>
      </w:numPr>
    </w:pPr>
  </w:style>
  <w:style w:type="paragraph" w:customStyle="1" w:styleId="Table6X">
    <w:name w:val="Table 6.X"/>
    <w:basedOn w:val="Table1X"/>
    <w:next w:val="Normal"/>
    <w:semiHidden/>
    <w:qFormat/>
    <w:locked/>
    <w:rsid w:val="00120C50"/>
    <w:pPr>
      <w:widowControl w:val="0"/>
      <w:numPr>
        <w:numId w:val="76"/>
      </w:numPr>
    </w:pPr>
    <w:rPr>
      <w:bCs w:val="0"/>
    </w:rPr>
  </w:style>
  <w:style w:type="paragraph" w:customStyle="1" w:styleId="71Heading2">
    <w:name w:val="7.1 Heading 2"/>
    <w:basedOn w:val="11Heading2"/>
    <w:next w:val="BodyText"/>
    <w:semiHidden/>
    <w:qFormat/>
    <w:locked/>
    <w:rsid w:val="00120C50"/>
    <w:pPr>
      <w:numPr>
        <w:numId w:val="13"/>
      </w:numPr>
      <w:pBdr>
        <w:bottom w:val="single" w:sz="4" w:space="4" w:color="22272B"/>
      </w:pBdr>
    </w:pPr>
    <w:rPr>
      <w:rFonts w:ascii="Public Sans SemiBold" w:hAnsi="Public Sans SemiBold"/>
      <w:b w:val="0"/>
      <w:color w:val="22272B"/>
    </w:rPr>
  </w:style>
  <w:style w:type="paragraph" w:customStyle="1" w:styleId="81Heading2">
    <w:name w:val="8.1 Heading 2"/>
    <w:basedOn w:val="11Heading2"/>
    <w:next w:val="BodyText"/>
    <w:semiHidden/>
    <w:qFormat/>
    <w:locked/>
    <w:rsid w:val="00120C50"/>
    <w:pPr>
      <w:numPr>
        <w:numId w:val="14"/>
      </w:numPr>
      <w:pBdr>
        <w:bottom w:val="single" w:sz="4" w:space="4" w:color="22272B"/>
      </w:pBdr>
    </w:pPr>
    <w:rPr>
      <w:rFonts w:ascii="Public Sans SemiBold" w:hAnsi="Public Sans SemiBold"/>
      <w:color w:val="22272B"/>
    </w:rPr>
  </w:style>
  <w:style w:type="paragraph" w:customStyle="1" w:styleId="Chart7X">
    <w:name w:val="Chart 7.X"/>
    <w:basedOn w:val="Chart1X"/>
    <w:next w:val="Normal"/>
    <w:semiHidden/>
    <w:qFormat/>
    <w:locked/>
    <w:rsid w:val="00120C50"/>
    <w:pPr>
      <w:numPr>
        <w:numId w:val="39"/>
      </w:numPr>
    </w:pPr>
  </w:style>
  <w:style w:type="paragraph" w:customStyle="1" w:styleId="Box7XBoxHeading">
    <w:name w:val="Box 7.X: Box Heading"/>
    <w:basedOn w:val="Box1XBoxHeading"/>
    <w:next w:val="Normal"/>
    <w:semiHidden/>
    <w:qFormat/>
    <w:locked/>
    <w:rsid w:val="00120C50"/>
    <w:pPr>
      <w:numPr>
        <w:numId w:val="27"/>
      </w:numPr>
    </w:pPr>
  </w:style>
  <w:style w:type="paragraph" w:customStyle="1" w:styleId="Table7X">
    <w:name w:val="Table 7.X"/>
    <w:basedOn w:val="Table1X"/>
    <w:next w:val="Normal"/>
    <w:semiHidden/>
    <w:qFormat/>
    <w:locked/>
    <w:rsid w:val="00120C50"/>
    <w:pPr>
      <w:numPr>
        <w:numId w:val="77"/>
      </w:numPr>
    </w:pPr>
  </w:style>
  <w:style w:type="paragraph" w:customStyle="1" w:styleId="ChartEX">
    <w:name w:val="Chart E.X"/>
    <w:basedOn w:val="ChartA1X"/>
    <w:next w:val="Normal"/>
    <w:semiHidden/>
    <w:qFormat/>
    <w:locked/>
    <w:rsid w:val="00120C50"/>
    <w:pPr>
      <w:numPr>
        <w:numId w:val="48"/>
      </w:numPr>
    </w:pPr>
  </w:style>
  <w:style w:type="paragraph" w:customStyle="1" w:styleId="ChartA2X">
    <w:name w:val="Chart A2.X"/>
    <w:basedOn w:val="ChartA1X"/>
    <w:next w:val="Normal"/>
    <w:semiHidden/>
    <w:qFormat/>
    <w:locked/>
    <w:rsid w:val="00120C50"/>
    <w:pPr>
      <w:numPr>
        <w:numId w:val="41"/>
      </w:numPr>
    </w:pPr>
  </w:style>
  <w:style w:type="paragraph" w:customStyle="1" w:styleId="A22Heading2">
    <w:name w:val="A2.2 Heading 2"/>
    <w:basedOn w:val="11Heading2"/>
    <w:next w:val="BodyText"/>
    <w:semiHidden/>
    <w:qFormat/>
    <w:locked/>
    <w:rsid w:val="00120C50"/>
    <w:pPr>
      <w:numPr>
        <w:numId w:val="16"/>
      </w:numPr>
      <w:pBdr>
        <w:bottom w:val="single" w:sz="4" w:space="4" w:color="22272B"/>
      </w:pBdr>
    </w:pPr>
    <w:rPr>
      <w:rFonts w:ascii="Public Sans SemiBold" w:hAnsi="Public Sans SemiBold"/>
      <w:b w:val="0"/>
      <w:color w:val="22272B"/>
    </w:rPr>
  </w:style>
  <w:style w:type="paragraph" w:customStyle="1" w:styleId="TableA2X">
    <w:name w:val="Table A2.X"/>
    <w:basedOn w:val="TableA1X"/>
    <w:next w:val="Normal"/>
    <w:semiHidden/>
    <w:locked/>
    <w:rsid w:val="00120C50"/>
    <w:pPr>
      <w:keepNext/>
      <w:keepLines/>
      <w:widowControl w:val="0"/>
      <w:numPr>
        <w:numId w:val="80"/>
      </w:numPr>
      <w:autoSpaceDE w:val="0"/>
      <w:autoSpaceDN w:val="0"/>
    </w:pPr>
    <w:rPr>
      <w:rFonts w:cs="Arial"/>
      <w:color w:val="57514D"/>
      <w:lang w:eastAsia="en-AU"/>
    </w:rPr>
  </w:style>
  <w:style w:type="paragraph" w:customStyle="1" w:styleId="TableA3X">
    <w:name w:val="Table A3.X"/>
    <w:basedOn w:val="TableA1X"/>
    <w:next w:val="Normal"/>
    <w:semiHidden/>
    <w:qFormat/>
    <w:locked/>
    <w:rsid w:val="00120C50"/>
    <w:pPr>
      <w:widowControl w:val="0"/>
      <w:numPr>
        <w:numId w:val="0"/>
      </w:numPr>
      <w:ind w:left="360" w:hanging="360"/>
    </w:pPr>
    <w:rPr>
      <w:bCs w:val="0"/>
    </w:rPr>
  </w:style>
  <w:style w:type="paragraph" w:customStyle="1" w:styleId="A11Heading2">
    <w:name w:val="A1.1 Heading 2"/>
    <w:basedOn w:val="11Heading2"/>
    <w:next w:val="BodyText"/>
    <w:semiHidden/>
    <w:qFormat/>
    <w:locked/>
    <w:rsid w:val="00120C50"/>
    <w:pPr>
      <w:numPr>
        <w:numId w:val="15"/>
      </w:numPr>
      <w:pBdr>
        <w:bottom w:val="single" w:sz="4" w:space="4" w:color="22272B"/>
      </w:pBdr>
    </w:pPr>
    <w:rPr>
      <w:rFonts w:ascii="Public Sans SemiBold" w:eastAsia="Tahoma" w:hAnsi="Public Sans SemiBold" w:cs="Tahoma"/>
      <w:b w:val="0"/>
      <w:color w:val="22272B"/>
    </w:rPr>
  </w:style>
  <w:style w:type="paragraph" w:customStyle="1" w:styleId="B1Heading2">
    <w:name w:val="B.1 Heading 2"/>
    <w:basedOn w:val="11Heading2"/>
    <w:semiHidden/>
    <w:qFormat/>
    <w:locked/>
    <w:rsid w:val="00120C50"/>
    <w:pPr>
      <w:numPr>
        <w:numId w:val="19"/>
      </w:numPr>
      <w:pBdr>
        <w:bottom w:val="single" w:sz="4" w:space="4" w:color="22272B"/>
      </w:pBdr>
    </w:pPr>
    <w:rPr>
      <w:rFonts w:ascii="Public Sans SemiBold" w:eastAsia="Tahoma" w:hAnsi="Public Sans SemiBold" w:cs="Tahoma"/>
      <w:b w:val="0"/>
      <w:color w:val="22272B"/>
    </w:rPr>
  </w:style>
  <w:style w:type="paragraph" w:customStyle="1" w:styleId="ChartA1X">
    <w:name w:val="Chart A1.X"/>
    <w:basedOn w:val="Chart1X"/>
    <w:next w:val="Normal"/>
    <w:semiHidden/>
    <w:qFormat/>
    <w:locked/>
    <w:rsid w:val="00120C50"/>
    <w:pPr>
      <w:numPr>
        <w:numId w:val="40"/>
      </w:numPr>
    </w:pPr>
    <w:rPr>
      <w:rFonts w:eastAsia="Tahoma" w:cs="Tahoma"/>
    </w:rPr>
  </w:style>
  <w:style w:type="paragraph" w:customStyle="1" w:styleId="ChartBX">
    <w:name w:val="Chart B.X"/>
    <w:basedOn w:val="ChartA1X"/>
    <w:next w:val="Normal"/>
    <w:semiHidden/>
    <w:qFormat/>
    <w:locked/>
    <w:rsid w:val="00120C50"/>
    <w:pPr>
      <w:numPr>
        <w:numId w:val="45"/>
      </w:numPr>
    </w:pPr>
  </w:style>
  <w:style w:type="paragraph" w:customStyle="1" w:styleId="ChartCX">
    <w:name w:val="Chart C.X"/>
    <w:basedOn w:val="ChartA1X"/>
    <w:next w:val="Normal"/>
    <w:semiHidden/>
    <w:qFormat/>
    <w:locked/>
    <w:rsid w:val="00120C50"/>
    <w:pPr>
      <w:numPr>
        <w:numId w:val="46"/>
      </w:numPr>
    </w:pPr>
  </w:style>
  <w:style w:type="paragraph" w:customStyle="1" w:styleId="ChartDX">
    <w:name w:val="Chart D.X"/>
    <w:basedOn w:val="ChartA1X"/>
    <w:next w:val="Normal"/>
    <w:semiHidden/>
    <w:qFormat/>
    <w:locked/>
    <w:rsid w:val="00120C50"/>
    <w:pPr>
      <w:numPr>
        <w:numId w:val="47"/>
      </w:numPr>
    </w:pPr>
  </w:style>
  <w:style w:type="paragraph" w:customStyle="1" w:styleId="TableA1X">
    <w:name w:val="Table A1.X"/>
    <w:basedOn w:val="Table1X"/>
    <w:next w:val="Normal"/>
    <w:semiHidden/>
    <w:qFormat/>
    <w:locked/>
    <w:rsid w:val="00120C50"/>
    <w:pPr>
      <w:numPr>
        <w:numId w:val="79"/>
      </w:numPr>
    </w:pPr>
    <w:rPr>
      <w:rFonts w:eastAsia="Tahoma" w:cs="Tahoma"/>
    </w:rPr>
  </w:style>
  <w:style w:type="paragraph" w:customStyle="1" w:styleId="TableBX">
    <w:name w:val="Table B.X"/>
    <w:basedOn w:val="TableA1X"/>
    <w:next w:val="Normal"/>
    <w:semiHidden/>
    <w:qFormat/>
    <w:locked/>
    <w:rsid w:val="00120C50"/>
    <w:pPr>
      <w:numPr>
        <w:numId w:val="81"/>
      </w:numPr>
    </w:pPr>
  </w:style>
  <w:style w:type="paragraph" w:customStyle="1" w:styleId="TableCX">
    <w:name w:val="Table C.X"/>
    <w:basedOn w:val="TableA1X"/>
    <w:next w:val="Normal"/>
    <w:semiHidden/>
    <w:qFormat/>
    <w:locked/>
    <w:rsid w:val="00120C50"/>
    <w:pPr>
      <w:numPr>
        <w:numId w:val="82"/>
      </w:numPr>
    </w:pPr>
  </w:style>
  <w:style w:type="paragraph" w:customStyle="1" w:styleId="TableDX">
    <w:name w:val="Table D.X"/>
    <w:basedOn w:val="TableA1X"/>
    <w:next w:val="Normal"/>
    <w:semiHidden/>
    <w:qFormat/>
    <w:locked/>
    <w:rsid w:val="00120C50"/>
    <w:pPr>
      <w:numPr>
        <w:numId w:val="83"/>
      </w:numPr>
    </w:pPr>
  </w:style>
  <w:style w:type="paragraph" w:customStyle="1" w:styleId="ChartA3X">
    <w:name w:val="Chart A3.X"/>
    <w:basedOn w:val="ChartA1X"/>
    <w:next w:val="Normal"/>
    <w:semiHidden/>
    <w:qFormat/>
    <w:locked/>
    <w:rsid w:val="00120C50"/>
    <w:pPr>
      <w:numPr>
        <w:numId w:val="42"/>
      </w:numPr>
    </w:pPr>
  </w:style>
  <w:style w:type="paragraph" w:customStyle="1" w:styleId="ChartFX">
    <w:name w:val="Chart F.X"/>
    <w:basedOn w:val="ChartA1X"/>
    <w:next w:val="Normal"/>
    <w:semiHidden/>
    <w:locked/>
    <w:rsid w:val="00120C50"/>
    <w:pPr>
      <w:numPr>
        <w:numId w:val="49"/>
      </w:numPr>
    </w:pPr>
  </w:style>
  <w:style w:type="paragraph" w:customStyle="1" w:styleId="61Heading2">
    <w:name w:val="6.1 Heading 2"/>
    <w:basedOn w:val="11Heading2"/>
    <w:next w:val="BodyText"/>
    <w:semiHidden/>
    <w:qFormat/>
    <w:locked/>
    <w:rsid w:val="00120C50"/>
    <w:pPr>
      <w:numPr>
        <w:numId w:val="12"/>
      </w:numPr>
      <w:pBdr>
        <w:bottom w:val="single" w:sz="4" w:space="4" w:color="22272B"/>
      </w:pBdr>
    </w:pPr>
    <w:rPr>
      <w:rFonts w:ascii="Public Sans SemiBold" w:hAnsi="Public Sans SemiBold"/>
      <w:color w:val="22272B"/>
    </w:rPr>
  </w:style>
  <w:style w:type="paragraph" w:customStyle="1" w:styleId="A31Heading2">
    <w:name w:val="A3.1 Heading 2"/>
    <w:basedOn w:val="11Heading2"/>
    <w:semiHidden/>
    <w:qFormat/>
    <w:locked/>
    <w:rsid w:val="00120C50"/>
    <w:pPr>
      <w:numPr>
        <w:numId w:val="17"/>
      </w:numPr>
      <w:pBdr>
        <w:bottom w:val="single" w:sz="4" w:space="4" w:color="22272B"/>
      </w:pBdr>
    </w:pPr>
    <w:rPr>
      <w:rFonts w:ascii="Public Sans SemiBold" w:hAnsi="Public Sans SemiBold"/>
      <w:color w:val="22272B"/>
    </w:rPr>
  </w:style>
  <w:style w:type="paragraph" w:customStyle="1" w:styleId="A41Heading2">
    <w:name w:val="A4.1 Heading 2"/>
    <w:basedOn w:val="11Heading2"/>
    <w:next w:val="BodyText"/>
    <w:semiHidden/>
    <w:qFormat/>
    <w:locked/>
    <w:rsid w:val="00120C50"/>
    <w:pPr>
      <w:numPr>
        <w:numId w:val="18"/>
      </w:numPr>
      <w:pBdr>
        <w:bottom w:val="single" w:sz="4" w:space="4" w:color="22272B"/>
      </w:pBdr>
    </w:pPr>
    <w:rPr>
      <w:rFonts w:ascii="Public Sans SemiBold" w:hAnsi="Public Sans SemiBold"/>
      <w:color w:val="22272B"/>
    </w:rPr>
  </w:style>
  <w:style w:type="paragraph" w:customStyle="1" w:styleId="C1Heading2">
    <w:name w:val="C.1 Heading 2"/>
    <w:basedOn w:val="11Heading2"/>
    <w:next w:val="BodyText"/>
    <w:semiHidden/>
    <w:qFormat/>
    <w:locked/>
    <w:rsid w:val="00120C50"/>
    <w:pPr>
      <w:numPr>
        <w:numId w:val="31"/>
      </w:numPr>
      <w:pBdr>
        <w:bottom w:val="single" w:sz="4" w:space="4" w:color="22272B"/>
      </w:pBdr>
    </w:pPr>
    <w:rPr>
      <w:rFonts w:ascii="Public Sans SemiBold" w:hAnsi="Public Sans SemiBold"/>
      <w:color w:val="22272B"/>
    </w:rPr>
  </w:style>
  <w:style w:type="paragraph" w:customStyle="1" w:styleId="D1Heading2">
    <w:name w:val="D.1 Heading 2"/>
    <w:basedOn w:val="11Heading2"/>
    <w:next w:val="BodyText"/>
    <w:semiHidden/>
    <w:qFormat/>
    <w:locked/>
    <w:rsid w:val="00120C50"/>
    <w:pPr>
      <w:numPr>
        <w:numId w:val="50"/>
      </w:numPr>
      <w:pBdr>
        <w:bottom w:val="single" w:sz="4" w:space="4" w:color="22272B"/>
      </w:pBdr>
    </w:pPr>
    <w:rPr>
      <w:rFonts w:ascii="Public Sans SemiBold" w:hAnsi="Public Sans SemiBold"/>
      <w:color w:val="22272B"/>
    </w:rPr>
  </w:style>
  <w:style w:type="paragraph" w:customStyle="1" w:styleId="E1Heading2">
    <w:name w:val="E.1 Heading 2"/>
    <w:basedOn w:val="11Heading2"/>
    <w:next w:val="BodyText"/>
    <w:semiHidden/>
    <w:qFormat/>
    <w:locked/>
    <w:rsid w:val="00120C50"/>
    <w:pPr>
      <w:numPr>
        <w:numId w:val="51"/>
      </w:numPr>
      <w:pBdr>
        <w:bottom w:val="single" w:sz="4" w:space="4" w:color="22272B"/>
      </w:pBdr>
    </w:pPr>
    <w:rPr>
      <w:rFonts w:ascii="Public Sans SemiBold" w:hAnsi="Public Sans SemiBold"/>
      <w:color w:val="22272B"/>
    </w:rPr>
  </w:style>
  <w:style w:type="paragraph" w:customStyle="1" w:styleId="F1Heading2">
    <w:name w:val="F.1 Heading 2"/>
    <w:basedOn w:val="11Heading2"/>
    <w:semiHidden/>
    <w:qFormat/>
    <w:locked/>
    <w:rsid w:val="00120C50"/>
    <w:pPr>
      <w:numPr>
        <w:numId w:val="52"/>
      </w:numPr>
      <w:pBdr>
        <w:bottom w:val="single" w:sz="4" w:space="4" w:color="22272B"/>
      </w:pBdr>
    </w:pPr>
    <w:rPr>
      <w:rFonts w:ascii="Public Sans SemiBold" w:hAnsi="Public Sans SemiBold"/>
      <w:color w:val="22272B"/>
    </w:rPr>
  </w:style>
  <w:style w:type="paragraph" w:customStyle="1" w:styleId="Table8X">
    <w:name w:val="Table 8.X"/>
    <w:basedOn w:val="Table1X"/>
    <w:next w:val="Normal"/>
    <w:semiHidden/>
    <w:qFormat/>
    <w:locked/>
    <w:rsid w:val="00120C50"/>
    <w:pPr>
      <w:numPr>
        <w:numId w:val="78"/>
      </w:numPr>
    </w:pPr>
  </w:style>
  <w:style w:type="paragraph" w:customStyle="1" w:styleId="ChartA4X">
    <w:name w:val="Chart A4.X"/>
    <w:basedOn w:val="ChartA1X"/>
    <w:next w:val="Normal"/>
    <w:semiHidden/>
    <w:qFormat/>
    <w:locked/>
    <w:rsid w:val="00120C50"/>
    <w:pPr>
      <w:numPr>
        <w:numId w:val="43"/>
      </w:numPr>
    </w:pPr>
  </w:style>
  <w:style w:type="paragraph" w:customStyle="1" w:styleId="ChartA5X">
    <w:name w:val="Chart A5.X"/>
    <w:basedOn w:val="ChartA1X"/>
    <w:next w:val="Normal"/>
    <w:semiHidden/>
    <w:qFormat/>
    <w:locked/>
    <w:rsid w:val="00120C50"/>
    <w:pPr>
      <w:numPr>
        <w:numId w:val="44"/>
      </w:numPr>
    </w:pPr>
  </w:style>
  <w:style w:type="paragraph" w:customStyle="1" w:styleId="Box8XBoxHeading">
    <w:name w:val="Box 8.X: Box Heading"/>
    <w:basedOn w:val="Box1XBoxHeading"/>
    <w:next w:val="Normal"/>
    <w:semiHidden/>
    <w:qFormat/>
    <w:locked/>
    <w:rsid w:val="00120C50"/>
    <w:pPr>
      <w:numPr>
        <w:numId w:val="28"/>
      </w:numPr>
    </w:pPr>
  </w:style>
  <w:style w:type="paragraph" w:styleId="Header">
    <w:name w:val="header"/>
    <w:basedOn w:val="Normal"/>
    <w:link w:val="HeaderChar"/>
    <w:uiPriority w:val="99"/>
    <w:semiHidden/>
    <w:rsid w:val="00120C50"/>
    <w:pPr>
      <w:tabs>
        <w:tab w:val="center" w:pos="4513"/>
        <w:tab w:val="right" w:pos="9026"/>
      </w:tabs>
    </w:pPr>
  </w:style>
  <w:style w:type="character" w:customStyle="1" w:styleId="HeaderChar">
    <w:name w:val="Header Char"/>
    <w:basedOn w:val="DefaultParagraphFont"/>
    <w:link w:val="Header"/>
    <w:uiPriority w:val="99"/>
    <w:semiHidden/>
    <w:rsid w:val="00120C50"/>
    <w:rPr>
      <w:lang w:val="en-US" w:eastAsia="en-US"/>
    </w:rPr>
  </w:style>
  <w:style w:type="paragraph" w:styleId="Footer">
    <w:name w:val="footer"/>
    <w:basedOn w:val="Normal"/>
    <w:link w:val="FooterChar"/>
    <w:semiHidden/>
    <w:rsid w:val="00120C50"/>
    <w:pPr>
      <w:tabs>
        <w:tab w:val="center" w:pos="4513"/>
        <w:tab w:val="right" w:pos="9026"/>
      </w:tabs>
    </w:pPr>
  </w:style>
  <w:style w:type="character" w:customStyle="1" w:styleId="FooterChar">
    <w:name w:val="Footer Char"/>
    <w:basedOn w:val="DefaultParagraphFont"/>
    <w:link w:val="Footer"/>
    <w:semiHidden/>
    <w:rsid w:val="00120C50"/>
    <w:rPr>
      <w:lang w:val="en-US" w:eastAsia="en-US"/>
    </w:rPr>
  </w:style>
  <w:style w:type="table" w:customStyle="1" w:styleId="Focusbox">
    <w:name w:val="Focus box"/>
    <w:basedOn w:val="TableNormal"/>
    <w:uiPriority w:val="99"/>
    <w:locked/>
    <w:rsid w:val="00120C50"/>
    <w:rPr>
      <w:rFonts w:ascii="Arial" w:hAnsi="Arial"/>
      <w:sz w:val="23"/>
    </w:rPr>
    <w:tblPr/>
    <w:tcPr>
      <w:shd w:val="pct5" w:color="auto" w:fill="auto"/>
    </w:tcPr>
  </w:style>
  <w:style w:type="paragraph" w:customStyle="1" w:styleId="Source">
    <w:name w:val="Source"/>
    <w:basedOn w:val="Normal"/>
    <w:next w:val="BodyText"/>
    <w:qFormat/>
    <w:rsid w:val="00120C50"/>
    <w:pPr>
      <w:widowControl w:val="0"/>
    </w:pPr>
    <w:rPr>
      <w:rFonts w:ascii="Public Sans" w:hAnsi="Public Sans" w:cs="Arial"/>
      <w:i/>
      <w:noProof/>
      <w:color w:val="4F4F4F"/>
      <w:sz w:val="17"/>
      <w:szCs w:val="17"/>
      <w:lang w:eastAsia="en-AU"/>
    </w:rPr>
  </w:style>
  <w:style w:type="character" w:customStyle="1" w:styleId="BodyTextChar">
    <w:name w:val="Body Text Char"/>
    <w:basedOn w:val="DefaultParagraphFont"/>
    <w:link w:val="BodyText"/>
    <w:rsid w:val="00E4551D"/>
    <w:rPr>
      <w:rFonts w:ascii="Public Sans" w:hAnsi="Public Sans" w:cs="Arial"/>
      <w:sz w:val="22"/>
      <w:lang w:eastAsia="en-US"/>
    </w:rPr>
  </w:style>
  <w:style w:type="numbering" w:customStyle="1" w:styleId="BulletPoints">
    <w:name w:val="Bullet Points"/>
    <w:uiPriority w:val="99"/>
    <w:rsid w:val="00FB7449"/>
    <w:pPr>
      <w:numPr>
        <w:numId w:val="1"/>
      </w:numPr>
    </w:pPr>
  </w:style>
  <w:style w:type="character" w:customStyle="1" w:styleId="Heading1Char">
    <w:name w:val="Heading 1 Char"/>
    <w:link w:val="Heading1"/>
    <w:rsid w:val="00B030DC"/>
    <w:rPr>
      <w:rFonts w:ascii="Public Sans SemiBold" w:hAnsi="Public Sans SemiBold"/>
      <w:caps/>
      <w:color w:val="002664"/>
      <w:kern w:val="28"/>
      <w:sz w:val="40"/>
      <w:szCs w:val="36"/>
      <w:lang w:eastAsia="en-US"/>
    </w:rPr>
  </w:style>
  <w:style w:type="paragraph" w:styleId="BalloonText">
    <w:name w:val="Balloon Text"/>
    <w:basedOn w:val="Normal"/>
    <w:link w:val="BalloonTextChar"/>
    <w:semiHidden/>
    <w:rsid w:val="00E90BEE"/>
    <w:rPr>
      <w:rFonts w:ascii="Arial" w:hAnsi="Arial" w:cs="Tahoma"/>
      <w:sz w:val="23"/>
      <w:szCs w:val="16"/>
      <w:lang w:val="en-AU"/>
    </w:rPr>
  </w:style>
  <w:style w:type="character" w:customStyle="1" w:styleId="BalloonTextChar">
    <w:name w:val="Balloon Text Char"/>
    <w:basedOn w:val="DefaultParagraphFont"/>
    <w:link w:val="BalloonText"/>
    <w:semiHidden/>
    <w:rsid w:val="00E90BEE"/>
    <w:rPr>
      <w:rFonts w:ascii="Arial" w:hAnsi="Arial" w:cs="Tahoma"/>
      <w:sz w:val="23"/>
      <w:szCs w:val="16"/>
      <w:lang w:eastAsia="en-US"/>
    </w:rPr>
  </w:style>
  <w:style w:type="paragraph" w:customStyle="1" w:styleId="BodyText-Box">
    <w:name w:val="Body Text - Box"/>
    <w:basedOn w:val="BodyText"/>
    <w:autoRedefine/>
    <w:semiHidden/>
    <w:rsid w:val="00E90BEE"/>
    <w:pPr>
      <w:tabs>
        <w:tab w:val="left" w:pos="567"/>
        <w:tab w:val="left" w:pos="8647"/>
      </w:tabs>
      <w:ind w:right="-143"/>
    </w:pPr>
    <w:rPr>
      <w:rFonts w:ascii="Times New Roman" w:hAnsi="Times New Roman"/>
      <w:sz w:val="21"/>
      <w:szCs w:val="21"/>
      <w:lang w:eastAsia="en-AU"/>
    </w:rPr>
  </w:style>
  <w:style w:type="paragraph" w:customStyle="1" w:styleId="ObjectHeading">
    <w:name w:val="Object Heading"/>
    <w:basedOn w:val="Heading3"/>
    <w:next w:val="Normal"/>
    <w:semiHidden/>
    <w:rsid w:val="00E90BEE"/>
    <w:pPr>
      <w:keepNext/>
      <w:widowControl w:val="0"/>
      <w:tabs>
        <w:tab w:val="left" w:pos="1418"/>
      </w:tabs>
      <w:ind w:left="1418" w:hanging="1418"/>
    </w:pPr>
    <w:rPr>
      <w:rFonts w:ascii="Arial" w:eastAsiaTheme="majorEastAsia" w:hAnsi="Arial" w:cstheme="majorBidi"/>
      <w:kern w:val="0"/>
    </w:rPr>
  </w:style>
  <w:style w:type="paragraph" w:customStyle="1" w:styleId="Bullet1Paragraph">
    <w:name w:val="Bullet 1 Paragraph"/>
    <w:basedOn w:val="Normal"/>
    <w:semiHidden/>
    <w:rsid w:val="00E90BEE"/>
    <w:pPr>
      <w:ind w:left="425"/>
    </w:pPr>
    <w:rPr>
      <w:lang w:val="en-AU"/>
    </w:rPr>
  </w:style>
  <w:style w:type="paragraph" w:customStyle="1" w:styleId="Bullet2innumberedlist">
    <w:name w:val="Bullet 2 in numbered list"/>
    <w:basedOn w:val="Bullet2"/>
    <w:semiHidden/>
    <w:rsid w:val="00E90BEE"/>
    <w:pPr>
      <w:numPr>
        <w:numId w:val="0"/>
      </w:numPr>
      <w:tabs>
        <w:tab w:val="num" w:pos="851"/>
        <w:tab w:val="left" w:pos="1276"/>
      </w:tabs>
      <w:spacing w:after="0"/>
      <w:ind w:left="851" w:hanging="426"/>
    </w:pPr>
    <w:rPr>
      <w:rFonts w:eastAsia="Times New Roman"/>
      <w:szCs w:val="22"/>
      <w:lang w:eastAsia="en-US"/>
    </w:rPr>
  </w:style>
  <w:style w:type="paragraph" w:customStyle="1" w:styleId="Bullet2Paragraph">
    <w:name w:val="Bullet 2 Paragraph"/>
    <w:basedOn w:val="Bullet1Paragraph"/>
    <w:semiHidden/>
    <w:rsid w:val="00E90BEE"/>
    <w:pPr>
      <w:ind w:left="851"/>
    </w:pPr>
  </w:style>
  <w:style w:type="character" w:customStyle="1" w:styleId="Heading4Char">
    <w:name w:val="Heading 4 Char"/>
    <w:link w:val="Heading4"/>
    <w:rsid w:val="00E90BEE"/>
    <w:rPr>
      <w:rFonts w:ascii="Public Sans SemiBold" w:hAnsi="Public Sans SemiBold"/>
      <w:b/>
      <w:color w:val="22272B"/>
      <w:kern w:val="28"/>
      <w:sz w:val="24"/>
      <w:szCs w:val="36"/>
      <w:lang w:eastAsia="en-US"/>
    </w:rPr>
  </w:style>
  <w:style w:type="paragraph" w:customStyle="1" w:styleId="Bullet3Paragraph">
    <w:name w:val="Bullet 3 Paragraph"/>
    <w:basedOn w:val="Bullet2Paragraph"/>
    <w:semiHidden/>
    <w:rsid w:val="00E90BEE"/>
    <w:pPr>
      <w:ind w:left="1276"/>
    </w:pPr>
  </w:style>
  <w:style w:type="paragraph" w:customStyle="1" w:styleId="Bullet4Paragraph">
    <w:name w:val="Bullet 4 Paragraph"/>
    <w:basedOn w:val="Bullet3Paragraph"/>
    <w:semiHidden/>
    <w:rsid w:val="00E90BEE"/>
    <w:pPr>
      <w:ind w:left="1701"/>
    </w:pPr>
  </w:style>
  <w:style w:type="paragraph" w:customStyle="1" w:styleId="ChapterHeadingStyle">
    <w:name w:val="Chapter Heading Style"/>
    <w:basedOn w:val="Normal"/>
    <w:semiHidden/>
    <w:rsid w:val="00E90BEE"/>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lang w:val="en-AU"/>
    </w:rPr>
  </w:style>
  <w:style w:type="paragraph" w:customStyle="1" w:styleId="ChartHeading">
    <w:name w:val="Chart Heading"/>
    <w:basedOn w:val="Normal"/>
    <w:autoRedefine/>
    <w:semiHidden/>
    <w:rsid w:val="00E90BEE"/>
    <w:pPr>
      <w:keepNext/>
      <w:widowControl w:val="0"/>
      <w:spacing w:before="240" w:after="120"/>
    </w:pPr>
    <w:rPr>
      <w:rFonts w:ascii="Arial" w:hAnsi="Arial"/>
      <w:b/>
      <w:sz w:val="24"/>
      <w:lang w:val="en-AU"/>
    </w:rPr>
  </w:style>
  <w:style w:type="character" w:customStyle="1" w:styleId="FootnoteTextChar">
    <w:name w:val="Footnote Text Char"/>
    <w:basedOn w:val="DefaultParagraphFont"/>
    <w:link w:val="FootnoteText"/>
    <w:semiHidden/>
    <w:rsid w:val="00E90BEE"/>
    <w:rPr>
      <w:i/>
      <w:sz w:val="16"/>
      <w:lang w:val="en-US" w:eastAsia="en-US"/>
    </w:rPr>
  </w:style>
  <w:style w:type="paragraph" w:customStyle="1" w:styleId="Heading1BP2">
    <w:name w:val="Heading 1 BP2"/>
    <w:semiHidden/>
    <w:rsid w:val="00E90BEE"/>
    <w:pPr>
      <w:keepNext/>
      <w:tabs>
        <w:tab w:val="left" w:pos="284"/>
      </w:tabs>
      <w:spacing w:before="400" w:after="240"/>
    </w:pPr>
    <w:rPr>
      <w:rFonts w:ascii="Lucida Sans" w:hAnsi="Lucida Sans"/>
      <w:kern w:val="28"/>
      <w:sz w:val="36"/>
      <w:szCs w:val="36"/>
      <w:lang w:eastAsia="en-US"/>
    </w:rPr>
  </w:style>
  <w:style w:type="paragraph" w:customStyle="1" w:styleId="ListBullet1">
    <w:name w:val="List Bullet1"/>
    <w:basedOn w:val="Normal"/>
    <w:autoRedefine/>
    <w:semiHidden/>
    <w:rsid w:val="00E90BEE"/>
    <w:pPr>
      <w:numPr>
        <w:numId w:val="2"/>
      </w:numPr>
      <w:spacing w:line="360" w:lineRule="auto"/>
    </w:pPr>
    <w:rPr>
      <w:rFonts w:ascii="Arial" w:hAnsi="Arial"/>
      <w:sz w:val="28"/>
      <w:lang w:val="en-AU"/>
    </w:rPr>
  </w:style>
  <w:style w:type="paragraph" w:customStyle="1" w:styleId="Object">
    <w:name w:val="Object"/>
    <w:basedOn w:val="Normal"/>
    <w:next w:val="Normal"/>
    <w:semiHidden/>
    <w:rsid w:val="00E90BEE"/>
    <w:pPr>
      <w:jc w:val="center"/>
    </w:pPr>
    <w:rPr>
      <w:lang w:val="en-AU"/>
    </w:rPr>
  </w:style>
  <w:style w:type="paragraph" w:customStyle="1" w:styleId="ObjectFootnote">
    <w:name w:val="Object Footnote"/>
    <w:basedOn w:val="Object"/>
    <w:next w:val="Normal"/>
    <w:semiHidden/>
    <w:rsid w:val="00E90BEE"/>
    <w:pPr>
      <w:spacing w:after="60"/>
    </w:pPr>
    <w:rPr>
      <w:i/>
      <w:sz w:val="14"/>
    </w:rPr>
  </w:style>
  <w:style w:type="character" w:customStyle="1" w:styleId="Heading5Char">
    <w:name w:val="Heading 5 Char"/>
    <w:link w:val="Heading5"/>
    <w:rsid w:val="00E20E38"/>
    <w:rPr>
      <w:rFonts w:ascii="Public Sans SemiBold" w:hAnsi="Public Sans SemiBold"/>
      <w:i/>
      <w:color w:val="22272B"/>
      <w:kern w:val="28"/>
      <w:sz w:val="24"/>
      <w:szCs w:val="36"/>
      <w:lang w:eastAsia="en-US"/>
    </w:rPr>
  </w:style>
  <w:style w:type="character" w:customStyle="1" w:styleId="Heading6Char">
    <w:name w:val="Heading 6 Char"/>
    <w:link w:val="Heading6"/>
    <w:semiHidden/>
    <w:rsid w:val="0092066C"/>
    <w:rPr>
      <w:b/>
      <w:i/>
      <w:color w:val="002664"/>
      <w:sz w:val="24"/>
      <w:szCs w:val="36"/>
      <w:lang w:eastAsia="en-US"/>
    </w:rPr>
  </w:style>
  <w:style w:type="character" w:customStyle="1" w:styleId="Heading7Char">
    <w:name w:val="Heading 7 Char"/>
    <w:link w:val="Heading7"/>
    <w:semiHidden/>
    <w:rsid w:val="0092066C"/>
    <w:rPr>
      <w:rFonts w:ascii="Public Sans SemiBold" w:hAnsi="Public Sans SemiBold"/>
      <w:color w:val="22272B"/>
      <w:kern w:val="28"/>
      <w:sz w:val="23"/>
      <w:szCs w:val="36"/>
      <w:lang w:eastAsia="en-US"/>
    </w:rPr>
  </w:style>
  <w:style w:type="character" w:customStyle="1" w:styleId="Heading8Char">
    <w:name w:val="Heading 8 Char"/>
    <w:link w:val="Heading8"/>
    <w:semiHidden/>
    <w:rsid w:val="0092066C"/>
    <w:rPr>
      <w:rFonts w:ascii="Public Sans SemiBold" w:hAnsi="Public Sans SemiBold"/>
      <w:i/>
      <w:color w:val="22272B"/>
      <w:kern w:val="28"/>
      <w:sz w:val="23"/>
      <w:szCs w:val="36"/>
      <w:lang w:eastAsia="en-US"/>
    </w:rPr>
  </w:style>
  <w:style w:type="character" w:customStyle="1" w:styleId="Heading9Char">
    <w:name w:val="Heading 9 Char"/>
    <w:link w:val="Heading9"/>
    <w:semiHidden/>
    <w:rsid w:val="0092066C"/>
    <w:rPr>
      <w:rFonts w:ascii="Public Sans SemiBold" w:hAnsi="Public Sans SemiBold"/>
      <w:color w:val="22272B"/>
      <w:kern w:val="28"/>
      <w:sz w:val="23"/>
      <w:szCs w:val="36"/>
      <w:lang w:eastAsia="en-US"/>
    </w:rPr>
  </w:style>
  <w:style w:type="paragraph" w:customStyle="1" w:styleId="ObjectFootnotelettered">
    <w:name w:val="Object Footnote lettered"/>
    <w:basedOn w:val="ObjectFootnote"/>
    <w:semiHidden/>
    <w:rsid w:val="00E90BEE"/>
    <w:pPr>
      <w:tabs>
        <w:tab w:val="left" w:pos="709"/>
      </w:tabs>
      <w:ind w:left="426"/>
      <w:jc w:val="left"/>
    </w:pPr>
  </w:style>
  <w:style w:type="paragraph" w:customStyle="1" w:styleId="ObjectFootnoteleft">
    <w:name w:val="Object Footnote left"/>
    <w:basedOn w:val="ObjectFootnotelettered"/>
    <w:semiHidden/>
    <w:rsid w:val="00E90BEE"/>
    <w:pPr>
      <w:ind w:left="709" w:hanging="283"/>
    </w:pPr>
  </w:style>
  <w:style w:type="character" w:styleId="PageNumber">
    <w:name w:val="page number"/>
    <w:basedOn w:val="DefaultParagraphFont"/>
    <w:semiHidden/>
    <w:rsid w:val="00E90BEE"/>
  </w:style>
  <w:style w:type="paragraph" w:customStyle="1" w:styleId="Style211HeadingBold">
    <w:name w:val="Style 2.1.1 Heading + Bold"/>
    <w:basedOn w:val="Normal"/>
    <w:semiHidden/>
    <w:rsid w:val="00E90BEE"/>
    <w:rPr>
      <w:b/>
      <w:bCs/>
      <w:i/>
      <w:iCs/>
      <w:lang w:val="en-AU"/>
    </w:rPr>
  </w:style>
  <w:style w:type="paragraph" w:customStyle="1" w:styleId="StyleBoxHeadingLeft0Firstline0">
    <w:name w:val="Style Box Heading + Left:  0&quot; First line:  0&quot;"/>
    <w:basedOn w:val="Normal"/>
    <w:autoRedefine/>
    <w:semiHidden/>
    <w:rsid w:val="00E90BEE"/>
    <w:pPr>
      <w:keepLines/>
      <w:framePr w:wrap="around" w:hAnchor="text"/>
      <w:tabs>
        <w:tab w:val="left" w:pos="567"/>
        <w:tab w:val="num" w:pos="1276"/>
      </w:tabs>
      <w:spacing w:before="120" w:after="120"/>
    </w:pPr>
    <w:rPr>
      <w:bCs/>
      <w:color w:val="000000"/>
      <w:lang w:val="en-AU" w:eastAsia="en-AU"/>
    </w:rPr>
  </w:style>
  <w:style w:type="paragraph" w:customStyle="1" w:styleId="StyleName">
    <w:name w:val="Style Name"/>
    <w:basedOn w:val="Normal"/>
    <w:semiHidden/>
    <w:rsid w:val="00E90BEE"/>
    <w:pPr>
      <w:ind w:left="851" w:hanging="851"/>
      <w:jc w:val="center"/>
    </w:pPr>
    <w:rPr>
      <w:rFonts w:ascii="Arial" w:hAnsi="Arial"/>
      <w:b/>
      <w:i/>
      <w:color w:val="000000"/>
      <w:sz w:val="24"/>
      <w:lang w:val="en-GB" w:eastAsia="en-AU"/>
    </w:rPr>
  </w:style>
  <w:style w:type="paragraph" w:customStyle="1" w:styleId="TableFootnote">
    <w:name w:val="Table Footnote"/>
    <w:basedOn w:val="Normal"/>
    <w:semiHidden/>
    <w:rsid w:val="00E90BEE"/>
    <w:pPr>
      <w:spacing w:before="60" w:after="60"/>
      <w:ind w:left="284"/>
    </w:pPr>
    <w:rPr>
      <w:rFonts w:ascii="Arial" w:hAnsi="Arial"/>
      <w:i/>
      <w:sz w:val="14"/>
      <w:lang w:val="en-AU"/>
    </w:rPr>
  </w:style>
  <w:style w:type="paragraph" w:styleId="Revision">
    <w:name w:val="Revision"/>
    <w:hidden/>
    <w:uiPriority w:val="99"/>
    <w:semiHidden/>
    <w:rsid w:val="00E90BEE"/>
    <w:rPr>
      <w:lang w:val="en-US" w:eastAsia="en-US"/>
    </w:rPr>
  </w:style>
  <w:style w:type="character" w:styleId="CommentReference">
    <w:name w:val="annotation reference"/>
    <w:basedOn w:val="DefaultParagraphFont"/>
    <w:uiPriority w:val="99"/>
    <w:semiHidden/>
    <w:rsid w:val="00E90BEE"/>
    <w:rPr>
      <w:sz w:val="16"/>
      <w:szCs w:val="16"/>
    </w:rPr>
  </w:style>
  <w:style w:type="paragraph" w:styleId="CommentText">
    <w:name w:val="annotation text"/>
    <w:basedOn w:val="Normal"/>
    <w:link w:val="CommentTextChar"/>
    <w:uiPriority w:val="99"/>
    <w:semiHidden/>
    <w:rsid w:val="00E90BEE"/>
    <w:rPr>
      <w:lang w:val="en-AU"/>
    </w:rPr>
  </w:style>
  <w:style w:type="character" w:customStyle="1" w:styleId="CommentTextChar">
    <w:name w:val="Comment Text Char"/>
    <w:basedOn w:val="DefaultParagraphFont"/>
    <w:link w:val="CommentText"/>
    <w:uiPriority w:val="99"/>
    <w:semiHidden/>
    <w:rsid w:val="00E90BEE"/>
    <w:rPr>
      <w:lang w:eastAsia="en-US"/>
    </w:rPr>
  </w:style>
  <w:style w:type="paragraph" w:styleId="CommentSubject">
    <w:name w:val="annotation subject"/>
    <w:basedOn w:val="CommentText"/>
    <w:next w:val="CommentText"/>
    <w:link w:val="CommentSubjectChar"/>
    <w:uiPriority w:val="99"/>
    <w:semiHidden/>
    <w:unhideWhenUsed/>
    <w:rsid w:val="00E90BEE"/>
    <w:rPr>
      <w:b/>
      <w:bCs/>
    </w:rPr>
  </w:style>
  <w:style w:type="character" w:customStyle="1" w:styleId="CommentSubjectChar">
    <w:name w:val="Comment Subject Char"/>
    <w:basedOn w:val="CommentTextChar"/>
    <w:link w:val="CommentSubject"/>
    <w:uiPriority w:val="99"/>
    <w:semiHidden/>
    <w:rsid w:val="00E90BEE"/>
    <w:rPr>
      <w:b/>
      <w:bCs/>
      <w:lang w:eastAsia="en-US"/>
    </w:rPr>
  </w:style>
  <w:style w:type="paragraph" w:customStyle="1" w:styleId="Bulletrecommendtext">
    <w:name w:val="Bullet recommend text"/>
    <w:basedOn w:val="Normal"/>
    <w:semiHidden/>
    <w:qFormat/>
    <w:rsid w:val="00E90BEE"/>
    <w:pPr>
      <w:numPr>
        <w:numId w:val="3"/>
      </w:numPr>
      <w:spacing w:before="80" w:line="280" w:lineRule="exact"/>
    </w:pPr>
    <w:rPr>
      <w:rFonts w:ascii="Garamond" w:hAnsi="Garamond"/>
      <w:sz w:val="24"/>
      <w:lang w:val="en-AU" w:eastAsia="x-none"/>
    </w:rPr>
  </w:style>
  <w:style w:type="paragraph" w:customStyle="1" w:styleId="Default">
    <w:name w:val="Default"/>
    <w:basedOn w:val="Normal"/>
    <w:semiHidden/>
    <w:rsid w:val="00E90BEE"/>
    <w:pPr>
      <w:autoSpaceDE w:val="0"/>
      <w:autoSpaceDN w:val="0"/>
    </w:pPr>
    <w:rPr>
      <w:rFonts w:ascii="Arial" w:eastAsiaTheme="minorHAnsi" w:hAnsi="Arial" w:cs="Arial"/>
      <w:color w:val="000000"/>
      <w:sz w:val="24"/>
      <w:szCs w:val="24"/>
      <w:lang w:val="en-AU"/>
    </w:rPr>
  </w:style>
  <w:style w:type="character" w:styleId="Hyperlink">
    <w:name w:val="Hyperlink"/>
    <w:basedOn w:val="DefaultParagraphFont"/>
    <w:uiPriority w:val="99"/>
    <w:semiHidden/>
    <w:rsid w:val="00E90BEE"/>
    <w:rPr>
      <w:color w:val="9454C3" w:themeColor="hyperlink"/>
      <w:u w:val="single"/>
    </w:rPr>
  </w:style>
  <w:style w:type="paragraph" w:customStyle="1" w:styleId="BoxHeading">
    <w:name w:val="Box Heading"/>
    <w:basedOn w:val="ObjectHeading"/>
    <w:autoRedefine/>
    <w:semiHidden/>
    <w:rsid w:val="00E90BEE"/>
    <w:pPr>
      <w:numPr>
        <w:numId w:val="4"/>
      </w:numPr>
      <w:tabs>
        <w:tab w:val="clear" w:pos="1418"/>
        <w:tab w:val="left" w:pos="1100"/>
      </w:tabs>
      <w:spacing w:before="80" w:after="60"/>
    </w:pPr>
    <w:rPr>
      <w:rFonts w:cs="Arial"/>
      <w:sz w:val="23"/>
      <w:szCs w:val="20"/>
      <w:lang w:val="en-US"/>
    </w:rPr>
  </w:style>
  <w:style w:type="character" w:styleId="UnresolvedMention">
    <w:name w:val="Unresolved Mention"/>
    <w:basedOn w:val="DefaultParagraphFont"/>
    <w:uiPriority w:val="99"/>
    <w:semiHidden/>
    <w:rsid w:val="00E90BEE"/>
    <w:rPr>
      <w:color w:val="605E5C"/>
      <w:shd w:val="clear" w:color="auto" w:fill="E1DFDD"/>
    </w:rPr>
  </w:style>
  <w:style w:type="character" w:styleId="Mention">
    <w:name w:val="Mention"/>
    <w:basedOn w:val="DefaultParagraphFont"/>
    <w:uiPriority w:val="99"/>
    <w:semiHidden/>
    <w:rsid w:val="00E90BEE"/>
    <w:rPr>
      <w:color w:val="2B579A"/>
      <w:shd w:val="clear" w:color="auto" w:fill="E1DFDD"/>
    </w:rPr>
  </w:style>
  <w:style w:type="paragraph" w:customStyle="1" w:styleId="Bullet3">
    <w:name w:val="Bullet 3"/>
    <w:basedOn w:val="Bullet2"/>
    <w:next w:val="BodyText"/>
    <w:qFormat/>
    <w:rsid w:val="007A417F"/>
    <w:pPr>
      <w:numPr>
        <w:numId w:val="30"/>
      </w:numPr>
    </w:pPr>
  </w:style>
  <w:style w:type="paragraph" w:customStyle="1" w:styleId="Figure4X">
    <w:name w:val="Figure 4.X"/>
    <w:basedOn w:val="Normal"/>
    <w:next w:val="Normal"/>
    <w:qFormat/>
    <w:rsid w:val="00FB2386"/>
    <w:pPr>
      <w:numPr>
        <w:numId w:val="56"/>
      </w:numPr>
      <w:spacing w:before="240" w:after="120"/>
    </w:pPr>
    <w:rPr>
      <w:rFonts w:ascii="Arial" w:hAnsi="Arial"/>
      <w:bCs/>
      <w:i/>
      <w:color w:val="4F4F4F"/>
      <w:kern w:val="28"/>
      <w:sz w:val="22"/>
      <w:szCs w:val="22"/>
      <w:lang w:val="en-AU"/>
    </w:rPr>
  </w:style>
  <w:style w:type="paragraph" w:customStyle="1" w:styleId="Footnotestyle">
    <w:name w:val="Footnote style"/>
    <w:basedOn w:val="Normal"/>
    <w:next w:val="Normal"/>
    <w:qFormat/>
    <w:rsid w:val="00120C50"/>
    <w:pPr>
      <w:spacing w:before="40" w:after="40"/>
      <w:ind w:left="709" w:hanging="284"/>
    </w:pPr>
    <w:rPr>
      <w:rFonts w:ascii="Public Sans" w:hAnsi="Public Sans"/>
      <w:sz w:val="16"/>
    </w:rPr>
  </w:style>
  <w:style w:type="paragraph" w:styleId="ListBullet">
    <w:name w:val="List Bullet"/>
    <w:basedOn w:val="Normal"/>
    <w:uiPriority w:val="99"/>
    <w:semiHidden/>
    <w:unhideWhenUsed/>
    <w:rsid w:val="001D2D7F"/>
    <w:pPr>
      <w:numPr>
        <w:numId w:val="6"/>
      </w:numPr>
      <w:spacing w:after="160" w:line="252" w:lineRule="auto"/>
      <w:contextualSpacing/>
    </w:pPr>
    <w:rPr>
      <w:rFonts w:ascii="Calibri" w:eastAsiaTheme="minorHAnsi" w:hAnsi="Calibri" w:cs="Calibri"/>
      <w:sz w:val="22"/>
      <w:szCs w:val="22"/>
      <w:lang w:val="en-AU"/>
    </w:rPr>
  </w:style>
  <w:style w:type="paragraph" w:styleId="ListParagraph">
    <w:name w:val="List Paragraph"/>
    <w:basedOn w:val="Normal"/>
    <w:uiPriority w:val="34"/>
    <w:semiHidden/>
    <w:qFormat/>
    <w:pPr>
      <w:ind w:left="720"/>
      <w:contextualSpacing/>
    </w:pPr>
  </w:style>
  <w:style w:type="paragraph" w:customStyle="1" w:styleId="Figure1X">
    <w:name w:val="Figure 1.X"/>
    <w:basedOn w:val="Table1X"/>
    <w:next w:val="Normal"/>
    <w:semiHidden/>
    <w:qFormat/>
    <w:rsid w:val="00120C50"/>
    <w:pPr>
      <w:numPr>
        <w:numId w:val="53"/>
      </w:numPr>
    </w:pPr>
  </w:style>
  <w:style w:type="paragraph" w:customStyle="1" w:styleId="Figure2X">
    <w:name w:val="Figure 2.X"/>
    <w:basedOn w:val="Figure1X"/>
    <w:next w:val="Normal"/>
    <w:semiHidden/>
    <w:qFormat/>
    <w:rsid w:val="00120C50"/>
    <w:pPr>
      <w:numPr>
        <w:numId w:val="54"/>
      </w:numPr>
    </w:pPr>
  </w:style>
  <w:style w:type="paragraph" w:customStyle="1" w:styleId="Figure3X">
    <w:name w:val="Figure 3.X"/>
    <w:basedOn w:val="Figure1X"/>
    <w:next w:val="Normal"/>
    <w:semiHidden/>
    <w:qFormat/>
    <w:rsid w:val="00120C50"/>
    <w:pPr>
      <w:numPr>
        <w:numId w:val="55"/>
      </w:numPr>
    </w:pPr>
  </w:style>
  <w:style w:type="paragraph" w:customStyle="1" w:styleId="Figure5X">
    <w:name w:val="Figure 5.X"/>
    <w:basedOn w:val="Figure1X"/>
    <w:next w:val="Normal"/>
    <w:semiHidden/>
    <w:qFormat/>
    <w:rsid w:val="00120C50"/>
    <w:pPr>
      <w:numPr>
        <w:numId w:val="57"/>
      </w:numPr>
    </w:pPr>
  </w:style>
  <w:style w:type="paragraph" w:customStyle="1" w:styleId="Figure6X">
    <w:name w:val="Figure 6.X"/>
    <w:basedOn w:val="Figure1X"/>
    <w:next w:val="Normal"/>
    <w:semiHidden/>
    <w:qFormat/>
    <w:rsid w:val="00120C50"/>
    <w:pPr>
      <w:numPr>
        <w:numId w:val="58"/>
      </w:numPr>
      <w:tabs>
        <w:tab w:val="num" w:pos="454"/>
      </w:tabs>
      <w:ind w:left="454" w:hanging="454"/>
    </w:pPr>
  </w:style>
  <w:style w:type="paragraph" w:customStyle="1" w:styleId="Figure7X">
    <w:name w:val="Figure 7.X"/>
    <w:basedOn w:val="Figure1X"/>
    <w:next w:val="Normal"/>
    <w:semiHidden/>
    <w:qFormat/>
    <w:rsid w:val="00120C50"/>
    <w:pPr>
      <w:numPr>
        <w:numId w:val="59"/>
      </w:numPr>
    </w:pPr>
  </w:style>
  <w:style w:type="paragraph" w:customStyle="1" w:styleId="Figure8X">
    <w:name w:val="Figure 8.X"/>
    <w:basedOn w:val="Figure7X"/>
    <w:next w:val="Normal"/>
    <w:semiHidden/>
    <w:qFormat/>
    <w:rsid w:val="00120C50"/>
    <w:pPr>
      <w:numPr>
        <w:numId w:val="60"/>
      </w:numPr>
      <w:ind w:left="720"/>
    </w:pPr>
  </w:style>
  <w:style w:type="paragraph" w:customStyle="1" w:styleId="FigureA1X">
    <w:name w:val="Figure A1.X"/>
    <w:basedOn w:val="Figure1X"/>
    <w:next w:val="Normal"/>
    <w:semiHidden/>
    <w:qFormat/>
    <w:rsid w:val="00120C50"/>
    <w:pPr>
      <w:numPr>
        <w:numId w:val="61"/>
      </w:numPr>
      <w:ind w:left="720"/>
    </w:pPr>
  </w:style>
  <w:style w:type="paragraph" w:customStyle="1" w:styleId="FigureA2X">
    <w:name w:val="Figure A2.X"/>
    <w:basedOn w:val="Figure1X"/>
    <w:next w:val="Normal"/>
    <w:semiHidden/>
    <w:qFormat/>
    <w:rsid w:val="00120C50"/>
    <w:pPr>
      <w:numPr>
        <w:numId w:val="62"/>
      </w:numPr>
      <w:tabs>
        <w:tab w:val="num" w:pos="360"/>
      </w:tabs>
    </w:pPr>
  </w:style>
  <w:style w:type="paragraph" w:customStyle="1" w:styleId="FigureA3X">
    <w:name w:val="Figure A3.X"/>
    <w:basedOn w:val="Figure1X"/>
    <w:next w:val="Normal"/>
    <w:semiHidden/>
    <w:qFormat/>
    <w:rsid w:val="00120C50"/>
    <w:pPr>
      <w:numPr>
        <w:numId w:val="63"/>
      </w:numPr>
    </w:pPr>
  </w:style>
  <w:style w:type="paragraph" w:customStyle="1" w:styleId="FigureA4X">
    <w:name w:val="Figure A4.X"/>
    <w:basedOn w:val="Figure1X"/>
    <w:next w:val="Normal"/>
    <w:semiHidden/>
    <w:qFormat/>
    <w:rsid w:val="00120C50"/>
    <w:pPr>
      <w:numPr>
        <w:numId w:val="64"/>
      </w:numPr>
    </w:pPr>
  </w:style>
  <w:style w:type="paragraph" w:customStyle="1" w:styleId="FigureA5X">
    <w:name w:val="Figure A5.X"/>
    <w:basedOn w:val="Figure1X"/>
    <w:next w:val="Normal"/>
    <w:semiHidden/>
    <w:qFormat/>
    <w:rsid w:val="00120C50"/>
    <w:pPr>
      <w:numPr>
        <w:numId w:val="65"/>
      </w:numPr>
    </w:pPr>
  </w:style>
  <w:style w:type="paragraph" w:customStyle="1" w:styleId="FigureBX">
    <w:name w:val="Figure B.X"/>
    <w:basedOn w:val="Figure1X"/>
    <w:semiHidden/>
    <w:qFormat/>
    <w:rsid w:val="00120C50"/>
    <w:pPr>
      <w:numPr>
        <w:numId w:val="66"/>
      </w:numPr>
    </w:pPr>
  </w:style>
  <w:style w:type="paragraph" w:customStyle="1" w:styleId="FigureCX">
    <w:name w:val="Figure C.X"/>
    <w:basedOn w:val="Figure1X"/>
    <w:next w:val="Normal"/>
    <w:semiHidden/>
    <w:qFormat/>
    <w:rsid w:val="00120C50"/>
    <w:pPr>
      <w:numPr>
        <w:numId w:val="67"/>
      </w:numPr>
      <w:ind w:left="927"/>
    </w:pPr>
  </w:style>
  <w:style w:type="paragraph" w:customStyle="1" w:styleId="FigureDX">
    <w:name w:val="Figure D.X"/>
    <w:basedOn w:val="Figure1X"/>
    <w:next w:val="Normal"/>
    <w:semiHidden/>
    <w:qFormat/>
    <w:rsid w:val="00120C50"/>
    <w:pPr>
      <w:numPr>
        <w:numId w:val="68"/>
      </w:numPr>
    </w:pPr>
  </w:style>
  <w:style w:type="paragraph" w:customStyle="1" w:styleId="FigureEX">
    <w:name w:val="Figure E.X"/>
    <w:basedOn w:val="Figure1X"/>
    <w:next w:val="Normal"/>
    <w:semiHidden/>
    <w:qFormat/>
    <w:rsid w:val="00120C50"/>
    <w:pPr>
      <w:numPr>
        <w:numId w:val="69"/>
      </w:numPr>
    </w:pPr>
  </w:style>
  <w:style w:type="paragraph" w:customStyle="1" w:styleId="FigureFX">
    <w:name w:val="Figure F.X"/>
    <w:basedOn w:val="Figure1X"/>
    <w:next w:val="Normal"/>
    <w:semiHidden/>
    <w:qFormat/>
    <w:rsid w:val="00120C50"/>
    <w:pPr>
      <w:numPr>
        <w:numId w:val="70"/>
      </w:numPr>
    </w:pPr>
  </w:style>
  <w:style w:type="paragraph" w:customStyle="1" w:styleId="Headinginbox">
    <w:name w:val="Heading in box"/>
    <w:basedOn w:val="BodyText"/>
    <w:next w:val="Normal"/>
    <w:qFormat/>
    <w:rsid w:val="00120C50"/>
    <w:rPr>
      <w:rFonts w:ascii="Public Sans SemiBold" w:hAnsi="Public Sans SemiBold"/>
      <w:b/>
      <w:color w:val="002664"/>
    </w:rPr>
  </w:style>
  <w:style w:type="paragraph" w:customStyle="1" w:styleId="TableEX">
    <w:name w:val="Table E.X"/>
    <w:basedOn w:val="TableDX"/>
    <w:next w:val="BodyText"/>
    <w:semiHidden/>
    <w:qFormat/>
    <w:rsid w:val="00120C50"/>
    <w:pPr>
      <w:numPr>
        <w:numId w:val="84"/>
      </w:numPr>
    </w:pPr>
  </w:style>
  <w:style w:type="paragraph" w:customStyle="1" w:styleId="Chart41">
    <w:name w:val="Chart 4.1"/>
    <w:basedOn w:val="Normal"/>
    <w:next w:val="Normal"/>
    <w:rsid w:val="009C5279"/>
    <w:pPr>
      <w:keepLines/>
      <w:tabs>
        <w:tab w:val="left" w:pos="1304"/>
      </w:tabs>
      <w:spacing w:before="240" w:after="120"/>
      <w:ind w:left="1304" w:hanging="1304"/>
    </w:pPr>
    <w:rPr>
      <w:rFonts w:ascii="Arial" w:hAnsi="Arial"/>
      <w:i/>
      <w:color w:val="4F4F4F"/>
      <w:sz w:val="22"/>
      <w:lang w:val="en-AU"/>
    </w:rPr>
  </w:style>
  <w:style w:type="character" w:customStyle="1" w:styleId="ui-provider">
    <w:name w:val="ui-provider"/>
    <w:basedOn w:val="DefaultParagraphFont"/>
    <w:rsid w:val="00927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8052">
      <w:bodyDiv w:val="1"/>
      <w:marLeft w:val="0"/>
      <w:marRight w:val="0"/>
      <w:marTop w:val="0"/>
      <w:marBottom w:val="0"/>
      <w:divBdr>
        <w:top w:val="none" w:sz="0" w:space="0" w:color="auto"/>
        <w:left w:val="none" w:sz="0" w:space="0" w:color="auto"/>
        <w:bottom w:val="none" w:sz="0" w:space="0" w:color="auto"/>
        <w:right w:val="none" w:sz="0" w:space="0" w:color="auto"/>
      </w:divBdr>
    </w:div>
    <w:div w:id="45178516">
      <w:bodyDiv w:val="1"/>
      <w:marLeft w:val="0"/>
      <w:marRight w:val="0"/>
      <w:marTop w:val="0"/>
      <w:marBottom w:val="0"/>
      <w:divBdr>
        <w:top w:val="none" w:sz="0" w:space="0" w:color="auto"/>
        <w:left w:val="none" w:sz="0" w:space="0" w:color="auto"/>
        <w:bottom w:val="none" w:sz="0" w:space="0" w:color="auto"/>
        <w:right w:val="none" w:sz="0" w:space="0" w:color="auto"/>
      </w:divBdr>
    </w:div>
    <w:div w:id="52504917">
      <w:bodyDiv w:val="1"/>
      <w:marLeft w:val="0"/>
      <w:marRight w:val="0"/>
      <w:marTop w:val="0"/>
      <w:marBottom w:val="0"/>
      <w:divBdr>
        <w:top w:val="none" w:sz="0" w:space="0" w:color="auto"/>
        <w:left w:val="none" w:sz="0" w:space="0" w:color="auto"/>
        <w:bottom w:val="none" w:sz="0" w:space="0" w:color="auto"/>
        <w:right w:val="none" w:sz="0" w:space="0" w:color="auto"/>
      </w:divBdr>
    </w:div>
    <w:div w:id="66075545">
      <w:bodyDiv w:val="1"/>
      <w:marLeft w:val="0"/>
      <w:marRight w:val="0"/>
      <w:marTop w:val="0"/>
      <w:marBottom w:val="0"/>
      <w:divBdr>
        <w:top w:val="none" w:sz="0" w:space="0" w:color="auto"/>
        <w:left w:val="none" w:sz="0" w:space="0" w:color="auto"/>
        <w:bottom w:val="none" w:sz="0" w:space="0" w:color="auto"/>
        <w:right w:val="none" w:sz="0" w:space="0" w:color="auto"/>
      </w:divBdr>
    </w:div>
    <w:div w:id="106581097">
      <w:bodyDiv w:val="1"/>
      <w:marLeft w:val="0"/>
      <w:marRight w:val="0"/>
      <w:marTop w:val="0"/>
      <w:marBottom w:val="0"/>
      <w:divBdr>
        <w:top w:val="none" w:sz="0" w:space="0" w:color="auto"/>
        <w:left w:val="none" w:sz="0" w:space="0" w:color="auto"/>
        <w:bottom w:val="none" w:sz="0" w:space="0" w:color="auto"/>
        <w:right w:val="none" w:sz="0" w:space="0" w:color="auto"/>
      </w:divBdr>
    </w:div>
    <w:div w:id="112600513">
      <w:bodyDiv w:val="1"/>
      <w:marLeft w:val="0"/>
      <w:marRight w:val="0"/>
      <w:marTop w:val="0"/>
      <w:marBottom w:val="0"/>
      <w:divBdr>
        <w:top w:val="none" w:sz="0" w:space="0" w:color="auto"/>
        <w:left w:val="none" w:sz="0" w:space="0" w:color="auto"/>
        <w:bottom w:val="none" w:sz="0" w:space="0" w:color="auto"/>
        <w:right w:val="none" w:sz="0" w:space="0" w:color="auto"/>
      </w:divBdr>
    </w:div>
    <w:div w:id="134877685">
      <w:bodyDiv w:val="1"/>
      <w:marLeft w:val="0"/>
      <w:marRight w:val="0"/>
      <w:marTop w:val="0"/>
      <w:marBottom w:val="0"/>
      <w:divBdr>
        <w:top w:val="none" w:sz="0" w:space="0" w:color="auto"/>
        <w:left w:val="none" w:sz="0" w:space="0" w:color="auto"/>
        <w:bottom w:val="none" w:sz="0" w:space="0" w:color="auto"/>
        <w:right w:val="none" w:sz="0" w:space="0" w:color="auto"/>
      </w:divBdr>
    </w:div>
    <w:div w:id="153958945">
      <w:bodyDiv w:val="1"/>
      <w:marLeft w:val="0"/>
      <w:marRight w:val="0"/>
      <w:marTop w:val="0"/>
      <w:marBottom w:val="0"/>
      <w:divBdr>
        <w:top w:val="none" w:sz="0" w:space="0" w:color="auto"/>
        <w:left w:val="none" w:sz="0" w:space="0" w:color="auto"/>
        <w:bottom w:val="none" w:sz="0" w:space="0" w:color="auto"/>
        <w:right w:val="none" w:sz="0" w:space="0" w:color="auto"/>
      </w:divBdr>
    </w:div>
    <w:div w:id="191773743">
      <w:bodyDiv w:val="1"/>
      <w:marLeft w:val="0"/>
      <w:marRight w:val="0"/>
      <w:marTop w:val="0"/>
      <w:marBottom w:val="0"/>
      <w:divBdr>
        <w:top w:val="none" w:sz="0" w:space="0" w:color="auto"/>
        <w:left w:val="none" w:sz="0" w:space="0" w:color="auto"/>
        <w:bottom w:val="none" w:sz="0" w:space="0" w:color="auto"/>
        <w:right w:val="none" w:sz="0" w:space="0" w:color="auto"/>
      </w:divBdr>
    </w:div>
    <w:div w:id="200482777">
      <w:bodyDiv w:val="1"/>
      <w:marLeft w:val="0"/>
      <w:marRight w:val="0"/>
      <w:marTop w:val="0"/>
      <w:marBottom w:val="0"/>
      <w:divBdr>
        <w:top w:val="none" w:sz="0" w:space="0" w:color="auto"/>
        <w:left w:val="none" w:sz="0" w:space="0" w:color="auto"/>
        <w:bottom w:val="none" w:sz="0" w:space="0" w:color="auto"/>
        <w:right w:val="none" w:sz="0" w:space="0" w:color="auto"/>
      </w:divBdr>
    </w:div>
    <w:div w:id="200947365">
      <w:bodyDiv w:val="1"/>
      <w:marLeft w:val="0"/>
      <w:marRight w:val="0"/>
      <w:marTop w:val="0"/>
      <w:marBottom w:val="0"/>
      <w:divBdr>
        <w:top w:val="none" w:sz="0" w:space="0" w:color="auto"/>
        <w:left w:val="none" w:sz="0" w:space="0" w:color="auto"/>
        <w:bottom w:val="none" w:sz="0" w:space="0" w:color="auto"/>
        <w:right w:val="none" w:sz="0" w:space="0" w:color="auto"/>
      </w:divBdr>
    </w:div>
    <w:div w:id="216740574">
      <w:bodyDiv w:val="1"/>
      <w:marLeft w:val="0"/>
      <w:marRight w:val="0"/>
      <w:marTop w:val="0"/>
      <w:marBottom w:val="0"/>
      <w:divBdr>
        <w:top w:val="none" w:sz="0" w:space="0" w:color="auto"/>
        <w:left w:val="none" w:sz="0" w:space="0" w:color="auto"/>
        <w:bottom w:val="none" w:sz="0" w:space="0" w:color="auto"/>
        <w:right w:val="none" w:sz="0" w:space="0" w:color="auto"/>
      </w:divBdr>
      <w:divsChild>
        <w:div w:id="347566702">
          <w:marLeft w:val="360"/>
          <w:marRight w:val="0"/>
          <w:marTop w:val="0"/>
          <w:marBottom w:val="80"/>
          <w:divBdr>
            <w:top w:val="none" w:sz="0" w:space="0" w:color="auto"/>
            <w:left w:val="none" w:sz="0" w:space="0" w:color="auto"/>
            <w:bottom w:val="none" w:sz="0" w:space="0" w:color="auto"/>
            <w:right w:val="none" w:sz="0" w:space="0" w:color="auto"/>
          </w:divBdr>
        </w:div>
      </w:divsChild>
    </w:div>
    <w:div w:id="249657016">
      <w:bodyDiv w:val="1"/>
      <w:marLeft w:val="0"/>
      <w:marRight w:val="0"/>
      <w:marTop w:val="0"/>
      <w:marBottom w:val="0"/>
      <w:divBdr>
        <w:top w:val="none" w:sz="0" w:space="0" w:color="auto"/>
        <w:left w:val="none" w:sz="0" w:space="0" w:color="auto"/>
        <w:bottom w:val="none" w:sz="0" w:space="0" w:color="auto"/>
        <w:right w:val="none" w:sz="0" w:space="0" w:color="auto"/>
      </w:divBdr>
    </w:div>
    <w:div w:id="256134470">
      <w:bodyDiv w:val="1"/>
      <w:marLeft w:val="0"/>
      <w:marRight w:val="0"/>
      <w:marTop w:val="0"/>
      <w:marBottom w:val="0"/>
      <w:divBdr>
        <w:top w:val="none" w:sz="0" w:space="0" w:color="auto"/>
        <w:left w:val="none" w:sz="0" w:space="0" w:color="auto"/>
        <w:bottom w:val="none" w:sz="0" w:space="0" w:color="auto"/>
        <w:right w:val="none" w:sz="0" w:space="0" w:color="auto"/>
      </w:divBdr>
    </w:div>
    <w:div w:id="266156374">
      <w:bodyDiv w:val="1"/>
      <w:marLeft w:val="0"/>
      <w:marRight w:val="0"/>
      <w:marTop w:val="0"/>
      <w:marBottom w:val="0"/>
      <w:divBdr>
        <w:top w:val="none" w:sz="0" w:space="0" w:color="auto"/>
        <w:left w:val="none" w:sz="0" w:space="0" w:color="auto"/>
        <w:bottom w:val="none" w:sz="0" w:space="0" w:color="auto"/>
        <w:right w:val="none" w:sz="0" w:space="0" w:color="auto"/>
      </w:divBdr>
    </w:div>
    <w:div w:id="271131996">
      <w:bodyDiv w:val="1"/>
      <w:marLeft w:val="0"/>
      <w:marRight w:val="0"/>
      <w:marTop w:val="0"/>
      <w:marBottom w:val="0"/>
      <w:divBdr>
        <w:top w:val="none" w:sz="0" w:space="0" w:color="auto"/>
        <w:left w:val="none" w:sz="0" w:space="0" w:color="auto"/>
        <w:bottom w:val="none" w:sz="0" w:space="0" w:color="auto"/>
        <w:right w:val="none" w:sz="0" w:space="0" w:color="auto"/>
      </w:divBdr>
    </w:div>
    <w:div w:id="272127079">
      <w:bodyDiv w:val="1"/>
      <w:marLeft w:val="0"/>
      <w:marRight w:val="0"/>
      <w:marTop w:val="0"/>
      <w:marBottom w:val="0"/>
      <w:divBdr>
        <w:top w:val="none" w:sz="0" w:space="0" w:color="auto"/>
        <w:left w:val="none" w:sz="0" w:space="0" w:color="auto"/>
        <w:bottom w:val="none" w:sz="0" w:space="0" w:color="auto"/>
        <w:right w:val="none" w:sz="0" w:space="0" w:color="auto"/>
      </w:divBdr>
    </w:div>
    <w:div w:id="310792784">
      <w:bodyDiv w:val="1"/>
      <w:marLeft w:val="0"/>
      <w:marRight w:val="0"/>
      <w:marTop w:val="0"/>
      <w:marBottom w:val="0"/>
      <w:divBdr>
        <w:top w:val="none" w:sz="0" w:space="0" w:color="auto"/>
        <w:left w:val="none" w:sz="0" w:space="0" w:color="auto"/>
        <w:bottom w:val="none" w:sz="0" w:space="0" w:color="auto"/>
        <w:right w:val="none" w:sz="0" w:space="0" w:color="auto"/>
      </w:divBdr>
    </w:div>
    <w:div w:id="322977625">
      <w:bodyDiv w:val="1"/>
      <w:marLeft w:val="0"/>
      <w:marRight w:val="0"/>
      <w:marTop w:val="0"/>
      <w:marBottom w:val="0"/>
      <w:divBdr>
        <w:top w:val="none" w:sz="0" w:space="0" w:color="auto"/>
        <w:left w:val="none" w:sz="0" w:space="0" w:color="auto"/>
        <w:bottom w:val="none" w:sz="0" w:space="0" w:color="auto"/>
        <w:right w:val="none" w:sz="0" w:space="0" w:color="auto"/>
      </w:divBdr>
    </w:div>
    <w:div w:id="377819297">
      <w:bodyDiv w:val="1"/>
      <w:marLeft w:val="0"/>
      <w:marRight w:val="0"/>
      <w:marTop w:val="0"/>
      <w:marBottom w:val="0"/>
      <w:divBdr>
        <w:top w:val="none" w:sz="0" w:space="0" w:color="auto"/>
        <w:left w:val="none" w:sz="0" w:space="0" w:color="auto"/>
        <w:bottom w:val="none" w:sz="0" w:space="0" w:color="auto"/>
        <w:right w:val="none" w:sz="0" w:space="0" w:color="auto"/>
      </w:divBdr>
    </w:div>
    <w:div w:id="416176463">
      <w:bodyDiv w:val="1"/>
      <w:marLeft w:val="0"/>
      <w:marRight w:val="0"/>
      <w:marTop w:val="0"/>
      <w:marBottom w:val="0"/>
      <w:divBdr>
        <w:top w:val="none" w:sz="0" w:space="0" w:color="auto"/>
        <w:left w:val="none" w:sz="0" w:space="0" w:color="auto"/>
        <w:bottom w:val="none" w:sz="0" w:space="0" w:color="auto"/>
        <w:right w:val="none" w:sz="0" w:space="0" w:color="auto"/>
      </w:divBdr>
    </w:div>
    <w:div w:id="421410876">
      <w:bodyDiv w:val="1"/>
      <w:marLeft w:val="0"/>
      <w:marRight w:val="0"/>
      <w:marTop w:val="0"/>
      <w:marBottom w:val="0"/>
      <w:divBdr>
        <w:top w:val="none" w:sz="0" w:space="0" w:color="auto"/>
        <w:left w:val="none" w:sz="0" w:space="0" w:color="auto"/>
        <w:bottom w:val="none" w:sz="0" w:space="0" w:color="auto"/>
        <w:right w:val="none" w:sz="0" w:space="0" w:color="auto"/>
      </w:divBdr>
    </w:div>
    <w:div w:id="455876636">
      <w:bodyDiv w:val="1"/>
      <w:marLeft w:val="0"/>
      <w:marRight w:val="0"/>
      <w:marTop w:val="0"/>
      <w:marBottom w:val="0"/>
      <w:divBdr>
        <w:top w:val="none" w:sz="0" w:space="0" w:color="auto"/>
        <w:left w:val="none" w:sz="0" w:space="0" w:color="auto"/>
        <w:bottom w:val="none" w:sz="0" w:space="0" w:color="auto"/>
        <w:right w:val="none" w:sz="0" w:space="0" w:color="auto"/>
      </w:divBdr>
    </w:div>
    <w:div w:id="462237368">
      <w:bodyDiv w:val="1"/>
      <w:marLeft w:val="0"/>
      <w:marRight w:val="0"/>
      <w:marTop w:val="0"/>
      <w:marBottom w:val="0"/>
      <w:divBdr>
        <w:top w:val="none" w:sz="0" w:space="0" w:color="auto"/>
        <w:left w:val="none" w:sz="0" w:space="0" w:color="auto"/>
        <w:bottom w:val="none" w:sz="0" w:space="0" w:color="auto"/>
        <w:right w:val="none" w:sz="0" w:space="0" w:color="auto"/>
      </w:divBdr>
    </w:div>
    <w:div w:id="478764858">
      <w:bodyDiv w:val="1"/>
      <w:marLeft w:val="0"/>
      <w:marRight w:val="0"/>
      <w:marTop w:val="0"/>
      <w:marBottom w:val="0"/>
      <w:divBdr>
        <w:top w:val="none" w:sz="0" w:space="0" w:color="auto"/>
        <w:left w:val="none" w:sz="0" w:space="0" w:color="auto"/>
        <w:bottom w:val="none" w:sz="0" w:space="0" w:color="auto"/>
        <w:right w:val="none" w:sz="0" w:space="0" w:color="auto"/>
      </w:divBdr>
    </w:div>
    <w:div w:id="518203540">
      <w:bodyDiv w:val="1"/>
      <w:marLeft w:val="0"/>
      <w:marRight w:val="0"/>
      <w:marTop w:val="0"/>
      <w:marBottom w:val="0"/>
      <w:divBdr>
        <w:top w:val="none" w:sz="0" w:space="0" w:color="auto"/>
        <w:left w:val="none" w:sz="0" w:space="0" w:color="auto"/>
        <w:bottom w:val="none" w:sz="0" w:space="0" w:color="auto"/>
        <w:right w:val="none" w:sz="0" w:space="0" w:color="auto"/>
      </w:divBdr>
    </w:div>
    <w:div w:id="529226733">
      <w:bodyDiv w:val="1"/>
      <w:marLeft w:val="0"/>
      <w:marRight w:val="0"/>
      <w:marTop w:val="0"/>
      <w:marBottom w:val="0"/>
      <w:divBdr>
        <w:top w:val="none" w:sz="0" w:space="0" w:color="auto"/>
        <w:left w:val="none" w:sz="0" w:space="0" w:color="auto"/>
        <w:bottom w:val="none" w:sz="0" w:space="0" w:color="auto"/>
        <w:right w:val="none" w:sz="0" w:space="0" w:color="auto"/>
      </w:divBdr>
    </w:div>
    <w:div w:id="545528356">
      <w:bodyDiv w:val="1"/>
      <w:marLeft w:val="0"/>
      <w:marRight w:val="0"/>
      <w:marTop w:val="0"/>
      <w:marBottom w:val="0"/>
      <w:divBdr>
        <w:top w:val="none" w:sz="0" w:space="0" w:color="auto"/>
        <w:left w:val="none" w:sz="0" w:space="0" w:color="auto"/>
        <w:bottom w:val="none" w:sz="0" w:space="0" w:color="auto"/>
        <w:right w:val="none" w:sz="0" w:space="0" w:color="auto"/>
      </w:divBdr>
    </w:div>
    <w:div w:id="557983611">
      <w:bodyDiv w:val="1"/>
      <w:marLeft w:val="0"/>
      <w:marRight w:val="0"/>
      <w:marTop w:val="0"/>
      <w:marBottom w:val="0"/>
      <w:divBdr>
        <w:top w:val="none" w:sz="0" w:space="0" w:color="auto"/>
        <w:left w:val="none" w:sz="0" w:space="0" w:color="auto"/>
        <w:bottom w:val="none" w:sz="0" w:space="0" w:color="auto"/>
        <w:right w:val="none" w:sz="0" w:space="0" w:color="auto"/>
      </w:divBdr>
    </w:div>
    <w:div w:id="582957469">
      <w:bodyDiv w:val="1"/>
      <w:marLeft w:val="0"/>
      <w:marRight w:val="0"/>
      <w:marTop w:val="0"/>
      <w:marBottom w:val="0"/>
      <w:divBdr>
        <w:top w:val="none" w:sz="0" w:space="0" w:color="auto"/>
        <w:left w:val="none" w:sz="0" w:space="0" w:color="auto"/>
        <w:bottom w:val="none" w:sz="0" w:space="0" w:color="auto"/>
        <w:right w:val="none" w:sz="0" w:space="0" w:color="auto"/>
      </w:divBdr>
    </w:div>
    <w:div w:id="590551950">
      <w:bodyDiv w:val="1"/>
      <w:marLeft w:val="0"/>
      <w:marRight w:val="0"/>
      <w:marTop w:val="0"/>
      <w:marBottom w:val="0"/>
      <w:divBdr>
        <w:top w:val="none" w:sz="0" w:space="0" w:color="auto"/>
        <w:left w:val="none" w:sz="0" w:space="0" w:color="auto"/>
        <w:bottom w:val="none" w:sz="0" w:space="0" w:color="auto"/>
        <w:right w:val="none" w:sz="0" w:space="0" w:color="auto"/>
      </w:divBdr>
    </w:div>
    <w:div w:id="605697305">
      <w:bodyDiv w:val="1"/>
      <w:marLeft w:val="0"/>
      <w:marRight w:val="0"/>
      <w:marTop w:val="0"/>
      <w:marBottom w:val="0"/>
      <w:divBdr>
        <w:top w:val="none" w:sz="0" w:space="0" w:color="auto"/>
        <w:left w:val="none" w:sz="0" w:space="0" w:color="auto"/>
        <w:bottom w:val="none" w:sz="0" w:space="0" w:color="auto"/>
        <w:right w:val="none" w:sz="0" w:space="0" w:color="auto"/>
      </w:divBdr>
    </w:div>
    <w:div w:id="614990678">
      <w:bodyDiv w:val="1"/>
      <w:marLeft w:val="0"/>
      <w:marRight w:val="0"/>
      <w:marTop w:val="0"/>
      <w:marBottom w:val="0"/>
      <w:divBdr>
        <w:top w:val="none" w:sz="0" w:space="0" w:color="auto"/>
        <w:left w:val="none" w:sz="0" w:space="0" w:color="auto"/>
        <w:bottom w:val="none" w:sz="0" w:space="0" w:color="auto"/>
        <w:right w:val="none" w:sz="0" w:space="0" w:color="auto"/>
      </w:divBdr>
    </w:div>
    <w:div w:id="706872423">
      <w:bodyDiv w:val="1"/>
      <w:marLeft w:val="0"/>
      <w:marRight w:val="0"/>
      <w:marTop w:val="0"/>
      <w:marBottom w:val="0"/>
      <w:divBdr>
        <w:top w:val="none" w:sz="0" w:space="0" w:color="auto"/>
        <w:left w:val="none" w:sz="0" w:space="0" w:color="auto"/>
        <w:bottom w:val="none" w:sz="0" w:space="0" w:color="auto"/>
        <w:right w:val="none" w:sz="0" w:space="0" w:color="auto"/>
      </w:divBdr>
    </w:div>
    <w:div w:id="723721933">
      <w:bodyDiv w:val="1"/>
      <w:marLeft w:val="0"/>
      <w:marRight w:val="0"/>
      <w:marTop w:val="0"/>
      <w:marBottom w:val="0"/>
      <w:divBdr>
        <w:top w:val="none" w:sz="0" w:space="0" w:color="auto"/>
        <w:left w:val="none" w:sz="0" w:space="0" w:color="auto"/>
        <w:bottom w:val="none" w:sz="0" w:space="0" w:color="auto"/>
        <w:right w:val="none" w:sz="0" w:space="0" w:color="auto"/>
      </w:divBdr>
    </w:div>
    <w:div w:id="726101388">
      <w:bodyDiv w:val="1"/>
      <w:marLeft w:val="0"/>
      <w:marRight w:val="0"/>
      <w:marTop w:val="0"/>
      <w:marBottom w:val="0"/>
      <w:divBdr>
        <w:top w:val="none" w:sz="0" w:space="0" w:color="auto"/>
        <w:left w:val="none" w:sz="0" w:space="0" w:color="auto"/>
        <w:bottom w:val="none" w:sz="0" w:space="0" w:color="auto"/>
        <w:right w:val="none" w:sz="0" w:space="0" w:color="auto"/>
      </w:divBdr>
    </w:div>
    <w:div w:id="748310827">
      <w:bodyDiv w:val="1"/>
      <w:marLeft w:val="0"/>
      <w:marRight w:val="0"/>
      <w:marTop w:val="0"/>
      <w:marBottom w:val="0"/>
      <w:divBdr>
        <w:top w:val="none" w:sz="0" w:space="0" w:color="auto"/>
        <w:left w:val="none" w:sz="0" w:space="0" w:color="auto"/>
        <w:bottom w:val="none" w:sz="0" w:space="0" w:color="auto"/>
        <w:right w:val="none" w:sz="0" w:space="0" w:color="auto"/>
      </w:divBdr>
    </w:div>
    <w:div w:id="775099809">
      <w:bodyDiv w:val="1"/>
      <w:marLeft w:val="0"/>
      <w:marRight w:val="0"/>
      <w:marTop w:val="0"/>
      <w:marBottom w:val="0"/>
      <w:divBdr>
        <w:top w:val="none" w:sz="0" w:space="0" w:color="auto"/>
        <w:left w:val="none" w:sz="0" w:space="0" w:color="auto"/>
        <w:bottom w:val="none" w:sz="0" w:space="0" w:color="auto"/>
        <w:right w:val="none" w:sz="0" w:space="0" w:color="auto"/>
      </w:divBdr>
    </w:div>
    <w:div w:id="779183253">
      <w:bodyDiv w:val="1"/>
      <w:marLeft w:val="0"/>
      <w:marRight w:val="0"/>
      <w:marTop w:val="0"/>
      <w:marBottom w:val="0"/>
      <w:divBdr>
        <w:top w:val="none" w:sz="0" w:space="0" w:color="auto"/>
        <w:left w:val="none" w:sz="0" w:space="0" w:color="auto"/>
        <w:bottom w:val="none" w:sz="0" w:space="0" w:color="auto"/>
        <w:right w:val="none" w:sz="0" w:space="0" w:color="auto"/>
      </w:divBdr>
    </w:div>
    <w:div w:id="829180985">
      <w:bodyDiv w:val="1"/>
      <w:marLeft w:val="0"/>
      <w:marRight w:val="0"/>
      <w:marTop w:val="0"/>
      <w:marBottom w:val="0"/>
      <w:divBdr>
        <w:top w:val="none" w:sz="0" w:space="0" w:color="auto"/>
        <w:left w:val="none" w:sz="0" w:space="0" w:color="auto"/>
        <w:bottom w:val="none" w:sz="0" w:space="0" w:color="auto"/>
        <w:right w:val="none" w:sz="0" w:space="0" w:color="auto"/>
      </w:divBdr>
    </w:div>
    <w:div w:id="836848323">
      <w:bodyDiv w:val="1"/>
      <w:marLeft w:val="0"/>
      <w:marRight w:val="0"/>
      <w:marTop w:val="0"/>
      <w:marBottom w:val="0"/>
      <w:divBdr>
        <w:top w:val="none" w:sz="0" w:space="0" w:color="auto"/>
        <w:left w:val="none" w:sz="0" w:space="0" w:color="auto"/>
        <w:bottom w:val="none" w:sz="0" w:space="0" w:color="auto"/>
        <w:right w:val="none" w:sz="0" w:space="0" w:color="auto"/>
      </w:divBdr>
    </w:div>
    <w:div w:id="945312203">
      <w:bodyDiv w:val="1"/>
      <w:marLeft w:val="0"/>
      <w:marRight w:val="0"/>
      <w:marTop w:val="0"/>
      <w:marBottom w:val="0"/>
      <w:divBdr>
        <w:top w:val="none" w:sz="0" w:space="0" w:color="auto"/>
        <w:left w:val="none" w:sz="0" w:space="0" w:color="auto"/>
        <w:bottom w:val="none" w:sz="0" w:space="0" w:color="auto"/>
        <w:right w:val="none" w:sz="0" w:space="0" w:color="auto"/>
      </w:divBdr>
    </w:div>
    <w:div w:id="946742520">
      <w:bodyDiv w:val="1"/>
      <w:marLeft w:val="0"/>
      <w:marRight w:val="0"/>
      <w:marTop w:val="0"/>
      <w:marBottom w:val="0"/>
      <w:divBdr>
        <w:top w:val="none" w:sz="0" w:space="0" w:color="auto"/>
        <w:left w:val="none" w:sz="0" w:space="0" w:color="auto"/>
        <w:bottom w:val="none" w:sz="0" w:space="0" w:color="auto"/>
        <w:right w:val="none" w:sz="0" w:space="0" w:color="auto"/>
      </w:divBdr>
    </w:div>
    <w:div w:id="961962796">
      <w:bodyDiv w:val="1"/>
      <w:marLeft w:val="0"/>
      <w:marRight w:val="0"/>
      <w:marTop w:val="0"/>
      <w:marBottom w:val="0"/>
      <w:divBdr>
        <w:top w:val="none" w:sz="0" w:space="0" w:color="auto"/>
        <w:left w:val="none" w:sz="0" w:space="0" w:color="auto"/>
        <w:bottom w:val="none" w:sz="0" w:space="0" w:color="auto"/>
        <w:right w:val="none" w:sz="0" w:space="0" w:color="auto"/>
      </w:divBdr>
    </w:div>
    <w:div w:id="992835052">
      <w:bodyDiv w:val="1"/>
      <w:marLeft w:val="0"/>
      <w:marRight w:val="0"/>
      <w:marTop w:val="0"/>
      <w:marBottom w:val="0"/>
      <w:divBdr>
        <w:top w:val="none" w:sz="0" w:space="0" w:color="auto"/>
        <w:left w:val="none" w:sz="0" w:space="0" w:color="auto"/>
        <w:bottom w:val="none" w:sz="0" w:space="0" w:color="auto"/>
        <w:right w:val="none" w:sz="0" w:space="0" w:color="auto"/>
      </w:divBdr>
    </w:div>
    <w:div w:id="993988255">
      <w:bodyDiv w:val="1"/>
      <w:marLeft w:val="0"/>
      <w:marRight w:val="0"/>
      <w:marTop w:val="0"/>
      <w:marBottom w:val="0"/>
      <w:divBdr>
        <w:top w:val="none" w:sz="0" w:space="0" w:color="auto"/>
        <w:left w:val="none" w:sz="0" w:space="0" w:color="auto"/>
        <w:bottom w:val="none" w:sz="0" w:space="0" w:color="auto"/>
        <w:right w:val="none" w:sz="0" w:space="0" w:color="auto"/>
      </w:divBdr>
    </w:div>
    <w:div w:id="999456356">
      <w:bodyDiv w:val="1"/>
      <w:marLeft w:val="0"/>
      <w:marRight w:val="0"/>
      <w:marTop w:val="0"/>
      <w:marBottom w:val="0"/>
      <w:divBdr>
        <w:top w:val="none" w:sz="0" w:space="0" w:color="auto"/>
        <w:left w:val="none" w:sz="0" w:space="0" w:color="auto"/>
        <w:bottom w:val="none" w:sz="0" w:space="0" w:color="auto"/>
        <w:right w:val="none" w:sz="0" w:space="0" w:color="auto"/>
      </w:divBdr>
    </w:div>
    <w:div w:id="1027684470">
      <w:bodyDiv w:val="1"/>
      <w:marLeft w:val="0"/>
      <w:marRight w:val="0"/>
      <w:marTop w:val="0"/>
      <w:marBottom w:val="0"/>
      <w:divBdr>
        <w:top w:val="none" w:sz="0" w:space="0" w:color="auto"/>
        <w:left w:val="none" w:sz="0" w:space="0" w:color="auto"/>
        <w:bottom w:val="none" w:sz="0" w:space="0" w:color="auto"/>
        <w:right w:val="none" w:sz="0" w:space="0" w:color="auto"/>
      </w:divBdr>
    </w:div>
    <w:div w:id="1030449416">
      <w:bodyDiv w:val="1"/>
      <w:marLeft w:val="0"/>
      <w:marRight w:val="0"/>
      <w:marTop w:val="0"/>
      <w:marBottom w:val="0"/>
      <w:divBdr>
        <w:top w:val="none" w:sz="0" w:space="0" w:color="auto"/>
        <w:left w:val="none" w:sz="0" w:space="0" w:color="auto"/>
        <w:bottom w:val="none" w:sz="0" w:space="0" w:color="auto"/>
        <w:right w:val="none" w:sz="0" w:space="0" w:color="auto"/>
      </w:divBdr>
    </w:div>
    <w:div w:id="1036353165">
      <w:bodyDiv w:val="1"/>
      <w:marLeft w:val="0"/>
      <w:marRight w:val="0"/>
      <w:marTop w:val="0"/>
      <w:marBottom w:val="0"/>
      <w:divBdr>
        <w:top w:val="none" w:sz="0" w:space="0" w:color="auto"/>
        <w:left w:val="none" w:sz="0" w:space="0" w:color="auto"/>
        <w:bottom w:val="none" w:sz="0" w:space="0" w:color="auto"/>
        <w:right w:val="none" w:sz="0" w:space="0" w:color="auto"/>
      </w:divBdr>
    </w:div>
    <w:div w:id="1068646350">
      <w:bodyDiv w:val="1"/>
      <w:marLeft w:val="0"/>
      <w:marRight w:val="0"/>
      <w:marTop w:val="0"/>
      <w:marBottom w:val="0"/>
      <w:divBdr>
        <w:top w:val="none" w:sz="0" w:space="0" w:color="auto"/>
        <w:left w:val="none" w:sz="0" w:space="0" w:color="auto"/>
        <w:bottom w:val="none" w:sz="0" w:space="0" w:color="auto"/>
        <w:right w:val="none" w:sz="0" w:space="0" w:color="auto"/>
      </w:divBdr>
    </w:div>
    <w:div w:id="1084033185">
      <w:bodyDiv w:val="1"/>
      <w:marLeft w:val="0"/>
      <w:marRight w:val="0"/>
      <w:marTop w:val="0"/>
      <w:marBottom w:val="0"/>
      <w:divBdr>
        <w:top w:val="none" w:sz="0" w:space="0" w:color="auto"/>
        <w:left w:val="none" w:sz="0" w:space="0" w:color="auto"/>
        <w:bottom w:val="none" w:sz="0" w:space="0" w:color="auto"/>
        <w:right w:val="none" w:sz="0" w:space="0" w:color="auto"/>
      </w:divBdr>
    </w:div>
    <w:div w:id="1085489868">
      <w:bodyDiv w:val="1"/>
      <w:marLeft w:val="0"/>
      <w:marRight w:val="0"/>
      <w:marTop w:val="0"/>
      <w:marBottom w:val="0"/>
      <w:divBdr>
        <w:top w:val="none" w:sz="0" w:space="0" w:color="auto"/>
        <w:left w:val="none" w:sz="0" w:space="0" w:color="auto"/>
        <w:bottom w:val="none" w:sz="0" w:space="0" w:color="auto"/>
        <w:right w:val="none" w:sz="0" w:space="0" w:color="auto"/>
      </w:divBdr>
    </w:div>
    <w:div w:id="1145049604">
      <w:bodyDiv w:val="1"/>
      <w:marLeft w:val="0"/>
      <w:marRight w:val="0"/>
      <w:marTop w:val="0"/>
      <w:marBottom w:val="0"/>
      <w:divBdr>
        <w:top w:val="none" w:sz="0" w:space="0" w:color="auto"/>
        <w:left w:val="none" w:sz="0" w:space="0" w:color="auto"/>
        <w:bottom w:val="none" w:sz="0" w:space="0" w:color="auto"/>
        <w:right w:val="none" w:sz="0" w:space="0" w:color="auto"/>
      </w:divBdr>
    </w:div>
    <w:div w:id="1147160597">
      <w:bodyDiv w:val="1"/>
      <w:marLeft w:val="0"/>
      <w:marRight w:val="0"/>
      <w:marTop w:val="0"/>
      <w:marBottom w:val="0"/>
      <w:divBdr>
        <w:top w:val="none" w:sz="0" w:space="0" w:color="auto"/>
        <w:left w:val="none" w:sz="0" w:space="0" w:color="auto"/>
        <w:bottom w:val="none" w:sz="0" w:space="0" w:color="auto"/>
        <w:right w:val="none" w:sz="0" w:space="0" w:color="auto"/>
      </w:divBdr>
    </w:div>
    <w:div w:id="1167012273">
      <w:bodyDiv w:val="1"/>
      <w:marLeft w:val="0"/>
      <w:marRight w:val="0"/>
      <w:marTop w:val="0"/>
      <w:marBottom w:val="0"/>
      <w:divBdr>
        <w:top w:val="none" w:sz="0" w:space="0" w:color="auto"/>
        <w:left w:val="none" w:sz="0" w:space="0" w:color="auto"/>
        <w:bottom w:val="none" w:sz="0" w:space="0" w:color="auto"/>
        <w:right w:val="none" w:sz="0" w:space="0" w:color="auto"/>
      </w:divBdr>
    </w:div>
    <w:div w:id="1169175840">
      <w:bodyDiv w:val="1"/>
      <w:marLeft w:val="0"/>
      <w:marRight w:val="0"/>
      <w:marTop w:val="0"/>
      <w:marBottom w:val="0"/>
      <w:divBdr>
        <w:top w:val="none" w:sz="0" w:space="0" w:color="auto"/>
        <w:left w:val="none" w:sz="0" w:space="0" w:color="auto"/>
        <w:bottom w:val="none" w:sz="0" w:space="0" w:color="auto"/>
        <w:right w:val="none" w:sz="0" w:space="0" w:color="auto"/>
      </w:divBdr>
    </w:div>
    <w:div w:id="1183667167">
      <w:bodyDiv w:val="1"/>
      <w:marLeft w:val="0"/>
      <w:marRight w:val="0"/>
      <w:marTop w:val="0"/>
      <w:marBottom w:val="0"/>
      <w:divBdr>
        <w:top w:val="none" w:sz="0" w:space="0" w:color="auto"/>
        <w:left w:val="none" w:sz="0" w:space="0" w:color="auto"/>
        <w:bottom w:val="none" w:sz="0" w:space="0" w:color="auto"/>
        <w:right w:val="none" w:sz="0" w:space="0" w:color="auto"/>
      </w:divBdr>
    </w:div>
    <w:div w:id="1189641337">
      <w:bodyDiv w:val="1"/>
      <w:marLeft w:val="0"/>
      <w:marRight w:val="0"/>
      <w:marTop w:val="0"/>
      <w:marBottom w:val="0"/>
      <w:divBdr>
        <w:top w:val="none" w:sz="0" w:space="0" w:color="auto"/>
        <w:left w:val="none" w:sz="0" w:space="0" w:color="auto"/>
        <w:bottom w:val="none" w:sz="0" w:space="0" w:color="auto"/>
        <w:right w:val="none" w:sz="0" w:space="0" w:color="auto"/>
      </w:divBdr>
    </w:div>
    <w:div w:id="1190140650">
      <w:bodyDiv w:val="1"/>
      <w:marLeft w:val="0"/>
      <w:marRight w:val="0"/>
      <w:marTop w:val="0"/>
      <w:marBottom w:val="0"/>
      <w:divBdr>
        <w:top w:val="none" w:sz="0" w:space="0" w:color="auto"/>
        <w:left w:val="none" w:sz="0" w:space="0" w:color="auto"/>
        <w:bottom w:val="none" w:sz="0" w:space="0" w:color="auto"/>
        <w:right w:val="none" w:sz="0" w:space="0" w:color="auto"/>
      </w:divBdr>
    </w:div>
    <w:div w:id="1197504631">
      <w:bodyDiv w:val="1"/>
      <w:marLeft w:val="0"/>
      <w:marRight w:val="0"/>
      <w:marTop w:val="0"/>
      <w:marBottom w:val="0"/>
      <w:divBdr>
        <w:top w:val="none" w:sz="0" w:space="0" w:color="auto"/>
        <w:left w:val="none" w:sz="0" w:space="0" w:color="auto"/>
        <w:bottom w:val="none" w:sz="0" w:space="0" w:color="auto"/>
        <w:right w:val="none" w:sz="0" w:space="0" w:color="auto"/>
      </w:divBdr>
    </w:div>
    <w:div w:id="1227842594">
      <w:bodyDiv w:val="1"/>
      <w:marLeft w:val="0"/>
      <w:marRight w:val="0"/>
      <w:marTop w:val="0"/>
      <w:marBottom w:val="0"/>
      <w:divBdr>
        <w:top w:val="none" w:sz="0" w:space="0" w:color="auto"/>
        <w:left w:val="none" w:sz="0" w:space="0" w:color="auto"/>
        <w:bottom w:val="none" w:sz="0" w:space="0" w:color="auto"/>
        <w:right w:val="none" w:sz="0" w:space="0" w:color="auto"/>
      </w:divBdr>
    </w:div>
    <w:div w:id="1229459493">
      <w:bodyDiv w:val="1"/>
      <w:marLeft w:val="0"/>
      <w:marRight w:val="0"/>
      <w:marTop w:val="0"/>
      <w:marBottom w:val="0"/>
      <w:divBdr>
        <w:top w:val="none" w:sz="0" w:space="0" w:color="auto"/>
        <w:left w:val="none" w:sz="0" w:space="0" w:color="auto"/>
        <w:bottom w:val="none" w:sz="0" w:space="0" w:color="auto"/>
        <w:right w:val="none" w:sz="0" w:space="0" w:color="auto"/>
      </w:divBdr>
    </w:div>
    <w:div w:id="1242912526">
      <w:bodyDiv w:val="1"/>
      <w:marLeft w:val="0"/>
      <w:marRight w:val="0"/>
      <w:marTop w:val="0"/>
      <w:marBottom w:val="0"/>
      <w:divBdr>
        <w:top w:val="none" w:sz="0" w:space="0" w:color="auto"/>
        <w:left w:val="none" w:sz="0" w:space="0" w:color="auto"/>
        <w:bottom w:val="none" w:sz="0" w:space="0" w:color="auto"/>
        <w:right w:val="none" w:sz="0" w:space="0" w:color="auto"/>
      </w:divBdr>
    </w:div>
    <w:div w:id="1246963104">
      <w:bodyDiv w:val="1"/>
      <w:marLeft w:val="0"/>
      <w:marRight w:val="0"/>
      <w:marTop w:val="0"/>
      <w:marBottom w:val="0"/>
      <w:divBdr>
        <w:top w:val="none" w:sz="0" w:space="0" w:color="auto"/>
        <w:left w:val="none" w:sz="0" w:space="0" w:color="auto"/>
        <w:bottom w:val="none" w:sz="0" w:space="0" w:color="auto"/>
        <w:right w:val="none" w:sz="0" w:space="0" w:color="auto"/>
      </w:divBdr>
    </w:div>
    <w:div w:id="1269967604">
      <w:bodyDiv w:val="1"/>
      <w:marLeft w:val="0"/>
      <w:marRight w:val="0"/>
      <w:marTop w:val="0"/>
      <w:marBottom w:val="0"/>
      <w:divBdr>
        <w:top w:val="none" w:sz="0" w:space="0" w:color="auto"/>
        <w:left w:val="none" w:sz="0" w:space="0" w:color="auto"/>
        <w:bottom w:val="none" w:sz="0" w:space="0" w:color="auto"/>
        <w:right w:val="none" w:sz="0" w:space="0" w:color="auto"/>
      </w:divBdr>
    </w:div>
    <w:div w:id="1310011419">
      <w:bodyDiv w:val="1"/>
      <w:marLeft w:val="0"/>
      <w:marRight w:val="0"/>
      <w:marTop w:val="0"/>
      <w:marBottom w:val="0"/>
      <w:divBdr>
        <w:top w:val="none" w:sz="0" w:space="0" w:color="auto"/>
        <w:left w:val="none" w:sz="0" w:space="0" w:color="auto"/>
        <w:bottom w:val="none" w:sz="0" w:space="0" w:color="auto"/>
        <w:right w:val="none" w:sz="0" w:space="0" w:color="auto"/>
      </w:divBdr>
    </w:div>
    <w:div w:id="1344895569">
      <w:bodyDiv w:val="1"/>
      <w:marLeft w:val="0"/>
      <w:marRight w:val="0"/>
      <w:marTop w:val="0"/>
      <w:marBottom w:val="0"/>
      <w:divBdr>
        <w:top w:val="none" w:sz="0" w:space="0" w:color="auto"/>
        <w:left w:val="none" w:sz="0" w:space="0" w:color="auto"/>
        <w:bottom w:val="none" w:sz="0" w:space="0" w:color="auto"/>
        <w:right w:val="none" w:sz="0" w:space="0" w:color="auto"/>
      </w:divBdr>
    </w:div>
    <w:div w:id="1346789192">
      <w:bodyDiv w:val="1"/>
      <w:marLeft w:val="0"/>
      <w:marRight w:val="0"/>
      <w:marTop w:val="0"/>
      <w:marBottom w:val="0"/>
      <w:divBdr>
        <w:top w:val="none" w:sz="0" w:space="0" w:color="auto"/>
        <w:left w:val="none" w:sz="0" w:space="0" w:color="auto"/>
        <w:bottom w:val="none" w:sz="0" w:space="0" w:color="auto"/>
        <w:right w:val="none" w:sz="0" w:space="0" w:color="auto"/>
      </w:divBdr>
    </w:div>
    <w:div w:id="1377119397">
      <w:bodyDiv w:val="1"/>
      <w:marLeft w:val="0"/>
      <w:marRight w:val="0"/>
      <w:marTop w:val="0"/>
      <w:marBottom w:val="0"/>
      <w:divBdr>
        <w:top w:val="none" w:sz="0" w:space="0" w:color="auto"/>
        <w:left w:val="none" w:sz="0" w:space="0" w:color="auto"/>
        <w:bottom w:val="none" w:sz="0" w:space="0" w:color="auto"/>
        <w:right w:val="none" w:sz="0" w:space="0" w:color="auto"/>
      </w:divBdr>
    </w:div>
    <w:div w:id="1411654744">
      <w:bodyDiv w:val="1"/>
      <w:marLeft w:val="0"/>
      <w:marRight w:val="0"/>
      <w:marTop w:val="0"/>
      <w:marBottom w:val="0"/>
      <w:divBdr>
        <w:top w:val="none" w:sz="0" w:space="0" w:color="auto"/>
        <w:left w:val="none" w:sz="0" w:space="0" w:color="auto"/>
        <w:bottom w:val="none" w:sz="0" w:space="0" w:color="auto"/>
        <w:right w:val="none" w:sz="0" w:space="0" w:color="auto"/>
      </w:divBdr>
    </w:div>
    <w:div w:id="1433629340">
      <w:bodyDiv w:val="1"/>
      <w:marLeft w:val="0"/>
      <w:marRight w:val="0"/>
      <w:marTop w:val="0"/>
      <w:marBottom w:val="0"/>
      <w:divBdr>
        <w:top w:val="none" w:sz="0" w:space="0" w:color="auto"/>
        <w:left w:val="none" w:sz="0" w:space="0" w:color="auto"/>
        <w:bottom w:val="none" w:sz="0" w:space="0" w:color="auto"/>
        <w:right w:val="none" w:sz="0" w:space="0" w:color="auto"/>
      </w:divBdr>
    </w:div>
    <w:div w:id="1499467358">
      <w:bodyDiv w:val="1"/>
      <w:marLeft w:val="0"/>
      <w:marRight w:val="0"/>
      <w:marTop w:val="0"/>
      <w:marBottom w:val="0"/>
      <w:divBdr>
        <w:top w:val="none" w:sz="0" w:space="0" w:color="auto"/>
        <w:left w:val="none" w:sz="0" w:space="0" w:color="auto"/>
        <w:bottom w:val="none" w:sz="0" w:space="0" w:color="auto"/>
        <w:right w:val="none" w:sz="0" w:space="0" w:color="auto"/>
      </w:divBdr>
    </w:div>
    <w:div w:id="1506018532">
      <w:bodyDiv w:val="1"/>
      <w:marLeft w:val="0"/>
      <w:marRight w:val="0"/>
      <w:marTop w:val="0"/>
      <w:marBottom w:val="0"/>
      <w:divBdr>
        <w:top w:val="none" w:sz="0" w:space="0" w:color="auto"/>
        <w:left w:val="none" w:sz="0" w:space="0" w:color="auto"/>
        <w:bottom w:val="none" w:sz="0" w:space="0" w:color="auto"/>
        <w:right w:val="none" w:sz="0" w:space="0" w:color="auto"/>
      </w:divBdr>
    </w:div>
    <w:div w:id="1516575511">
      <w:bodyDiv w:val="1"/>
      <w:marLeft w:val="0"/>
      <w:marRight w:val="0"/>
      <w:marTop w:val="0"/>
      <w:marBottom w:val="0"/>
      <w:divBdr>
        <w:top w:val="none" w:sz="0" w:space="0" w:color="auto"/>
        <w:left w:val="none" w:sz="0" w:space="0" w:color="auto"/>
        <w:bottom w:val="none" w:sz="0" w:space="0" w:color="auto"/>
        <w:right w:val="none" w:sz="0" w:space="0" w:color="auto"/>
      </w:divBdr>
    </w:div>
    <w:div w:id="1597397119">
      <w:bodyDiv w:val="1"/>
      <w:marLeft w:val="0"/>
      <w:marRight w:val="0"/>
      <w:marTop w:val="0"/>
      <w:marBottom w:val="0"/>
      <w:divBdr>
        <w:top w:val="none" w:sz="0" w:space="0" w:color="auto"/>
        <w:left w:val="none" w:sz="0" w:space="0" w:color="auto"/>
        <w:bottom w:val="none" w:sz="0" w:space="0" w:color="auto"/>
        <w:right w:val="none" w:sz="0" w:space="0" w:color="auto"/>
      </w:divBdr>
    </w:div>
    <w:div w:id="1735659557">
      <w:bodyDiv w:val="1"/>
      <w:marLeft w:val="0"/>
      <w:marRight w:val="0"/>
      <w:marTop w:val="0"/>
      <w:marBottom w:val="0"/>
      <w:divBdr>
        <w:top w:val="none" w:sz="0" w:space="0" w:color="auto"/>
        <w:left w:val="none" w:sz="0" w:space="0" w:color="auto"/>
        <w:bottom w:val="none" w:sz="0" w:space="0" w:color="auto"/>
        <w:right w:val="none" w:sz="0" w:space="0" w:color="auto"/>
      </w:divBdr>
    </w:div>
    <w:div w:id="1740907607">
      <w:bodyDiv w:val="1"/>
      <w:marLeft w:val="0"/>
      <w:marRight w:val="0"/>
      <w:marTop w:val="0"/>
      <w:marBottom w:val="0"/>
      <w:divBdr>
        <w:top w:val="none" w:sz="0" w:space="0" w:color="auto"/>
        <w:left w:val="none" w:sz="0" w:space="0" w:color="auto"/>
        <w:bottom w:val="none" w:sz="0" w:space="0" w:color="auto"/>
        <w:right w:val="none" w:sz="0" w:space="0" w:color="auto"/>
      </w:divBdr>
    </w:div>
    <w:div w:id="1817792084">
      <w:bodyDiv w:val="1"/>
      <w:marLeft w:val="0"/>
      <w:marRight w:val="0"/>
      <w:marTop w:val="0"/>
      <w:marBottom w:val="0"/>
      <w:divBdr>
        <w:top w:val="none" w:sz="0" w:space="0" w:color="auto"/>
        <w:left w:val="none" w:sz="0" w:space="0" w:color="auto"/>
        <w:bottom w:val="none" w:sz="0" w:space="0" w:color="auto"/>
        <w:right w:val="none" w:sz="0" w:space="0" w:color="auto"/>
      </w:divBdr>
    </w:div>
    <w:div w:id="1838616298">
      <w:bodyDiv w:val="1"/>
      <w:marLeft w:val="0"/>
      <w:marRight w:val="0"/>
      <w:marTop w:val="0"/>
      <w:marBottom w:val="0"/>
      <w:divBdr>
        <w:top w:val="none" w:sz="0" w:space="0" w:color="auto"/>
        <w:left w:val="none" w:sz="0" w:space="0" w:color="auto"/>
        <w:bottom w:val="none" w:sz="0" w:space="0" w:color="auto"/>
        <w:right w:val="none" w:sz="0" w:space="0" w:color="auto"/>
      </w:divBdr>
      <w:divsChild>
        <w:div w:id="902565191">
          <w:marLeft w:val="0"/>
          <w:marRight w:val="0"/>
          <w:marTop w:val="0"/>
          <w:marBottom w:val="0"/>
          <w:divBdr>
            <w:top w:val="none" w:sz="0" w:space="0" w:color="auto"/>
            <w:left w:val="none" w:sz="0" w:space="0" w:color="auto"/>
            <w:bottom w:val="none" w:sz="0" w:space="0" w:color="auto"/>
            <w:right w:val="none" w:sz="0" w:space="0" w:color="auto"/>
          </w:divBdr>
        </w:div>
        <w:div w:id="1798715669">
          <w:marLeft w:val="0"/>
          <w:marRight w:val="0"/>
          <w:marTop w:val="0"/>
          <w:marBottom w:val="0"/>
          <w:divBdr>
            <w:top w:val="none" w:sz="0" w:space="0" w:color="auto"/>
            <w:left w:val="none" w:sz="0" w:space="0" w:color="auto"/>
            <w:bottom w:val="none" w:sz="0" w:space="0" w:color="auto"/>
            <w:right w:val="none" w:sz="0" w:space="0" w:color="auto"/>
          </w:divBdr>
        </w:div>
        <w:div w:id="1947538760">
          <w:marLeft w:val="0"/>
          <w:marRight w:val="0"/>
          <w:marTop w:val="0"/>
          <w:marBottom w:val="0"/>
          <w:divBdr>
            <w:top w:val="none" w:sz="0" w:space="0" w:color="auto"/>
            <w:left w:val="none" w:sz="0" w:space="0" w:color="auto"/>
            <w:bottom w:val="none" w:sz="0" w:space="0" w:color="auto"/>
            <w:right w:val="none" w:sz="0" w:space="0" w:color="auto"/>
          </w:divBdr>
        </w:div>
      </w:divsChild>
    </w:div>
    <w:div w:id="1851604927">
      <w:bodyDiv w:val="1"/>
      <w:marLeft w:val="0"/>
      <w:marRight w:val="0"/>
      <w:marTop w:val="0"/>
      <w:marBottom w:val="0"/>
      <w:divBdr>
        <w:top w:val="none" w:sz="0" w:space="0" w:color="auto"/>
        <w:left w:val="none" w:sz="0" w:space="0" w:color="auto"/>
        <w:bottom w:val="none" w:sz="0" w:space="0" w:color="auto"/>
        <w:right w:val="none" w:sz="0" w:space="0" w:color="auto"/>
      </w:divBdr>
    </w:div>
    <w:div w:id="1870602888">
      <w:bodyDiv w:val="1"/>
      <w:marLeft w:val="0"/>
      <w:marRight w:val="0"/>
      <w:marTop w:val="0"/>
      <w:marBottom w:val="0"/>
      <w:divBdr>
        <w:top w:val="none" w:sz="0" w:space="0" w:color="auto"/>
        <w:left w:val="none" w:sz="0" w:space="0" w:color="auto"/>
        <w:bottom w:val="none" w:sz="0" w:space="0" w:color="auto"/>
        <w:right w:val="none" w:sz="0" w:space="0" w:color="auto"/>
      </w:divBdr>
    </w:div>
    <w:div w:id="1875462603">
      <w:bodyDiv w:val="1"/>
      <w:marLeft w:val="0"/>
      <w:marRight w:val="0"/>
      <w:marTop w:val="0"/>
      <w:marBottom w:val="0"/>
      <w:divBdr>
        <w:top w:val="none" w:sz="0" w:space="0" w:color="auto"/>
        <w:left w:val="none" w:sz="0" w:space="0" w:color="auto"/>
        <w:bottom w:val="none" w:sz="0" w:space="0" w:color="auto"/>
        <w:right w:val="none" w:sz="0" w:space="0" w:color="auto"/>
      </w:divBdr>
    </w:div>
    <w:div w:id="1911883032">
      <w:bodyDiv w:val="1"/>
      <w:marLeft w:val="0"/>
      <w:marRight w:val="0"/>
      <w:marTop w:val="0"/>
      <w:marBottom w:val="0"/>
      <w:divBdr>
        <w:top w:val="none" w:sz="0" w:space="0" w:color="auto"/>
        <w:left w:val="none" w:sz="0" w:space="0" w:color="auto"/>
        <w:bottom w:val="none" w:sz="0" w:space="0" w:color="auto"/>
        <w:right w:val="none" w:sz="0" w:space="0" w:color="auto"/>
      </w:divBdr>
    </w:div>
    <w:div w:id="1914732339">
      <w:bodyDiv w:val="1"/>
      <w:marLeft w:val="0"/>
      <w:marRight w:val="0"/>
      <w:marTop w:val="0"/>
      <w:marBottom w:val="0"/>
      <w:divBdr>
        <w:top w:val="none" w:sz="0" w:space="0" w:color="auto"/>
        <w:left w:val="none" w:sz="0" w:space="0" w:color="auto"/>
        <w:bottom w:val="none" w:sz="0" w:space="0" w:color="auto"/>
        <w:right w:val="none" w:sz="0" w:space="0" w:color="auto"/>
      </w:divBdr>
    </w:div>
    <w:div w:id="1927617259">
      <w:bodyDiv w:val="1"/>
      <w:marLeft w:val="0"/>
      <w:marRight w:val="0"/>
      <w:marTop w:val="0"/>
      <w:marBottom w:val="0"/>
      <w:divBdr>
        <w:top w:val="none" w:sz="0" w:space="0" w:color="auto"/>
        <w:left w:val="none" w:sz="0" w:space="0" w:color="auto"/>
        <w:bottom w:val="none" w:sz="0" w:space="0" w:color="auto"/>
        <w:right w:val="none" w:sz="0" w:space="0" w:color="auto"/>
      </w:divBdr>
    </w:div>
    <w:div w:id="1948847034">
      <w:bodyDiv w:val="1"/>
      <w:marLeft w:val="0"/>
      <w:marRight w:val="0"/>
      <w:marTop w:val="0"/>
      <w:marBottom w:val="0"/>
      <w:divBdr>
        <w:top w:val="none" w:sz="0" w:space="0" w:color="auto"/>
        <w:left w:val="none" w:sz="0" w:space="0" w:color="auto"/>
        <w:bottom w:val="none" w:sz="0" w:space="0" w:color="auto"/>
        <w:right w:val="none" w:sz="0" w:space="0" w:color="auto"/>
      </w:divBdr>
    </w:div>
    <w:div w:id="1993368995">
      <w:bodyDiv w:val="1"/>
      <w:marLeft w:val="0"/>
      <w:marRight w:val="0"/>
      <w:marTop w:val="0"/>
      <w:marBottom w:val="0"/>
      <w:divBdr>
        <w:top w:val="none" w:sz="0" w:space="0" w:color="auto"/>
        <w:left w:val="none" w:sz="0" w:space="0" w:color="auto"/>
        <w:bottom w:val="none" w:sz="0" w:space="0" w:color="auto"/>
        <w:right w:val="none" w:sz="0" w:space="0" w:color="auto"/>
      </w:divBdr>
    </w:div>
    <w:div w:id="2023966111">
      <w:bodyDiv w:val="1"/>
      <w:marLeft w:val="0"/>
      <w:marRight w:val="0"/>
      <w:marTop w:val="0"/>
      <w:marBottom w:val="0"/>
      <w:divBdr>
        <w:top w:val="none" w:sz="0" w:space="0" w:color="auto"/>
        <w:left w:val="none" w:sz="0" w:space="0" w:color="auto"/>
        <w:bottom w:val="none" w:sz="0" w:space="0" w:color="auto"/>
        <w:right w:val="none" w:sz="0" w:space="0" w:color="auto"/>
      </w:divBdr>
    </w:div>
    <w:div w:id="2039508580">
      <w:bodyDiv w:val="1"/>
      <w:marLeft w:val="0"/>
      <w:marRight w:val="0"/>
      <w:marTop w:val="0"/>
      <w:marBottom w:val="0"/>
      <w:divBdr>
        <w:top w:val="none" w:sz="0" w:space="0" w:color="auto"/>
        <w:left w:val="none" w:sz="0" w:space="0" w:color="auto"/>
        <w:bottom w:val="none" w:sz="0" w:space="0" w:color="auto"/>
        <w:right w:val="none" w:sz="0" w:space="0" w:color="auto"/>
      </w:divBdr>
    </w:div>
    <w:div w:id="2047368793">
      <w:bodyDiv w:val="1"/>
      <w:marLeft w:val="0"/>
      <w:marRight w:val="0"/>
      <w:marTop w:val="0"/>
      <w:marBottom w:val="0"/>
      <w:divBdr>
        <w:top w:val="none" w:sz="0" w:space="0" w:color="auto"/>
        <w:left w:val="none" w:sz="0" w:space="0" w:color="auto"/>
        <w:bottom w:val="none" w:sz="0" w:space="0" w:color="auto"/>
        <w:right w:val="none" w:sz="0" w:space="0" w:color="auto"/>
      </w:divBdr>
    </w:div>
    <w:div w:id="2062098665">
      <w:bodyDiv w:val="1"/>
      <w:marLeft w:val="0"/>
      <w:marRight w:val="0"/>
      <w:marTop w:val="0"/>
      <w:marBottom w:val="0"/>
      <w:divBdr>
        <w:top w:val="none" w:sz="0" w:space="0" w:color="auto"/>
        <w:left w:val="none" w:sz="0" w:space="0" w:color="auto"/>
        <w:bottom w:val="none" w:sz="0" w:space="0" w:color="auto"/>
        <w:right w:val="none" w:sz="0" w:space="0" w:color="auto"/>
      </w:divBdr>
    </w:div>
    <w:div w:id="2079935748">
      <w:bodyDiv w:val="1"/>
      <w:marLeft w:val="0"/>
      <w:marRight w:val="0"/>
      <w:marTop w:val="0"/>
      <w:marBottom w:val="0"/>
      <w:divBdr>
        <w:top w:val="none" w:sz="0" w:space="0" w:color="auto"/>
        <w:left w:val="none" w:sz="0" w:space="0" w:color="auto"/>
        <w:bottom w:val="none" w:sz="0" w:space="0" w:color="auto"/>
        <w:right w:val="none" w:sz="0" w:space="0" w:color="auto"/>
      </w:divBdr>
    </w:div>
    <w:div w:id="2082175117">
      <w:bodyDiv w:val="1"/>
      <w:marLeft w:val="0"/>
      <w:marRight w:val="0"/>
      <w:marTop w:val="0"/>
      <w:marBottom w:val="0"/>
      <w:divBdr>
        <w:top w:val="none" w:sz="0" w:space="0" w:color="auto"/>
        <w:left w:val="none" w:sz="0" w:space="0" w:color="auto"/>
        <w:bottom w:val="none" w:sz="0" w:space="0" w:color="auto"/>
        <w:right w:val="none" w:sz="0" w:space="0" w:color="auto"/>
      </w:divBdr>
    </w:div>
    <w:div w:id="2085882038">
      <w:bodyDiv w:val="1"/>
      <w:marLeft w:val="0"/>
      <w:marRight w:val="0"/>
      <w:marTop w:val="0"/>
      <w:marBottom w:val="0"/>
      <w:divBdr>
        <w:top w:val="none" w:sz="0" w:space="0" w:color="auto"/>
        <w:left w:val="none" w:sz="0" w:space="0" w:color="auto"/>
        <w:bottom w:val="none" w:sz="0" w:space="0" w:color="auto"/>
        <w:right w:val="none" w:sz="0" w:space="0" w:color="auto"/>
      </w:divBdr>
    </w:div>
    <w:div w:id="210083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vfilertsy.govnet.nsw.gov.au\TSY-Group\ef\RFAB\2.%20Forecasting%20State%20Revenues\0.%20Budget%20briefing%20and%20production\2023-24%20Budget\2023-24%20Budget\Drafting\Chpt%204%20tables%20and%20charts%20Smart%20View_2022-2023%20Budget.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vfilertsy.govnet.nsw.gov.au\TSY-Group\ef\RFAB\2.%20Forecasting%20State%20Revenues\0.%20Budget%20briefing%20and%20production\2023-24%20Budget\2023-24%20Budget\Drafting\Chpt%204%20tables%20and%20charts%20Smart%20View_2022-2023%20Budge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49179522804716E-2"/>
          <c:y val="0.11041948650690843"/>
          <c:w val="0.90190123162497138"/>
          <c:h val="0.57307122858236526"/>
        </c:manualLayout>
      </c:layout>
      <c:barChart>
        <c:barDir val="col"/>
        <c:grouping val="clustered"/>
        <c:varyColors val="0"/>
        <c:ser>
          <c:idx val="0"/>
          <c:order val="0"/>
          <c:spPr>
            <a:solidFill>
              <a:srgbClr val="002664"/>
            </a:solidFill>
            <a:ln>
              <a:noFill/>
            </a:ln>
          </c:spPr>
          <c:invertIfNegative val="0"/>
          <c:dPt>
            <c:idx val="0"/>
            <c:invertIfNegative val="0"/>
            <c:bubble3D val="0"/>
            <c:extLst>
              <c:ext xmlns:c16="http://schemas.microsoft.com/office/drawing/2014/chart" uri="{C3380CC4-5D6E-409C-BE32-E72D297353CC}">
                <c16:uniqueId val="{00000001-5F06-4228-8CED-5B5D890A797D}"/>
              </c:ext>
            </c:extLst>
          </c:dPt>
          <c:dPt>
            <c:idx val="1"/>
            <c:invertIfNegative val="0"/>
            <c:bubble3D val="0"/>
            <c:extLst>
              <c:ext xmlns:c16="http://schemas.microsoft.com/office/drawing/2014/chart" uri="{C3380CC4-5D6E-409C-BE32-E72D297353CC}">
                <c16:uniqueId val="{00000003-5F06-4228-8CED-5B5D890A797D}"/>
              </c:ext>
            </c:extLst>
          </c:dPt>
          <c:dPt>
            <c:idx val="2"/>
            <c:invertIfNegative val="0"/>
            <c:bubble3D val="0"/>
            <c:extLst>
              <c:ext xmlns:c16="http://schemas.microsoft.com/office/drawing/2014/chart" uri="{C3380CC4-5D6E-409C-BE32-E72D297353CC}">
                <c16:uniqueId val="{00000005-5F06-4228-8CED-5B5D890A797D}"/>
              </c:ext>
            </c:extLst>
          </c:dPt>
          <c:dPt>
            <c:idx val="3"/>
            <c:invertIfNegative val="0"/>
            <c:bubble3D val="0"/>
            <c:extLst>
              <c:ext xmlns:c16="http://schemas.microsoft.com/office/drawing/2014/chart" uri="{C3380CC4-5D6E-409C-BE32-E72D297353CC}">
                <c16:uniqueId val="{00000007-5F06-4228-8CED-5B5D890A797D}"/>
              </c:ext>
            </c:extLst>
          </c:dPt>
          <c:dPt>
            <c:idx val="4"/>
            <c:invertIfNegative val="0"/>
            <c:bubble3D val="0"/>
            <c:extLst>
              <c:ext xmlns:c16="http://schemas.microsoft.com/office/drawing/2014/chart" uri="{C3380CC4-5D6E-409C-BE32-E72D297353CC}">
                <c16:uniqueId val="{00000009-5F06-4228-8CED-5B5D890A797D}"/>
              </c:ext>
            </c:extLst>
          </c:dPt>
          <c:dPt>
            <c:idx val="5"/>
            <c:invertIfNegative val="0"/>
            <c:bubble3D val="0"/>
            <c:extLst>
              <c:ext xmlns:c16="http://schemas.microsoft.com/office/drawing/2014/chart" uri="{C3380CC4-5D6E-409C-BE32-E72D297353CC}">
                <c16:uniqueId val="{0000000B-5F06-4228-8CED-5B5D890A797D}"/>
              </c:ext>
            </c:extLst>
          </c:dPt>
          <c:dPt>
            <c:idx val="6"/>
            <c:invertIfNegative val="0"/>
            <c:bubble3D val="0"/>
            <c:extLst>
              <c:ext xmlns:c16="http://schemas.microsoft.com/office/drawing/2014/chart" uri="{C3380CC4-5D6E-409C-BE32-E72D297353CC}">
                <c16:uniqueId val="{0000000D-5F06-4228-8CED-5B5D890A797D}"/>
              </c:ext>
            </c:extLst>
          </c:dPt>
          <c:dPt>
            <c:idx val="7"/>
            <c:invertIfNegative val="0"/>
            <c:bubble3D val="0"/>
            <c:extLst>
              <c:ext xmlns:c16="http://schemas.microsoft.com/office/drawing/2014/chart" uri="{C3380CC4-5D6E-409C-BE32-E72D297353CC}">
                <c16:uniqueId val="{0000000F-5F06-4228-8CED-5B5D890A797D}"/>
              </c:ext>
            </c:extLst>
          </c:dPt>
          <c:dPt>
            <c:idx val="8"/>
            <c:invertIfNegative val="0"/>
            <c:bubble3D val="0"/>
            <c:extLst>
              <c:ext xmlns:c16="http://schemas.microsoft.com/office/drawing/2014/chart" uri="{C3380CC4-5D6E-409C-BE32-E72D297353CC}">
                <c16:uniqueId val="{00000011-5F06-4228-8CED-5B5D890A797D}"/>
              </c:ext>
            </c:extLst>
          </c:dPt>
          <c:dPt>
            <c:idx val="10"/>
            <c:invertIfNegative val="0"/>
            <c:bubble3D val="0"/>
            <c:extLst>
              <c:ext xmlns:c16="http://schemas.microsoft.com/office/drawing/2014/chart" uri="{C3380CC4-5D6E-409C-BE32-E72D297353CC}">
                <c16:uniqueId val="{00000013-5F06-4228-8CED-5B5D890A797D}"/>
              </c:ext>
            </c:extLst>
          </c:dPt>
          <c:dLbls>
            <c:spPr>
              <a:noFill/>
              <a:ln>
                <a:noFill/>
              </a:ln>
              <a:effectLst/>
            </c:spPr>
            <c:txPr>
              <a:bodyPr wrap="square" lIns="38100" tIns="19050" rIns="38100" bIns="19050" anchor="ctr">
                <a:spAutoFit/>
              </a:bodyPr>
              <a:lstStyle/>
              <a:p>
                <a:pPr>
                  <a:defRPr sz="700">
                    <a:latin typeface="Public Sans"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 4.1 - Bar chart'!$A$33:$A$41</c:f>
              <c:strCache>
                <c:ptCount val="9"/>
                <c:pt idx="0">
                  <c:v>Taxation</c:v>
                </c:pt>
                <c:pt idx="1">
                  <c:v>Australian Government - general purpose
(Includes GST)</c:v>
                </c:pt>
                <c:pt idx="2">
                  <c:v>Australian Government - National Agreements</c:v>
                </c:pt>
                <c:pt idx="3">
                  <c:v>Sale of goods and services</c:v>
                </c:pt>
                <c:pt idx="4">
                  <c:v>Australian Government - Federation Funding Agreements</c:v>
                </c:pt>
                <c:pt idx="5">
                  <c:v>Fines, fees, interest and 
other revenues</c:v>
                </c:pt>
                <c:pt idx="6">
                  <c:v>Dividends, income tax
 equivalents &amp; other 
distributions </c:v>
                </c:pt>
                <c:pt idx="7">
                  <c:v>Royalties </c:v>
                </c:pt>
                <c:pt idx="8">
                  <c:v>Other grants </c:v>
                </c:pt>
              </c:strCache>
            </c:strRef>
          </c:cat>
          <c:val>
            <c:numRef>
              <c:f>'Chart 4.1 - Bar chart'!$C$33:$C$41</c:f>
              <c:numCache>
                <c:formatCode>0.0%</c:formatCode>
                <c:ptCount val="9"/>
                <c:pt idx="0">
                  <c:v>0.39920515884619823</c:v>
                </c:pt>
                <c:pt idx="1">
                  <c:v>0.23307648884518209</c:v>
                </c:pt>
                <c:pt idx="2">
                  <c:v>0.11251405187394554</c:v>
                </c:pt>
                <c:pt idx="3">
                  <c:v>9.4345724984034124E-2</c:v>
                </c:pt>
                <c:pt idx="4">
                  <c:v>5.5874349176241206E-2</c:v>
                </c:pt>
                <c:pt idx="5">
                  <c:v>3.2861122467975706E-2</c:v>
                </c:pt>
                <c:pt idx="6">
                  <c:v>3.0152917649983114E-2</c:v>
                </c:pt>
                <c:pt idx="7">
                  <c:v>2.8617334594717391E-2</c:v>
                </c:pt>
                <c:pt idx="8">
                  <c:v>1.3352851561722581E-2</c:v>
                </c:pt>
              </c:numCache>
            </c:numRef>
          </c:val>
          <c:extLst>
            <c:ext xmlns:c16="http://schemas.microsoft.com/office/drawing/2014/chart" uri="{C3380CC4-5D6E-409C-BE32-E72D297353CC}">
              <c16:uniqueId val="{00000014-5F06-4228-8CED-5B5D890A797D}"/>
            </c:ext>
          </c:extLst>
        </c:ser>
        <c:dLbls>
          <c:dLblPos val="outEnd"/>
          <c:showLegendKey val="0"/>
          <c:showVal val="1"/>
          <c:showCatName val="0"/>
          <c:showSerName val="0"/>
          <c:showPercent val="0"/>
          <c:showBubbleSize val="0"/>
        </c:dLbls>
        <c:gapWidth val="100"/>
        <c:axId val="2096127104"/>
        <c:axId val="1879375632"/>
      </c:barChart>
      <c:valAx>
        <c:axId val="1879375632"/>
        <c:scaling>
          <c:orientation val="minMax"/>
        </c:scaling>
        <c:delete val="0"/>
        <c:axPos val="l"/>
        <c:majorGridlines>
          <c:spPr>
            <a:ln>
              <a:solidFill>
                <a:srgbClr val="70AD47">
                  <a:alpha val="0"/>
                </a:srgbClr>
              </a:solidFill>
            </a:ln>
          </c:spPr>
        </c:majorGridlines>
        <c:numFmt formatCode="0%" sourceLinked="0"/>
        <c:majorTickMark val="out"/>
        <c:minorTickMark val="none"/>
        <c:tickLblPos val="nextTo"/>
        <c:txPr>
          <a:bodyPr/>
          <a:lstStyle/>
          <a:p>
            <a:pPr>
              <a:defRPr>
                <a:latin typeface="Public Sans" pitchFamily="2" charset="0"/>
              </a:defRPr>
            </a:pPr>
            <a:endParaRPr lang="en-US"/>
          </a:p>
        </c:txPr>
        <c:crossAx val="2096127104"/>
        <c:crosses val="autoZero"/>
        <c:crossBetween val="between"/>
      </c:valAx>
      <c:catAx>
        <c:axId val="2096127104"/>
        <c:scaling>
          <c:orientation val="minMax"/>
        </c:scaling>
        <c:delete val="0"/>
        <c:axPos val="b"/>
        <c:numFmt formatCode="General" sourceLinked="1"/>
        <c:majorTickMark val="out"/>
        <c:minorTickMark val="none"/>
        <c:tickLblPos val="nextTo"/>
        <c:txPr>
          <a:bodyPr/>
          <a:lstStyle/>
          <a:p>
            <a:pPr>
              <a:defRPr>
                <a:latin typeface="Public Sans" pitchFamily="2" charset="0"/>
              </a:defRPr>
            </a:pPr>
            <a:endParaRPr lang="en-US"/>
          </a:p>
        </c:txPr>
        <c:crossAx val="1879375632"/>
        <c:crosses val="autoZero"/>
        <c:auto val="1"/>
        <c:lblAlgn val="ctr"/>
        <c:lblOffset val="100"/>
        <c:noMultiLvlLbl val="0"/>
      </c:catAx>
      <c:spPr>
        <a:noFill/>
        <a:ln>
          <a:noFill/>
        </a:ln>
      </c:spPr>
    </c:plotArea>
    <c:plotVisOnly val="1"/>
    <c:dispBlanksAs val="gap"/>
    <c:showDLblsOverMax val="0"/>
  </c:chart>
  <c:spPr>
    <a:solidFill>
      <a:sysClr val="window" lastClr="FFFFFF"/>
    </a:solidFill>
    <a:ln>
      <a:noFill/>
    </a:ln>
  </c:spPr>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4099665769584"/>
          <c:y val="5.238867824756898E-2"/>
          <c:w val="0.84343441867063917"/>
          <c:h val="0.73937393855179856"/>
        </c:manualLayout>
      </c:layout>
      <c:lineChart>
        <c:grouping val="standard"/>
        <c:varyColors val="0"/>
        <c:ser>
          <c:idx val="0"/>
          <c:order val="0"/>
          <c:tx>
            <c:strRef>
              <c:f>'Chart 4.6 - Residential trans'!$A$9</c:f>
              <c:strCache>
                <c:ptCount val="1"/>
                <c:pt idx="0">
                  <c:v>Actual</c:v>
                </c:pt>
              </c:strCache>
            </c:strRef>
          </c:tx>
          <c:spPr>
            <a:ln w="28575" cap="rnd">
              <a:solidFill>
                <a:srgbClr val="00426F"/>
              </a:solidFill>
              <a:round/>
            </a:ln>
            <a:effectLst/>
          </c:spPr>
          <c:marker>
            <c:symbol val="none"/>
          </c:marker>
          <c:cat>
            <c:numRef>
              <c:f>'Chart 4.6 - Residential trans'!$B$8:$EY$8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4.6 - Residential trans'!$B$9:$EY$9</c:f>
              <c:numCache>
                <c:formatCode>#,##0.00</c:formatCode>
                <c:ptCount val="154"/>
                <c:pt idx="0">
                  <c:v>41683.657114582398</c:v>
                </c:pt>
                <c:pt idx="1">
                  <c:v>32162.666033109781</c:v>
                </c:pt>
                <c:pt idx="2">
                  <c:v>27572.385721795989</c:v>
                </c:pt>
                <c:pt idx="3">
                  <c:v>24370.18359654646</c:v>
                </c:pt>
                <c:pt idx="4">
                  <c:v>35581.208343557504</c:v>
                </c:pt>
                <c:pt idx="5">
                  <c:v>32996.765685037601</c:v>
                </c:pt>
                <c:pt idx="6">
                  <c:v>31359.129246902401</c:v>
                </c:pt>
                <c:pt idx="7">
                  <c:v>30264.718257491579</c:v>
                </c:pt>
                <c:pt idx="8">
                  <c:v>30421.13243871797</c:v>
                </c:pt>
                <c:pt idx="9">
                  <c:v>36028.486881906603</c:v>
                </c:pt>
                <c:pt idx="10">
                  <c:v>36621.988167561198</c:v>
                </c:pt>
                <c:pt idx="11">
                  <c:v>33201.456777405197</c:v>
                </c:pt>
                <c:pt idx="12">
                  <c:v>32029.237345647198</c:v>
                </c:pt>
                <c:pt idx="13">
                  <c:v>30626.182177233972</c:v>
                </c:pt>
                <c:pt idx="14">
                  <c:v>29557.21737564696</c:v>
                </c:pt>
                <c:pt idx="15">
                  <c:v>30848.116129389295</c:v>
                </c:pt>
                <c:pt idx="16">
                  <c:v>30951.61630016104</c:v>
                </c:pt>
                <c:pt idx="17">
                  <c:v>35437.368981868502</c:v>
                </c:pt>
                <c:pt idx="18">
                  <c:v>33551.281468748602</c:v>
                </c:pt>
                <c:pt idx="19">
                  <c:v>36700.556945348602</c:v>
                </c:pt>
                <c:pt idx="20">
                  <c:v>42063.8511529854</c:v>
                </c:pt>
                <c:pt idx="21">
                  <c:v>41214.745722557898</c:v>
                </c:pt>
                <c:pt idx="22">
                  <c:v>40333.948031207503</c:v>
                </c:pt>
                <c:pt idx="23">
                  <c:v>35132.023642920998</c:v>
                </c:pt>
                <c:pt idx="24">
                  <c:v>31179.361535675103</c:v>
                </c:pt>
                <c:pt idx="25">
                  <c:v>31136.920825305231</c:v>
                </c:pt>
                <c:pt idx="26">
                  <c:v>32253.3836749888</c:v>
                </c:pt>
                <c:pt idx="27">
                  <c:v>33078.668565006003</c:v>
                </c:pt>
                <c:pt idx="28">
                  <c:v>35043.3653085927</c:v>
                </c:pt>
                <c:pt idx="29">
                  <c:v>32821.380592077003</c:v>
                </c:pt>
                <c:pt idx="30">
                  <c:v>34562.964905416302</c:v>
                </c:pt>
                <c:pt idx="31">
                  <c:v>36684.253887242201</c:v>
                </c:pt>
                <c:pt idx="32">
                  <c:v>40463.6059825212</c:v>
                </c:pt>
                <c:pt idx="33">
                  <c:v>41954.985577734595</c:v>
                </c:pt>
                <c:pt idx="34">
                  <c:v>43798.062220303902</c:v>
                </c:pt>
                <c:pt idx="35">
                  <c:v>41078.007751309604</c:v>
                </c:pt>
                <c:pt idx="36">
                  <c:v>40491.506099841004</c:v>
                </c:pt>
                <c:pt idx="37">
                  <c:v>35192.101993869401</c:v>
                </c:pt>
                <c:pt idx="38">
                  <c:v>28187.247865035941</c:v>
                </c:pt>
                <c:pt idx="39">
                  <c:v>30042.561467614352</c:v>
                </c:pt>
                <c:pt idx="40">
                  <c:v>28850.00446965393</c:v>
                </c:pt>
                <c:pt idx="41">
                  <c:v>29541.0863353936</c:v>
                </c:pt>
                <c:pt idx="42">
                  <c:v>32764.898640379</c:v>
                </c:pt>
                <c:pt idx="43">
                  <c:v>35318.886213548496</c:v>
                </c:pt>
                <c:pt idx="44">
                  <c:v>32888.549778772802</c:v>
                </c:pt>
                <c:pt idx="45">
                  <c:v>34625.05261664377</c:v>
                </c:pt>
                <c:pt idx="46">
                  <c:v>28026.105784954751</c:v>
                </c:pt>
                <c:pt idx="47">
                  <c:v>29570.29736742466</c:v>
                </c:pt>
                <c:pt idx="48">
                  <c:v>34539.107398437598</c:v>
                </c:pt>
                <c:pt idx="49">
                  <c:v>33698.087129132764</c:v>
                </c:pt>
                <c:pt idx="50">
                  <c:v>37900.170973893401</c:v>
                </c:pt>
                <c:pt idx="51">
                  <c:v>34781.899003561273</c:v>
                </c:pt>
                <c:pt idx="52">
                  <c:v>38314.479998510396</c:v>
                </c:pt>
                <c:pt idx="53">
                  <c:v>37938.439886253698</c:v>
                </c:pt>
                <c:pt idx="54">
                  <c:v>36636.699874965001</c:v>
                </c:pt>
                <c:pt idx="55">
                  <c:v>36316.815711813302</c:v>
                </c:pt>
                <c:pt idx="56">
                  <c:v>41752.719029210901</c:v>
                </c:pt>
                <c:pt idx="57">
                  <c:v>48478.914227149304</c:v>
                </c:pt>
                <c:pt idx="58">
                  <c:v>58867.9062076591</c:v>
                </c:pt>
                <c:pt idx="59">
                  <c:v>56491.947897394697</c:v>
                </c:pt>
                <c:pt idx="60">
                  <c:v>47218.653760747598</c:v>
                </c:pt>
                <c:pt idx="61">
                  <c:v>45122.863949178398</c:v>
                </c:pt>
                <c:pt idx="62">
                  <c:v>38873.448836517098</c:v>
                </c:pt>
                <c:pt idx="63">
                  <c:v>39125.773952140298</c:v>
                </c:pt>
                <c:pt idx="64">
                  <c:v>38891.496994773304</c:v>
                </c:pt>
                <c:pt idx="65">
                  <c:v>35355.757583368206</c:v>
                </c:pt>
                <c:pt idx="66">
                  <c:v>37671.592421494199</c:v>
                </c:pt>
                <c:pt idx="67">
                  <c:v>40137.641219892597</c:v>
                </c:pt>
                <c:pt idx="68">
                  <c:v>40614.4510549845</c:v>
                </c:pt>
                <c:pt idx="69">
                  <c:v>41360.774253210599</c:v>
                </c:pt>
                <c:pt idx="70">
                  <c:v>39807.813820870797</c:v>
                </c:pt>
                <c:pt idx="71">
                  <c:v>39328.934162546197</c:v>
                </c:pt>
                <c:pt idx="72">
                  <c:v>41421.076254513202</c:v>
                </c:pt>
                <c:pt idx="73">
                  <c:v>45925.868735623895</c:v>
                </c:pt>
                <c:pt idx="74">
                  <c:v>45322.9239427266</c:v>
                </c:pt>
                <c:pt idx="75">
                  <c:v>45033.413572667305</c:v>
                </c:pt>
                <c:pt idx="76">
                  <c:v>41655.807521673501</c:v>
                </c:pt>
                <c:pt idx="77">
                  <c:v>36367.611767114402</c:v>
                </c:pt>
                <c:pt idx="78">
                  <c:v>34967.382227955793</c:v>
                </c:pt>
                <c:pt idx="79">
                  <c:v>35629.460230521305</c:v>
                </c:pt>
                <c:pt idx="80">
                  <c:v>41952.352796215302</c:v>
                </c:pt>
                <c:pt idx="81">
                  <c:v>46927.168399177601</c:v>
                </c:pt>
                <c:pt idx="82">
                  <c:v>48021.690160912498</c:v>
                </c:pt>
                <c:pt idx="83">
                  <c:v>44908.102954325303</c:v>
                </c:pt>
                <c:pt idx="84">
                  <c:v>41817.902761017598</c:v>
                </c:pt>
                <c:pt idx="85">
                  <c:v>42519.087359552803</c:v>
                </c:pt>
                <c:pt idx="86">
                  <c:v>39930.520706343203</c:v>
                </c:pt>
                <c:pt idx="87">
                  <c:v>36889.950284760504</c:v>
                </c:pt>
                <c:pt idx="88">
                  <c:v>36865.418740190798</c:v>
                </c:pt>
                <c:pt idx="89">
                  <c:v>36780.738066723097</c:v>
                </c:pt>
                <c:pt idx="90">
                  <c:v>36669.752915986297</c:v>
                </c:pt>
                <c:pt idx="91">
                  <c:v>37759.182826638804</c:v>
                </c:pt>
                <c:pt idx="92">
                  <c:v>36466.047672361201</c:v>
                </c:pt>
                <c:pt idx="93">
                  <c:v>33826.923115575803</c:v>
                </c:pt>
                <c:pt idx="94">
                  <c:v>36039.082045018098</c:v>
                </c:pt>
                <c:pt idx="95">
                  <c:v>39647.282097757103</c:v>
                </c:pt>
                <c:pt idx="96">
                  <c:v>41284.216091058799</c:v>
                </c:pt>
                <c:pt idx="97">
                  <c:v>45039.303535589599</c:v>
                </c:pt>
                <c:pt idx="98">
                  <c:v>47476.854476900699</c:v>
                </c:pt>
                <c:pt idx="99">
                  <c:v>49941.396492485699</c:v>
                </c:pt>
                <c:pt idx="100">
                  <c:v>52418.259983325697</c:v>
                </c:pt>
                <c:pt idx="101">
                  <c:v>51618.588962659895</c:v>
                </c:pt>
                <c:pt idx="102">
                  <c:v>50824.572369007801</c:v>
                </c:pt>
                <c:pt idx="103">
                  <c:v>49393.051739552306</c:v>
                </c:pt>
                <c:pt idx="104">
                  <c:v>53165.528072405199</c:v>
                </c:pt>
                <c:pt idx="105">
                  <c:v>53019.475820906104</c:v>
                </c:pt>
                <c:pt idx="106">
                  <c:v>54323.188869281104</c:v>
                </c:pt>
                <c:pt idx="107">
                  <c:v>51800.862811610496</c:v>
                </c:pt>
                <c:pt idx="108">
                  <c:v>50509.579519237901</c:v>
                </c:pt>
                <c:pt idx="109">
                  <c:v>49537.5587478948</c:v>
                </c:pt>
                <c:pt idx="110">
                  <c:v>50191.556681442104</c:v>
                </c:pt>
                <c:pt idx="111">
                  <c:v>52544.351277272697</c:v>
                </c:pt>
                <c:pt idx="112">
                  <c:v>52853.585831409699</c:v>
                </c:pt>
                <c:pt idx="113">
                  <c:v>51999.405056406096</c:v>
                </c:pt>
                <c:pt idx="114">
                  <c:v>51379.469132065497</c:v>
                </c:pt>
                <c:pt idx="115">
                  <c:v>48958.186043537702</c:v>
                </c:pt>
                <c:pt idx="116">
                  <c:v>48761.624879586401</c:v>
                </c:pt>
                <c:pt idx="117">
                  <c:v>46846.4126899275</c:v>
                </c:pt>
                <c:pt idx="118">
                  <c:v>42777.684450885499</c:v>
                </c:pt>
                <c:pt idx="119">
                  <c:v>37368.4305188996</c:v>
                </c:pt>
                <c:pt idx="120">
                  <c:v>34915.378253297698</c:v>
                </c:pt>
                <c:pt idx="121">
                  <c:v>36383.438788035397</c:v>
                </c:pt>
                <c:pt idx="122">
                  <c:v>38842.818632480994</c:v>
                </c:pt>
                <c:pt idx="123">
                  <c:v>41844.454060641401</c:v>
                </c:pt>
                <c:pt idx="124">
                  <c:v>43263.545158752895</c:v>
                </c:pt>
                <c:pt idx="125">
                  <c:v>34937.309463578364</c:v>
                </c:pt>
                <c:pt idx="126">
                  <c:v>44214.737382105799</c:v>
                </c:pt>
                <c:pt idx="127">
                  <c:v>52910.075109507401</c:v>
                </c:pt>
                <c:pt idx="128">
                  <c:v>56482.601815936199</c:v>
                </c:pt>
                <c:pt idx="129">
                  <c:v>61172.573168112598</c:v>
                </c:pt>
                <c:pt idx="130">
                  <c:v>57661.8596518173</c:v>
                </c:pt>
                <c:pt idx="131">
                  <c:v>56694.221298135904</c:v>
                </c:pt>
                <c:pt idx="132">
                  <c:v>54994.566595167402</c:v>
                </c:pt>
                <c:pt idx="133">
                  <c:v>48584.526333333699</c:v>
                </c:pt>
                <c:pt idx="134">
                  <c:v>41943.9539284981</c:v>
                </c:pt>
                <c:pt idx="135">
                  <c:v>37665.668777602899</c:v>
                </c:pt>
                <c:pt idx="136">
                  <c:v>38906.763905773601</c:v>
                </c:pt>
                <c:pt idx="137">
                  <c:v>42156.700792028802</c:v>
                </c:pt>
              </c:numCache>
            </c:numRef>
          </c:val>
          <c:smooth val="0"/>
          <c:extLst>
            <c:ext xmlns:c16="http://schemas.microsoft.com/office/drawing/2014/chart" uri="{C3380CC4-5D6E-409C-BE32-E72D297353CC}">
              <c16:uniqueId val="{00000000-7A74-46B0-9038-5B9B58A3158B}"/>
            </c:ext>
          </c:extLst>
        </c:ser>
        <c:ser>
          <c:idx val="1"/>
          <c:order val="1"/>
          <c:tx>
            <c:strRef>
              <c:f>'Chart 4.6 - Residential trans'!$A$10</c:f>
              <c:strCache>
                <c:ptCount val="1"/>
                <c:pt idx="0">
                  <c:v>2023 Pre-election Budget Update</c:v>
                </c:pt>
              </c:strCache>
            </c:strRef>
          </c:tx>
          <c:spPr>
            <a:ln w="25400" cap="rnd">
              <a:solidFill>
                <a:srgbClr val="008EBA"/>
              </a:solidFill>
              <a:prstDash val="sysDash"/>
              <a:round/>
            </a:ln>
            <a:effectLst/>
          </c:spPr>
          <c:marker>
            <c:symbol val="none"/>
          </c:marker>
          <c:cat>
            <c:numRef>
              <c:f>'Chart 4.6 - Residential trans'!$B$8:$EY$8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4.6 - Residential trans'!$B$10:$EY$10</c:f>
              <c:numCache>
                <c:formatCode>General</c:formatCode>
                <c:ptCount val="154"/>
                <c:pt idx="135" formatCode="#,##0.00">
                  <c:v>38116.267491612103</c:v>
                </c:pt>
                <c:pt idx="136" formatCode="#,##0.00">
                  <c:v>35738.919789592917</c:v>
                </c:pt>
                <c:pt idx="137" formatCode="#,##0.00">
                  <c:v>33770.047042860067</c:v>
                </c:pt>
                <c:pt idx="138" formatCode="#,##0.00">
                  <c:v>32217.84940489721</c:v>
                </c:pt>
                <c:pt idx="139" formatCode="#,##0.00">
                  <c:v>33970.046577693036</c:v>
                </c:pt>
                <c:pt idx="140" formatCode="#,##0.00">
                  <c:v>37393.953305608018</c:v>
                </c:pt>
                <c:pt idx="141" formatCode="#,##0.00">
                  <c:v>40837.3721832628</c:v>
                </c:pt>
                <c:pt idx="142" formatCode="#,##0.00">
                  <c:v>44303.755524640852</c:v>
                </c:pt>
                <c:pt idx="143" formatCode="#,##0.00">
                  <c:v>47790.172119756222</c:v>
                </c:pt>
                <c:pt idx="144" formatCode="#,##0.00">
                  <c:v>51296.621968608888</c:v>
                </c:pt>
                <c:pt idx="145" formatCode="#,##0.00">
                  <c:v>54823.105071198865</c:v>
                </c:pt>
                <c:pt idx="146" formatCode="#,##0.00">
                  <c:v>56674.840393356921</c:v>
                </c:pt>
                <c:pt idx="147" formatCode="#,##0.00">
                  <c:v>55143.003154717546</c:v>
                </c:pt>
                <c:pt idx="148" formatCode="#,##0.00">
                  <c:v>53601.322898123748</c:v>
                </c:pt>
                <c:pt idx="149" formatCode="#,##0.00">
                  <c:v>52049.799623575527</c:v>
                </c:pt>
                <c:pt idx="150" formatCode="#,##0.00">
                  <c:v>51170.380889584398</c:v>
                </c:pt>
                <c:pt idx="151" formatCode="#,##0.00">
                  <c:v>50285.165608001895</c:v>
                </c:pt>
                <c:pt idx="152" formatCode="#,##0.00">
                  <c:v>50426.708181068228</c:v>
                </c:pt>
                <c:pt idx="153" formatCode="#,##0.00">
                  <c:v>50568.250754134562</c:v>
                </c:pt>
              </c:numCache>
            </c:numRef>
          </c:val>
          <c:smooth val="0"/>
          <c:extLst>
            <c:ext xmlns:c16="http://schemas.microsoft.com/office/drawing/2014/chart" uri="{C3380CC4-5D6E-409C-BE32-E72D297353CC}">
              <c16:uniqueId val="{00000001-7A74-46B0-9038-5B9B58A3158B}"/>
            </c:ext>
          </c:extLst>
        </c:ser>
        <c:ser>
          <c:idx val="2"/>
          <c:order val="2"/>
          <c:tx>
            <c:strRef>
              <c:f>'Chart 4.6 - Residential trans'!$A$11</c:f>
              <c:strCache>
                <c:ptCount val="1"/>
                <c:pt idx="0">
                  <c:v>2023-24 Budget</c:v>
                </c:pt>
              </c:strCache>
            </c:strRef>
          </c:tx>
          <c:spPr>
            <a:ln w="25400" cap="rnd">
              <a:solidFill>
                <a:srgbClr val="00426F"/>
              </a:solidFill>
              <a:prstDash val="sysDash"/>
              <a:round/>
            </a:ln>
            <a:effectLst/>
          </c:spPr>
          <c:marker>
            <c:symbol val="none"/>
          </c:marker>
          <c:cat>
            <c:numRef>
              <c:f>'Chart 4.6 - Residential trans'!$B$8:$EY$8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4.6 - Residential trans'!$B$11:$EY$11</c:f>
              <c:numCache>
                <c:formatCode>General</c:formatCode>
                <c:ptCount val="154"/>
                <c:pt idx="137" formatCode="#,##0.00">
                  <c:v>42156.700792028802</c:v>
                </c:pt>
                <c:pt idx="138" formatCode="#,##0.00">
                  <c:v>45041.11595479455</c:v>
                </c:pt>
                <c:pt idx="139" formatCode="#,##0.00">
                  <c:v>49388.202540841303</c:v>
                </c:pt>
                <c:pt idx="140" formatCode="#,##0.00">
                  <c:v>53765.223514435304</c:v>
                </c:pt>
                <c:pt idx="141" formatCode="#,##0.00">
                  <c:v>56486.028763240989</c:v>
                </c:pt>
                <c:pt idx="142" formatCode="#,##0.00">
                  <c:v>54128.710108658706</c:v>
                </c:pt>
                <c:pt idx="143" formatCode="#,##0.00">
                  <c:v>51755.275218396324</c:v>
                </c:pt>
                <c:pt idx="144" formatCode="#,##0.00">
                  <c:v>49791.29067945775</c:v>
                </c:pt>
                <c:pt idx="145" formatCode="#,##0.00">
                  <c:v>49948.423977338709</c:v>
                </c:pt>
                <c:pt idx="146" formatCode="#,##0.00">
                  <c:v>50103.282930421075</c:v>
                </c:pt>
                <c:pt idx="147" formatCode="#,##0.00">
                  <c:v>50258.141883503442</c:v>
                </c:pt>
                <c:pt idx="148" formatCode="#,##0.00">
                  <c:v>50370.517437904993</c:v>
                </c:pt>
                <c:pt idx="149" formatCode="#,##0.00">
                  <c:v>50482.631990797643</c:v>
                </c:pt>
                <c:pt idx="150" formatCode="#,##0.00">
                  <c:v>50635.458185650226</c:v>
                </c:pt>
                <c:pt idx="151" formatCode="#,##0.00">
                  <c:v>50788.284380502802</c:v>
                </c:pt>
                <c:pt idx="152" formatCode="#,##0.00">
                  <c:v>50941.110575355386</c:v>
                </c:pt>
                <c:pt idx="153" formatCode="#,##0.00">
                  <c:v>51093.936770207962</c:v>
                </c:pt>
              </c:numCache>
            </c:numRef>
          </c:val>
          <c:smooth val="1"/>
          <c:extLst>
            <c:ext xmlns:c16="http://schemas.microsoft.com/office/drawing/2014/chart" uri="{C3380CC4-5D6E-409C-BE32-E72D297353CC}">
              <c16:uniqueId val="{00000002-7A74-46B0-9038-5B9B58A3158B}"/>
            </c:ext>
          </c:extLst>
        </c:ser>
        <c:dLbls>
          <c:showLegendKey val="0"/>
          <c:showVal val="0"/>
          <c:showCatName val="0"/>
          <c:showSerName val="0"/>
          <c:showPercent val="0"/>
          <c:showBubbleSize val="0"/>
        </c:dLbls>
        <c:smooth val="0"/>
        <c:axId val="1077974736"/>
        <c:axId val="1077975064"/>
      </c:lineChart>
      <c:dateAx>
        <c:axId val="1077974736"/>
        <c:scaling>
          <c:orientation val="minMax"/>
          <c:max val="46539"/>
          <c:min val="39234"/>
        </c:scaling>
        <c:delete val="0"/>
        <c:axPos val="b"/>
        <c:numFmt formatCode="mmm\-yy"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5064"/>
        <c:crosses val="autoZero"/>
        <c:auto val="1"/>
        <c:lblOffset val="100"/>
        <c:baseTimeUnit val="months"/>
        <c:majorUnit val="24"/>
        <c:majorTimeUnit val="months"/>
      </c:dateAx>
      <c:valAx>
        <c:axId val="107797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4736"/>
        <c:crosses val="autoZero"/>
        <c:crossBetween val="between"/>
      </c:valAx>
      <c:spPr>
        <a:noFill/>
        <a:ln>
          <a:noFill/>
        </a:ln>
        <a:effectLst/>
      </c:spPr>
    </c:plotArea>
    <c:legend>
      <c:legendPos val="b"/>
      <c:layout>
        <c:manualLayout>
          <c:xMode val="edge"/>
          <c:yMode val="edge"/>
          <c:x val="0.1401285734553451"/>
          <c:y val="0.87920063300910911"/>
          <c:w val="0.7858244661984819"/>
          <c:h val="0.1190582059595491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Public Sans" pitchFamily="2"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4099665769584"/>
          <c:y val="5.238867824756898E-2"/>
          <c:w val="0.84347500663540653"/>
          <c:h val="0.6660402283837743"/>
        </c:manualLayout>
      </c:layout>
      <c:lineChart>
        <c:grouping val="standard"/>
        <c:varyColors val="0"/>
        <c:ser>
          <c:idx val="0"/>
          <c:order val="0"/>
          <c:tx>
            <c:strRef>
              <c:f>'Chart 4.x - Hedonic prices'!$A$9</c:f>
              <c:strCache>
                <c:ptCount val="1"/>
                <c:pt idx="0">
                  <c:v>Actual</c:v>
                </c:pt>
              </c:strCache>
            </c:strRef>
          </c:tx>
          <c:spPr>
            <a:ln w="28575" cap="rnd">
              <a:solidFill>
                <a:srgbClr val="00426F"/>
              </a:solidFill>
              <a:round/>
            </a:ln>
            <a:effectLst/>
          </c:spPr>
          <c:marker>
            <c:symbol val="none"/>
          </c:marker>
          <c:cat>
            <c:numRef>
              <c:f>'Chart 4.x - Hedonic prices'!$B$8:$EY$8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4.x - Hedonic prices'!$B$9:$EY$9</c:f>
              <c:numCache>
                <c:formatCode>General</c:formatCode>
                <c:ptCount val="154"/>
                <c:pt idx="2" formatCode="#,##0.00">
                  <c:v>37.453166666666668</c:v>
                </c:pt>
                <c:pt idx="3" formatCode="#,##0.00">
                  <c:v>36.324466666666673</c:v>
                </c:pt>
                <c:pt idx="4" formatCode="#,##0.00">
                  <c:v>35.854066666666668</c:v>
                </c:pt>
                <c:pt idx="5" formatCode="#,##0.00">
                  <c:v>36.119033333333334</c:v>
                </c:pt>
                <c:pt idx="6" formatCode="#,##0.00">
                  <c:v>35.869</c:v>
                </c:pt>
                <c:pt idx="7" formatCode="#,##0.00">
                  <c:v>35.405699999999996</c:v>
                </c:pt>
                <c:pt idx="8" formatCode="#,##0.00">
                  <c:v>35.190633333333331</c:v>
                </c:pt>
                <c:pt idx="9" formatCode="#,##0.00">
                  <c:v>35.800800000000002</c:v>
                </c:pt>
                <c:pt idx="10" formatCode="#,##0.00">
                  <c:v>36.550633333333337</c:v>
                </c:pt>
                <c:pt idx="11" formatCode="#,##0.00">
                  <c:v>37.131899999999995</c:v>
                </c:pt>
                <c:pt idx="12" formatCode="#,##0.00">
                  <c:v>37.355499999999999</c:v>
                </c:pt>
                <c:pt idx="13" formatCode="#,##0.00">
                  <c:v>37.229300000000002</c:v>
                </c:pt>
                <c:pt idx="14" formatCode="#,##0.00">
                  <c:v>37.229366666666671</c:v>
                </c:pt>
                <c:pt idx="15" formatCode="#,##0.00">
                  <c:v>37.064766666666664</c:v>
                </c:pt>
                <c:pt idx="16" formatCode="#,##0.00">
                  <c:v>36.852366666666668</c:v>
                </c:pt>
                <c:pt idx="17" formatCode="#,##0.00">
                  <c:v>37.036733333333338</c:v>
                </c:pt>
                <c:pt idx="18" formatCode="#,##0.00">
                  <c:v>37.535400000000003</c:v>
                </c:pt>
                <c:pt idx="19" formatCode="#,##0.00">
                  <c:v>38.143433333333327</c:v>
                </c:pt>
                <c:pt idx="20" formatCode="#,##0.00">
                  <c:v>38.918833333333332</c:v>
                </c:pt>
                <c:pt idx="21" formatCode="#,##0.00">
                  <c:v>40.118099999999998</c:v>
                </c:pt>
                <c:pt idx="22" formatCode="#,##0.00">
                  <c:v>41.207633333333334</c:v>
                </c:pt>
                <c:pt idx="23" formatCode="#,##0.00">
                  <c:v>41.707766666666664</c:v>
                </c:pt>
                <c:pt idx="24" formatCode="#,##0.00">
                  <c:v>41.326266666666669</c:v>
                </c:pt>
                <c:pt idx="25" formatCode="#,##0.00">
                  <c:v>40.509666666666668</c:v>
                </c:pt>
                <c:pt idx="26" formatCode="#,##0.00">
                  <c:v>40.030966666666664</c:v>
                </c:pt>
                <c:pt idx="27" formatCode="#,##0.00">
                  <c:v>40.296799999999998</c:v>
                </c:pt>
                <c:pt idx="28" formatCode="#,##0.00">
                  <c:v>40.799100000000003</c:v>
                </c:pt>
                <c:pt idx="29" formatCode="#,##0.00">
                  <c:v>41.753799999999998</c:v>
                </c:pt>
                <c:pt idx="30" formatCode="#,##0.00">
                  <c:v>42.416833333333336</c:v>
                </c:pt>
                <c:pt idx="31" formatCode="#,##0.00">
                  <c:v>43.258499999999998</c:v>
                </c:pt>
                <c:pt idx="32" formatCode="#,##0.00">
                  <c:v>44.290699999999994</c:v>
                </c:pt>
                <c:pt idx="33" formatCode="#,##0.00">
                  <c:v>46.003733333333336</c:v>
                </c:pt>
                <c:pt idx="34" formatCode="#,##0.00">
                  <c:v>47.750266666666668</c:v>
                </c:pt>
                <c:pt idx="35" formatCode="#,##0.00">
                  <c:v>49.304433333333328</c:v>
                </c:pt>
                <c:pt idx="36" formatCode="#,##0.00">
                  <c:v>50.100533333333338</c:v>
                </c:pt>
                <c:pt idx="37" formatCode="#,##0.00">
                  <c:v>50.655999999999999</c:v>
                </c:pt>
                <c:pt idx="38" formatCode="#,##0.00">
                  <c:v>50.730999999999995</c:v>
                </c:pt>
                <c:pt idx="39" formatCode="#,##0.00">
                  <c:v>51.375800000000005</c:v>
                </c:pt>
                <c:pt idx="40" formatCode="#,##0.00">
                  <c:v>52.336599999999997</c:v>
                </c:pt>
                <c:pt idx="41" formatCode="#,##0.00">
                  <c:v>54.174166666666672</c:v>
                </c:pt>
                <c:pt idx="42" formatCode="#,##0.00">
                  <c:v>55.920333333333332</c:v>
                </c:pt>
                <c:pt idx="43" formatCode="#,##0.00">
                  <c:v>57.733533333333334</c:v>
                </c:pt>
                <c:pt idx="44" formatCode="#,##0.00">
                  <c:v>59.049633333333333</c:v>
                </c:pt>
                <c:pt idx="45" formatCode="#,##0.00">
                  <c:v>60.055166666666672</c:v>
                </c:pt>
                <c:pt idx="46" formatCode="#,##0.00">
                  <c:v>60.052099999999996</c:v>
                </c:pt>
                <c:pt idx="47" formatCode="#,##0.00">
                  <c:v>60.327566666666662</c:v>
                </c:pt>
                <c:pt idx="48" formatCode="#,##0.00">
                  <c:v>61.611333333333334</c:v>
                </c:pt>
                <c:pt idx="49" formatCode="#,##0.00">
                  <c:v>64.597766666666658</c:v>
                </c:pt>
                <c:pt idx="50" formatCode="#,##0.00">
                  <c:v>68.041333333333327</c:v>
                </c:pt>
                <c:pt idx="51" formatCode="#,##0.00">
                  <c:v>71.061266666666668</c:v>
                </c:pt>
                <c:pt idx="52" formatCode="#,##0.00">
                  <c:v>73.307900000000004</c:v>
                </c:pt>
                <c:pt idx="53" formatCode="#,##0.00">
                  <c:v>76.559333333333328</c:v>
                </c:pt>
                <c:pt idx="54" formatCode="#,##0.00">
                  <c:v>79.931133333333335</c:v>
                </c:pt>
                <c:pt idx="55" formatCode="#,##0.00">
                  <c:v>82.651366666666675</c:v>
                </c:pt>
                <c:pt idx="56" formatCode="#,##0.00">
                  <c:v>83.165800000000004</c:v>
                </c:pt>
                <c:pt idx="57" formatCode="#,##0.00">
                  <c:v>84.755466666666663</c:v>
                </c:pt>
                <c:pt idx="58" formatCode="#,##0.00">
                  <c:v>88.253733333333344</c:v>
                </c:pt>
                <c:pt idx="59" formatCode="#,##0.00">
                  <c:v>92.131799999999998</c:v>
                </c:pt>
                <c:pt idx="60" formatCode="#,##0.00">
                  <c:v>92.833433333333346</c:v>
                </c:pt>
                <c:pt idx="61" formatCode="#,##0.00">
                  <c:v>90.856100000000012</c:v>
                </c:pt>
                <c:pt idx="62" formatCode="#,##0.00">
                  <c:v>88.6447</c:v>
                </c:pt>
                <c:pt idx="63" formatCode="#,##0.00">
                  <c:v>88.286133333333325</c:v>
                </c:pt>
                <c:pt idx="64" formatCode="#,##0.00">
                  <c:v>87.734899999999996</c:v>
                </c:pt>
                <c:pt idx="65" formatCode="#,##0.00">
                  <c:v>87.615099999999984</c:v>
                </c:pt>
                <c:pt idx="66" formatCode="#,##0.00">
                  <c:v>86.652366666666651</c:v>
                </c:pt>
                <c:pt idx="67" formatCode="#,##0.00">
                  <c:v>86.483533333333341</c:v>
                </c:pt>
                <c:pt idx="68" formatCode="#,##0.00">
                  <c:v>86.136700000000005</c:v>
                </c:pt>
                <c:pt idx="69" formatCode="#,##0.00">
                  <c:v>87.128699999999995</c:v>
                </c:pt>
                <c:pt idx="70" formatCode="#,##0.00">
                  <c:v>87.447733333333346</c:v>
                </c:pt>
                <c:pt idx="71" formatCode="#,##0.00">
                  <c:v>87.52506666666666</c:v>
                </c:pt>
                <c:pt idx="72" formatCode="#,##0.00">
                  <c:v>87.425833333333344</c:v>
                </c:pt>
                <c:pt idx="73" formatCode="#,##0.00">
                  <c:v>89.209033333333352</c:v>
                </c:pt>
                <c:pt idx="74" formatCode="#,##0.00">
                  <c:v>91.948866666666675</c:v>
                </c:pt>
                <c:pt idx="75" formatCode="#,##0.00">
                  <c:v>94.478733333333324</c:v>
                </c:pt>
                <c:pt idx="76" formatCode="#,##0.00">
                  <c:v>94.895666666666671</c:v>
                </c:pt>
                <c:pt idx="77" formatCode="#,##0.00">
                  <c:v>93.136333333333326</c:v>
                </c:pt>
                <c:pt idx="78" formatCode="#,##0.00">
                  <c:v>90.901066666666665</c:v>
                </c:pt>
                <c:pt idx="79" formatCode="#,##0.00">
                  <c:v>89.730433333333337</c:v>
                </c:pt>
                <c:pt idx="80" formatCode="#,##0.00">
                  <c:v>89.235766666666677</c:v>
                </c:pt>
                <c:pt idx="81" formatCode="#,##0.00">
                  <c:v>91.703833333333321</c:v>
                </c:pt>
                <c:pt idx="82" formatCode="#,##0.00">
                  <c:v>94.781600000000012</c:v>
                </c:pt>
                <c:pt idx="83" formatCode="#,##0.00">
                  <c:v>98.937700000000007</c:v>
                </c:pt>
                <c:pt idx="84" formatCode="#,##0.00">
                  <c:v>101.70636666666667</c:v>
                </c:pt>
                <c:pt idx="85" formatCode="#,##0.00">
                  <c:v>104.53683333333333</c:v>
                </c:pt>
                <c:pt idx="86" formatCode="#,##0.00">
                  <c:v>105.38133333333333</c:v>
                </c:pt>
                <c:pt idx="87" formatCode="#,##0.00">
                  <c:v>105.03339999999999</c:v>
                </c:pt>
                <c:pt idx="88" formatCode="#,##0.00">
                  <c:v>104.12826666666666</c:v>
                </c:pt>
                <c:pt idx="89" formatCode="#,##0.00">
                  <c:v>104.3793</c:v>
                </c:pt>
                <c:pt idx="90" formatCode="#,##0.00">
                  <c:v>103.73883333333333</c:v>
                </c:pt>
                <c:pt idx="91" formatCode="#,##0.00">
                  <c:v>102.78636666666667</c:v>
                </c:pt>
                <c:pt idx="92" formatCode="#,##0.00">
                  <c:v>102.18883333333333</c:v>
                </c:pt>
                <c:pt idx="93" formatCode="#,##0.00">
                  <c:v>103.23543333333333</c:v>
                </c:pt>
                <c:pt idx="94" formatCode="#,##0.00">
                  <c:v>103.81909999999999</c:v>
                </c:pt>
                <c:pt idx="95" formatCode="#,##0.00">
                  <c:v>105.14226666666667</c:v>
                </c:pt>
                <c:pt idx="96" formatCode="#,##0.00">
                  <c:v>106.3199</c:v>
                </c:pt>
                <c:pt idx="97" formatCode="#,##0.00">
                  <c:v>109.60336666666666</c:v>
                </c:pt>
                <c:pt idx="98" formatCode="#,##0.00">
                  <c:v>113.05623333333334</c:v>
                </c:pt>
                <c:pt idx="99" formatCode="#,##0.00">
                  <c:v>118.26053333333334</c:v>
                </c:pt>
                <c:pt idx="100" formatCode="#,##0.00">
                  <c:v>122.69533333333334</c:v>
                </c:pt>
                <c:pt idx="101" formatCode="#,##0.00">
                  <c:v>126.76843333333333</c:v>
                </c:pt>
                <c:pt idx="102" formatCode="#,##0.00">
                  <c:v>129.6395</c:v>
                </c:pt>
                <c:pt idx="103" formatCode="#,##0.00">
                  <c:v>133.98046666666667</c:v>
                </c:pt>
                <c:pt idx="104" formatCode="#,##0.00">
                  <c:v>137.9462</c:v>
                </c:pt>
                <c:pt idx="105" formatCode="#,##0.00">
                  <c:v>146.38793333333334</c:v>
                </c:pt>
                <c:pt idx="106" formatCode="#,##0.00">
                  <c:v>154.88256666666666</c:v>
                </c:pt>
                <c:pt idx="107" formatCode="#,##0.00">
                  <c:v>156.43496666666667</c:v>
                </c:pt>
                <c:pt idx="108" formatCode="#,##0.00">
                  <c:v>153.12916666666666</c:v>
                </c:pt>
                <c:pt idx="109" formatCode="#,##0.00">
                  <c:v>152.49693333333332</c:v>
                </c:pt>
                <c:pt idx="110" formatCode="#,##0.00">
                  <c:v>157.9744</c:v>
                </c:pt>
                <c:pt idx="111" formatCode="#,##0.00">
                  <c:v>166.43686666666667</c:v>
                </c:pt>
                <c:pt idx="112" formatCode="#,##0.00">
                  <c:v>172.39213333333336</c:v>
                </c:pt>
                <c:pt idx="113" formatCode="#,##0.00">
                  <c:v>177.40949999999998</c:v>
                </c:pt>
                <c:pt idx="114" formatCode="#,##0.00">
                  <c:v>177.81383333333335</c:v>
                </c:pt>
                <c:pt idx="115" formatCode="#,##0.00">
                  <c:v>175.22730000000001</c:v>
                </c:pt>
                <c:pt idx="116" formatCode="#,##0.00">
                  <c:v>172.48400000000001</c:v>
                </c:pt>
                <c:pt idx="117" formatCode="#,##0.00">
                  <c:v>169.6644</c:v>
                </c:pt>
                <c:pt idx="118" formatCode="#,##0.00">
                  <c:v>165.86850000000001</c:v>
                </c:pt>
                <c:pt idx="119" formatCode="#,##0.00">
                  <c:v>161.04150000000001</c:v>
                </c:pt>
                <c:pt idx="120" formatCode="#,##0.00">
                  <c:v>154.70613333333333</c:v>
                </c:pt>
                <c:pt idx="121" formatCode="#,##0.00">
                  <c:v>151.79679999999999</c:v>
                </c:pt>
                <c:pt idx="122" formatCode="#,##0.00">
                  <c:v>154.4385</c:v>
                </c:pt>
                <c:pt idx="123" formatCode="#,##0.00">
                  <c:v>163.38266666666667</c:v>
                </c:pt>
                <c:pt idx="124" formatCode="#,##0.00">
                  <c:v>171.09896666666668</c:v>
                </c:pt>
                <c:pt idx="125" formatCode="#,##0.00">
                  <c:v>173.0393</c:v>
                </c:pt>
                <c:pt idx="126" formatCode="#,##0.00">
                  <c:v>169.64599999999999</c:v>
                </c:pt>
                <c:pt idx="127" formatCode="#,##0.00">
                  <c:v>170.1576666666667</c:v>
                </c:pt>
                <c:pt idx="128" formatCode="#,##0.00">
                  <c:v>176.929</c:v>
                </c:pt>
                <c:pt idx="129" formatCode="#,##0.00">
                  <c:v>192.40470000000002</c:v>
                </c:pt>
                <c:pt idx="130" formatCode="#,##0.00">
                  <c:v>205.09583333333333</c:v>
                </c:pt>
                <c:pt idx="131" formatCode="#,##0.00">
                  <c:v>213.44716666666667</c:v>
                </c:pt>
                <c:pt idx="132" formatCode="#,##0.00">
                  <c:v>215.48529999999997</c:v>
                </c:pt>
                <c:pt idx="133" formatCode="#,##0.00">
                  <c:v>212.0991333333333</c:v>
                </c:pt>
                <c:pt idx="134" formatCode="#,##0.00">
                  <c:v>200.27809999999999</c:v>
                </c:pt>
                <c:pt idx="135" formatCode="#,##0.00">
                  <c:v>191.11143333333334</c:v>
                </c:pt>
                <c:pt idx="136" formatCode="#,##0.00">
                  <c:v>187.27789999999996</c:v>
                </c:pt>
                <c:pt idx="137" formatCode="#,##0.00">
                  <c:v>195.03473333333332</c:v>
                </c:pt>
              </c:numCache>
            </c:numRef>
          </c:val>
          <c:smooth val="0"/>
          <c:extLst>
            <c:ext xmlns:c16="http://schemas.microsoft.com/office/drawing/2014/chart" uri="{C3380CC4-5D6E-409C-BE32-E72D297353CC}">
              <c16:uniqueId val="{00000000-D256-461E-8A49-420EB98E72E1}"/>
            </c:ext>
          </c:extLst>
        </c:ser>
        <c:ser>
          <c:idx val="1"/>
          <c:order val="1"/>
          <c:tx>
            <c:strRef>
              <c:f>'Chart 4.x - Hedonic prices'!$A$10</c:f>
              <c:strCache>
                <c:ptCount val="1"/>
                <c:pt idx="0">
                  <c:v>2023 Pre-election Budget Update</c:v>
                </c:pt>
              </c:strCache>
            </c:strRef>
          </c:tx>
          <c:spPr>
            <a:ln w="25400" cap="rnd">
              <a:solidFill>
                <a:srgbClr val="008EBA"/>
              </a:solidFill>
              <a:prstDash val="sysDash"/>
              <a:round/>
            </a:ln>
            <a:effectLst/>
          </c:spPr>
          <c:marker>
            <c:symbol val="none"/>
          </c:marker>
          <c:cat>
            <c:numRef>
              <c:f>'Chart 4.x - Hedonic prices'!$B$8:$EY$8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4.x - Hedonic prices'!$B$10:$EY$10</c:f>
              <c:numCache>
                <c:formatCode>General</c:formatCode>
                <c:ptCount val="154"/>
                <c:pt idx="135" formatCode="#,##0.00">
                  <c:v>191.11143333333334</c:v>
                </c:pt>
                <c:pt idx="136" formatCode="#,##0.00">
                  <c:v>183.082117465664</c:v>
                </c:pt>
                <c:pt idx="137" formatCode="#,##0.00">
                  <c:v>176.3753841783001</c:v>
                </c:pt>
                <c:pt idx="138" formatCode="#,##0.00">
                  <c:v>172.09531621280613</c:v>
                </c:pt>
                <c:pt idx="139" formatCode="#,##0.00">
                  <c:v>169.7591607869258</c:v>
                </c:pt>
                <c:pt idx="140" formatCode="#,##0.00">
                  <c:v>169.07618611320962</c:v>
                </c:pt>
                <c:pt idx="141" formatCode="#,##0.00">
                  <c:v>170.25971941600207</c:v>
                </c:pt>
                <c:pt idx="142" formatCode="#,##0.00">
                  <c:v>172.13257632957809</c:v>
                </c:pt>
                <c:pt idx="143" formatCode="#,##0.00">
                  <c:v>174.02603466920343</c:v>
                </c:pt>
                <c:pt idx="144" formatCode="#,##0.00">
                  <c:v>175.59226898122623</c:v>
                </c:pt>
                <c:pt idx="145" formatCode="#,##0.00">
                  <c:v>176.82141486409481</c:v>
                </c:pt>
                <c:pt idx="146" formatCode="#,##0.00">
                  <c:v>177.70552193841527</c:v>
                </c:pt>
                <c:pt idx="147" formatCode="#,##0.00">
                  <c:v>178.59404954810734</c:v>
                </c:pt>
                <c:pt idx="148" formatCode="#,##0.00">
                  <c:v>179.48701979584786</c:v>
                </c:pt>
                <c:pt idx="149" formatCode="#,##0.00">
                  <c:v>180.38445489482709</c:v>
                </c:pt>
                <c:pt idx="150" formatCode="#,##0.00">
                  <c:v>181.2863771693012</c:v>
                </c:pt>
                <c:pt idx="151" formatCode="#,##0.00">
                  <c:v>182.19280905514768</c:v>
                </c:pt>
                <c:pt idx="152" formatCode="#,##0.00">
                  <c:v>183.28596590947856</c:v>
                </c:pt>
                <c:pt idx="153" formatCode="#,##0.00">
                  <c:v>184.7522536367544</c:v>
                </c:pt>
              </c:numCache>
            </c:numRef>
          </c:val>
          <c:smooth val="0"/>
          <c:extLst>
            <c:ext xmlns:c16="http://schemas.microsoft.com/office/drawing/2014/chart" uri="{C3380CC4-5D6E-409C-BE32-E72D297353CC}">
              <c16:uniqueId val="{00000001-D256-461E-8A49-420EB98E72E1}"/>
            </c:ext>
          </c:extLst>
        </c:ser>
        <c:ser>
          <c:idx val="2"/>
          <c:order val="2"/>
          <c:tx>
            <c:strRef>
              <c:f>'Chart 4.x - Hedonic prices'!$A$11</c:f>
              <c:strCache>
                <c:ptCount val="1"/>
                <c:pt idx="0">
                  <c:v>2023-24 Budget</c:v>
                </c:pt>
              </c:strCache>
            </c:strRef>
          </c:tx>
          <c:spPr>
            <a:ln w="25400" cap="rnd">
              <a:solidFill>
                <a:srgbClr val="00426F"/>
              </a:solidFill>
              <a:prstDash val="sysDash"/>
              <a:round/>
            </a:ln>
            <a:effectLst/>
          </c:spPr>
          <c:marker>
            <c:symbol val="none"/>
          </c:marker>
          <c:cat>
            <c:numRef>
              <c:f>'Chart 4.x - Hedonic prices'!$B$8:$EY$8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4.x - Hedonic prices'!$B$11:$EY$11</c:f>
              <c:numCache>
                <c:formatCode>General</c:formatCode>
                <c:ptCount val="154"/>
                <c:pt idx="137" formatCode="#,##0.00">
                  <c:v>195.03473333333332</c:v>
                </c:pt>
                <c:pt idx="138" formatCode="#,##0.00">
                  <c:v>201.29803440379243</c:v>
                </c:pt>
                <c:pt idx="139" formatCode="#,##0.00">
                  <c:v>202.15193454973226</c:v>
                </c:pt>
                <c:pt idx="140" formatCode="#,##0.00">
                  <c:v>202.64053463323876</c:v>
                </c:pt>
                <c:pt idx="141" formatCode="#,##0.00">
                  <c:v>203.29823474564611</c:v>
                </c:pt>
                <c:pt idx="142" formatCode="#,##0.00">
                  <c:v>203.53803478663028</c:v>
                </c:pt>
                <c:pt idx="143" formatCode="#,##0.00">
                  <c:v>203.54583478796337</c:v>
                </c:pt>
                <c:pt idx="144" formatCode="#,##0.00">
                  <c:v>204.58663496584623</c:v>
                </c:pt>
                <c:pt idx="145" formatCode="#,##0.00">
                  <c:v>205.84173518035504</c:v>
                </c:pt>
                <c:pt idx="146" formatCode="#,##0.00">
                  <c:v>206.98543537582455</c:v>
                </c:pt>
                <c:pt idx="147" formatCode="#,##0.00">
                  <c:v>208.18323558054024</c:v>
                </c:pt>
                <c:pt idx="148" formatCode="#,##0.00">
                  <c:v>209.48783580350909</c:v>
                </c:pt>
                <c:pt idx="149" formatCode="#,##0.00">
                  <c:v>210.66983600552442</c:v>
                </c:pt>
                <c:pt idx="150" formatCode="#,##0.00">
                  <c:v>211.14813608727053</c:v>
                </c:pt>
                <c:pt idx="151" formatCode="#,##0.00">
                  <c:v>211.66673617590433</c:v>
                </c:pt>
                <c:pt idx="152" formatCode="#,##0.00">
                  <c:v>212.17193626224793</c:v>
                </c:pt>
                <c:pt idx="153" formatCode="#,##0.00">
                  <c:v>212.86443638060294</c:v>
                </c:pt>
              </c:numCache>
            </c:numRef>
          </c:val>
          <c:smooth val="1"/>
          <c:extLst>
            <c:ext xmlns:c16="http://schemas.microsoft.com/office/drawing/2014/chart" uri="{C3380CC4-5D6E-409C-BE32-E72D297353CC}">
              <c16:uniqueId val="{00000002-D256-461E-8A49-420EB98E72E1}"/>
            </c:ext>
          </c:extLst>
        </c:ser>
        <c:dLbls>
          <c:showLegendKey val="0"/>
          <c:showVal val="0"/>
          <c:showCatName val="0"/>
          <c:showSerName val="0"/>
          <c:showPercent val="0"/>
          <c:showBubbleSize val="0"/>
        </c:dLbls>
        <c:smooth val="0"/>
        <c:axId val="1077974736"/>
        <c:axId val="1077975064"/>
      </c:lineChart>
      <c:dateAx>
        <c:axId val="1077974736"/>
        <c:scaling>
          <c:orientation val="minMax"/>
          <c:max val="46539"/>
          <c:min val="39234"/>
        </c:scaling>
        <c:delete val="0"/>
        <c:axPos val="b"/>
        <c:numFmt formatCode="mmm\-yy"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5064"/>
        <c:crosses val="autoZero"/>
        <c:auto val="1"/>
        <c:lblOffset val="100"/>
        <c:baseTimeUnit val="months"/>
        <c:majorUnit val="24"/>
        <c:majorTimeUnit val="months"/>
      </c:dateAx>
      <c:valAx>
        <c:axId val="107797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4736"/>
        <c:crosses val="autoZero"/>
        <c:crossBetween val="between"/>
      </c:valAx>
      <c:spPr>
        <a:noFill/>
        <a:ln>
          <a:noFill/>
        </a:ln>
        <a:effectLst/>
      </c:spPr>
    </c:plotArea>
    <c:legend>
      <c:legendPos val="b"/>
      <c:layout>
        <c:manualLayout>
          <c:xMode val="edge"/>
          <c:yMode val="edge"/>
          <c:x val="5.000810945143485E-2"/>
          <c:y val="0.83136097324327352"/>
          <c:w val="0.9434820920902901"/>
          <c:h val="8.474450845928523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Public Sans" pitchFamily="2"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9682212889795"/>
          <c:y val="0.10388389206868356"/>
          <c:w val="0.86422914729277278"/>
          <c:h val="0.61864236001570938"/>
        </c:manualLayout>
      </c:layout>
      <c:lineChart>
        <c:grouping val="standard"/>
        <c:varyColors val="0"/>
        <c:ser>
          <c:idx val="0"/>
          <c:order val="0"/>
          <c:tx>
            <c:strRef>
              <c:f>'Price chart for budget update'!$B$1</c:f>
              <c:strCache>
                <c:ptCount val="1"/>
                <c:pt idx="0">
                  <c:v> Newcastle Thermal Coal Spot </c:v>
                </c:pt>
              </c:strCache>
            </c:strRef>
          </c:tx>
          <c:spPr>
            <a:ln w="28575" cap="rnd">
              <a:solidFill>
                <a:schemeClr val="accent3"/>
              </a:solidFill>
              <a:round/>
            </a:ln>
            <a:effectLst/>
          </c:spPr>
          <c:marker>
            <c:symbol val="none"/>
          </c:marker>
          <c:cat>
            <c:numRef>
              <c:f>'Price chart for budget update'!$A$2:$A$79</c:f>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f>'Price chart for budget update'!$B$2:$B$79</c:f>
              <c:numCache>
                <c:formatCode>_-"$"* #,##0_-;\-"$"* #,##0_-;_-"$"* "-"??_-;_-@_-</c:formatCode>
                <c:ptCount val="78"/>
                <c:pt idx="0">
                  <c:v>69.087096774193526</c:v>
                </c:pt>
                <c:pt idx="1">
                  <c:v>68.417241379310369</c:v>
                </c:pt>
                <c:pt idx="2">
                  <c:v>66.246774193548376</c:v>
                </c:pt>
                <c:pt idx="3">
                  <c:v>61.534999999999997</c:v>
                </c:pt>
                <c:pt idx="4">
                  <c:v>51.595161290322586</c:v>
                </c:pt>
                <c:pt idx="5">
                  <c:v>53.746666666666663</c:v>
                </c:pt>
                <c:pt idx="6">
                  <c:v>52.238709677419358</c:v>
                </c:pt>
                <c:pt idx="7">
                  <c:v>50.520967741935479</c:v>
                </c:pt>
                <c:pt idx="8">
                  <c:v>51.779999999999987</c:v>
                </c:pt>
                <c:pt idx="9">
                  <c:v>57.451612903225815</c:v>
                </c:pt>
                <c:pt idx="10">
                  <c:v>62.589999999999996</c:v>
                </c:pt>
                <c:pt idx="11">
                  <c:v>78.224193548387078</c:v>
                </c:pt>
                <c:pt idx="12">
                  <c:v>84.75322580645161</c:v>
                </c:pt>
                <c:pt idx="13">
                  <c:v>86.135714285714272</c:v>
                </c:pt>
                <c:pt idx="14">
                  <c:v>90.959677419354819</c:v>
                </c:pt>
                <c:pt idx="15">
                  <c:v>94.068333333333342</c:v>
                </c:pt>
                <c:pt idx="16">
                  <c:v>100.00161290322579</c:v>
                </c:pt>
                <c:pt idx="17">
                  <c:v>125.18833333333332</c:v>
                </c:pt>
                <c:pt idx="18">
                  <c:v>145.79516129032257</c:v>
                </c:pt>
                <c:pt idx="19">
                  <c:v>166.86451612903227</c:v>
                </c:pt>
                <c:pt idx="20">
                  <c:v>182.72499999999997</c:v>
                </c:pt>
                <c:pt idx="21">
                  <c:v>234.33548387096772</c:v>
                </c:pt>
                <c:pt idx="22">
                  <c:v>153.76666666666671</c:v>
                </c:pt>
                <c:pt idx="23">
                  <c:v>164.45161290322588</c:v>
                </c:pt>
                <c:pt idx="24">
                  <c:v>208.7403225806452</c:v>
                </c:pt>
                <c:pt idx="25">
                  <c:v>236.1160714285715</c:v>
                </c:pt>
                <c:pt idx="26">
                  <c:v>349.73870967741925</c:v>
                </c:pt>
                <c:pt idx="27">
                  <c:v>304.7000000000001</c:v>
                </c:pt>
                <c:pt idx="28">
                  <c:v>390.58548387096772</c:v>
                </c:pt>
                <c:pt idx="29">
                  <c:v>395.78166666666681</c:v>
                </c:pt>
                <c:pt idx="30">
                  <c:v>407.29516129032265</c:v>
                </c:pt>
                <c:pt idx="31">
                  <c:v>403.79677419354829</c:v>
                </c:pt>
                <c:pt idx="32">
                  <c:v>438.54166666666674</c:v>
                </c:pt>
                <c:pt idx="33">
                  <c:v>392.73548387096781</c:v>
                </c:pt>
                <c:pt idx="34">
                  <c:v>346.89</c:v>
                </c:pt>
                <c:pt idx="35">
                  <c:v>400.59677419354847</c:v>
                </c:pt>
                <c:pt idx="36">
                  <c:v>366.69032258064522</c:v>
                </c:pt>
                <c:pt idx="37">
                  <c:v>221.5625</c:v>
                </c:pt>
                <c:pt idx="38">
                  <c:v>179.65</c:v>
                </c:pt>
                <c:pt idx="39">
                  <c:v>190.64</c:v>
                </c:pt>
                <c:pt idx="40">
                  <c:v>163.43387096774197</c:v>
                </c:pt>
                <c:pt idx="41">
                  <c:v>130.42666666666668</c:v>
                </c:pt>
                <c:pt idx="42">
                  <c:v>134.40806451612903</c:v>
                </c:pt>
                <c:pt idx="43">
                  <c:v>142</c:v>
                </c:pt>
              </c:numCache>
            </c:numRef>
          </c:val>
          <c:smooth val="0"/>
          <c:extLst>
            <c:ext xmlns:c16="http://schemas.microsoft.com/office/drawing/2014/chart" uri="{C3380CC4-5D6E-409C-BE32-E72D297353CC}">
              <c16:uniqueId val="{00000000-506F-4FF0-9578-D024A2FCD670}"/>
            </c:ext>
          </c:extLst>
        </c:ser>
        <c:ser>
          <c:idx val="5"/>
          <c:order val="3"/>
          <c:tx>
            <c:strRef>
              <c:f>'Price chart for budget update'!$G$1</c:f>
              <c:strCache>
                <c:ptCount val="1"/>
                <c:pt idx="0">
                  <c:v> 2023-24 Budget </c:v>
                </c:pt>
              </c:strCache>
            </c:strRef>
          </c:tx>
          <c:spPr>
            <a:ln w="28575" cap="rnd">
              <a:solidFill>
                <a:srgbClr val="002060"/>
              </a:solidFill>
              <a:prstDash val="dash"/>
              <a:round/>
            </a:ln>
            <a:effectLst/>
          </c:spPr>
          <c:marker>
            <c:symbol val="none"/>
          </c:marker>
          <c:cat>
            <c:numRef>
              <c:f>'Price chart for budget update'!$A$2:$A$79</c:f>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f>'Price chart for budget update'!$G$2:$G$79</c:f>
              <c:numCache>
                <c:formatCode>General</c:formatCode>
                <c:ptCount val="78"/>
                <c:pt idx="40" formatCode="_-&quot;$&quot;* #,##0_-;\-&quot;$&quot;* #,##0_-;_-&quot;$&quot;* &quot;-&quot;??_-;_-@_-">
                  <c:v>163.43387096774197</c:v>
                </c:pt>
                <c:pt idx="41" formatCode="_-&quot;$&quot;* #,##0_-;\-&quot;$&quot;* #,##0_-;_-&quot;$&quot;* &quot;-&quot;??_-;_-@_-">
                  <c:v>130.42666666666668</c:v>
                </c:pt>
                <c:pt idx="42" formatCode="_-&quot;$&quot;* #,##0_-;\-&quot;$&quot;* #,##0_-;_-&quot;$&quot;* &quot;-&quot;??_-;_-@_-">
                  <c:v>134.40806451612903</c:v>
                </c:pt>
                <c:pt idx="43" formatCode="_-&quot;$&quot;* #,##0_-;\-&quot;$&quot;* #,##0_-;_-&quot;$&quot;* &quot;-&quot;??_-;_-@_-">
                  <c:v>141.7887678212426</c:v>
                </c:pt>
                <c:pt idx="44" formatCode="_-&quot;$&quot;* #,##0_-;\-&quot;$&quot;* #,##0_-;_-&quot;$&quot;* &quot;-&quot;??_-;_-@_-">
                  <c:v>146.66590116517557</c:v>
                </c:pt>
                <c:pt idx="45" formatCode="_-&quot;$&quot;* #,##0_-;\-&quot;$&quot;* #,##0_-;_-&quot;$&quot;* &quot;-&quot;??_-;_-@_-">
                  <c:v>151.54303450910854</c:v>
                </c:pt>
                <c:pt idx="46" formatCode="_-&quot;$&quot;* #,##0_-;\-&quot;$&quot;* #,##0_-;_-&quot;$&quot;* &quot;-&quot;??_-;_-@_-">
                  <c:v>156.42016785304153</c:v>
                </c:pt>
                <c:pt idx="47" formatCode="_-&quot;$&quot;* #,##0_-;\-&quot;$&quot;* #,##0_-;_-&quot;$&quot;* &quot;-&quot;??_-;_-@_-">
                  <c:v>153.7450438707717</c:v>
                </c:pt>
                <c:pt idx="48" formatCode="_-&quot;$&quot;* #,##0_-;\-&quot;$&quot;* #,##0_-;_-&quot;$&quot;* &quot;-&quot;??_-;_-@_-">
                  <c:v>151.06991988850186</c:v>
                </c:pt>
                <c:pt idx="49" formatCode="_-&quot;$&quot;* #,##0_-;\-&quot;$&quot;* #,##0_-;_-&quot;$&quot;* &quot;-&quot;??_-;_-@_-">
                  <c:v>148.39479590623199</c:v>
                </c:pt>
                <c:pt idx="50" formatCode="_-&quot;$&quot;* #,##0_-;\-&quot;$&quot;* #,##0_-;_-&quot;$&quot;* &quot;-&quot;??_-;_-@_-">
                  <c:v>145.09222178443522</c:v>
                </c:pt>
                <c:pt idx="51" formatCode="_-&quot;$&quot;* #,##0_-;\-&quot;$&quot;* #,##0_-;_-&quot;$&quot;* &quot;-&quot;??_-;_-@_-">
                  <c:v>141.78964766263846</c:v>
                </c:pt>
                <c:pt idx="52" formatCode="_-&quot;$&quot;* #,##0_-;\-&quot;$&quot;* #,##0_-;_-&quot;$&quot;* &quot;-&quot;??_-;_-@_-">
                  <c:v>138.48707354084166</c:v>
                </c:pt>
                <c:pt idx="53" formatCode="_-&quot;$&quot;* #,##0_-;\-&quot;$&quot;* #,##0_-;_-&quot;$&quot;* &quot;-&quot;??_-;_-@_-">
                  <c:v>136.20537161065113</c:v>
                </c:pt>
                <c:pt idx="54" formatCode="_-&quot;$&quot;* #,##0_-;\-&quot;$&quot;* #,##0_-;_-&quot;$&quot;* &quot;-&quot;??_-;_-@_-">
                  <c:v>133.92366968046059</c:v>
                </c:pt>
                <c:pt idx="55" formatCode="_-&quot;$&quot;* #,##0_-;\-&quot;$&quot;* #,##0_-;_-&quot;$&quot;* &quot;-&quot;??_-;_-@_-">
                  <c:v>131.64196775027006</c:v>
                </c:pt>
                <c:pt idx="56" formatCode="_-&quot;$&quot;* #,##0_-;\-&quot;$&quot;* #,##0_-;_-&quot;$&quot;* &quot;-&quot;??_-;_-@_-">
                  <c:v>131.48690148340305</c:v>
                </c:pt>
                <c:pt idx="57" formatCode="_-&quot;$&quot;* #,##0_-;\-&quot;$&quot;* #,##0_-;_-&quot;$&quot;* &quot;-&quot;??_-;_-@_-">
                  <c:v>131.33183521653604</c:v>
                </c:pt>
                <c:pt idx="58" formatCode="_-&quot;$&quot;* #,##0_-;\-&quot;$&quot;* #,##0_-;_-&quot;$&quot;* &quot;-&quot;??_-;_-@_-">
                  <c:v>131.17676894966905</c:v>
                </c:pt>
                <c:pt idx="59" formatCode="_-&quot;$&quot;* #,##0_-;\-&quot;$&quot;* #,##0_-;_-&quot;$&quot;* &quot;-&quot;??_-;_-@_-">
                  <c:v>127.24845992106508</c:v>
                </c:pt>
                <c:pt idx="60" formatCode="_-&quot;$&quot;* #,##0_-;\-&quot;$&quot;* #,##0_-;_-&quot;$&quot;* &quot;-&quot;??_-;_-@_-">
                  <c:v>123.3201508924611</c:v>
                </c:pt>
                <c:pt idx="61" formatCode="_-&quot;$&quot;* #,##0_-;\-&quot;$&quot;* #,##0_-;_-&quot;$&quot;* &quot;-&quot;??_-;_-@_-">
                  <c:v>119.39184186385711</c:v>
                </c:pt>
                <c:pt idx="62" formatCode="_-&quot;$&quot;* #,##0_-;\-&quot;$&quot;* #,##0_-;_-&quot;$&quot;* &quot;-&quot;??_-;_-@_-">
                  <c:v>119.46478481997751</c:v>
                </c:pt>
                <c:pt idx="63" formatCode="_-&quot;$&quot;* #,##0_-;\-&quot;$&quot;* #,##0_-;_-&quot;$&quot;* &quot;-&quot;??_-;_-@_-">
                  <c:v>119.53772777609791</c:v>
                </c:pt>
                <c:pt idx="64" formatCode="_-&quot;$&quot;* #,##0_-;\-&quot;$&quot;* #,##0_-;_-&quot;$&quot;* &quot;-&quot;??_-;_-@_-">
                  <c:v>119.61067073221831</c:v>
                </c:pt>
                <c:pt idx="65" formatCode="_-&quot;$&quot;* #,##0_-;\-&quot;$&quot;* #,##0_-;_-&quot;$&quot;* &quot;-&quot;??_-;_-@_-">
                  <c:v>119.6836136883387</c:v>
                </c:pt>
                <c:pt idx="66" formatCode="_-&quot;$&quot;* #,##0_-;\-&quot;$&quot;* #,##0_-;_-&quot;$&quot;* &quot;-&quot;??_-;_-@_-">
                  <c:v>118.59181060557327</c:v>
                </c:pt>
                <c:pt idx="67" formatCode="_-&quot;$&quot;* #,##0_-;\-&quot;$&quot;* #,##0_-;_-&quot;$&quot;* &quot;-&quot;??_-;_-@_-">
                  <c:v>117.50000752280785</c:v>
                </c:pt>
                <c:pt idx="68" formatCode="_-&quot;$&quot;* #,##0_-;\-&quot;$&quot;* #,##0_-;_-&quot;$&quot;* &quot;-&quot;??_-;_-@_-">
                  <c:v>116.40820444004243</c:v>
                </c:pt>
                <c:pt idx="69" formatCode="_-&quot;$&quot;* #,##0_-;\-&quot;$&quot;* #,##0_-;_-&quot;$&quot;* &quot;-&quot;??_-;_-@_-">
                  <c:v>115.316401357277</c:v>
                </c:pt>
                <c:pt idx="70" formatCode="_-&quot;$&quot;* #,##0_-;\-&quot;$&quot;* #,##0_-;_-&quot;$&quot;* &quot;-&quot;??_-;_-@_-">
                  <c:v>114.22459827451158</c:v>
                </c:pt>
                <c:pt idx="71" formatCode="_-&quot;$&quot;* #,##0_-;\-&quot;$&quot;* #,##0_-;_-&quot;$&quot;* &quot;-&quot;??_-;_-@_-">
                  <c:v>113.13279519174615</c:v>
                </c:pt>
                <c:pt idx="72" formatCode="_-&quot;$&quot;* #,##0_-;\-&quot;$&quot;* #,##0_-;_-&quot;$&quot;* &quot;-&quot;??_-;_-@_-">
                  <c:v>112.04099210898073</c:v>
                </c:pt>
                <c:pt idx="73" formatCode="_-&quot;$&quot;* #,##0_-;\-&quot;$&quot;* #,##0_-;_-&quot;$&quot;* &quot;-&quot;??_-;_-@_-">
                  <c:v>110.94918902621531</c:v>
                </c:pt>
                <c:pt idx="74" formatCode="_-&quot;$&quot;* #,##0_-;\-&quot;$&quot;* #,##0_-;_-&quot;$&quot;* &quot;-&quot;??_-;_-@_-">
                  <c:v>109.85738594344988</c:v>
                </c:pt>
                <c:pt idx="75" formatCode="_-&quot;$&quot;* #,##0_-;\-&quot;$&quot;* #,##0_-;_-&quot;$&quot;* &quot;-&quot;??_-;_-@_-">
                  <c:v>108.76558286068446</c:v>
                </c:pt>
                <c:pt idx="76" formatCode="_-&quot;$&quot;* #,##0_-;\-&quot;$&quot;* #,##0_-;_-&quot;$&quot;* &quot;-&quot;??_-;_-@_-">
                  <c:v>107.67377977791904</c:v>
                </c:pt>
                <c:pt idx="77" formatCode="_-&quot;$&quot;* #,##0_-;\-&quot;$&quot;* #,##0_-;_-&quot;$&quot;* &quot;-&quot;??_-;_-@_-">
                  <c:v>106.58197669515366</c:v>
                </c:pt>
              </c:numCache>
            </c:numRef>
          </c:val>
          <c:smooth val="0"/>
          <c:extLst>
            <c:ext xmlns:c16="http://schemas.microsoft.com/office/drawing/2014/chart" uri="{C3380CC4-5D6E-409C-BE32-E72D297353CC}">
              <c16:uniqueId val="{00000001-506F-4FF0-9578-D024A2FCD670}"/>
            </c:ext>
          </c:extLst>
        </c:ser>
        <c:ser>
          <c:idx val="2"/>
          <c:order val="4"/>
          <c:tx>
            <c:strRef>
              <c:f>'Price chart for budget update'!$D$1</c:f>
              <c:strCache>
                <c:ptCount val="1"/>
                <c:pt idx="0">
                  <c:v> Pre-Election Budget Update </c:v>
                </c:pt>
              </c:strCache>
              <c:extLst xmlns:c15="http://schemas.microsoft.com/office/drawing/2012/chart"/>
            </c:strRef>
          </c:tx>
          <c:spPr>
            <a:ln w="28575" cap="rnd">
              <a:solidFill>
                <a:srgbClr val="00B0F0"/>
              </a:solidFill>
              <a:prstDash val="dash"/>
              <a:round/>
            </a:ln>
            <a:effectLst/>
          </c:spPr>
          <c:marker>
            <c:symbol val="none"/>
          </c:marker>
          <c:cat>
            <c:numRef>
              <c:f>'Price chart for budget update'!$A$2:$A$79</c:f>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extLst xmlns:c15="http://schemas.microsoft.com/office/drawing/2012/chart"/>
            </c:numRef>
          </c:cat>
          <c:val>
            <c:numRef>
              <c:f>'Price chart for budget update'!$D$2:$D$79</c:f>
              <c:numCache>
                <c:formatCode>General</c:formatCode>
                <c:ptCount val="78"/>
                <c:pt idx="37" formatCode="_-&quot;$&quot;* #,##0_-;\-&quot;$&quot;* #,##0_-;_-&quot;$&quot;* &quot;-&quot;??_-;_-@_-">
                  <c:v>225</c:v>
                </c:pt>
                <c:pt idx="38" formatCode="_-&quot;$&quot;* #,##0_-;\-&quot;$&quot;* #,##0_-;_-&quot;$&quot;* &quot;-&quot;??_-;_-@_-">
                  <c:v>229.92451273352037</c:v>
                </c:pt>
                <c:pt idx="39" formatCode="_-&quot;$&quot;* #,##0_-;\-&quot;$&quot;* #,##0_-;_-&quot;$&quot;* &quot;-&quot;??_-;_-@_-">
                  <c:v>234.84902546704075</c:v>
                </c:pt>
                <c:pt idx="40" formatCode="_-&quot;$&quot;* #,##0_-;\-&quot;$&quot;* #,##0_-;_-&quot;$&quot;* &quot;-&quot;??_-;_-@_-">
                  <c:v>239.77353820056109</c:v>
                </c:pt>
                <c:pt idx="41" formatCode="_-&quot;$&quot;* #,##0_-;\-&quot;$&quot;* #,##0_-;_-&quot;$&quot;* &quot;-&quot;??_-;_-@_-">
                  <c:v>239.38392405610597</c:v>
                </c:pt>
                <c:pt idx="42" formatCode="_-&quot;$&quot;* #,##0_-;\-&quot;$&quot;* #,##0_-;_-&quot;$&quot;* &quot;-&quot;??_-;_-@_-">
                  <c:v>238.99430991165084</c:v>
                </c:pt>
                <c:pt idx="43" formatCode="_-&quot;$&quot;* #,##0_-;\-&quot;$&quot;* #,##0_-;_-&quot;$&quot;* &quot;-&quot;??_-;_-@_-">
                  <c:v>238.60469576719572</c:v>
                </c:pt>
                <c:pt idx="44" formatCode="_-&quot;$&quot;* #,##0_-;\-&quot;$&quot;* #,##0_-;_-&quot;$&quot;* &quot;-&quot;??_-;_-@_-">
                  <c:v>239.61857335243721</c:v>
                </c:pt>
                <c:pt idx="45" formatCode="_-&quot;$&quot;* #,##0_-;\-&quot;$&quot;* #,##0_-;_-&quot;$&quot;* &quot;-&quot;??_-;_-@_-">
                  <c:v>240.6324509376787</c:v>
                </c:pt>
                <c:pt idx="46" formatCode="_-&quot;$&quot;* #,##0_-;\-&quot;$&quot;* #,##0_-;_-&quot;$&quot;* &quot;-&quot;??_-;_-@_-">
                  <c:v>241.64632852292021</c:v>
                </c:pt>
                <c:pt idx="47" formatCode="_-&quot;$&quot;* #,##0_-;\-&quot;$&quot;* #,##0_-;_-&quot;$&quot;* &quot;-&quot;??_-;_-@_-">
                  <c:v>234.29625181605476</c:v>
                </c:pt>
                <c:pt idx="48" formatCode="_-&quot;$&quot;* #,##0_-;\-&quot;$&quot;* #,##0_-;_-&quot;$&quot;* &quot;-&quot;??_-;_-@_-">
                  <c:v>226.94617510918931</c:v>
                </c:pt>
                <c:pt idx="49" formatCode="_-&quot;$&quot;* #,##0_-;\-&quot;$&quot;* #,##0_-;_-&quot;$&quot;* &quot;-&quot;??_-;_-@_-">
                  <c:v>219.59609840232389</c:v>
                </c:pt>
                <c:pt idx="50" formatCode="_-&quot;$&quot;* #,##0_-;\-&quot;$&quot;* #,##0_-;_-&quot;$&quot;* &quot;-&quot;??_-;_-@_-">
                  <c:v>217.6608989348826</c:v>
                </c:pt>
                <c:pt idx="51" formatCode="_-&quot;$&quot;* #,##0_-;\-&quot;$&quot;* #,##0_-;_-&quot;$&quot;* &quot;-&quot;??_-;_-@_-">
                  <c:v>215.7256994674413</c:v>
                </c:pt>
                <c:pt idx="52" formatCode="_-&quot;$&quot;* #,##0_-;\-&quot;$&quot;* #,##0_-;_-&quot;$&quot;* &quot;-&quot;??_-;_-@_-">
                  <c:v>213.79050000000001</c:v>
                </c:pt>
                <c:pt idx="53" formatCode="_-&quot;$&quot;* #,##0_-;\-&quot;$&quot;* #,##0_-;_-&quot;$&quot;* &quot;-&quot;??_-;_-@_-">
                  <c:v>205.59806532830524</c:v>
                </c:pt>
                <c:pt idx="54" formatCode="_-&quot;$&quot;* #,##0_-;\-&quot;$&quot;* #,##0_-;_-&quot;$&quot;* &quot;-&quot;??_-;_-@_-">
                  <c:v>197.40563065661047</c:v>
                </c:pt>
                <c:pt idx="55" formatCode="_-&quot;$&quot;* #,##0_-;\-&quot;$&quot;* #,##0_-;_-&quot;$&quot;* &quot;-&quot;??_-;_-@_-">
                  <c:v>189.2131959849157</c:v>
                </c:pt>
                <c:pt idx="56" formatCode="_-&quot;$&quot;* #,##0_-;\-&quot;$&quot;* #,##0_-;_-&quot;$&quot;* &quot;-&quot;??_-;_-@_-">
                  <c:v>186.95226790184387</c:v>
                </c:pt>
                <c:pt idx="57" formatCode="_-&quot;$&quot;* #,##0_-;\-&quot;$&quot;* #,##0_-;_-&quot;$&quot;* &quot;-&quot;??_-;_-@_-">
                  <c:v>184.69133981877204</c:v>
                </c:pt>
                <c:pt idx="58" formatCode="_-&quot;$&quot;* #,##0_-;\-&quot;$&quot;* #,##0_-;_-&quot;$&quot;* &quot;-&quot;??_-;_-@_-">
                  <c:v>182.4304117357002</c:v>
                </c:pt>
                <c:pt idx="59" formatCode="_-&quot;$&quot;* #,##0_-;\-&quot;$&quot;* #,##0_-;_-&quot;$&quot;* &quot;-&quot;??_-;_-@_-">
                  <c:v>178.30285291631446</c:v>
                </c:pt>
                <c:pt idx="60" formatCode="_-&quot;$&quot;* #,##0_-;\-&quot;$&quot;* #,##0_-;_-&quot;$&quot;* &quot;-&quot;??_-;_-@_-">
                  <c:v>174.17529409692872</c:v>
                </c:pt>
                <c:pt idx="61" formatCode="_-&quot;$&quot;* #,##0_-;\-&quot;$&quot;* #,##0_-;_-&quot;$&quot;* &quot;-&quot;??_-;_-@_-">
                  <c:v>170.04773527754298</c:v>
                </c:pt>
                <c:pt idx="62" formatCode="_-&quot;$&quot;* #,##0_-;\-&quot;$&quot;* #,##0_-;_-&quot;$&quot;* &quot;-&quot;??_-;_-@_-">
                  <c:v>165.92017645815724</c:v>
                </c:pt>
                <c:pt idx="63" formatCode="_-&quot;$&quot;* #,##0_-;\-&quot;$&quot;* #,##0_-;_-&quot;$&quot;* &quot;-&quot;??_-;_-@_-">
                  <c:v>161.7926176387715</c:v>
                </c:pt>
                <c:pt idx="64" formatCode="_-&quot;$&quot;* #,##0_-;\-&quot;$&quot;* #,##0_-;_-&quot;$&quot;* &quot;-&quot;??_-;_-@_-">
                  <c:v>157.66505881938576</c:v>
                </c:pt>
                <c:pt idx="65" formatCode="_-&quot;$&quot;* #,##0_-;\-&quot;$&quot;* #,##0_-;_-&quot;$&quot;* &quot;-&quot;??_-;_-@_-">
                  <c:v>153.53749999999999</c:v>
                </c:pt>
                <c:pt idx="66" formatCode="_-&quot;$&quot;* #,##0_-;\-&quot;$&quot;* #,##0_-;_-&quot;$&quot;* &quot;-&quot;??_-;_-@_-">
                  <c:v>150.90428240740741</c:v>
                </c:pt>
                <c:pt idx="67" formatCode="_-&quot;$&quot;* #,##0_-;\-&quot;$&quot;* #,##0_-;_-&quot;$&quot;* &quot;-&quot;??_-;_-@_-">
                  <c:v>148.27106481481482</c:v>
                </c:pt>
                <c:pt idx="68" formatCode="_-&quot;$&quot;* #,##0_-;\-&quot;$&quot;* #,##0_-;_-&quot;$&quot;* &quot;-&quot;??_-;_-@_-">
                  <c:v>145.63784722222223</c:v>
                </c:pt>
                <c:pt idx="69" formatCode="_-&quot;$&quot;* #,##0_-;\-&quot;$&quot;* #,##0_-;_-&quot;$&quot;* &quot;-&quot;??_-;_-@_-">
                  <c:v>143.00462962962965</c:v>
                </c:pt>
                <c:pt idx="70" formatCode="_-&quot;$&quot;* #,##0_-;\-&quot;$&quot;* #,##0_-;_-&quot;$&quot;* &quot;-&quot;??_-;_-@_-">
                  <c:v>140.37141203703706</c:v>
                </c:pt>
                <c:pt idx="71" formatCode="_-&quot;$&quot;* #,##0_-;\-&quot;$&quot;* #,##0_-;_-&quot;$&quot;* &quot;-&quot;??_-;_-@_-">
                  <c:v>137.73819444444447</c:v>
                </c:pt>
                <c:pt idx="72" formatCode="_-&quot;$&quot;* #,##0_-;\-&quot;$&quot;* #,##0_-;_-&quot;$&quot;* &quot;-&quot;??_-;_-@_-">
                  <c:v>135.10497685185189</c:v>
                </c:pt>
                <c:pt idx="73" formatCode="_-&quot;$&quot;* #,##0_-;\-&quot;$&quot;* #,##0_-;_-&quot;$&quot;* &quot;-&quot;??_-;_-@_-">
                  <c:v>132.4717592592593</c:v>
                </c:pt>
                <c:pt idx="74" formatCode="_-&quot;$&quot;* #,##0_-;\-&quot;$&quot;* #,##0_-;_-&quot;$&quot;* &quot;-&quot;??_-;_-@_-">
                  <c:v>129.83854166666671</c:v>
                </c:pt>
                <c:pt idx="75" formatCode="_-&quot;$&quot;* #,##0_-;\-&quot;$&quot;* #,##0_-;_-&quot;$&quot;* &quot;-&quot;??_-;_-@_-">
                  <c:v>127.20532407407413</c:v>
                </c:pt>
                <c:pt idx="76" formatCode="_-&quot;$&quot;* #,##0_-;\-&quot;$&quot;* #,##0_-;_-&quot;$&quot;* &quot;-&quot;??_-;_-@_-">
                  <c:v>124.57210648148154</c:v>
                </c:pt>
                <c:pt idx="77" formatCode="_-&quot;$&quot;* #,##0_-;\-&quot;$&quot;* #,##0_-;_-&quot;$&quot;* &quot;-&quot;??_-;_-@_-">
                  <c:v>121.9388888888889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506F-4FF0-9578-D024A2FCD670}"/>
            </c:ext>
          </c:extLst>
        </c:ser>
        <c:dLbls>
          <c:showLegendKey val="0"/>
          <c:showVal val="0"/>
          <c:showCatName val="0"/>
          <c:showSerName val="0"/>
          <c:showPercent val="0"/>
          <c:showBubbleSize val="0"/>
        </c:dLbls>
        <c:smooth val="0"/>
        <c:axId val="1857004640"/>
        <c:axId val="1857000480"/>
        <c:extLst>
          <c:ext xmlns:c15="http://schemas.microsoft.com/office/drawing/2012/chart" uri="{02D57815-91ED-43cb-92C2-25804820EDAC}">
            <c15:filteredLineSeries>
              <c15:ser>
                <c:idx val="1"/>
                <c:order val="1"/>
                <c:tx>
                  <c:strRef>
                    <c:extLst>
                      <c:ext uri="{02D57815-91ED-43cb-92C2-25804820EDAC}">
                        <c15:formulaRef>
                          <c15:sqref>'Price chart for budget update'!$C$1</c15:sqref>
                        </c15:formulaRef>
                      </c:ext>
                    </c:extLst>
                    <c:strCache>
                      <c:ptCount val="1"/>
                      <c:pt idx="0">
                        <c:v> Realised_Actual </c:v>
                      </c:pt>
                    </c:strCache>
                  </c:strRef>
                </c:tx>
                <c:spPr>
                  <a:ln w="28575" cap="rnd">
                    <a:solidFill>
                      <a:schemeClr val="accent2"/>
                    </a:solidFill>
                    <a:round/>
                  </a:ln>
                  <a:effectLst/>
                </c:spPr>
                <c:marker>
                  <c:symbol val="none"/>
                </c:marker>
                <c:cat>
                  <c:numRef>
                    <c:extLst>
                      <c:ext uri="{02D57815-91ED-43cb-92C2-25804820EDAC}">
                        <c15:formulaRef>
                          <c15:sqref>'Price chart for budget update'!$A$2:$A$79</c15:sqref>
                        </c15:formulaRef>
                      </c:ext>
                    </c:extLst>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extLst>
                      <c:ext uri="{02D57815-91ED-43cb-92C2-25804820EDAC}">
                        <c15:formulaRef>
                          <c15:sqref>'Price chart for budget update'!$C$2:$C$79</c15:sqref>
                        </c15:formulaRef>
                      </c:ext>
                    </c:extLst>
                    <c:numCache>
                      <c:formatCode>_-"$"* #,##0_-;\-"$"* #,##0_-;_-"$"* "-"??_-;_-@_-</c:formatCode>
                      <c:ptCount val="78"/>
                      <c:pt idx="0">
                        <c:v>65.240685333333317</c:v>
                      </c:pt>
                      <c:pt idx="1">
                        <c:v>67.856656399999991</c:v>
                      </c:pt>
                      <c:pt idx="2">
                        <c:v>67.892348045454554</c:v>
                      </c:pt>
                      <c:pt idx="3">
                        <c:v>63.608284999999995</c:v>
                      </c:pt>
                      <c:pt idx="4">
                        <c:v>60.00522942857144</c:v>
                      </c:pt>
                      <c:pt idx="5">
                        <c:v>55.453415142857139</c:v>
                      </c:pt>
                      <c:pt idx="6">
                        <c:v>54.83618739130435</c:v>
                      </c:pt>
                      <c:pt idx="7">
                        <c:v>51.675857600000001</c:v>
                      </c:pt>
                      <c:pt idx="8">
                        <c:v>51.519113363636357</c:v>
                      </c:pt>
                      <c:pt idx="9">
                        <c:v>50.547385714285717</c:v>
                      </c:pt>
                      <c:pt idx="10">
                        <c:v>53.301208714285714</c:v>
                      </c:pt>
                      <c:pt idx="11">
                        <c:v>55.666564761904752</c:v>
                      </c:pt>
                      <c:pt idx="12">
                        <c:v>64.36399057894738</c:v>
                      </c:pt>
                      <c:pt idx="13">
                        <c:v>70.403559449999989</c:v>
                      </c:pt>
                      <c:pt idx="14">
                        <c:v>73.414775173913043</c:v>
                      </c:pt>
                      <c:pt idx="15">
                        <c:v>78.088352100000009</c:v>
                      </c:pt>
                      <c:pt idx="16">
                        <c:v>77.151998285714299</c:v>
                      </c:pt>
                      <c:pt idx="17">
                        <c:v>87.888562285714286</c:v>
                      </c:pt>
                      <c:pt idx="18">
                        <c:v>98.13322113636363</c:v>
                      </c:pt>
                      <c:pt idx="19">
                        <c:v>116.73416623809523</c:v>
                      </c:pt>
                      <c:pt idx="20">
                        <c:v>122.75409204545454</c:v>
                      </c:pt>
                      <c:pt idx="21">
                        <c:v>145.95656219999998</c:v>
                      </c:pt>
                      <c:pt idx="22">
                        <c:v>160.91925272727272</c:v>
                      </c:pt>
                      <c:pt idx="23">
                        <c:v>142.26776914285713</c:v>
                      </c:pt>
                      <c:pt idx="24">
                        <c:v>160.63719078947369</c:v>
                      </c:pt>
                      <c:pt idx="25">
                        <c:v>183.09984464999999</c:v>
                      </c:pt>
                      <c:pt idx="26">
                        <c:v>212.18770799999999</c:v>
                      </c:pt>
                      <c:pt idx="27">
                        <c:v>255.48005999999998</c:v>
                      </c:pt>
                      <c:pt idx="28">
                        <c:v>285.35917999999998</c:v>
                      </c:pt>
                      <c:pt idx="29">
                        <c:v>303.85100666666665</c:v>
                      </c:pt>
                      <c:pt idx="30">
                        <c:v>334.40049600000003</c:v>
                      </c:pt>
                      <c:pt idx="31">
                        <c:v>340.15830150000011</c:v>
                      </c:pt>
                      <c:pt idx="32">
                        <c:v>352.49687000000006</c:v>
                      </c:pt>
                      <c:pt idx="33">
                        <c:v>339.72294719999996</c:v>
                      </c:pt>
                      <c:pt idx="34">
                        <c:v>329.32187186363643</c:v>
                      </c:pt>
                      <c:pt idx="35">
                        <c:v>299.90811509999997</c:v>
                      </c:pt>
                      <c:pt idx="36">
                        <c:v>302.72623599999997</c:v>
                      </c:pt>
                      <c:pt idx="37">
                        <c:v>255.70882260000002</c:v>
                      </c:pt>
                      <c:pt idx="38">
                        <c:v>208.23724173913041</c:v>
                      </c:pt>
                      <c:pt idx="39">
                        <c:v>178.11378000000002</c:v>
                      </c:pt>
                      <c:pt idx="40">
                        <c:v>167.69831400000001</c:v>
                      </c:pt>
                    </c:numCache>
                  </c:numRef>
                </c:val>
                <c:smooth val="0"/>
                <c:extLst>
                  <c:ext xmlns:c16="http://schemas.microsoft.com/office/drawing/2014/chart" uri="{C3380CC4-5D6E-409C-BE32-E72D297353CC}">
                    <c16:uniqueId val="{00000003-506F-4FF0-9578-D024A2FCD670}"/>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'Price chart for budget update'!$E$1</c15:sqref>
                        </c15:formulaRef>
                      </c:ext>
                    </c:extLst>
                    <c:strCache>
                      <c:ptCount val="1"/>
                      <c:pt idx="0">
                        <c:v> Realised June 2023 Forecast </c:v>
                      </c:pt>
                    </c:strCache>
                  </c:strRef>
                </c:tx>
                <c:spPr>
                  <a:ln w="28575" cap="rnd">
                    <a:solidFill>
                      <a:schemeClr val="accent2">
                        <a:lumMod val="60000"/>
                        <a:lumOff val="40000"/>
                      </a:schemeClr>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'Price chart for budget update'!$A$2:$A$79</c15:sqref>
                        </c15:formulaRef>
                      </c:ext>
                    </c:extLst>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extLst xmlns:c15="http://schemas.microsoft.com/office/drawing/2012/chart">
                      <c:ext xmlns:c15="http://schemas.microsoft.com/office/drawing/2012/chart" uri="{02D57815-91ED-43cb-92C2-25804820EDAC}">
                        <c15:formulaRef>
                          <c15:sqref>'Price chart for budget update'!$E$2:$E$79</c15:sqref>
                        </c15:formulaRef>
                      </c:ext>
                    </c:extLst>
                    <c:numCache>
                      <c:formatCode>General</c:formatCode>
                      <c:ptCount val="78"/>
                      <c:pt idx="36" formatCode="_-&quot;$&quot;* #,##0_-;\-&quot;$&quot;* #,##0_-;_-&quot;$&quot;* &quot;-&quot;??_-;_-@_-">
                        <c:v>302.72623599999997</c:v>
                      </c:pt>
                      <c:pt idx="37" formatCode="_-&quot;$&quot;* #,##0_-;\-&quot;$&quot;* #,##0_-;_-&quot;$&quot;* &quot;-&quot;??_-;_-@_-">
                        <c:v>255.70882260000002</c:v>
                      </c:pt>
                      <c:pt idx="38" formatCode="_-&quot;$&quot;* #,##0_-;\-&quot;$&quot;* #,##0_-;_-&quot;$&quot;* &quot;-&quot;??_-;_-@_-">
                        <c:v>208.23724173913041</c:v>
                      </c:pt>
                      <c:pt idx="39" formatCode="_-&quot;$&quot;* #,##0_-;\-&quot;$&quot;* #,##0_-;_-&quot;$&quot;* &quot;-&quot;??_-;_-@_-">
                        <c:v>202.95806921739126</c:v>
                      </c:pt>
                      <c:pt idx="40" formatCode="_-&quot;$&quot;* #,##0_-;\-&quot;$&quot;* #,##0_-;_-&quot;$&quot;* &quot;-&quot;??_-;_-@_-">
                        <c:v>191.10080974249644</c:v>
                      </c:pt>
                      <c:pt idx="41" formatCode="_-&quot;$&quot;* #,##0_-;\-&quot;$&quot;* #,##0_-;_-&quot;$&quot;* &quot;-&quot;??_-;_-@_-">
                        <c:v>172.7705668197475</c:v>
                      </c:pt>
                      <c:pt idx="42" formatCode="_-&quot;$&quot;* #,##0_-;\-&quot;$&quot;* #,##0_-;_-&quot;$&quot;* &quot;-&quot;??_-;_-@_-">
                        <c:v>148.88528340987375</c:v>
                      </c:pt>
                      <c:pt idx="43" formatCode="_-&quot;$&quot;* #,##0_-;\-&quot;$&quot;* #,##0_-;_-&quot;$&quot;* &quot;-&quot;??_-;_-@_-">
                        <c:v>136.94264170493688</c:v>
                      </c:pt>
                      <c:pt idx="44" formatCode="_-&quot;$&quot;* #,##0_-;\-&quot;$&quot;* #,##0_-;_-&quot;$&quot;* &quot;-&quot;??_-;_-@_-">
                        <c:v>130.97132085246844</c:v>
                      </c:pt>
                      <c:pt idx="45" formatCode="_-&quot;$&quot;* #,##0_-;\-&quot;$&quot;* #,##0_-;_-&quot;$&quot;* &quot;-&quot;??_-;_-@_-">
                        <c:v>127.98566042623422</c:v>
                      </c:pt>
                      <c:pt idx="46" formatCode="_-&quot;$&quot;* #,##0_-;\-&quot;$&quot;* #,##0_-;_-&quot;$&quot;* &quot;-&quot;??_-;_-@_-">
                        <c:v>126.49283021311712</c:v>
                      </c:pt>
                      <c:pt idx="47" formatCode="_-&quot;$&quot;* #,##0_-;\-&quot;$&quot;* #,##0_-;_-&quot;$&quot;* &quot;-&quot;??_-;_-@_-">
                        <c:v>125.74641510655856</c:v>
                      </c:pt>
                      <c:pt idx="48" formatCode="_-&quot;$&quot;* #,##0_-;\-&quot;$&quot;* #,##0_-;_-&quot;$&quot;* &quot;-&quot;??_-;_-@_-">
                        <c:v>125.37320755327929</c:v>
                      </c:pt>
                      <c:pt idx="49" formatCode="_-&quot;$&quot;* #,##0_-;\-&quot;$&quot;* #,##0_-;_-&quot;$&quot;* &quot;-&quot;??_-;_-@_-">
                        <c:v>125.18660377663964</c:v>
                      </c:pt>
                      <c:pt idx="50" formatCode="_-&quot;$&quot;* #,##0_-;\-&quot;$&quot;* #,##0_-;_-&quot;$&quot;* &quot;-&quot;??_-;_-@_-">
                        <c:v>125.09330188831981</c:v>
                      </c:pt>
                      <c:pt idx="51" formatCode="_-&quot;$&quot;* #,##0_-;\-&quot;$&quot;* #,##0_-;_-&quot;$&quot;* &quot;-&quot;??_-;_-@_-">
                        <c:v>125.04665094415991</c:v>
                      </c:pt>
                      <c:pt idx="52" formatCode="_-&quot;$&quot;* #,##0_-;\-&quot;$&quot;* #,##0_-;_-&quot;$&quot;* &quot;-&quot;??_-;_-@_-">
                        <c:v>125.02332547207996</c:v>
                      </c:pt>
                      <c:pt idx="53" formatCode="_-&quot;$&quot;* #,##0_-;\-&quot;$&quot;* #,##0_-;_-&quot;$&quot;* &quot;-&quot;??_-;_-@_-">
                        <c:v>125.01166273603998</c:v>
                      </c:pt>
                      <c:pt idx="54" formatCode="_-&quot;$&quot;* #,##0_-;\-&quot;$&quot;* #,##0_-;_-&quot;$&quot;* &quot;-&quot;??_-;_-@_-">
                        <c:v>133.92366968046059</c:v>
                      </c:pt>
                      <c:pt idx="55" formatCode="_-&quot;$&quot;* #,##0_-;\-&quot;$&quot;* #,##0_-;_-&quot;$&quot;* &quot;-&quot;??_-;_-@_-">
                        <c:v>131.64196775027006</c:v>
                      </c:pt>
                      <c:pt idx="56" formatCode="_-&quot;$&quot;* #,##0_-;\-&quot;$&quot;* #,##0_-;_-&quot;$&quot;* &quot;-&quot;??_-;_-@_-">
                        <c:v>131.48690148340305</c:v>
                      </c:pt>
                      <c:pt idx="57" formatCode="_-&quot;$&quot;* #,##0_-;\-&quot;$&quot;* #,##0_-;_-&quot;$&quot;* &quot;-&quot;??_-;_-@_-">
                        <c:v>131.33183521653604</c:v>
                      </c:pt>
                      <c:pt idx="58" formatCode="_-&quot;$&quot;* #,##0_-;\-&quot;$&quot;* #,##0_-;_-&quot;$&quot;* &quot;-&quot;??_-;_-@_-">
                        <c:v>131.17676894966905</c:v>
                      </c:pt>
                      <c:pt idx="59" formatCode="_-&quot;$&quot;* #,##0_-;\-&quot;$&quot;* #,##0_-;_-&quot;$&quot;* &quot;-&quot;??_-;_-@_-">
                        <c:v>127.24845992106508</c:v>
                      </c:pt>
                      <c:pt idx="60" formatCode="_-&quot;$&quot;* #,##0_-;\-&quot;$&quot;* #,##0_-;_-&quot;$&quot;* &quot;-&quot;??_-;_-@_-">
                        <c:v>123.3201508924611</c:v>
                      </c:pt>
                      <c:pt idx="61" formatCode="_-&quot;$&quot;* #,##0_-;\-&quot;$&quot;* #,##0_-;_-&quot;$&quot;* &quot;-&quot;??_-;_-@_-">
                        <c:v>119.39184186385711</c:v>
                      </c:pt>
                      <c:pt idx="62" formatCode="_-&quot;$&quot;* #,##0_-;\-&quot;$&quot;* #,##0_-;_-&quot;$&quot;* &quot;-&quot;??_-;_-@_-">
                        <c:v>119.46478481997751</c:v>
                      </c:pt>
                      <c:pt idx="63" formatCode="_-&quot;$&quot;* #,##0_-;\-&quot;$&quot;* #,##0_-;_-&quot;$&quot;* &quot;-&quot;??_-;_-@_-">
                        <c:v>119.53772777609791</c:v>
                      </c:pt>
                      <c:pt idx="64" formatCode="_-&quot;$&quot;* #,##0_-;\-&quot;$&quot;* #,##0_-;_-&quot;$&quot;* &quot;-&quot;??_-;_-@_-">
                        <c:v>119.61067073221831</c:v>
                      </c:pt>
                      <c:pt idx="65" formatCode="_-&quot;$&quot;* #,##0_-;\-&quot;$&quot;* #,##0_-;_-&quot;$&quot;* &quot;-&quot;??_-;_-@_-">
                        <c:v>119.6836136883387</c:v>
                      </c:pt>
                      <c:pt idx="66" formatCode="_-&quot;$&quot;* #,##0_-;\-&quot;$&quot;* #,##0_-;_-&quot;$&quot;* &quot;-&quot;??_-;_-@_-">
                        <c:v>118.59181060557327</c:v>
                      </c:pt>
                      <c:pt idx="67" formatCode="_-&quot;$&quot;* #,##0_-;\-&quot;$&quot;* #,##0_-;_-&quot;$&quot;* &quot;-&quot;??_-;_-@_-">
                        <c:v>117.50000752280785</c:v>
                      </c:pt>
                      <c:pt idx="68" formatCode="_-&quot;$&quot;* #,##0_-;\-&quot;$&quot;* #,##0_-;_-&quot;$&quot;* &quot;-&quot;??_-;_-@_-">
                        <c:v>116.40820444004243</c:v>
                      </c:pt>
                      <c:pt idx="69" formatCode="_-&quot;$&quot;* #,##0_-;\-&quot;$&quot;* #,##0_-;_-&quot;$&quot;* &quot;-&quot;??_-;_-@_-">
                        <c:v>115.316401357277</c:v>
                      </c:pt>
                      <c:pt idx="70" formatCode="_-&quot;$&quot;* #,##0_-;\-&quot;$&quot;* #,##0_-;_-&quot;$&quot;* &quot;-&quot;??_-;_-@_-">
                        <c:v>114.22459827451158</c:v>
                      </c:pt>
                      <c:pt idx="71" formatCode="_-&quot;$&quot;* #,##0_-;\-&quot;$&quot;* #,##0_-;_-&quot;$&quot;* &quot;-&quot;??_-;_-@_-">
                        <c:v>113.13279519174615</c:v>
                      </c:pt>
                      <c:pt idx="72" formatCode="_-&quot;$&quot;* #,##0_-;\-&quot;$&quot;* #,##0_-;_-&quot;$&quot;* &quot;-&quot;??_-;_-@_-">
                        <c:v>112.04099210898073</c:v>
                      </c:pt>
                      <c:pt idx="73" formatCode="_-&quot;$&quot;* #,##0_-;\-&quot;$&quot;* #,##0_-;_-&quot;$&quot;* &quot;-&quot;??_-;_-@_-">
                        <c:v>110.94918902621531</c:v>
                      </c:pt>
                      <c:pt idx="74" formatCode="_-&quot;$&quot;* #,##0_-;\-&quot;$&quot;* #,##0_-;_-&quot;$&quot;* &quot;-&quot;??_-;_-@_-">
                        <c:v>109.85738594344988</c:v>
                      </c:pt>
                      <c:pt idx="75" formatCode="_-&quot;$&quot;* #,##0_-;\-&quot;$&quot;* #,##0_-;_-&quot;$&quot;* &quot;-&quot;??_-;_-@_-">
                        <c:v>108.76558286068446</c:v>
                      </c:pt>
                      <c:pt idx="76" formatCode="_-&quot;$&quot;* #,##0_-;\-&quot;$&quot;* #,##0_-;_-&quot;$&quot;* &quot;-&quot;??_-;_-@_-">
                        <c:v>107.67377977791904</c:v>
                      </c:pt>
                      <c:pt idx="77" formatCode="_-&quot;$&quot;* #,##0_-;\-&quot;$&quot;* #,##0_-;_-&quot;$&quot;* &quot;-&quot;??_-;_-@_-">
                        <c:v>106.58197669515366</c:v>
                      </c:pt>
                    </c:numCache>
                  </c:numRef>
                </c:val>
                <c:smooth val="0"/>
                <c:extLst xmlns:c15="http://schemas.microsoft.com/office/drawing/2012/chart">
                  <c:ext xmlns:c16="http://schemas.microsoft.com/office/drawing/2014/chart" uri="{C3380CC4-5D6E-409C-BE32-E72D297353CC}">
                    <c16:uniqueId val="{00000004-506F-4FF0-9578-D024A2FCD670}"/>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'Price chart for budget update'!$I$1</c15:sqref>
                        </c15:formulaRef>
                      </c:ext>
                    </c:extLst>
                    <c:strCache>
                      <c:ptCount val="1"/>
                      <c:pt idx="0">
                        <c:v> Pre-Election Budget Update </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'Price chart for budget update'!$A$2:$A$79</c15:sqref>
                        </c15:formulaRef>
                      </c:ext>
                    </c:extLst>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extLst xmlns:c15="http://schemas.microsoft.com/office/drawing/2012/chart">
                      <c:ext xmlns:c15="http://schemas.microsoft.com/office/drawing/2012/chart" uri="{02D57815-91ED-43cb-92C2-25804820EDAC}">
                        <c15:formulaRef>
                          <c15:sqref>'Price chart for budget update'!$I$2:$I$79</c15:sqref>
                        </c15:formulaRef>
                      </c:ext>
                    </c:extLst>
                    <c:numCache>
                      <c:formatCode>General</c:formatCode>
                      <c:ptCount val="78"/>
                      <c:pt idx="37" formatCode="_-&quot;$&quot;* #,##0_-;\-&quot;$&quot;* #,##0_-;_-&quot;$&quot;* &quot;-&quot;??_-;_-@_-">
                        <c:v>225</c:v>
                      </c:pt>
                      <c:pt idx="38" formatCode="_-&quot;$&quot;* #,##0_-;\-&quot;$&quot;* #,##0_-;_-&quot;$&quot;* &quot;-&quot;??_-;_-@_-">
                        <c:v>229.92451273352037</c:v>
                      </c:pt>
                      <c:pt idx="39" formatCode="_-&quot;$&quot;* #,##0_-;\-&quot;$&quot;* #,##0_-;_-&quot;$&quot;* &quot;-&quot;??_-;_-@_-">
                        <c:v>234.84902546704075</c:v>
                      </c:pt>
                      <c:pt idx="40" formatCode="_-&quot;$&quot;* #,##0_-;\-&quot;$&quot;* #,##0_-;_-&quot;$&quot;* &quot;-&quot;??_-;_-@_-">
                        <c:v>239.77353820056109</c:v>
                      </c:pt>
                      <c:pt idx="41" formatCode="_-&quot;$&quot;* #,##0_-;\-&quot;$&quot;* #,##0_-;_-&quot;$&quot;* &quot;-&quot;??_-;_-@_-">
                        <c:v>239.38392405610597</c:v>
                      </c:pt>
                      <c:pt idx="42" formatCode="_-&quot;$&quot;* #,##0_-;\-&quot;$&quot;* #,##0_-;_-&quot;$&quot;* &quot;-&quot;??_-;_-@_-">
                        <c:v>238.99430991165084</c:v>
                      </c:pt>
                      <c:pt idx="43" formatCode="_-&quot;$&quot;* #,##0_-;\-&quot;$&quot;* #,##0_-;_-&quot;$&quot;* &quot;-&quot;??_-;_-@_-">
                        <c:v>238.60469576719572</c:v>
                      </c:pt>
                      <c:pt idx="44" formatCode="_-&quot;$&quot;* #,##0_-;\-&quot;$&quot;* #,##0_-;_-&quot;$&quot;* &quot;-&quot;??_-;_-@_-">
                        <c:v>239.61857335243721</c:v>
                      </c:pt>
                      <c:pt idx="45" formatCode="_-&quot;$&quot;* #,##0_-;\-&quot;$&quot;* #,##0_-;_-&quot;$&quot;* &quot;-&quot;??_-;_-@_-">
                        <c:v>240.6324509376787</c:v>
                      </c:pt>
                      <c:pt idx="46" formatCode="_-&quot;$&quot;* #,##0_-;\-&quot;$&quot;* #,##0_-;_-&quot;$&quot;* &quot;-&quot;??_-;_-@_-">
                        <c:v>241.64632852292021</c:v>
                      </c:pt>
                      <c:pt idx="47" formatCode="_-&quot;$&quot;* #,##0_-;\-&quot;$&quot;* #,##0_-;_-&quot;$&quot;* &quot;-&quot;??_-;_-@_-">
                        <c:v>234.29625181605476</c:v>
                      </c:pt>
                      <c:pt idx="48" formatCode="_-&quot;$&quot;* #,##0_-;\-&quot;$&quot;* #,##0_-;_-&quot;$&quot;* &quot;-&quot;??_-;_-@_-">
                        <c:v>226.94617510918931</c:v>
                      </c:pt>
                      <c:pt idx="49" formatCode="_-&quot;$&quot;* #,##0_-;\-&quot;$&quot;* #,##0_-;_-&quot;$&quot;* &quot;-&quot;??_-;_-@_-">
                        <c:v>219.59609840232389</c:v>
                      </c:pt>
                      <c:pt idx="50" formatCode="_-&quot;$&quot;* #,##0_-;\-&quot;$&quot;* #,##0_-;_-&quot;$&quot;* &quot;-&quot;??_-;_-@_-">
                        <c:v>217.6608989348826</c:v>
                      </c:pt>
                      <c:pt idx="51" formatCode="_-&quot;$&quot;* #,##0_-;\-&quot;$&quot;* #,##0_-;_-&quot;$&quot;* &quot;-&quot;??_-;_-@_-">
                        <c:v>215.7256994674413</c:v>
                      </c:pt>
                      <c:pt idx="52" formatCode="_-&quot;$&quot;* #,##0_-;\-&quot;$&quot;* #,##0_-;_-&quot;$&quot;* &quot;-&quot;??_-;_-@_-">
                        <c:v>213.79050000000001</c:v>
                      </c:pt>
                      <c:pt idx="53" formatCode="_-&quot;$&quot;* #,##0_-;\-&quot;$&quot;* #,##0_-;_-&quot;$&quot;* &quot;-&quot;??_-;_-@_-">
                        <c:v>205.59806532830524</c:v>
                      </c:pt>
                      <c:pt idx="54" formatCode="_-&quot;$&quot;* #,##0_-;\-&quot;$&quot;* #,##0_-;_-&quot;$&quot;* &quot;-&quot;??_-;_-@_-">
                        <c:v>197.40563065661047</c:v>
                      </c:pt>
                      <c:pt idx="55" formatCode="_-&quot;$&quot;* #,##0_-;\-&quot;$&quot;* #,##0_-;_-&quot;$&quot;* &quot;-&quot;??_-;_-@_-">
                        <c:v>189.2131959849157</c:v>
                      </c:pt>
                      <c:pt idx="56" formatCode="_-&quot;$&quot;* #,##0_-;\-&quot;$&quot;* #,##0_-;_-&quot;$&quot;* &quot;-&quot;??_-;_-@_-">
                        <c:v>186.95226790184387</c:v>
                      </c:pt>
                      <c:pt idx="57" formatCode="_-&quot;$&quot;* #,##0_-;\-&quot;$&quot;* #,##0_-;_-&quot;$&quot;* &quot;-&quot;??_-;_-@_-">
                        <c:v>184.69133981877204</c:v>
                      </c:pt>
                      <c:pt idx="58" formatCode="_-&quot;$&quot;* #,##0_-;\-&quot;$&quot;* #,##0_-;_-&quot;$&quot;* &quot;-&quot;??_-;_-@_-">
                        <c:v>182.4304117357002</c:v>
                      </c:pt>
                      <c:pt idx="59" formatCode="_-&quot;$&quot;* #,##0_-;\-&quot;$&quot;* #,##0_-;_-&quot;$&quot;* &quot;-&quot;??_-;_-@_-">
                        <c:v>178.30285291631446</c:v>
                      </c:pt>
                      <c:pt idx="60" formatCode="_-&quot;$&quot;* #,##0_-;\-&quot;$&quot;* #,##0_-;_-&quot;$&quot;* &quot;-&quot;??_-;_-@_-">
                        <c:v>174.17529409692872</c:v>
                      </c:pt>
                      <c:pt idx="61" formatCode="_-&quot;$&quot;* #,##0_-;\-&quot;$&quot;* #,##0_-;_-&quot;$&quot;* &quot;-&quot;??_-;_-@_-">
                        <c:v>170.04773527754298</c:v>
                      </c:pt>
                      <c:pt idx="62" formatCode="_-&quot;$&quot;* #,##0_-;\-&quot;$&quot;* #,##0_-;_-&quot;$&quot;* &quot;-&quot;??_-;_-@_-">
                        <c:v>165.92017645815724</c:v>
                      </c:pt>
                      <c:pt idx="63" formatCode="_-&quot;$&quot;* #,##0_-;\-&quot;$&quot;* #,##0_-;_-&quot;$&quot;* &quot;-&quot;??_-;_-@_-">
                        <c:v>161.7926176387715</c:v>
                      </c:pt>
                      <c:pt idx="64" formatCode="_-&quot;$&quot;* #,##0_-;\-&quot;$&quot;* #,##0_-;_-&quot;$&quot;* &quot;-&quot;??_-;_-@_-">
                        <c:v>157.66505881938576</c:v>
                      </c:pt>
                      <c:pt idx="65" formatCode="_-&quot;$&quot;* #,##0_-;\-&quot;$&quot;* #,##0_-;_-&quot;$&quot;* &quot;-&quot;??_-;_-@_-">
                        <c:v>153.53749999999999</c:v>
                      </c:pt>
                      <c:pt idx="66" formatCode="_-&quot;$&quot;* #,##0_-;\-&quot;$&quot;* #,##0_-;_-&quot;$&quot;* &quot;-&quot;??_-;_-@_-">
                        <c:v>150.90428240740741</c:v>
                      </c:pt>
                      <c:pt idx="67" formatCode="_-&quot;$&quot;* #,##0_-;\-&quot;$&quot;* #,##0_-;_-&quot;$&quot;* &quot;-&quot;??_-;_-@_-">
                        <c:v>148.27106481481482</c:v>
                      </c:pt>
                      <c:pt idx="68" formatCode="_-&quot;$&quot;* #,##0_-;\-&quot;$&quot;* #,##0_-;_-&quot;$&quot;* &quot;-&quot;??_-;_-@_-">
                        <c:v>145.63784722222223</c:v>
                      </c:pt>
                      <c:pt idx="69" formatCode="_-&quot;$&quot;* #,##0_-;\-&quot;$&quot;* #,##0_-;_-&quot;$&quot;* &quot;-&quot;??_-;_-@_-">
                        <c:v>143.00462962962965</c:v>
                      </c:pt>
                      <c:pt idx="70" formatCode="_-&quot;$&quot;* #,##0_-;\-&quot;$&quot;* #,##0_-;_-&quot;$&quot;* &quot;-&quot;??_-;_-@_-">
                        <c:v>140.37141203703706</c:v>
                      </c:pt>
                      <c:pt idx="71" formatCode="_-&quot;$&quot;* #,##0_-;\-&quot;$&quot;* #,##0_-;_-&quot;$&quot;* &quot;-&quot;??_-;_-@_-">
                        <c:v>137.73819444444447</c:v>
                      </c:pt>
                      <c:pt idx="72" formatCode="_-&quot;$&quot;* #,##0_-;\-&quot;$&quot;* #,##0_-;_-&quot;$&quot;* &quot;-&quot;??_-;_-@_-">
                        <c:v>135.10497685185189</c:v>
                      </c:pt>
                      <c:pt idx="73" formatCode="_-&quot;$&quot;* #,##0_-;\-&quot;$&quot;* #,##0_-;_-&quot;$&quot;* &quot;-&quot;??_-;_-@_-">
                        <c:v>132.4717592592593</c:v>
                      </c:pt>
                      <c:pt idx="74" formatCode="_-&quot;$&quot;* #,##0_-;\-&quot;$&quot;* #,##0_-;_-&quot;$&quot;* &quot;-&quot;??_-;_-@_-">
                        <c:v>129.83854166666671</c:v>
                      </c:pt>
                      <c:pt idx="75" formatCode="_-&quot;$&quot;* #,##0_-;\-&quot;$&quot;* #,##0_-;_-&quot;$&quot;* &quot;-&quot;??_-;_-@_-">
                        <c:v>127.20532407407413</c:v>
                      </c:pt>
                      <c:pt idx="76" formatCode="_-&quot;$&quot;* #,##0_-;\-&quot;$&quot;* #,##0_-;_-&quot;$&quot;* &quot;-&quot;??_-;_-@_-">
                        <c:v>124.57210648148154</c:v>
                      </c:pt>
                      <c:pt idx="77" formatCode="_-&quot;$&quot;* #,##0_-;\-&quot;$&quot;* #,##0_-;_-&quot;$&quot;* &quot;-&quot;??_-;_-@_-">
                        <c:v>121.9388888888889</c:v>
                      </c:pt>
                    </c:numCache>
                  </c:numRef>
                </c:val>
                <c:smooth val="0"/>
                <c:extLst xmlns:c15="http://schemas.microsoft.com/office/drawing/2012/chart">
                  <c:ext xmlns:c16="http://schemas.microsoft.com/office/drawing/2014/chart" uri="{C3380CC4-5D6E-409C-BE32-E72D297353CC}">
                    <c16:uniqueId val="{00000005-506F-4FF0-9578-D024A2FCD670}"/>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'Price chart for budget update'!$H$1</c15:sqref>
                        </c15:formulaRef>
                      </c:ext>
                    </c:extLst>
                    <c:strCache>
                      <c:ptCount val="1"/>
                      <c:pt idx="0">
                        <c:v> Consensus_July </c:v>
                      </c:pt>
                    </c:strCache>
                  </c:strRef>
                </c:tx>
                <c:spPr>
                  <a:ln w="28575" cap="rnd">
                    <a:solidFill>
                      <a:schemeClr val="bg1">
                        <a:lumMod val="50000"/>
                      </a:schemeClr>
                    </a:solidFill>
                    <a:prstDash val="sysDot"/>
                    <a:round/>
                  </a:ln>
                  <a:effectLst/>
                </c:spPr>
                <c:marker>
                  <c:symbol val="none"/>
                </c:marker>
                <c:val>
                  <c:numRef>
                    <c:extLst xmlns:c15="http://schemas.microsoft.com/office/drawing/2012/chart">
                      <c:ext xmlns:c15="http://schemas.microsoft.com/office/drawing/2012/chart" uri="{02D57815-91ED-43cb-92C2-25804820EDAC}">
                        <c15:formulaRef>
                          <c15:sqref>'Price chart for budget update'!$H$2:$H$79</c15:sqref>
                        </c15:formulaRef>
                      </c:ext>
                    </c:extLst>
                    <c:numCache>
                      <c:formatCode>General</c:formatCode>
                      <c:ptCount val="78"/>
                      <c:pt idx="43" formatCode="_-&quot;$&quot;* #,##0_-;\-&quot;$&quot;* #,##0_-;_-&quot;$&quot;* &quot;-&quot;??_-;_-@_-">
                        <c:v>139.30092618832489</c:v>
                      </c:pt>
                      <c:pt idx="44" formatCode="_-&quot;$&quot;* #,##0_-;\-&quot;$&quot;* #,##0_-;_-&quot;$&quot;* &quot;-&quot;??_-;_-@_-">
                        <c:v>144.64462700166953</c:v>
                      </c:pt>
                      <c:pt idx="45" formatCode="_-&quot;$&quot;* #,##0_-;\-&quot;$&quot;* #,##0_-;_-&quot;$&quot;* &quot;-&quot;??_-;_-@_-">
                        <c:v>149.98832781501417</c:v>
                      </c:pt>
                      <c:pt idx="46" formatCode="_-&quot;$&quot;* #,##0_-;\-&quot;$&quot;* #,##0_-;_-&quot;$&quot;* &quot;-&quot;??_-;_-@_-">
                        <c:v>155.33202862835884</c:v>
                      </c:pt>
                      <c:pt idx="47" formatCode="_-&quot;$&quot;* #,##0_-;\-&quot;$&quot;* #,##0_-;_-&quot;$&quot;* &quot;-&quot;??_-;_-@_-">
                        <c:v>152.02082702980965</c:v>
                      </c:pt>
                      <c:pt idx="48" formatCode="_-&quot;$&quot;* #,##0_-;\-&quot;$&quot;* #,##0_-;_-&quot;$&quot;* &quot;-&quot;??_-;_-@_-">
                        <c:v>148.70962543126046</c:v>
                      </c:pt>
                      <c:pt idx="49" formatCode="_-&quot;$&quot;* #,##0_-;\-&quot;$&quot;* #,##0_-;_-&quot;$&quot;* &quot;-&quot;??_-;_-@_-">
                        <c:v>145.3984238327113</c:v>
                      </c:pt>
                      <c:pt idx="50" formatCode="_-&quot;$&quot;* #,##0_-;\-&quot;$&quot;* #,##0_-;_-&quot;$&quot;* &quot;-&quot;??_-;_-@_-">
                        <c:v>142.27994111080099</c:v>
                      </c:pt>
                      <c:pt idx="51" formatCode="_-&quot;$&quot;* #,##0_-;\-&quot;$&quot;* #,##0_-;_-&quot;$&quot;* &quot;-&quot;??_-;_-@_-">
                        <c:v>139.16145838889068</c:v>
                      </c:pt>
                      <c:pt idx="52" formatCode="_-&quot;$&quot;* #,##0_-;\-&quot;$&quot;* #,##0_-;_-&quot;$&quot;* &quot;-&quot;??_-;_-@_-">
                        <c:v>136.04297566698037</c:v>
                      </c:pt>
                      <c:pt idx="53" formatCode="_-&quot;$&quot;* #,##0_-;\-&quot;$&quot;* #,##0_-;_-&quot;$&quot;* &quot;-&quot;??_-;_-@_-">
                        <c:v>133.96455402751138</c:v>
                      </c:pt>
                      <c:pt idx="54" formatCode="_-&quot;$&quot;* #,##0_-;\-&quot;$&quot;* #,##0_-;_-&quot;$&quot;* &quot;-&quot;??_-;_-@_-">
                        <c:v>131.8861323880424</c:v>
                      </c:pt>
                      <c:pt idx="55" formatCode="_-&quot;$&quot;* #,##0_-;\-&quot;$&quot;* #,##0_-;_-&quot;$&quot;* &quot;-&quot;??_-;_-@_-">
                        <c:v>129.80771074857344</c:v>
                      </c:pt>
                      <c:pt idx="56" formatCode="_-&quot;$&quot;* #,##0_-;\-&quot;$&quot;* #,##0_-;_-&quot;$&quot;* &quot;-&quot;??_-;_-@_-">
                        <c:v>130.27020634566634</c:v>
                      </c:pt>
                      <c:pt idx="57" formatCode="_-&quot;$&quot;* #,##0_-;\-&quot;$&quot;* #,##0_-;_-&quot;$&quot;* &quot;-&quot;??_-;_-@_-">
                        <c:v>130.73270194275923</c:v>
                      </c:pt>
                      <c:pt idx="58" formatCode="_-&quot;$&quot;* #,##0_-;\-&quot;$&quot;* #,##0_-;_-&quot;$&quot;* &quot;-&quot;??_-;_-@_-">
                        <c:v>131.1951975398521</c:v>
                      </c:pt>
                      <c:pt idx="59" formatCode="_-&quot;$&quot;* #,##0_-;\-&quot;$&quot;* #,##0_-;_-&quot;$&quot;* &quot;-&quot;??_-;_-@_-">
                        <c:v>127.27396480595732</c:v>
                      </c:pt>
                      <c:pt idx="60" formatCode="_-&quot;$&quot;* #,##0_-;\-&quot;$&quot;* #,##0_-;_-&quot;$&quot;* &quot;-&quot;??_-;_-@_-">
                        <c:v>123.35273207206254</c:v>
                      </c:pt>
                      <c:pt idx="61" formatCode="_-&quot;$&quot;* #,##0_-;\-&quot;$&quot;* #,##0_-;_-&quot;$&quot;* &quot;-&quot;??_-;_-@_-">
                        <c:v>119.43149933816777</c:v>
                      </c:pt>
                      <c:pt idx="62" formatCode="_-&quot;$&quot;* #,##0_-;\-&quot;$&quot;* #,##0_-;_-&quot;$&quot;* &quot;-&quot;??_-;_-@_-">
                        <c:v>119.38940682498104</c:v>
                      </c:pt>
                      <c:pt idx="63" formatCode="_-&quot;$&quot;* #,##0_-;\-&quot;$&quot;* #,##0_-;_-&quot;$&quot;* &quot;-&quot;??_-;_-@_-">
                        <c:v>119.34731431179431</c:v>
                      </c:pt>
                      <c:pt idx="64" formatCode="_-&quot;$&quot;* #,##0_-;\-&quot;$&quot;* #,##0_-;_-&quot;$&quot;* &quot;-&quot;??_-;_-@_-">
                        <c:v>119.30522179860758</c:v>
                      </c:pt>
                      <c:pt idx="65" formatCode="_-&quot;$&quot;* #,##0_-;\-&quot;$&quot;* #,##0_-;_-&quot;$&quot;* &quot;-&quot;??_-;_-@_-">
                        <c:v>119.26312928542083</c:v>
                      </c:pt>
                      <c:pt idx="66" formatCode="_-&quot;$&quot;* #,##0_-;\-&quot;$&quot;* #,##0_-;_-&quot;$&quot;* &quot;-&quot;??_-;_-@_-">
                        <c:v>118.16444052607775</c:v>
                      </c:pt>
                      <c:pt idx="67" formatCode="_-&quot;$&quot;* #,##0_-;\-&quot;$&quot;* #,##0_-;_-&quot;$&quot;* &quot;-&quot;??_-;_-@_-">
                        <c:v>117.06575176673468</c:v>
                      </c:pt>
                      <c:pt idx="68" formatCode="_-&quot;$&quot;* #,##0_-;\-&quot;$&quot;* #,##0_-;_-&quot;$&quot;* &quot;-&quot;??_-;_-@_-">
                        <c:v>115.9670630073916</c:v>
                      </c:pt>
                      <c:pt idx="69" formatCode="_-&quot;$&quot;* #,##0_-;\-&quot;$&quot;* #,##0_-;_-&quot;$&quot;* &quot;-&quot;??_-;_-@_-">
                        <c:v>114.86837424804853</c:v>
                      </c:pt>
                      <c:pt idx="70" formatCode="_-&quot;$&quot;* #,##0_-;\-&quot;$&quot;* #,##0_-;_-&quot;$&quot;* &quot;-&quot;??_-;_-@_-">
                        <c:v>113.76968548870545</c:v>
                      </c:pt>
                      <c:pt idx="71" formatCode="_-&quot;$&quot;* #,##0_-;\-&quot;$&quot;* #,##0_-;_-&quot;$&quot;* &quot;-&quot;??_-;_-@_-">
                        <c:v>112.67099672936237</c:v>
                      </c:pt>
                      <c:pt idx="72" formatCode="_-&quot;$&quot;* #,##0_-;\-&quot;$&quot;* #,##0_-;_-&quot;$&quot;* &quot;-&quot;??_-;_-@_-">
                        <c:v>111.5723079700193</c:v>
                      </c:pt>
                      <c:pt idx="73" formatCode="_-&quot;$&quot;* #,##0_-;\-&quot;$&quot;* #,##0_-;_-&quot;$&quot;* &quot;-&quot;??_-;_-@_-">
                        <c:v>110.47361921067622</c:v>
                      </c:pt>
                      <c:pt idx="74" formatCode="_-&quot;$&quot;* #,##0_-;\-&quot;$&quot;* #,##0_-;_-&quot;$&quot;* &quot;-&quot;??_-;_-@_-">
                        <c:v>109.37493045133314</c:v>
                      </c:pt>
                      <c:pt idx="75" formatCode="_-&quot;$&quot;* #,##0_-;\-&quot;$&quot;* #,##0_-;_-&quot;$&quot;* &quot;-&quot;??_-;_-@_-">
                        <c:v>108.27624169199007</c:v>
                      </c:pt>
                      <c:pt idx="76" formatCode="_-&quot;$&quot;* #,##0_-;\-&quot;$&quot;* #,##0_-;_-&quot;$&quot;* &quot;-&quot;??_-;_-@_-">
                        <c:v>107.17755293264699</c:v>
                      </c:pt>
                      <c:pt idx="77" formatCode="_-&quot;$&quot;* #,##0_-;\-&quot;$&quot;* #,##0_-;_-&quot;$&quot;* &quot;-&quot;??_-;_-@_-">
                        <c:v>106.07886417330386</c:v>
                      </c:pt>
                    </c:numCache>
                  </c:numRef>
                </c:val>
                <c:smooth val="0"/>
                <c:extLst xmlns:c15="http://schemas.microsoft.com/office/drawing/2012/chart">
                  <c:ext xmlns:c16="http://schemas.microsoft.com/office/drawing/2014/chart" uri="{C3380CC4-5D6E-409C-BE32-E72D297353CC}">
                    <c16:uniqueId val="{00000006-506F-4FF0-9578-D024A2FCD670}"/>
                  </c:ext>
                </c:extLst>
              </c15:ser>
            </c15:filteredLineSeries>
          </c:ext>
        </c:extLst>
      </c:lineChart>
      <c:dateAx>
        <c:axId val="18570046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1857000480"/>
        <c:crosses val="autoZero"/>
        <c:auto val="1"/>
        <c:lblOffset val="100"/>
        <c:baseTimeUnit val="months"/>
        <c:majorUnit val="12"/>
        <c:majorTimeUnit val="months"/>
      </c:dateAx>
      <c:valAx>
        <c:axId val="185700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1857004640"/>
        <c:crosses val="autoZero"/>
        <c:crossBetween val="between"/>
        <c:majorUnit val="100"/>
      </c:valAx>
      <c:spPr>
        <a:noFill/>
        <a:ln>
          <a:noFill/>
        </a:ln>
        <a:effectLst/>
      </c:spPr>
    </c:plotArea>
    <c:legend>
      <c:legendPos val="b"/>
      <c:layout>
        <c:manualLayout>
          <c:xMode val="edge"/>
          <c:yMode val="edge"/>
          <c:x val="4.9999911308675961E-2"/>
          <c:y val="0.90128519526825868"/>
          <c:w val="0.92027483667492682"/>
          <c:h val="6.93102470252967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Public Sans"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0.33092</cdr:x>
      <cdr:y>0.19982</cdr:y>
    </cdr:from>
    <cdr:to>
      <cdr:x>0.64165</cdr:x>
      <cdr:y>0.81105</cdr:y>
    </cdr:to>
    <cdr:sp macro="" textlink="">
      <cdr:nvSpPr>
        <cdr:cNvPr id="2" name="Oval 1"/>
        <cdr:cNvSpPr/>
      </cdr:nvSpPr>
      <cdr:spPr>
        <a:xfrm xmlns:a="http://schemas.openxmlformats.org/drawingml/2006/main">
          <a:off x="2460625" y="755650"/>
          <a:ext cx="2310534" cy="2311400"/>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70AD47"/>
    </a:accent1>
    <a:accent2>
      <a:srgbClr val="FF0000"/>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NE Treasury">
    <a:dk1>
      <a:srgbClr val="000000"/>
    </a:dk1>
    <a:lt1>
      <a:srgbClr val="FFFEFD"/>
    </a:lt1>
    <a:dk2>
      <a:srgbClr val="00416F"/>
    </a:dk2>
    <a:lt2>
      <a:srgbClr val="009383"/>
    </a:lt2>
    <a:accent1>
      <a:srgbClr val="008EBA"/>
    </a:accent1>
    <a:accent2>
      <a:srgbClr val="9ACA3C"/>
    </a:accent2>
    <a:accent3>
      <a:srgbClr val="00223E"/>
    </a:accent3>
    <a:accent4>
      <a:srgbClr val="53C8E9"/>
    </a:accent4>
    <a:accent5>
      <a:srgbClr val="4B5051"/>
    </a:accent5>
    <a:accent6>
      <a:srgbClr val="A50776"/>
    </a:accent6>
    <a:hlink>
      <a:srgbClr val="F99D24"/>
    </a:hlink>
    <a:folHlink>
      <a:srgbClr val="A5077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8" ma:contentTypeDescription="Create a new document." ma:contentTypeScope="" ma:versionID="b84699f8718cfaaccf8ae66a81ad7cf5">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b5bb7e07b68b4de85e92be5b8e3a6a2"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_Flow_SignoffStatus xmlns="1c478e85-8130-4c67-8ee4-8bdf1c0e6049" xsi:nil="true"/>
    <SharedWithUsers xmlns="801a5968-9419-4033-b9de-7ffe8168468e">
      <UserInfo>
        <DisplayName>Jack Wright</DisplayName>
        <AccountId>189</AccountId>
        <AccountType/>
      </UserInfo>
      <UserInfo>
        <DisplayName>Rhett Gibson</DisplayName>
        <AccountId>45</AccountId>
        <AccountType/>
      </UserInfo>
      <UserInfo>
        <DisplayName>Frank Crino</DisplayName>
        <AccountId>75</AccountId>
        <AccountType/>
      </UserInfo>
      <UserInfo>
        <DisplayName>Joann Wilkie</DisplayName>
        <AccountId>66</AccountId>
        <AccountType/>
      </UserInfo>
      <UserInfo>
        <DisplayName>Melissa Power</DisplayName>
        <AccountId>17</AccountId>
        <AccountType/>
      </UserInfo>
      <UserInfo>
        <DisplayName>Liz Livingstone</DisplayName>
        <AccountId>3211</AccountId>
        <AccountType/>
      </UserInfo>
      <UserInfo>
        <DisplayName>Adam Sinclair</DisplayName>
        <AccountId>843</AccountId>
        <AccountType/>
      </UserInfo>
      <UserInfo>
        <DisplayName>Michael Warlters</DisplayName>
        <AccountId>52</AccountId>
        <AccountType/>
      </UserInfo>
      <UserInfo>
        <DisplayName>Nick Hordern</DisplayName>
        <AccountId>283</AccountId>
        <AccountType/>
      </UserInfo>
      <UserInfo>
        <DisplayName>Aaron MacDonald</DisplayName>
        <AccountId>3634</AccountId>
        <AccountType/>
      </UserInfo>
      <UserInfo>
        <DisplayName>Nixon Teo</DisplayName>
        <AccountId>2174</AccountId>
        <AccountType/>
      </UserInfo>
      <UserInfo>
        <DisplayName>Francess Lavorato</DisplayName>
        <AccountId>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FECCD-8F10-41B7-BA91-825C7E620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E9FD7-6E6C-41F1-AB66-B4A654C66101}">
  <ds:schemaRefs>
    <ds:schemaRef ds:uri="http://purl.org/dc/terms/"/>
    <ds:schemaRef ds:uri="http://schemas.microsoft.com/office/infopath/2007/PartnerControls"/>
    <ds:schemaRef ds:uri="http://schemas.microsoft.com/office/2006/metadata/properties"/>
    <ds:schemaRef ds:uri="1c478e85-8130-4c67-8ee4-8bdf1c0e6049"/>
    <ds:schemaRef ds:uri="http://schemas.openxmlformats.org/package/2006/metadata/core-properties"/>
    <ds:schemaRef ds:uri="http://schemas.microsoft.com/office/2006/documentManagement/types"/>
    <ds:schemaRef ds:uri="801a5968-9419-4033-b9de-7ffe8168468e"/>
    <ds:schemaRef ds:uri="http://www.w3.org/XML/1998/namespace"/>
    <ds:schemaRef ds:uri="http://purl.org/dc/dcmitype/"/>
    <ds:schemaRef ds:uri="http://purl.org/dc/elements/1.1/"/>
    <ds:schemaRef ds:uri="9f0ac7ce-5f57-4ea0-9af7-01d4f3f1ccae"/>
  </ds:schemaRefs>
</ds:datastoreItem>
</file>

<file path=customXml/itemProps3.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4.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6329</Words>
  <Characters>36077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2023-24 Budget Paper No. 1 - Budget Statement - Chapter 4 - Revenue</vt:lpstr>
    </vt:vector>
  </TitlesOfParts>
  <Company>NSW Treasury</Company>
  <LinksUpToDate>false</LinksUpToDate>
  <CharactersWithSpaces>42322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Budget Paper No. 1 - Budget Statement - Chapter 4 - Revenue</dc:title>
  <dc:subject/>
  <dc:creator>NSWTreasury@nswgov.onmicrosoft.com</dc:creator>
  <cp:keywords/>
  <cp:lastModifiedBy>Nixon Teo</cp:lastModifiedBy>
  <cp:revision>2</cp:revision>
  <cp:lastPrinted>2023-08-27T22:44:00Z</cp:lastPrinted>
  <dcterms:created xsi:type="dcterms:W3CDTF">2023-10-30T05:55:00Z</dcterms:created>
  <dcterms:modified xsi:type="dcterms:W3CDTF">2023-10-30T05:55:00Z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ies>
</file>