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390A9" w14:textId="7771A581" w:rsidR="001A33E6" w:rsidRPr="00E00B03" w:rsidRDefault="0008672B" w:rsidP="00481B12">
      <w:pPr>
        <w:pStyle w:val="Heading1"/>
        <w:numPr>
          <w:ilvl w:val="0"/>
          <w:numId w:val="0"/>
        </w:numPr>
        <w:tabs>
          <w:tab w:val="left" w:pos="6410"/>
        </w:tabs>
        <w:ind w:left="709" w:hanging="709"/>
      </w:pPr>
      <w:r w:rsidRPr="00E00B03">
        <w:t>4</w:t>
      </w:r>
      <w:r w:rsidR="007563DF" w:rsidRPr="00E00B03">
        <w:t>.</w:t>
      </w:r>
      <w:r w:rsidR="007563DF" w:rsidRPr="00E00B03">
        <w:tab/>
      </w:r>
      <w:r w:rsidR="00621373" w:rsidRPr="00E00B03">
        <w:t>Revenue</w:t>
      </w:r>
    </w:p>
    <w:tbl>
      <w:tblPr>
        <w:tblW w:w="9615" w:type="dxa"/>
        <w:shd w:val="pct5" w:color="auto" w:fill="FFFFFF" w:themeFill="background1"/>
        <w:tblLayout w:type="fixed"/>
        <w:tblCellMar>
          <w:left w:w="0" w:type="dxa"/>
          <w:right w:w="0" w:type="dxa"/>
        </w:tblCellMar>
        <w:tblLook w:val="04A0" w:firstRow="1" w:lastRow="0" w:firstColumn="1" w:lastColumn="0" w:noHBand="0" w:noVBand="1"/>
      </w:tblPr>
      <w:tblGrid>
        <w:gridCol w:w="9615"/>
      </w:tblGrid>
      <w:tr w:rsidR="007563DF" w:rsidRPr="00951653" w14:paraId="5E7A1D11" w14:textId="77777777" w:rsidTr="00014275">
        <w:trPr>
          <w:trHeight w:val="8889"/>
        </w:trPr>
        <w:tc>
          <w:tcPr>
            <w:tcW w:w="9615" w:type="dxa"/>
            <w:shd w:val="pct5" w:color="auto" w:fill="FFFFFF" w:themeFill="background1"/>
            <w:tcMar>
              <w:top w:w="0" w:type="dxa"/>
              <w:left w:w="108" w:type="dxa"/>
              <w:bottom w:w="0" w:type="dxa"/>
              <w:right w:w="108" w:type="dxa"/>
            </w:tcMar>
          </w:tcPr>
          <w:p w14:paraId="2D945A73" w14:textId="4BA139E9" w:rsidR="005F47F7" w:rsidRDefault="001234A8" w:rsidP="001321A1">
            <w:pPr>
              <w:pStyle w:val="Bullet1inabox"/>
            </w:pPr>
            <w:r>
              <w:t xml:space="preserve">Estimated </w:t>
            </w:r>
            <w:r w:rsidR="00611081">
              <w:t>s</w:t>
            </w:r>
            <w:r w:rsidR="00D92FFC" w:rsidRPr="00951653">
              <w:t xml:space="preserve">tate revenue </w:t>
            </w:r>
            <w:r w:rsidR="00724F40">
              <w:t xml:space="preserve">for 2021-22 </w:t>
            </w:r>
            <w:r w:rsidR="00D92FFC" w:rsidRPr="00951653">
              <w:t xml:space="preserve">has been </w:t>
            </w:r>
            <w:r w:rsidR="001871B3" w:rsidRPr="001871B3">
              <w:t>revised upwards</w:t>
            </w:r>
            <w:r w:rsidR="00D92FFC" w:rsidRPr="00951653">
              <w:t xml:space="preserve"> by </w:t>
            </w:r>
            <w:r w:rsidR="00977570" w:rsidRPr="00984D19">
              <w:t>$</w:t>
            </w:r>
            <w:r w:rsidR="00775944" w:rsidRPr="00984D19">
              <w:t>2.</w:t>
            </w:r>
            <w:r w:rsidR="00B246FF">
              <w:t>5</w:t>
            </w:r>
            <w:r w:rsidR="00977570" w:rsidRPr="00984D19">
              <w:t xml:space="preserve"> billion (</w:t>
            </w:r>
            <w:r w:rsidR="00693D86" w:rsidRPr="00984D19">
              <w:t>2.</w:t>
            </w:r>
            <w:r w:rsidR="00B246FF">
              <w:t>5</w:t>
            </w:r>
            <w:r w:rsidR="00977570" w:rsidRPr="00984D19">
              <w:t xml:space="preserve"> per cent)</w:t>
            </w:r>
            <w:r w:rsidR="00977570">
              <w:t xml:space="preserve"> and by an additional </w:t>
            </w:r>
            <w:r w:rsidR="00D92FFC" w:rsidRPr="00C1521A">
              <w:t>$</w:t>
            </w:r>
            <w:r w:rsidR="00962345" w:rsidRPr="00C1521A">
              <w:t>2</w:t>
            </w:r>
            <w:r w:rsidR="00B246FF">
              <w:t>5</w:t>
            </w:r>
            <w:r w:rsidR="00962345" w:rsidRPr="00C1521A">
              <w:t>.</w:t>
            </w:r>
            <w:r w:rsidR="00B246FF">
              <w:t>7</w:t>
            </w:r>
            <w:r w:rsidR="00D92FFC" w:rsidRPr="00C1521A">
              <w:t xml:space="preserve"> billion</w:t>
            </w:r>
            <w:r w:rsidR="00D92FFC" w:rsidRPr="00951653">
              <w:t xml:space="preserve"> </w:t>
            </w:r>
            <w:r w:rsidR="007B529B" w:rsidRPr="00C1521A">
              <w:t>(</w:t>
            </w:r>
            <w:r w:rsidR="00A669F2" w:rsidRPr="00C1521A">
              <w:t>6</w:t>
            </w:r>
            <w:r w:rsidR="00962345" w:rsidRPr="00C1521A">
              <w:t>.</w:t>
            </w:r>
            <w:r w:rsidR="00B246FF">
              <w:t>3</w:t>
            </w:r>
            <w:r w:rsidR="007B529B" w:rsidRPr="00C1521A">
              <w:t xml:space="preserve"> per cent)</w:t>
            </w:r>
            <w:r w:rsidR="007B529B" w:rsidRPr="00951653">
              <w:t xml:space="preserve"> </w:t>
            </w:r>
            <w:r w:rsidR="00D92FFC" w:rsidRPr="00951653">
              <w:t>over the four years to 202</w:t>
            </w:r>
            <w:r w:rsidR="00E00B03" w:rsidRPr="00951653">
              <w:t>5</w:t>
            </w:r>
            <w:r w:rsidR="00E00B03" w:rsidRPr="00951653">
              <w:noBreakHyphen/>
            </w:r>
            <w:r w:rsidR="00D92FFC" w:rsidRPr="00951653">
              <w:t>2</w:t>
            </w:r>
            <w:r w:rsidR="00E00B03" w:rsidRPr="00951653">
              <w:t>6</w:t>
            </w:r>
            <w:r w:rsidR="00AE2B74" w:rsidRPr="00951653">
              <w:t xml:space="preserve"> since the 202</w:t>
            </w:r>
            <w:r w:rsidR="00E00B03" w:rsidRPr="00951653">
              <w:t>1</w:t>
            </w:r>
            <w:r w:rsidR="00DF64F2">
              <w:noBreakHyphen/>
            </w:r>
            <w:r w:rsidR="00AE2B74" w:rsidRPr="00951653">
              <w:t>2</w:t>
            </w:r>
            <w:r w:rsidR="00E00B03" w:rsidRPr="00951653">
              <w:t>2</w:t>
            </w:r>
            <w:r w:rsidR="00AE2B74" w:rsidRPr="00951653">
              <w:t xml:space="preserve"> Half</w:t>
            </w:r>
            <w:r w:rsidR="3F6178DA" w:rsidRPr="00951653">
              <w:t>-</w:t>
            </w:r>
            <w:r w:rsidR="00AE2B74" w:rsidRPr="00951653">
              <w:t>Yearly Review</w:t>
            </w:r>
            <w:r w:rsidR="00D92FFC" w:rsidRPr="00951653">
              <w:t xml:space="preserve">. </w:t>
            </w:r>
            <w:r w:rsidR="008D5581">
              <w:t>T</w:t>
            </w:r>
            <w:r w:rsidR="00EB07FA">
              <w:t>h</w:t>
            </w:r>
            <w:r w:rsidR="00E24F62">
              <w:t>e</w:t>
            </w:r>
            <w:r w:rsidR="00EB07FA">
              <w:t xml:space="preserve"> key drivers of </w:t>
            </w:r>
            <w:r w:rsidR="00091BAA">
              <w:t xml:space="preserve">the </w:t>
            </w:r>
            <w:r w:rsidR="00B845A9" w:rsidRPr="00B845A9">
              <w:t xml:space="preserve">upwards revisions to estimated </w:t>
            </w:r>
            <w:r w:rsidR="00EB07FA">
              <w:t>revenue</w:t>
            </w:r>
            <w:r w:rsidR="00BC059E">
              <w:t>, in order of magnitude,</w:t>
            </w:r>
            <w:r w:rsidR="00091BAA">
              <w:t xml:space="preserve"> </w:t>
            </w:r>
            <w:r w:rsidR="003C4275">
              <w:t>are</w:t>
            </w:r>
            <w:r w:rsidR="00B845A9">
              <w:t>:</w:t>
            </w:r>
            <w:r w:rsidR="00091BAA">
              <w:t xml:space="preserve"> </w:t>
            </w:r>
            <w:r w:rsidR="003B3268">
              <w:t>New South Wales</w:t>
            </w:r>
            <w:r w:rsidR="00B23AD7">
              <w:t>’ increased</w:t>
            </w:r>
            <w:r w:rsidR="003B3268">
              <w:t xml:space="preserve"> share of GST</w:t>
            </w:r>
            <w:r w:rsidR="0097522B">
              <w:t xml:space="preserve"> and upwards revisions to national consumption expenditure;</w:t>
            </w:r>
            <w:r w:rsidR="00BC059E">
              <w:t xml:space="preserve"> </w:t>
            </w:r>
            <w:r w:rsidR="006E17C6">
              <w:t>higher commodity prices</w:t>
            </w:r>
            <w:r w:rsidR="00E11B36">
              <w:t xml:space="preserve">; </w:t>
            </w:r>
            <w:r w:rsidR="006E17C6">
              <w:t>growth in inflation</w:t>
            </w:r>
            <w:r w:rsidR="00E11B36">
              <w:t xml:space="preserve"> and wages;</w:t>
            </w:r>
            <w:r w:rsidR="006E17C6">
              <w:t xml:space="preserve"> </w:t>
            </w:r>
            <w:r w:rsidR="00534982">
              <w:t>greater</w:t>
            </w:r>
            <w:r w:rsidR="006E17C6">
              <w:t xml:space="preserve"> </w:t>
            </w:r>
            <w:r w:rsidR="00146807">
              <w:t>strength in the property market</w:t>
            </w:r>
            <w:r w:rsidR="00650D24">
              <w:t xml:space="preserve"> in the first months of 2022;</w:t>
            </w:r>
            <w:r w:rsidR="00146807">
              <w:t xml:space="preserve"> </w:t>
            </w:r>
            <w:r w:rsidR="00C94B2C">
              <w:t xml:space="preserve">and </w:t>
            </w:r>
            <w:r w:rsidR="00091BAA">
              <w:t>stronger underlying economic conditions</w:t>
            </w:r>
            <w:r w:rsidR="005F47F7">
              <w:t>.</w:t>
            </w:r>
          </w:p>
          <w:p w14:paraId="7EE82179" w14:textId="306CD69A" w:rsidR="002C735F" w:rsidRPr="00EA5C33" w:rsidRDefault="002C735F" w:rsidP="002C735F">
            <w:pPr>
              <w:pStyle w:val="Bullet2inabox"/>
            </w:pPr>
            <w:r w:rsidRPr="000D2B07">
              <w:rPr>
                <w:b/>
                <w:bCs/>
              </w:rPr>
              <w:t>GST</w:t>
            </w:r>
            <w:r>
              <w:t>:</w:t>
            </w:r>
            <w:r w:rsidRPr="00EA5C33">
              <w:t xml:space="preserve"> </w:t>
            </w:r>
            <w:r w:rsidRPr="008548B8">
              <w:t xml:space="preserve">New South Wales </w:t>
            </w:r>
            <w:r>
              <w:t xml:space="preserve">will </w:t>
            </w:r>
            <w:r w:rsidRPr="008548B8">
              <w:t xml:space="preserve">receive </w:t>
            </w:r>
            <w:r>
              <w:t>a</w:t>
            </w:r>
            <w:r w:rsidRPr="008548B8">
              <w:t xml:space="preserve"> </w:t>
            </w:r>
            <w:r w:rsidR="00215FE4">
              <w:t xml:space="preserve">higher </w:t>
            </w:r>
            <w:r w:rsidRPr="008548B8">
              <w:t xml:space="preserve">share of the </w:t>
            </w:r>
            <w:r w:rsidR="00E82A34">
              <w:t xml:space="preserve">national </w:t>
            </w:r>
            <w:r w:rsidRPr="008548B8">
              <w:t xml:space="preserve">GST than expected </w:t>
            </w:r>
            <w:r>
              <w:t>at</w:t>
            </w:r>
            <w:r w:rsidRPr="008548B8">
              <w:t xml:space="preserve"> the 2021-22 Half-Yearly Review. </w:t>
            </w:r>
            <w:r w:rsidR="002C6FBF">
              <w:t>Updated relativ</w:t>
            </w:r>
            <w:r w:rsidR="002829AB">
              <w:t>iti</w:t>
            </w:r>
            <w:r w:rsidR="002C6FBF">
              <w:t xml:space="preserve">es </w:t>
            </w:r>
            <w:r w:rsidR="008B6B13">
              <w:t xml:space="preserve">for 2022-23 </w:t>
            </w:r>
            <w:r w:rsidR="002C6FBF">
              <w:t>assessed by the Commonwealth Grants Commission will see NSW receiving overall GST payments slightly (1.4 per cent) above its population share in 2022-23.</w:t>
            </w:r>
          </w:p>
          <w:p w14:paraId="7C3DFDBC" w14:textId="1E584472" w:rsidR="00841A94" w:rsidRPr="00DE7530" w:rsidRDefault="00841A94" w:rsidP="00841A94">
            <w:pPr>
              <w:pStyle w:val="Bullet2inabox"/>
            </w:pPr>
            <w:r w:rsidRPr="00D74A0F">
              <w:rPr>
                <w:b/>
                <w:bCs/>
              </w:rPr>
              <w:t>Inflation</w:t>
            </w:r>
            <w:r w:rsidR="00C21AA7">
              <w:rPr>
                <w:b/>
                <w:bCs/>
              </w:rPr>
              <w:t>, wages</w:t>
            </w:r>
            <w:r>
              <w:rPr>
                <w:b/>
                <w:bCs/>
              </w:rPr>
              <w:t xml:space="preserve"> and commodity prices</w:t>
            </w:r>
            <w:r>
              <w:t xml:space="preserve">: Higher </w:t>
            </w:r>
            <w:r w:rsidR="006613F6">
              <w:t xml:space="preserve">price and wages </w:t>
            </w:r>
            <w:r>
              <w:t xml:space="preserve">inflation </w:t>
            </w:r>
            <w:r w:rsidR="00482DB5">
              <w:t>has resulted in upwards revisions</w:t>
            </w:r>
            <w:r w:rsidRPr="00D74A0F">
              <w:t xml:space="preserve"> to </w:t>
            </w:r>
            <w:r w:rsidR="00482DB5">
              <w:t xml:space="preserve">forecast </w:t>
            </w:r>
            <w:r>
              <w:t>state</w:t>
            </w:r>
            <w:r w:rsidRPr="00D74A0F">
              <w:t xml:space="preserve"> revenues</w:t>
            </w:r>
            <w:r>
              <w:t>, especially</w:t>
            </w:r>
            <w:r w:rsidRPr="00142EBC">
              <w:t xml:space="preserve"> via </w:t>
            </w:r>
            <w:r>
              <w:t xml:space="preserve">the </w:t>
            </w:r>
            <w:r w:rsidRPr="00142EBC">
              <w:t>GST</w:t>
            </w:r>
            <w:r>
              <w:t xml:space="preserve"> pool</w:t>
            </w:r>
            <w:r w:rsidRPr="00142EBC">
              <w:t xml:space="preserve"> and </w:t>
            </w:r>
            <w:r>
              <w:t xml:space="preserve">through </w:t>
            </w:r>
            <w:r w:rsidRPr="00E013CC">
              <w:t>payroll tax</w:t>
            </w:r>
            <w:r>
              <w:t xml:space="preserve">. </w:t>
            </w:r>
            <w:r w:rsidRPr="00D74A0F">
              <w:t>Coal prices are at record high levels</w:t>
            </w:r>
            <w:r w:rsidRPr="00DE7530">
              <w:t xml:space="preserve">, </w:t>
            </w:r>
            <w:r w:rsidR="0032086B" w:rsidRPr="0032086B">
              <w:t xml:space="preserve">driving significant upwards revisions to estimated coal royalties relative to estimates at the </w:t>
            </w:r>
            <w:r w:rsidR="0032086B">
              <w:t xml:space="preserve">2021-22 </w:t>
            </w:r>
            <w:r w:rsidR="0032086B" w:rsidRPr="0032086B">
              <w:t>Half</w:t>
            </w:r>
            <w:r w:rsidR="00851D3D">
              <w:t>-</w:t>
            </w:r>
            <w:r w:rsidR="0032086B" w:rsidRPr="0032086B">
              <w:t>Yearly Review.</w:t>
            </w:r>
          </w:p>
          <w:p w14:paraId="572E4DB7" w14:textId="2AB3307F" w:rsidR="0058574B" w:rsidRPr="0058574B" w:rsidRDefault="005F47F7" w:rsidP="003F5D7F">
            <w:pPr>
              <w:pStyle w:val="Bullet2inabox"/>
            </w:pPr>
            <w:r w:rsidRPr="00D74A0F">
              <w:rPr>
                <w:b/>
              </w:rPr>
              <w:t>Property market</w:t>
            </w:r>
            <w:r>
              <w:t>:</w:t>
            </w:r>
            <w:r w:rsidR="0058574B">
              <w:t xml:space="preserve"> </w:t>
            </w:r>
            <w:r w:rsidR="00FF638F">
              <w:t xml:space="preserve">The latter half of </w:t>
            </w:r>
            <w:r w:rsidR="0058574B">
              <w:t>202</w:t>
            </w:r>
            <w:r w:rsidR="00FF638F">
              <w:t>1</w:t>
            </w:r>
            <w:r w:rsidR="0058574B">
              <w:t>-2</w:t>
            </w:r>
            <w:r w:rsidR="0058574B" w:rsidRPr="003B63C2">
              <w:t xml:space="preserve">2 has seen </w:t>
            </w:r>
            <w:r w:rsidR="0058574B" w:rsidRPr="00D74A0F">
              <w:t xml:space="preserve">higher transfer duty receipts than </w:t>
            </w:r>
            <w:r w:rsidR="00EC6087">
              <w:t xml:space="preserve">previously </w:t>
            </w:r>
            <w:r w:rsidR="0058574B" w:rsidRPr="00D74A0F">
              <w:t>expected</w:t>
            </w:r>
            <w:r w:rsidR="0058574B" w:rsidRPr="003B63C2">
              <w:t xml:space="preserve">, due primarily to stronger than forecast </w:t>
            </w:r>
            <w:r w:rsidR="006D521E">
              <w:t xml:space="preserve">property </w:t>
            </w:r>
            <w:r w:rsidR="0058574B" w:rsidRPr="003B63C2">
              <w:t>price growth.</w:t>
            </w:r>
            <w:r w:rsidR="0058574B">
              <w:t xml:space="preserve"> </w:t>
            </w:r>
            <w:r w:rsidR="00EC6087">
              <w:t xml:space="preserve">However, interest rate rises are expected to slow </w:t>
            </w:r>
            <w:r w:rsidR="00A2603B">
              <w:t xml:space="preserve">property </w:t>
            </w:r>
            <w:r w:rsidR="00EC6087">
              <w:t>price growth in the future.</w:t>
            </w:r>
          </w:p>
          <w:p w14:paraId="062A2B4C" w14:textId="4EF9EEAA" w:rsidR="00DC484B" w:rsidRPr="00E117A4" w:rsidRDefault="008571DE" w:rsidP="001321A1">
            <w:pPr>
              <w:pStyle w:val="Bullet1inabox"/>
            </w:pPr>
            <w:r w:rsidRPr="00965AA6">
              <w:t>Th</w:t>
            </w:r>
            <w:r>
              <w:t>e</w:t>
            </w:r>
            <w:r w:rsidRPr="00965AA6">
              <w:t xml:space="preserve"> </w:t>
            </w:r>
            <w:r w:rsidR="00132505">
              <w:t>Government will</w:t>
            </w:r>
            <w:r w:rsidR="00965AA6" w:rsidRPr="00965AA6">
              <w:t xml:space="preserve"> reform betting taxes to achieve </w:t>
            </w:r>
            <w:r w:rsidR="00CB1099" w:rsidRPr="00CB1099">
              <w:t>competitively neutral tax rates</w:t>
            </w:r>
            <w:r w:rsidR="00965AA6" w:rsidRPr="00965AA6">
              <w:t xml:space="preserve"> across online and offline betting products, support a sustainable racing industry and enhance the funding of programs to address harms associated with online gambling activity.</w:t>
            </w:r>
          </w:p>
          <w:p w14:paraId="76E1DB6B" w14:textId="6F81F9F6" w:rsidR="009D7044" w:rsidRPr="00965AA6" w:rsidRDefault="004C7A51" w:rsidP="001321A1">
            <w:pPr>
              <w:pStyle w:val="Bullet1inabox"/>
            </w:pPr>
            <w:r>
              <w:t>The Government will</w:t>
            </w:r>
            <w:r w:rsidR="009D7044" w:rsidRPr="009D7044">
              <w:t xml:space="preserve"> </w:t>
            </w:r>
            <w:r w:rsidR="009D7044">
              <w:t xml:space="preserve">also </w:t>
            </w:r>
            <w:r w:rsidR="009D7044" w:rsidRPr="009D7044">
              <w:t>introduc</w:t>
            </w:r>
            <w:r w:rsidR="009D7044">
              <w:t>e the</w:t>
            </w:r>
            <w:r w:rsidR="009D7044" w:rsidRPr="009D7044">
              <w:t xml:space="preserve"> option for eligible first home buyers to choose between transfer duty or an annual property tax when purchasing their home. This option would lower the upfront burden of paying transfer duty.</w:t>
            </w:r>
          </w:p>
          <w:p w14:paraId="20C38E40" w14:textId="7356221A" w:rsidR="00DC484B" w:rsidRPr="00951653" w:rsidRDefault="00212F15" w:rsidP="001321A1">
            <w:pPr>
              <w:pStyle w:val="Bullet1inabox"/>
            </w:pPr>
            <w:r>
              <w:t xml:space="preserve">Additional measures </w:t>
            </w:r>
            <w:r w:rsidR="004029FC">
              <w:t xml:space="preserve">which the Government will </w:t>
            </w:r>
            <w:r w:rsidR="0079572D">
              <w:t xml:space="preserve">implement </w:t>
            </w:r>
            <w:r w:rsidR="00826704">
              <w:t xml:space="preserve">include </w:t>
            </w:r>
            <w:r w:rsidR="004619E2">
              <w:t>increas</w:t>
            </w:r>
            <w:r w:rsidR="00826704">
              <w:t>ing</w:t>
            </w:r>
            <w:r w:rsidR="004619E2">
              <w:t xml:space="preserve"> </w:t>
            </w:r>
            <w:r w:rsidR="005C5A5E" w:rsidRPr="005C5A5E">
              <w:t xml:space="preserve">the foreign investor land tax surcharge </w:t>
            </w:r>
            <w:r w:rsidR="0079572D">
              <w:t>and</w:t>
            </w:r>
            <w:r>
              <w:t xml:space="preserve"> </w:t>
            </w:r>
            <w:r w:rsidRPr="00212F15">
              <w:t>offer</w:t>
            </w:r>
            <w:r w:rsidR="00826704">
              <w:t>ing</w:t>
            </w:r>
            <w:r w:rsidRPr="00212F15">
              <w:t xml:space="preserve"> grant payments and payroll tax exemptions to encourage businesses of future industries to establish or expand in N</w:t>
            </w:r>
            <w:r w:rsidR="00826704">
              <w:t xml:space="preserve">ew </w:t>
            </w:r>
            <w:r w:rsidRPr="00212F15">
              <w:t>S</w:t>
            </w:r>
            <w:r w:rsidR="00826704">
              <w:t xml:space="preserve">outh </w:t>
            </w:r>
            <w:r w:rsidRPr="00212F15">
              <w:t>W</w:t>
            </w:r>
            <w:r w:rsidR="00826704">
              <w:t>ales</w:t>
            </w:r>
            <w:r w:rsidRPr="00212F15">
              <w:t>.</w:t>
            </w:r>
          </w:p>
        </w:tc>
      </w:tr>
    </w:tbl>
    <w:p w14:paraId="29880227" w14:textId="77777777" w:rsidR="007D030B" w:rsidRPr="00951653" w:rsidRDefault="007D030B" w:rsidP="007D030B"/>
    <w:p w14:paraId="08D8501D" w14:textId="77777777" w:rsidR="00C5090D" w:rsidRDefault="00C5090D" w:rsidP="004E2405">
      <w:r>
        <w:br w:type="page"/>
      </w:r>
    </w:p>
    <w:p w14:paraId="41FA6A46" w14:textId="5903FB9B" w:rsidR="0020767D" w:rsidRPr="00951653" w:rsidRDefault="0020767D" w:rsidP="003F2445">
      <w:pPr>
        <w:pStyle w:val="41Heading2"/>
      </w:pPr>
      <w:r w:rsidRPr="00951653">
        <w:lastRenderedPageBreak/>
        <w:t>Revenue</w:t>
      </w:r>
    </w:p>
    <w:p w14:paraId="3ECBE75B" w14:textId="3014B41A" w:rsidR="0020767D" w:rsidRPr="00951653" w:rsidRDefault="0020767D" w:rsidP="0020767D">
      <w:pPr>
        <w:pStyle w:val="Heading3"/>
        <w:numPr>
          <w:ilvl w:val="2"/>
          <w:numId w:val="0"/>
        </w:numPr>
        <w:ind w:left="720" w:hanging="720"/>
        <w:rPr>
          <w:rFonts w:eastAsiaTheme="minorEastAsia" w:hint="eastAsia"/>
        </w:rPr>
      </w:pPr>
      <w:r w:rsidRPr="00951653">
        <w:t xml:space="preserve">The </w:t>
      </w:r>
      <w:r w:rsidR="00360711" w:rsidRPr="00951653">
        <w:t xml:space="preserve">updated </w:t>
      </w:r>
      <w:r w:rsidRPr="00951653">
        <w:t>202</w:t>
      </w:r>
      <w:r w:rsidR="00951653">
        <w:t>1</w:t>
      </w:r>
      <w:r w:rsidRPr="00951653">
        <w:t>-2</w:t>
      </w:r>
      <w:r w:rsidR="00951653">
        <w:t>2</w:t>
      </w:r>
      <w:r w:rsidRPr="00951653">
        <w:t xml:space="preserve"> revenue position</w:t>
      </w:r>
    </w:p>
    <w:p w14:paraId="2F77656D" w14:textId="41DCBBF0" w:rsidR="0020767D" w:rsidRPr="007E5E56" w:rsidRDefault="005948A0" w:rsidP="003426A4">
      <w:pPr>
        <w:pStyle w:val="BodyText"/>
        <w:rPr>
          <w:rFonts w:eastAsiaTheme="minorEastAsia"/>
          <w:i/>
        </w:rPr>
      </w:pPr>
      <w:r>
        <w:t>General g</w:t>
      </w:r>
      <w:r w:rsidRPr="00951653">
        <w:t xml:space="preserve">overnment </w:t>
      </w:r>
      <w:r w:rsidR="00FB1F1E">
        <w:t>sector</w:t>
      </w:r>
      <w:r w:rsidR="0020767D" w:rsidRPr="00951653">
        <w:t xml:space="preserve"> revenue is </w:t>
      </w:r>
      <w:r w:rsidR="00B115DB" w:rsidRPr="00951653">
        <w:t>projected</w:t>
      </w:r>
      <w:r w:rsidR="008D0C57" w:rsidRPr="00951653">
        <w:t xml:space="preserve"> to increase by </w:t>
      </w:r>
      <w:r w:rsidR="00D55535" w:rsidRPr="008F51AA">
        <w:t>1</w:t>
      </w:r>
      <w:r w:rsidR="00AD4290">
        <w:t>7</w:t>
      </w:r>
      <w:r w:rsidR="00D55535" w:rsidRPr="008F51AA">
        <w:t>.</w:t>
      </w:r>
      <w:r w:rsidR="00AD4290">
        <w:t>9</w:t>
      </w:r>
      <w:r w:rsidR="00246FCF" w:rsidRPr="008F51AA">
        <w:t xml:space="preserve"> per cent</w:t>
      </w:r>
      <w:r w:rsidR="00246FCF" w:rsidRPr="00951653">
        <w:t xml:space="preserve"> </w:t>
      </w:r>
      <w:r w:rsidR="000B419E" w:rsidRPr="00951653">
        <w:t>in 202</w:t>
      </w:r>
      <w:r w:rsidR="00951653">
        <w:t>1</w:t>
      </w:r>
      <w:r w:rsidR="000B419E" w:rsidRPr="00951653">
        <w:t>-2</w:t>
      </w:r>
      <w:r w:rsidR="00951653">
        <w:t>2</w:t>
      </w:r>
      <w:r w:rsidR="000B419E" w:rsidRPr="00951653">
        <w:t xml:space="preserve"> </w:t>
      </w:r>
      <w:r w:rsidR="0020767D" w:rsidRPr="00951653">
        <w:t xml:space="preserve">to be </w:t>
      </w:r>
      <w:r w:rsidR="0020767D" w:rsidRPr="008F51AA">
        <w:t>$</w:t>
      </w:r>
      <w:r w:rsidR="001F59CF" w:rsidRPr="008F51AA">
        <w:t>103.</w:t>
      </w:r>
      <w:r w:rsidR="00AD4290">
        <w:t>7</w:t>
      </w:r>
      <w:r w:rsidR="0020767D" w:rsidRPr="008F51AA">
        <w:t xml:space="preserve"> billion</w:t>
      </w:r>
      <w:r w:rsidR="000B419E" w:rsidRPr="00951653">
        <w:t>.</w:t>
      </w:r>
      <w:r w:rsidR="009D0056" w:rsidRPr="00951653">
        <w:t xml:space="preserve"> Th</w:t>
      </w:r>
      <w:r w:rsidR="00E32500" w:rsidRPr="00951653">
        <w:t>is</w:t>
      </w:r>
      <w:r w:rsidR="009D0056" w:rsidRPr="00951653">
        <w:t xml:space="preserve"> is </w:t>
      </w:r>
      <w:r w:rsidR="0020767D" w:rsidRPr="008F51AA">
        <w:t>$</w:t>
      </w:r>
      <w:r w:rsidR="00792ABC" w:rsidRPr="008F51AA">
        <w:t>2.</w:t>
      </w:r>
      <w:r w:rsidR="00AD4290">
        <w:t>5</w:t>
      </w:r>
      <w:r w:rsidR="0020767D" w:rsidRPr="008F51AA">
        <w:t xml:space="preserve"> </w:t>
      </w:r>
      <w:r w:rsidR="00301BC2" w:rsidRPr="008F51AA">
        <w:t>billion</w:t>
      </w:r>
      <w:r w:rsidR="008D40AC" w:rsidRPr="008F51AA">
        <w:t xml:space="preserve"> (</w:t>
      </w:r>
      <w:r w:rsidR="00726D38" w:rsidRPr="008F51AA">
        <w:t>2.</w:t>
      </w:r>
      <w:r w:rsidR="00AD4290">
        <w:t>5</w:t>
      </w:r>
      <w:r w:rsidR="008D40AC" w:rsidRPr="008F51AA">
        <w:t> per cent)</w:t>
      </w:r>
      <w:r w:rsidR="0020767D" w:rsidRPr="00951653">
        <w:t xml:space="preserve"> higher than forecast at the </w:t>
      </w:r>
      <w:r w:rsidR="003A2B91" w:rsidRPr="00951653">
        <w:t>202</w:t>
      </w:r>
      <w:r w:rsidR="00951653">
        <w:t>1</w:t>
      </w:r>
      <w:r w:rsidR="00EC47CE" w:rsidRPr="00951653">
        <w:noBreakHyphen/>
      </w:r>
      <w:r w:rsidR="003A2B91" w:rsidRPr="00951653">
        <w:t>2</w:t>
      </w:r>
      <w:r w:rsidR="00951653">
        <w:t>2</w:t>
      </w:r>
      <w:r w:rsidR="0020767D" w:rsidRPr="00951653">
        <w:t xml:space="preserve"> Half</w:t>
      </w:r>
      <w:r w:rsidR="00520A52" w:rsidRPr="00951653">
        <w:t>-</w:t>
      </w:r>
      <w:r w:rsidR="0020767D" w:rsidRPr="00951653">
        <w:t>Yearly Review</w:t>
      </w:r>
      <w:r w:rsidR="00FB4671" w:rsidRPr="00951653">
        <w:t>.</w:t>
      </w:r>
      <w:r w:rsidR="00426702" w:rsidRPr="00951653">
        <w:rPr>
          <w:rStyle w:val="FootnoteReference"/>
        </w:rPr>
        <w:footnoteReference w:id="2"/>
      </w:r>
      <w:r w:rsidR="0020767D" w:rsidRPr="00951653">
        <w:t xml:space="preserve"> The main </w:t>
      </w:r>
      <w:r w:rsidR="00783ADD">
        <w:t>components</w:t>
      </w:r>
      <w:r w:rsidR="0020767D" w:rsidRPr="00951653">
        <w:t xml:space="preserve"> of the </w:t>
      </w:r>
      <w:r w:rsidR="009030FB" w:rsidRPr="00951653">
        <w:t xml:space="preserve">upwards revision </w:t>
      </w:r>
      <w:r w:rsidR="00551554" w:rsidRPr="00951653">
        <w:t xml:space="preserve">since the </w:t>
      </w:r>
      <w:r w:rsidR="003E6377">
        <w:t xml:space="preserve">2021-22 </w:t>
      </w:r>
      <w:r w:rsidR="00551554" w:rsidRPr="00951653">
        <w:t>Half-Yearly Review</w:t>
      </w:r>
      <w:r w:rsidR="0020767D" w:rsidRPr="00951653">
        <w:t xml:space="preserve"> are an increase of </w:t>
      </w:r>
      <w:r w:rsidR="0020767D" w:rsidRPr="004B4C62">
        <w:t>$</w:t>
      </w:r>
      <w:r w:rsidR="00405BA2" w:rsidRPr="004B4C62">
        <w:t>1.2</w:t>
      </w:r>
      <w:r w:rsidR="0020767D" w:rsidRPr="004B4C62">
        <w:t xml:space="preserve"> billion</w:t>
      </w:r>
      <w:r w:rsidR="0020767D" w:rsidRPr="00951653">
        <w:t xml:space="preserve"> in </w:t>
      </w:r>
      <w:r w:rsidR="00951653" w:rsidRPr="00951653">
        <w:t>transfer duty</w:t>
      </w:r>
      <w:r w:rsidR="0020767D" w:rsidRPr="00951653">
        <w:t xml:space="preserve">, an increase of </w:t>
      </w:r>
      <w:r w:rsidR="0020767D" w:rsidRPr="009149BA">
        <w:t>$</w:t>
      </w:r>
      <w:r w:rsidR="009149BA" w:rsidRPr="009149BA">
        <w:t>810</w:t>
      </w:r>
      <w:r w:rsidR="005153F7" w:rsidRPr="009149BA">
        <w:t>.</w:t>
      </w:r>
      <w:r w:rsidR="009149BA" w:rsidRPr="009149BA">
        <w:t>1</w:t>
      </w:r>
      <w:r w:rsidR="0020767D" w:rsidRPr="009149BA">
        <w:t xml:space="preserve"> </w:t>
      </w:r>
      <w:r w:rsidR="00951653" w:rsidRPr="009149BA">
        <w:t>m</w:t>
      </w:r>
      <w:r w:rsidR="0020767D" w:rsidRPr="009149BA">
        <w:t>illion</w:t>
      </w:r>
      <w:r w:rsidR="0020767D" w:rsidRPr="00951653">
        <w:t xml:space="preserve"> in </w:t>
      </w:r>
      <w:r w:rsidR="009030FB">
        <w:t xml:space="preserve">estimated </w:t>
      </w:r>
      <w:r w:rsidR="00951653">
        <w:t>royalties</w:t>
      </w:r>
      <w:r w:rsidR="0020767D" w:rsidRPr="00951653">
        <w:t xml:space="preserve"> and </w:t>
      </w:r>
      <w:r w:rsidR="000B7C3A" w:rsidRPr="00951653">
        <w:t xml:space="preserve">a </w:t>
      </w:r>
      <w:r w:rsidR="000B7C3A" w:rsidRPr="00D331B0">
        <w:t>$</w:t>
      </w:r>
      <w:r w:rsidR="00D84913" w:rsidRPr="00D331B0">
        <w:t>4</w:t>
      </w:r>
      <w:r w:rsidR="009149BA" w:rsidRPr="00D331B0">
        <w:t>36</w:t>
      </w:r>
      <w:r w:rsidR="00D84913" w:rsidRPr="00D331B0">
        <w:t>.</w:t>
      </w:r>
      <w:r w:rsidR="009149BA" w:rsidRPr="00D331B0">
        <w:t>8</w:t>
      </w:r>
      <w:r w:rsidR="000B7C3A" w:rsidRPr="00D331B0">
        <w:t xml:space="preserve"> million</w:t>
      </w:r>
      <w:r w:rsidR="000B7C3A" w:rsidRPr="00951653">
        <w:t xml:space="preserve"> increase in </w:t>
      </w:r>
      <w:r w:rsidR="009030FB">
        <w:t>estimated</w:t>
      </w:r>
      <w:r w:rsidR="000B7C3A" w:rsidRPr="00951653">
        <w:t xml:space="preserve"> </w:t>
      </w:r>
      <w:r w:rsidR="00951653" w:rsidRPr="00951653">
        <w:t>payroll tax</w:t>
      </w:r>
      <w:r w:rsidR="009030FB">
        <w:t xml:space="preserve"> revenue</w:t>
      </w:r>
      <w:r w:rsidR="0020767D" w:rsidRPr="007E5E56">
        <w:t xml:space="preserve">. </w:t>
      </w:r>
    </w:p>
    <w:p w14:paraId="127AD87F" w14:textId="31ED6882" w:rsidR="0020767D" w:rsidRPr="006D72CF" w:rsidRDefault="0020767D" w:rsidP="001B5A5F">
      <w:pPr>
        <w:pStyle w:val="Heading5"/>
        <w:rPr>
          <w:rFonts w:eastAsiaTheme="minorEastAsia"/>
          <w:i w:val="0"/>
          <w:iCs/>
          <w:sz w:val="26"/>
          <w:szCs w:val="26"/>
        </w:rPr>
      </w:pPr>
      <w:r w:rsidRPr="006D72CF">
        <w:rPr>
          <w:i w:val="0"/>
          <w:iCs/>
          <w:sz w:val="26"/>
          <w:szCs w:val="26"/>
        </w:rPr>
        <w:t xml:space="preserve">Revenue for the </w:t>
      </w:r>
      <w:r w:rsidR="00442246" w:rsidRPr="006D72CF">
        <w:rPr>
          <w:i w:val="0"/>
          <w:iCs/>
          <w:sz w:val="26"/>
          <w:szCs w:val="26"/>
        </w:rPr>
        <w:t>202</w:t>
      </w:r>
      <w:r w:rsidR="007E5E56" w:rsidRPr="006D72CF">
        <w:rPr>
          <w:i w:val="0"/>
          <w:iCs/>
          <w:sz w:val="26"/>
          <w:szCs w:val="26"/>
        </w:rPr>
        <w:t>2</w:t>
      </w:r>
      <w:r w:rsidR="00442246" w:rsidRPr="006D72CF">
        <w:rPr>
          <w:i w:val="0"/>
          <w:iCs/>
          <w:sz w:val="26"/>
          <w:szCs w:val="26"/>
        </w:rPr>
        <w:t>-2</w:t>
      </w:r>
      <w:r w:rsidR="007E5E56" w:rsidRPr="006D72CF">
        <w:rPr>
          <w:i w:val="0"/>
          <w:iCs/>
          <w:sz w:val="26"/>
          <w:szCs w:val="26"/>
        </w:rPr>
        <w:t>3</w:t>
      </w:r>
      <w:r w:rsidR="00442246" w:rsidRPr="006D72CF">
        <w:rPr>
          <w:i w:val="0"/>
          <w:iCs/>
          <w:sz w:val="26"/>
          <w:szCs w:val="26"/>
        </w:rPr>
        <w:t xml:space="preserve"> B</w:t>
      </w:r>
      <w:r w:rsidRPr="006D72CF">
        <w:rPr>
          <w:i w:val="0"/>
          <w:iCs/>
          <w:sz w:val="26"/>
          <w:szCs w:val="26"/>
        </w:rPr>
        <w:t xml:space="preserve">udget year </w:t>
      </w:r>
    </w:p>
    <w:p w14:paraId="38B8EE51" w14:textId="36A31C3B" w:rsidR="00467880" w:rsidRPr="007E5E56" w:rsidRDefault="00FD6117" w:rsidP="003426A4">
      <w:pPr>
        <w:pStyle w:val="BodyText"/>
        <w:rPr>
          <w:rFonts w:eastAsiaTheme="minorEastAsia"/>
          <w:i/>
          <w:szCs w:val="23"/>
        </w:rPr>
      </w:pPr>
      <w:r w:rsidRPr="797BF48D">
        <w:rPr>
          <w:rFonts w:eastAsiaTheme="minorEastAsia"/>
        </w:rPr>
        <w:t>General government sector revenue is estimated to total</w:t>
      </w:r>
      <w:r w:rsidR="00437989" w:rsidRPr="007E5E56">
        <w:rPr>
          <w:rFonts w:eastAsiaTheme="minorEastAsia"/>
          <w:szCs w:val="23"/>
        </w:rPr>
        <w:t xml:space="preserve"> </w:t>
      </w:r>
      <w:r w:rsidR="00437989" w:rsidRPr="004D4525">
        <w:rPr>
          <w:rFonts w:eastAsiaTheme="minorEastAsia"/>
          <w:szCs w:val="23"/>
        </w:rPr>
        <w:t>$</w:t>
      </w:r>
      <w:r w:rsidR="002152A4" w:rsidRPr="004D4525">
        <w:t>10</w:t>
      </w:r>
      <w:r w:rsidR="00AD4290">
        <w:t>3</w:t>
      </w:r>
      <w:r w:rsidR="002152A4" w:rsidRPr="004D4525">
        <w:t>.</w:t>
      </w:r>
      <w:r w:rsidR="00AD4290">
        <w:t>6</w:t>
      </w:r>
      <w:r w:rsidR="00437989" w:rsidRPr="004D4525">
        <w:rPr>
          <w:rFonts w:eastAsiaTheme="minorEastAsia"/>
          <w:szCs w:val="23"/>
        </w:rPr>
        <w:t xml:space="preserve"> billion</w:t>
      </w:r>
      <w:r w:rsidR="00437989" w:rsidRPr="007E5E56">
        <w:rPr>
          <w:rFonts w:eastAsiaTheme="minorEastAsia"/>
          <w:szCs w:val="23"/>
        </w:rPr>
        <w:t xml:space="preserve"> </w:t>
      </w:r>
      <w:r w:rsidR="0020767D" w:rsidRPr="007E5E56">
        <w:rPr>
          <w:rFonts w:eastAsiaTheme="minorEastAsia"/>
          <w:szCs w:val="23"/>
        </w:rPr>
        <w:t>in 202</w:t>
      </w:r>
      <w:r w:rsidR="007E5E56">
        <w:rPr>
          <w:rFonts w:eastAsiaTheme="minorEastAsia"/>
          <w:szCs w:val="23"/>
        </w:rPr>
        <w:t>2</w:t>
      </w:r>
      <w:r w:rsidR="0020767D" w:rsidRPr="007E5E56">
        <w:rPr>
          <w:rFonts w:eastAsiaTheme="minorEastAsia"/>
          <w:szCs w:val="23"/>
        </w:rPr>
        <w:t>-2</w:t>
      </w:r>
      <w:r w:rsidR="007E5E56">
        <w:rPr>
          <w:rFonts w:eastAsiaTheme="minorEastAsia"/>
          <w:szCs w:val="23"/>
        </w:rPr>
        <w:t>3</w:t>
      </w:r>
      <w:r w:rsidR="009264D0" w:rsidRPr="007E5E56">
        <w:t xml:space="preserve">. </w:t>
      </w:r>
      <w:r w:rsidR="003B4D26" w:rsidRPr="007E5E56">
        <w:t>As Chart 4.1 illustrates, t</w:t>
      </w:r>
      <w:r w:rsidR="009264D0" w:rsidRPr="007E5E56">
        <w:t>he main sources are</w:t>
      </w:r>
      <w:r w:rsidR="0020767D" w:rsidRPr="007E5E56">
        <w:t xml:space="preserve"> </w:t>
      </w:r>
      <w:r w:rsidR="003B4D26" w:rsidRPr="007E5E56">
        <w:t xml:space="preserve">taxation revenue </w:t>
      </w:r>
      <w:r w:rsidR="003B4D26" w:rsidRPr="004D4525">
        <w:t>(</w:t>
      </w:r>
      <w:r w:rsidR="00E96120" w:rsidRPr="004D4525">
        <w:t>3</w:t>
      </w:r>
      <w:r w:rsidR="00AD4290">
        <w:t>8</w:t>
      </w:r>
      <w:r w:rsidR="00E96120" w:rsidRPr="004D4525">
        <w:t>.</w:t>
      </w:r>
      <w:r w:rsidR="00AD4290">
        <w:t>3</w:t>
      </w:r>
      <w:r w:rsidR="000B0B0B" w:rsidRPr="004D4525">
        <w:t xml:space="preserve"> </w:t>
      </w:r>
      <w:r w:rsidR="00D0661C" w:rsidRPr="004D4525">
        <w:t>per cent</w:t>
      </w:r>
      <w:r w:rsidR="003B4D26" w:rsidRPr="004D4525">
        <w:t>)</w:t>
      </w:r>
      <w:r w:rsidR="003B4D26" w:rsidRPr="007E5E56">
        <w:t xml:space="preserve"> and Commonwealth and other grants </w:t>
      </w:r>
      <w:r w:rsidR="003B4D26" w:rsidRPr="004D4525">
        <w:t>(</w:t>
      </w:r>
      <w:r w:rsidR="00C90CAD" w:rsidRPr="004D4525">
        <w:t>41.</w:t>
      </w:r>
      <w:r w:rsidR="00AD4290">
        <w:t>4</w:t>
      </w:r>
      <w:r w:rsidR="002F5587" w:rsidRPr="004D4525">
        <w:t> </w:t>
      </w:r>
      <w:r w:rsidR="003B4D26" w:rsidRPr="004D4525">
        <w:t>per cent)</w:t>
      </w:r>
      <w:r w:rsidR="003B4D26" w:rsidRPr="007E5E56">
        <w:t>.</w:t>
      </w:r>
      <w:r w:rsidR="00D0661C" w:rsidRPr="007E5E56">
        <w:t xml:space="preserve"> </w:t>
      </w:r>
      <w:r w:rsidR="00E63451" w:rsidRPr="007E5E56">
        <w:t xml:space="preserve">The </w:t>
      </w:r>
      <w:r w:rsidR="00D100FD" w:rsidRPr="007E5E56">
        <w:t>202</w:t>
      </w:r>
      <w:r w:rsidR="007E5E56">
        <w:t>2</w:t>
      </w:r>
      <w:r w:rsidR="00D100FD" w:rsidRPr="007E5E56">
        <w:t>-2</w:t>
      </w:r>
      <w:r w:rsidR="007E5E56">
        <w:t>3</w:t>
      </w:r>
      <w:r w:rsidR="00D100FD" w:rsidRPr="007E5E56">
        <w:t xml:space="preserve"> outlook </w:t>
      </w:r>
      <w:r w:rsidR="0039523D" w:rsidRPr="007E5E56">
        <w:t xml:space="preserve">for </w:t>
      </w:r>
      <w:r w:rsidR="00ED70C7">
        <w:t>s</w:t>
      </w:r>
      <w:r w:rsidR="0039523D" w:rsidRPr="007E5E56">
        <w:t xml:space="preserve">tate revenue </w:t>
      </w:r>
      <w:r w:rsidR="00EF54EA" w:rsidRPr="007E5E56">
        <w:rPr>
          <w:rFonts w:eastAsiaTheme="minorEastAsia"/>
          <w:szCs w:val="23"/>
        </w:rPr>
        <w:t xml:space="preserve">is </w:t>
      </w:r>
      <w:r w:rsidR="004A0DC4" w:rsidRPr="004D4525">
        <w:rPr>
          <w:rFonts w:eastAsiaTheme="minorEastAsia"/>
          <w:szCs w:val="23"/>
        </w:rPr>
        <w:t>$</w:t>
      </w:r>
      <w:r w:rsidR="00AD4290">
        <w:rPr>
          <w:rFonts w:eastAsiaTheme="minorEastAsia"/>
          <w:szCs w:val="23"/>
        </w:rPr>
        <w:t>4</w:t>
      </w:r>
      <w:r w:rsidR="00D36B93" w:rsidRPr="004D4525">
        <w:rPr>
          <w:rFonts w:eastAsiaTheme="minorEastAsia"/>
          <w:szCs w:val="23"/>
        </w:rPr>
        <w:t>.</w:t>
      </w:r>
      <w:r w:rsidR="00AD4290">
        <w:rPr>
          <w:rFonts w:eastAsiaTheme="minorEastAsia"/>
          <w:szCs w:val="23"/>
        </w:rPr>
        <w:t>1</w:t>
      </w:r>
      <w:r w:rsidR="004A0DC4" w:rsidRPr="004D4525">
        <w:rPr>
          <w:rFonts w:eastAsiaTheme="minorEastAsia"/>
          <w:szCs w:val="23"/>
        </w:rPr>
        <w:t xml:space="preserve"> billion</w:t>
      </w:r>
      <w:r w:rsidR="0020767D" w:rsidRPr="007E5E56">
        <w:rPr>
          <w:rFonts w:eastAsiaTheme="minorEastAsia"/>
          <w:szCs w:val="23"/>
        </w:rPr>
        <w:t xml:space="preserve"> </w:t>
      </w:r>
      <w:r w:rsidR="00CB59BC" w:rsidRPr="004D4525">
        <w:rPr>
          <w:rFonts w:eastAsiaTheme="minorEastAsia"/>
          <w:szCs w:val="23"/>
        </w:rPr>
        <w:t>(</w:t>
      </w:r>
      <w:r w:rsidR="00AD4290">
        <w:rPr>
          <w:rFonts w:eastAsiaTheme="minorEastAsia"/>
          <w:szCs w:val="23"/>
        </w:rPr>
        <w:t>4</w:t>
      </w:r>
      <w:r w:rsidR="00E972DA" w:rsidRPr="004D4525">
        <w:rPr>
          <w:rFonts w:eastAsiaTheme="minorEastAsia"/>
          <w:szCs w:val="23"/>
        </w:rPr>
        <w:t>.</w:t>
      </w:r>
      <w:r w:rsidR="00AD4290">
        <w:rPr>
          <w:rFonts w:eastAsiaTheme="minorEastAsia"/>
          <w:szCs w:val="23"/>
        </w:rPr>
        <w:t>1</w:t>
      </w:r>
      <w:r w:rsidR="00BB7494" w:rsidRPr="004D4525">
        <w:rPr>
          <w:rFonts w:eastAsiaTheme="minorEastAsia"/>
          <w:szCs w:val="23"/>
        </w:rPr>
        <w:t> </w:t>
      </w:r>
      <w:r w:rsidR="007F55D9" w:rsidRPr="004D4525">
        <w:rPr>
          <w:rFonts w:eastAsiaTheme="minorEastAsia"/>
          <w:szCs w:val="23"/>
        </w:rPr>
        <w:t>per</w:t>
      </w:r>
      <w:r w:rsidR="00BB7494" w:rsidRPr="004D4525">
        <w:rPr>
          <w:rFonts w:eastAsiaTheme="minorEastAsia"/>
          <w:szCs w:val="23"/>
        </w:rPr>
        <w:t> </w:t>
      </w:r>
      <w:r w:rsidR="007F55D9" w:rsidRPr="004D4525">
        <w:rPr>
          <w:rFonts w:eastAsiaTheme="minorEastAsia"/>
          <w:szCs w:val="23"/>
        </w:rPr>
        <w:t>cent</w:t>
      </w:r>
      <w:r w:rsidR="00CB59BC" w:rsidRPr="004D4525">
        <w:rPr>
          <w:rFonts w:eastAsiaTheme="minorEastAsia"/>
          <w:szCs w:val="23"/>
        </w:rPr>
        <w:t>)</w:t>
      </w:r>
      <w:r w:rsidR="0020767D" w:rsidRPr="007E5E56">
        <w:rPr>
          <w:rFonts w:eastAsiaTheme="minorEastAsia"/>
          <w:szCs w:val="23"/>
        </w:rPr>
        <w:t xml:space="preserve"> higher than </w:t>
      </w:r>
      <w:r w:rsidR="00437989" w:rsidRPr="007E5E56">
        <w:rPr>
          <w:rFonts w:eastAsiaTheme="minorEastAsia"/>
          <w:szCs w:val="23"/>
        </w:rPr>
        <w:t>previously</w:t>
      </w:r>
      <w:r w:rsidR="00437989" w:rsidRPr="007E5E56">
        <w:rPr>
          <w:rFonts w:eastAsiaTheme="minorEastAsia"/>
          <w:iCs/>
          <w:szCs w:val="23"/>
        </w:rPr>
        <w:t xml:space="preserve"> </w:t>
      </w:r>
      <w:r w:rsidR="004A0DC4" w:rsidRPr="007E5E56">
        <w:rPr>
          <w:rFonts w:eastAsiaTheme="minorEastAsia"/>
          <w:iCs/>
          <w:szCs w:val="23"/>
        </w:rPr>
        <w:t>forecast</w:t>
      </w:r>
      <w:r w:rsidR="00E36267" w:rsidRPr="00E36267">
        <w:rPr>
          <w:rFonts w:eastAsiaTheme="minorEastAsia"/>
        </w:rPr>
        <w:t xml:space="preserve"> </w:t>
      </w:r>
      <w:r w:rsidR="00E36267" w:rsidRPr="797BF48D">
        <w:rPr>
          <w:rFonts w:eastAsiaTheme="minorEastAsia"/>
        </w:rPr>
        <w:t xml:space="preserve">at the </w:t>
      </w:r>
      <w:r w:rsidR="00E36267">
        <w:rPr>
          <w:rFonts w:eastAsiaTheme="minorEastAsia"/>
        </w:rPr>
        <w:t xml:space="preserve">2021-22 </w:t>
      </w:r>
      <w:r w:rsidR="00E36267" w:rsidRPr="797BF48D">
        <w:rPr>
          <w:rFonts w:eastAsiaTheme="minorEastAsia"/>
        </w:rPr>
        <w:t>Half</w:t>
      </w:r>
      <w:r w:rsidR="00E36267">
        <w:rPr>
          <w:rFonts w:eastAsiaTheme="minorEastAsia"/>
        </w:rPr>
        <w:t>-</w:t>
      </w:r>
      <w:r w:rsidR="00E36267" w:rsidRPr="797BF48D">
        <w:rPr>
          <w:rFonts w:eastAsiaTheme="minorEastAsia"/>
        </w:rPr>
        <w:t>Yearly Review</w:t>
      </w:r>
      <w:r w:rsidR="0020767D" w:rsidRPr="007E5E56">
        <w:rPr>
          <w:rFonts w:eastAsiaTheme="minorEastAsia"/>
          <w:iCs/>
          <w:szCs w:val="23"/>
        </w:rPr>
        <w:t>.</w:t>
      </w:r>
    </w:p>
    <w:p w14:paraId="2E596D06" w14:textId="4D604E5C" w:rsidR="0020767D" w:rsidRPr="00E117A4" w:rsidRDefault="0020767D" w:rsidP="00481B12">
      <w:pPr>
        <w:pStyle w:val="Chart41"/>
      </w:pPr>
      <w:bookmarkStart w:id="0" w:name="_Ref72482441"/>
      <w:r w:rsidRPr="00E117A4">
        <w:t xml:space="preserve">Composition of total revenue, </w:t>
      </w:r>
      <w:bookmarkEnd w:id="0"/>
      <w:r w:rsidRPr="00E117A4">
        <w:t>202</w:t>
      </w:r>
      <w:r w:rsidR="007E5E56" w:rsidRPr="00E117A4">
        <w:t>2</w:t>
      </w:r>
      <w:r w:rsidRPr="00E117A4">
        <w:t>-2</w:t>
      </w:r>
      <w:r w:rsidR="007E5E56" w:rsidRPr="00E117A4">
        <w:t>3</w:t>
      </w:r>
      <w:r w:rsidR="000653F6" w:rsidRPr="00E117A4">
        <w:t xml:space="preserve"> </w:t>
      </w:r>
    </w:p>
    <w:p w14:paraId="09E36CBF" w14:textId="7F881BD8" w:rsidR="003C042C" w:rsidRPr="00E117A4" w:rsidDel="008F1ADE" w:rsidRDefault="00B73880" w:rsidP="003C042C">
      <w:pPr>
        <w:spacing w:before="120"/>
        <w:jc w:val="center"/>
        <w:rPr>
          <w:noProof/>
        </w:rPr>
      </w:pPr>
      <w:r w:rsidRPr="00E117A4">
        <w:rPr>
          <w:noProof/>
        </w:rPr>
        <w:t xml:space="preserve"> </w:t>
      </w:r>
      <w:r w:rsidR="003C042C">
        <w:rPr>
          <w:noProof/>
        </w:rPr>
        <w:drawing>
          <wp:inline distT="0" distB="0" distL="0" distR="0" wp14:anchorId="15DB61BE" wp14:editId="56882ED5">
            <wp:extent cx="4628620" cy="3127376"/>
            <wp:effectExtent l="0" t="0" r="635" b="0"/>
            <wp:docPr id="3" name="Chart 3" descr="Chart 4.1: Composition of total revenue, 2022-23 ">
              <a:extLst xmlns:a="http://schemas.openxmlformats.org/drawingml/2006/main">
                <a:ext uri="{FF2B5EF4-FFF2-40B4-BE49-F238E27FC236}">
                  <a16:creationId xmlns:a16="http://schemas.microsoft.com/office/drawing/2014/main" id="{75212E3E-E148-406A-9B01-E3311BB83D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2EA39D8" w14:textId="44F022E0" w:rsidR="00442246" w:rsidRPr="008A15B3" w:rsidRDefault="00442246" w:rsidP="00442246">
      <w:pPr>
        <w:pStyle w:val="Heading3"/>
        <w:numPr>
          <w:ilvl w:val="2"/>
          <w:numId w:val="0"/>
        </w:numPr>
        <w:rPr>
          <w:rFonts w:eastAsiaTheme="minorEastAsia" w:hint="eastAsia"/>
        </w:rPr>
      </w:pPr>
      <w:r w:rsidRPr="008A15B3">
        <w:t xml:space="preserve">Revenue across the four-year </w:t>
      </w:r>
      <w:r w:rsidR="00CD6E3D" w:rsidRPr="008A15B3">
        <w:t xml:space="preserve">horizon </w:t>
      </w:r>
      <w:r w:rsidR="00FF39CE" w:rsidRPr="008A15B3">
        <w:t>to 202</w:t>
      </w:r>
      <w:r w:rsidR="008A15B3">
        <w:t>5</w:t>
      </w:r>
      <w:r w:rsidR="00FF39CE" w:rsidRPr="008A15B3">
        <w:t>-2</w:t>
      </w:r>
      <w:r w:rsidR="008A15B3">
        <w:t>6</w:t>
      </w:r>
    </w:p>
    <w:p w14:paraId="406D3E61" w14:textId="22C33FD5" w:rsidR="00C127DD" w:rsidRPr="00A9380E" w:rsidRDefault="00903DAE" w:rsidP="003426A4">
      <w:pPr>
        <w:pStyle w:val="BodyText"/>
      </w:pPr>
      <w:r w:rsidRPr="008A15B3">
        <w:t>The State’s r</w:t>
      </w:r>
      <w:r w:rsidR="00E17ADA" w:rsidRPr="008A15B3">
        <w:t>evenue</w:t>
      </w:r>
      <w:r w:rsidR="0020767D" w:rsidRPr="008A15B3">
        <w:t xml:space="preserve"> is expected to grow at a compound annual rate of </w:t>
      </w:r>
      <w:r w:rsidR="00987F74" w:rsidRPr="00987F74">
        <w:t>2</w:t>
      </w:r>
      <w:r w:rsidR="00EB0DB0" w:rsidRPr="00987F74">
        <w:t>.</w:t>
      </w:r>
      <w:r w:rsidR="00987F74" w:rsidRPr="00987F74">
        <w:t>2</w:t>
      </w:r>
      <w:r w:rsidR="0020767D" w:rsidRPr="00987F74">
        <w:t xml:space="preserve"> per cent</w:t>
      </w:r>
      <w:r w:rsidR="0020767D" w:rsidRPr="008A15B3">
        <w:t xml:space="preserve"> over the four years to 202</w:t>
      </w:r>
      <w:r w:rsidR="008A15B3">
        <w:t>5</w:t>
      </w:r>
      <w:r w:rsidR="0020767D" w:rsidRPr="008A15B3">
        <w:t>-2</w:t>
      </w:r>
      <w:r w:rsidR="008A15B3">
        <w:t>6</w:t>
      </w:r>
      <w:r w:rsidR="0020767D" w:rsidRPr="008A15B3">
        <w:t xml:space="preserve"> (</w:t>
      </w:r>
      <w:r w:rsidR="00BB0051" w:rsidRPr="008A15B3">
        <w:t>Table 4.1</w:t>
      </w:r>
      <w:r w:rsidR="0020767D" w:rsidRPr="008A15B3">
        <w:t>)</w:t>
      </w:r>
      <w:r w:rsidR="00CD6E3D" w:rsidRPr="008A15B3">
        <w:t>. This</w:t>
      </w:r>
      <w:r w:rsidR="0020767D" w:rsidRPr="008A15B3">
        <w:t xml:space="preserve"> is </w:t>
      </w:r>
      <w:r w:rsidR="00CD6E3D" w:rsidRPr="008A15B3">
        <w:t xml:space="preserve">a stronger growth rate </w:t>
      </w:r>
      <w:r w:rsidR="005605AB" w:rsidRPr="008A15B3">
        <w:t>than</w:t>
      </w:r>
      <w:r w:rsidR="0020767D" w:rsidRPr="008A15B3">
        <w:t xml:space="preserve"> </w:t>
      </w:r>
      <w:r w:rsidR="006C0BAD" w:rsidRPr="008A15B3">
        <w:t>previous</w:t>
      </w:r>
      <w:r w:rsidR="00CD6E3D" w:rsidRPr="008A15B3">
        <w:t>ly</w:t>
      </w:r>
      <w:r w:rsidR="006C0BAD" w:rsidRPr="008A15B3">
        <w:t xml:space="preserve"> </w:t>
      </w:r>
      <w:r w:rsidR="006E75D8" w:rsidRPr="008A15B3">
        <w:t>project</w:t>
      </w:r>
      <w:r w:rsidR="006C0BAD" w:rsidRPr="008A15B3">
        <w:t>ed (</w:t>
      </w:r>
      <w:r w:rsidR="00D12764">
        <w:t>1.0</w:t>
      </w:r>
      <w:r w:rsidR="002F5587" w:rsidRPr="008A15B3">
        <w:t> </w:t>
      </w:r>
      <w:r w:rsidR="007F55D9" w:rsidRPr="008A15B3">
        <w:t>per</w:t>
      </w:r>
      <w:r w:rsidR="00791253">
        <w:t> </w:t>
      </w:r>
      <w:r w:rsidR="007F55D9" w:rsidRPr="008A15B3">
        <w:t>cent</w:t>
      </w:r>
      <w:r w:rsidR="006C0BAD" w:rsidRPr="008A15B3">
        <w:t>)</w:t>
      </w:r>
      <w:r w:rsidR="00B01768" w:rsidRPr="008A15B3">
        <w:t xml:space="preserve">. </w:t>
      </w:r>
      <w:r w:rsidR="00A9380E">
        <w:t xml:space="preserve">This is </w:t>
      </w:r>
      <w:r w:rsidR="004B6280">
        <w:t xml:space="preserve">largely </w:t>
      </w:r>
      <w:r w:rsidR="00A9380E">
        <w:t>driven by</w:t>
      </w:r>
      <w:r w:rsidR="002827F5" w:rsidRPr="008A15B3">
        <w:t xml:space="preserve"> </w:t>
      </w:r>
      <w:r w:rsidR="00521F16">
        <w:t xml:space="preserve">taxation revenue, which is forecast to grow by </w:t>
      </w:r>
      <w:r w:rsidR="00460666">
        <w:t>2</w:t>
      </w:r>
      <w:r w:rsidR="00521F16">
        <w:t>.</w:t>
      </w:r>
      <w:r w:rsidR="00460666">
        <w:t>8</w:t>
      </w:r>
      <w:r w:rsidR="0067253C">
        <w:t> </w:t>
      </w:r>
      <w:r w:rsidR="00521F16">
        <w:t>per</w:t>
      </w:r>
      <w:r w:rsidR="0067253C">
        <w:t> </w:t>
      </w:r>
      <w:r w:rsidR="00521F16">
        <w:t xml:space="preserve">cent </w:t>
      </w:r>
      <w:r w:rsidR="007516EF">
        <w:t xml:space="preserve">per annum on average over the four years to 2025-26, and </w:t>
      </w:r>
      <w:r w:rsidR="007516EF" w:rsidRPr="00F578F3">
        <w:t>grant revenue (including GST)</w:t>
      </w:r>
      <w:r w:rsidR="007516EF" w:rsidRPr="008A15B3">
        <w:t>,</w:t>
      </w:r>
      <w:r w:rsidR="007516EF">
        <w:t xml:space="preserve"> which is</w:t>
      </w:r>
      <w:r w:rsidR="007516EF" w:rsidRPr="008A15B3">
        <w:t xml:space="preserve"> forecast to grow by </w:t>
      </w:r>
      <w:r w:rsidR="00914051">
        <w:t xml:space="preserve">an average </w:t>
      </w:r>
      <w:r w:rsidR="007516EF" w:rsidRPr="00987F74">
        <w:t>2.0 per cent</w:t>
      </w:r>
      <w:r w:rsidR="007516EF" w:rsidRPr="008A15B3">
        <w:t xml:space="preserve"> over </w:t>
      </w:r>
      <w:r w:rsidR="00914051">
        <w:t>this period</w:t>
      </w:r>
      <w:r w:rsidR="00A9380E">
        <w:t>.</w:t>
      </w:r>
    </w:p>
    <w:p w14:paraId="4E23E2CB" w14:textId="77777777" w:rsidR="00C5090D" w:rsidRDefault="00C5090D">
      <w:pPr>
        <w:spacing w:after="200" w:line="276" w:lineRule="auto"/>
        <w:rPr>
          <w:rFonts w:ascii="Arial" w:hAnsi="Arial"/>
          <w:bCs/>
          <w:i/>
          <w:iCs/>
          <w:color w:val="4F4F4F"/>
          <w:kern w:val="28"/>
          <w:sz w:val="22"/>
          <w:szCs w:val="22"/>
        </w:rPr>
      </w:pPr>
      <w:bookmarkStart w:id="1" w:name="_Ref72482552"/>
      <w:r>
        <w:rPr>
          <w:iCs/>
        </w:rPr>
        <w:br w:type="page"/>
      </w:r>
    </w:p>
    <w:p w14:paraId="2A3EDD07" w14:textId="6114CAEB" w:rsidR="0020767D" w:rsidRPr="00E8541E" w:rsidRDefault="0020767D" w:rsidP="0020767D">
      <w:pPr>
        <w:pStyle w:val="Table4X"/>
        <w:tabs>
          <w:tab w:val="left" w:pos="1276"/>
        </w:tabs>
        <w:ind w:left="1276" w:hanging="1276"/>
        <w:rPr>
          <w:iCs/>
        </w:rPr>
      </w:pPr>
      <w:r w:rsidRPr="00E8541E">
        <w:rPr>
          <w:iCs/>
        </w:rPr>
        <w:lastRenderedPageBreak/>
        <w:t xml:space="preserve">General government sector </w:t>
      </w:r>
      <w:r w:rsidR="463CD91D" w:rsidRPr="00E8541E">
        <w:rPr>
          <w:iCs/>
        </w:rPr>
        <w:t>–</w:t>
      </w:r>
      <w:r w:rsidRPr="00E8541E">
        <w:rPr>
          <w:iCs/>
        </w:rPr>
        <w:t xml:space="preserve"> summary of revenue</w:t>
      </w:r>
      <w:bookmarkEnd w:id="1"/>
      <w:r w:rsidR="00582A49" w:rsidRPr="00E8541E">
        <w:rPr>
          <w:iCs/>
        </w:rPr>
        <w:t xml:space="preserve"> and its components</w:t>
      </w:r>
    </w:p>
    <w:tbl>
      <w:tblPr>
        <w:tblW w:w="9714" w:type="dxa"/>
        <w:tblLook w:val="04A0" w:firstRow="1" w:lastRow="0" w:firstColumn="1" w:lastColumn="0" w:noHBand="0" w:noVBand="1"/>
        <w:tblCaption w:val="Table 4.1: General government sector – summary of revenue and its components"/>
        <w:tblDescription w:val="Table 4.1: General government sector – summary of revenue and its components"/>
      </w:tblPr>
      <w:tblGrid>
        <w:gridCol w:w="3686"/>
        <w:gridCol w:w="836"/>
        <w:gridCol w:w="836"/>
        <w:gridCol w:w="836"/>
        <w:gridCol w:w="836"/>
        <w:gridCol w:w="836"/>
        <w:gridCol w:w="836"/>
        <w:gridCol w:w="1012"/>
      </w:tblGrid>
      <w:tr w:rsidR="003C4F10" w:rsidRPr="00A35492" w14:paraId="058C6F4B" w14:textId="77777777" w:rsidTr="00704348">
        <w:trPr>
          <w:trHeight w:val="360"/>
        </w:trPr>
        <w:tc>
          <w:tcPr>
            <w:tcW w:w="3686" w:type="dxa"/>
            <w:tcBorders>
              <w:top w:val="nil"/>
              <w:left w:val="nil"/>
              <w:bottom w:val="nil"/>
              <w:right w:val="nil"/>
            </w:tcBorders>
            <w:shd w:val="clear" w:color="000000" w:fill="008EBA"/>
            <w:vAlign w:val="center"/>
            <w:hideMark/>
          </w:tcPr>
          <w:p w14:paraId="3F0DEA6D" w14:textId="77777777" w:rsidR="003C4F10" w:rsidRPr="00A35492" w:rsidRDefault="003C4F10" w:rsidP="00FD5F7A">
            <w:pPr>
              <w:jc w:val="center"/>
              <w:rPr>
                <w:rFonts w:ascii="Arial" w:hAnsi="Arial" w:cs="Arial"/>
                <w:i/>
                <w:iCs/>
                <w:color w:val="FFFFFF"/>
                <w:sz w:val="16"/>
                <w:szCs w:val="16"/>
                <w:lang w:eastAsia="en-AU"/>
              </w:rPr>
            </w:pPr>
            <w:r w:rsidRPr="00A35492">
              <w:rPr>
                <w:rFonts w:ascii="Arial" w:hAnsi="Arial" w:cs="Arial"/>
                <w:i/>
                <w:iCs/>
                <w:color w:val="FFFFFF"/>
                <w:sz w:val="16"/>
                <w:szCs w:val="16"/>
                <w:lang w:eastAsia="en-AU"/>
              </w:rPr>
              <w:t> </w:t>
            </w:r>
          </w:p>
        </w:tc>
        <w:tc>
          <w:tcPr>
            <w:tcW w:w="836" w:type="dxa"/>
            <w:tcBorders>
              <w:top w:val="nil"/>
              <w:left w:val="nil"/>
              <w:bottom w:val="nil"/>
              <w:right w:val="nil"/>
            </w:tcBorders>
            <w:shd w:val="clear" w:color="000000" w:fill="008EBA"/>
            <w:noWrap/>
            <w:vAlign w:val="bottom"/>
            <w:hideMark/>
          </w:tcPr>
          <w:p w14:paraId="13E73F60" w14:textId="77777777" w:rsidR="003C4F10" w:rsidRPr="00A35492" w:rsidRDefault="003C4F10" w:rsidP="00FD5F7A">
            <w:pPr>
              <w:jc w:val="center"/>
              <w:rPr>
                <w:rFonts w:ascii="Arial" w:hAnsi="Arial" w:cs="Arial"/>
                <w:color w:val="FFFFFF"/>
                <w:sz w:val="16"/>
                <w:szCs w:val="16"/>
                <w:lang w:eastAsia="en-AU"/>
              </w:rPr>
            </w:pPr>
            <w:r w:rsidRPr="00A35492">
              <w:rPr>
                <w:rFonts w:ascii="Arial" w:hAnsi="Arial" w:cs="Arial"/>
                <w:color w:val="FFFFFF"/>
                <w:sz w:val="16"/>
                <w:szCs w:val="16"/>
                <w:lang w:eastAsia="en-AU"/>
              </w:rPr>
              <w:t>2020-21</w:t>
            </w:r>
          </w:p>
        </w:tc>
        <w:tc>
          <w:tcPr>
            <w:tcW w:w="836" w:type="dxa"/>
            <w:tcBorders>
              <w:top w:val="nil"/>
              <w:left w:val="nil"/>
              <w:bottom w:val="nil"/>
              <w:right w:val="nil"/>
            </w:tcBorders>
            <w:shd w:val="clear" w:color="000000" w:fill="008EBA"/>
            <w:noWrap/>
            <w:vAlign w:val="bottom"/>
            <w:hideMark/>
          </w:tcPr>
          <w:p w14:paraId="29770F4E" w14:textId="77777777" w:rsidR="003C4F10" w:rsidRPr="00A35492" w:rsidRDefault="003C4F10" w:rsidP="00FD5F7A">
            <w:pPr>
              <w:jc w:val="center"/>
              <w:rPr>
                <w:rFonts w:ascii="Arial" w:hAnsi="Arial" w:cs="Arial"/>
                <w:color w:val="FFFFFF"/>
                <w:sz w:val="16"/>
                <w:szCs w:val="16"/>
                <w:lang w:eastAsia="en-AU"/>
              </w:rPr>
            </w:pPr>
            <w:r w:rsidRPr="00A35492">
              <w:rPr>
                <w:rFonts w:ascii="Arial" w:hAnsi="Arial" w:cs="Arial"/>
                <w:color w:val="FFFFFF"/>
                <w:sz w:val="16"/>
                <w:szCs w:val="16"/>
                <w:lang w:eastAsia="en-AU"/>
              </w:rPr>
              <w:t>2021-22</w:t>
            </w:r>
          </w:p>
        </w:tc>
        <w:tc>
          <w:tcPr>
            <w:tcW w:w="836" w:type="dxa"/>
            <w:tcBorders>
              <w:top w:val="nil"/>
              <w:left w:val="nil"/>
              <w:bottom w:val="nil"/>
              <w:right w:val="nil"/>
            </w:tcBorders>
            <w:shd w:val="clear" w:color="000000" w:fill="008EBA"/>
            <w:noWrap/>
            <w:vAlign w:val="bottom"/>
            <w:hideMark/>
          </w:tcPr>
          <w:p w14:paraId="5792FD79" w14:textId="77777777" w:rsidR="003C4F10" w:rsidRPr="00A35492" w:rsidRDefault="003C4F10" w:rsidP="00FD5F7A">
            <w:pPr>
              <w:jc w:val="center"/>
              <w:rPr>
                <w:rFonts w:ascii="Arial" w:hAnsi="Arial" w:cs="Arial"/>
                <w:color w:val="FFFFFF"/>
                <w:sz w:val="16"/>
                <w:szCs w:val="16"/>
                <w:lang w:eastAsia="en-AU"/>
              </w:rPr>
            </w:pPr>
            <w:r w:rsidRPr="00A35492">
              <w:rPr>
                <w:rFonts w:ascii="Arial" w:hAnsi="Arial" w:cs="Arial"/>
                <w:color w:val="FFFFFF"/>
                <w:sz w:val="16"/>
                <w:szCs w:val="16"/>
                <w:lang w:eastAsia="en-AU"/>
              </w:rPr>
              <w:t>2022-23</w:t>
            </w:r>
          </w:p>
        </w:tc>
        <w:tc>
          <w:tcPr>
            <w:tcW w:w="836" w:type="dxa"/>
            <w:tcBorders>
              <w:top w:val="nil"/>
              <w:left w:val="nil"/>
              <w:bottom w:val="nil"/>
              <w:right w:val="nil"/>
            </w:tcBorders>
            <w:shd w:val="clear" w:color="000000" w:fill="008EBA"/>
            <w:noWrap/>
            <w:vAlign w:val="bottom"/>
            <w:hideMark/>
          </w:tcPr>
          <w:p w14:paraId="3D12F881" w14:textId="77777777" w:rsidR="003C4F10" w:rsidRPr="00A35492" w:rsidRDefault="003C4F10" w:rsidP="00FD5F7A">
            <w:pPr>
              <w:jc w:val="center"/>
              <w:rPr>
                <w:rFonts w:ascii="Arial" w:hAnsi="Arial" w:cs="Arial"/>
                <w:color w:val="FFFFFF"/>
                <w:sz w:val="16"/>
                <w:szCs w:val="16"/>
                <w:lang w:eastAsia="en-AU"/>
              </w:rPr>
            </w:pPr>
            <w:r w:rsidRPr="00A35492">
              <w:rPr>
                <w:rFonts w:ascii="Arial" w:hAnsi="Arial" w:cs="Arial"/>
                <w:color w:val="FFFFFF"/>
                <w:sz w:val="16"/>
                <w:szCs w:val="16"/>
                <w:lang w:eastAsia="en-AU"/>
              </w:rPr>
              <w:t>2023-24</w:t>
            </w:r>
          </w:p>
        </w:tc>
        <w:tc>
          <w:tcPr>
            <w:tcW w:w="836" w:type="dxa"/>
            <w:tcBorders>
              <w:top w:val="nil"/>
              <w:left w:val="nil"/>
              <w:bottom w:val="nil"/>
              <w:right w:val="nil"/>
            </w:tcBorders>
            <w:shd w:val="clear" w:color="000000" w:fill="008EBA"/>
            <w:noWrap/>
            <w:vAlign w:val="bottom"/>
            <w:hideMark/>
          </w:tcPr>
          <w:p w14:paraId="1BD435C5" w14:textId="77777777" w:rsidR="003C4F10" w:rsidRPr="00A35492" w:rsidRDefault="003C4F10" w:rsidP="00FD5F7A">
            <w:pPr>
              <w:jc w:val="center"/>
              <w:rPr>
                <w:rFonts w:ascii="Arial" w:hAnsi="Arial" w:cs="Arial"/>
                <w:color w:val="FFFFFF"/>
                <w:sz w:val="16"/>
                <w:szCs w:val="16"/>
                <w:lang w:eastAsia="en-AU"/>
              </w:rPr>
            </w:pPr>
            <w:r w:rsidRPr="00A35492">
              <w:rPr>
                <w:rFonts w:ascii="Arial" w:hAnsi="Arial" w:cs="Arial"/>
                <w:color w:val="FFFFFF"/>
                <w:sz w:val="16"/>
                <w:szCs w:val="16"/>
                <w:lang w:eastAsia="en-AU"/>
              </w:rPr>
              <w:t>2024-25</w:t>
            </w:r>
          </w:p>
        </w:tc>
        <w:tc>
          <w:tcPr>
            <w:tcW w:w="836" w:type="dxa"/>
            <w:tcBorders>
              <w:top w:val="nil"/>
              <w:left w:val="nil"/>
              <w:bottom w:val="nil"/>
              <w:right w:val="nil"/>
            </w:tcBorders>
            <w:shd w:val="clear" w:color="000000" w:fill="008EBA"/>
            <w:noWrap/>
            <w:vAlign w:val="bottom"/>
            <w:hideMark/>
          </w:tcPr>
          <w:p w14:paraId="371F964A" w14:textId="77777777" w:rsidR="003C4F10" w:rsidRPr="00A35492" w:rsidRDefault="003C4F10" w:rsidP="00FD5F7A">
            <w:pPr>
              <w:jc w:val="center"/>
              <w:rPr>
                <w:rFonts w:ascii="Arial" w:hAnsi="Arial" w:cs="Arial"/>
                <w:color w:val="FFFFFF"/>
                <w:sz w:val="16"/>
                <w:szCs w:val="16"/>
                <w:lang w:eastAsia="en-AU"/>
              </w:rPr>
            </w:pPr>
            <w:r w:rsidRPr="00A35492">
              <w:rPr>
                <w:rFonts w:ascii="Arial" w:hAnsi="Arial" w:cs="Arial"/>
                <w:color w:val="FFFFFF"/>
                <w:sz w:val="16"/>
                <w:szCs w:val="16"/>
                <w:lang w:eastAsia="en-AU"/>
              </w:rPr>
              <w:t>2025-26</w:t>
            </w:r>
          </w:p>
        </w:tc>
        <w:tc>
          <w:tcPr>
            <w:tcW w:w="1012" w:type="dxa"/>
            <w:vMerge w:val="restart"/>
            <w:tcBorders>
              <w:top w:val="nil"/>
              <w:left w:val="nil"/>
              <w:bottom w:val="nil"/>
              <w:right w:val="nil"/>
            </w:tcBorders>
            <w:shd w:val="clear" w:color="000000" w:fill="4F4F4F"/>
            <w:vAlign w:val="center"/>
            <w:hideMark/>
          </w:tcPr>
          <w:p w14:paraId="51D578E9" w14:textId="77777777" w:rsidR="003C4F10" w:rsidRPr="00A35492" w:rsidRDefault="003C4F10" w:rsidP="00FD5F7A">
            <w:pPr>
              <w:jc w:val="center"/>
              <w:rPr>
                <w:rFonts w:ascii="Arial" w:hAnsi="Arial" w:cs="Arial"/>
                <w:color w:val="FFFFFF"/>
                <w:sz w:val="16"/>
                <w:szCs w:val="16"/>
                <w:lang w:eastAsia="en-AU"/>
              </w:rPr>
            </w:pPr>
            <w:r w:rsidRPr="00A35492">
              <w:rPr>
                <w:rFonts w:ascii="Arial" w:hAnsi="Arial" w:cs="Arial"/>
                <w:color w:val="FFFFFF"/>
                <w:sz w:val="16"/>
                <w:szCs w:val="16"/>
                <w:lang w:eastAsia="en-AU"/>
              </w:rPr>
              <w:t>% Average growth p.a. 2021-22 to 2025-26</w:t>
            </w:r>
          </w:p>
        </w:tc>
      </w:tr>
      <w:tr w:rsidR="003C4F10" w:rsidRPr="00A35492" w14:paraId="515C9347" w14:textId="77777777" w:rsidTr="00704348">
        <w:trPr>
          <w:trHeight w:val="319"/>
        </w:trPr>
        <w:tc>
          <w:tcPr>
            <w:tcW w:w="3686" w:type="dxa"/>
            <w:tcBorders>
              <w:top w:val="nil"/>
              <w:left w:val="nil"/>
              <w:bottom w:val="nil"/>
              <w:right w:val="nil"/>
            </w:tcBorders>
            <w:shd w:val="clear" w:color="000000" w:fill="008EBA"/>
            <w:vAlign w:val="bottom"/>
            <w:hideMark/>
          </w:tcPr>
          <w:p w14:paraId="77965241" w14:textId="77777777" w:rsidR="003C4F10" w:rsidRPr="00A35492" w:rsidRDefault="003C4F10" w:rsidP="00FD5F7A">
            <w:pPr>
              <w:jc w:val="center"/>
              <w:rPr>
                <w:rFonts w:ascii="Arial" w:hAnsi="Arial" w:cs="Arial"/>
                <w:i/>
                <w:iCs/>
                <w:color w:val="FFFFFF"/>
                <w:sz w:val="16"/>
                <w:szCs w:val="16"/>
                <w:lang w:eastAsia="en-AU"/>
              </w:rPr>
            </w:pPr>
            <w:r w:rsidRPr="00A35492">
              <w:rPr>
                <w:rFonts w:ascii="Arial" w:hAnsi="Arial" w:cs="Arial"/>
                <w:i/>
                <w:iCs/>
                <w:color w:val="FFFFFF"/>
                <w:sz w:val="16"/>
                <w:szCs w:val="16"/>
                <w:lang w:eastAsia="en-AU"/>
              </w:rPr>
              <w:t> </w:t>
            </w:r>
          </w:p>
        </w:tc>
        <w:tc>
          <w:tcPr>
            <w:tcW w:w="836" w:type="dxa"/>
            <w:tcBorders>
              <w:top w:val="nil"/>
              <w:left w:val="nil"/>
              <w:bottom w:val="nil"/>
              <w:right w:val="nil"/>
            </w:tcBorders>
            <w:shd w:val="clear" w:color="000000" w:fill="008EBA"/>
            <w:vAlign w:val="center"/>
            <w:hideMark/>
          </w:tcPr>
          <w:p w14:paraId="5CDE88CA" w14:textId="77777777" w:rsidR="003C4F10" w:rsidRPr="00A35492" w:rsidRDefault="003C4F10" w:rsidP="00FD5F7A">
            <w:pPr>
              <w:jc w:val="center"/>
              <w:rPr>
                <w:rFonts w:ascii="Arial" w:hAnsi="Arial" w:cs="Arial"/>
                <w:color w:val="FFFFFF"/>
                <w:sz w:val="16"/>
                <w:szCs w:val="16"/>
                <w:lang w:eastAsia="en-AU"/>
              </w:rPr>
            </w:pPr>
            <w:r w:rsidRPr="00A35492">
              <w:rPr>
                <w:rFonts w:ascii="Arial" w:hAnsi="Arial" w:cs="Arial"/>
                <w:color w:val="FFFFFF"/>
                <w:sz w:val="16"/>
                <w:szCs w:val="16"/>
                <w:lang w:eastAsia="en-AU"/>
              </w:rPr>
              <w:t>Actual</w:t>
            </w:r>
          </w:p>
        </w:tc>
        <w:tc>
          <w:tcPr>
            <w:tcW w:w="836" w:type="dxa"/>
            <w:tcBorders>
              <w:top w:val="nil"/>
              <w:left w:val="nil"/>
              <w:bottom w:val="nil"/>
              <w:right w:val="nil"/>
            </w:tcBorders>
            <w:shd w:val="clear" w:color="000000" w:fill="008EBA"/>
            <w:vAlign w:val="center"/>
            <w:hideMark/>
          </w:tcPr>
          <w:p w14:paraId="60328CEA" w14:textId="77777777" w:rsidR="003C4F10" w:rsidRPr="00A35492" w:rsidRDefault="003C4F10" w:rsidP="00FD5F7A">
            <w:pPr>
              <w:jc w:val="center"/>
              <w:rPr>
                <w:rFonts w:ascii="Arial" w:hAnsi="Arial" w:cs="Arial"/>
                <w:color w:val="FFFFFF"/>
                <w:sz w:val="16"/>
                <w:szCs w:val="16"/>
                <w:lang w:eastAsia="en-AU"/>
              </w:rPr>
            </w:pPr>
            <w:r w:rsidRPr="00A35492">
              <w:rPr>
                <w:rFonts w:ascii="Arial" w:hAnsi="Arial" w:cs="Arial"/>
                <w:color w:val="FFFFFF"/>
                <w:sz w:val="16"/>
                <w:szCs w:val="16"/>
                <w:lang w:eastAsia="en-AU"/>
              </w:rPr>
              <w:t>Revised</w:t>
            </w:r>
          </w:p>
        </w:tc>
        <w:tc>
          <w:tcPr>
            <w:tcW w:w="836" w:type="dxa"/>
            <w:tcBorders>
              <w:top w:val="nil"/>
              <w:left w:val="nil"/>
              <w:bottom w:val="nil"/>
              <w:right w:val="nil"/>
            </w:tcBorders>
            <w:shd w:val="clear" w:color="000000" w:fill="008EBA"/>
            <w:vAlign w:val="center"/>
            <w:hideMark/>
          </w:tcPr>
          <w:p w14:paraId="0E54DD8E" w14:textId="77777777" w:rsidR="003C4F10" w:rsidRPr="00A35492" w:rsidRDefault="003C4F10" w:rsidP="00FD5F7A">
            <w:pPr>
              <w:jc w:val="center"/>
              <w:rPr>
                <w:rFonts w:ascii="Arial" w:hAnsi="Arial" w:cs="Arial"/>
                <w:color w:val="FFFFFF"/>
                <w:sz w:val="16"/>
                <w:szCs w:val="16"/>
                <w:lang w:eastAsia="en-AU"/>
              </w:rPr>
            </w:pPr>
            <w:r w:rsidRPr="00A35492">
              <w:rPr>
                <w:rFonts w:ascii="Arial" w:hAnsi="Arial" w:cs="Arial"/>
                <w:color w:val="FFFFFF"/>
                <w:sz w:val="16"/>
                <w:szCs w:val="16"/>
                <w:lang w:eastAsia="en-AU"/>
              </w:rPr>
              <w:t>Budget</w:t>
            </w:r>
          </w:p>
        </w:tc>
        <w:tc>
          <w:tcPr>
            <w:tcW w:w="2508" w:type="dxa"/>
            <w:gridSpan w:val="3"/>
            <w:tcBorders>
              <w:top w:val="nil"/>
              <w:left w:val="nil"/>
              <w:bottom w:val="nil"/>
              <w:right w:val="nil"/>
            </w:tcBorders>
            <w:shd w:val="clear" w:color="000000" w:fill="008EBA"/>
            <w:vAlign w:val="center"/>
            <w:hideMark/>
          </w:tcPr>
          <w:p w14:paraId="68C43D51" w14:textId="77777777" w:rsidR="003C4F10" w:rsidRPr="00A35492" w:rsidRDefault="003C4F10" w:rsidP="00FD5F7A">
            <w:pPr>
              <w:jc w:val="center"/>
              <w:rPr>
                <w:rFonts w:ascii="Arial" w:hAnsi="Arial" w:cs="Arial"/>
                <w:color w:val="FFFFFF"/>
                <w:sz w:val="16"/>
                <w:szCs w:val="16"/>
                <w:lang w:eastAsia="en-AU"/>
              </w:rPr>
            </w:pPr>
            <w:r w:rsidRPr="00A35492">
              <w:rPr>
                <w:rFonts w:ascii="Arial" w:hAnsi="Arial" w:cs="Arial"/>
                <w:color w:val="FFFFFF"/>
                <w:sz w:val="16"/>
                <w:szCs w:val="16"/>
                <w:lang w:eastAsia="en-AU"/>
              </w:rPr>
              <w:t>Forward Estimates</w:t>
            </w:r>
          </w:p>
        </w:tc>
        <w:tc>
          <w:tcPr>
            <w:tcW w:w="1012" w:type="dxa"/>
            <w:vMerge/>
            <w:tcBorders>
              <w:top w:val="nil"/>
              <w:left w:val="nil"/>
              <w:bottom w:val="nil"/>
              <w:right w:val="nil"/>
            </w:tcBorders>
            <w:vAlign w:val="center"/>
            <w:hideMark/>
          </w:tcPr>
          <w:p w14:paraId="4B713720" w14:textId="77777777" w:rsidR="003C4F10" w:rsidRPr="00A35492" w:rsidRDefault="003C4F10" w:rsidP="00FD5F7A">
            <w:pPr>
              <w:rPr>
                <w:rFonts w:ascii="Arial" w:hAnsi="Arial" w:cs="Arial"/>
                <w:color w:val="FFFFFF"/>
                <w:sz w:val="16"/>
                <w:szCs w:val="16"/>
                <w:lang w:eastAsia="en-AU"/>
              </w:rPr>
            </w:pPr>
          </w:p>
        </w:tc>
      </w:tr>
      <w:tr w:rsidR="003C4F10" w:rsidRPr="00A35492" w14:paraId="7DDFC31B" w14:textId="77777777" w:rsidTr="00704348">
        <w:trPr>
          <w:trHeight w:val="360"/>
        </w:trPr>
        <w:tc>
          <w:tcPr>
            <w:tcW w:w="3686" w:type="dxa"/>
            <w:tcBorders>
              <w:top w:val="nil"/>
              <w:left w:val="nil"/>
              <w:bottom w:val="nil"/>
              <w:right w:val="nil"/>
            </w:tcBorders>
            <w:shd w:val="clear" w:color="000000" w:fill="00426F"/>
            <w:hideMark/>
          </w:tcPr>
          <w:p w14:paraId="678ADDA9" w14:textId="77777777" w:rsidR="003C4F10" w:rsidRPr="00A35492" w:rsidRDefault="003C4F10" w:rsidP="00FD5F7A">
            <w:pPr>
              <w:jc w:val="center"/>
              <w:rPr>
                <w:rFonts w:ascii="Arial" w:hAnsi="Arial" w:cs="Arial"/>
                <w:i/>
                <w:iCs/>
                <w:color w:val="FFFFFF"/>
                <w:sz w:val="16"/>
                <w:szCs w:val="16"/>
                <w:lang w:eastAsia="en-AU"/>
              </w:rPr>
            </w:pPr>
            <w:r w:rsidRPr="00A35492">
              <w:rPr>
                <w:rFonts w:ascii="Arial" w:hAnsi="Arial" w:cs="Arial"/>
                <w:i/>
                <w:iCs/>
                <w:color w:val="FFFFFF"/>
                <w:sz w:val="16"/>
                <w:szCs w:val="16"/>
                <w:lang w:eastAsia="en-AU"/>
              </w:rPr>
              <w:t> </w:t>
            </w:r>
          </w:p>
        </w:tc>
        <w:tc>
          <w:tcPr>
            <w:tcW w:w="836" w:type="dxa"/>
            <w:tcBorders>
              <w:top w:val="nil"/>
              <w:left w:val="nil"/>
              <w:bottom w:val="nil"/>
              <w:right w:val="nil"/>
            </w:tcBorders>
            <w:shd w:val="clear" w:color="000000" w:fill="00426F"/>
            <w:hideMark/>
          </w:tcPr>
          <w:p w14:paraId="5566988D" w14:textId="77777777" w:rsidR="003C4F10" w:rsidRPr="00A35492" w:rsidRDefault="003C4F10" w:rsidP="00FD5F7A">
            <w:pPr>
              <w:jc w:val="center"/>
              <w:rPr>
                <w:rFonts w:ascii="Arial" w:hAnsi="Arial" w:cs="Arial"/>
                <w:color w:val="FFFFFF"/>
                <w:sz w:val="16"/>
                <w:szCs w:val="16"/>
                <w:lang w:eastAsia="en-AU"/>
              </w:rPr>
            </w:pPr>
            <w:r w:rsidRPr="00A35492">
              <w:rPr>
                <w:rFonts w:ascii="Arial" w:hAnsi="Arial" w:cs="Arial"/>
                <w:color w:val="FFFFFF"/>
                <w:sz w:val="16"/>
                <w:szCs w:val="16"/>
                <w:lang w:eastAsia="en-AU"/>
              </w:rPr>
              <w:t>$m</w:t>
            </w:r>
          </w:p>
        </w:tc>
        <w:tc>
          <w:tcPr>
            <w:tcW w:w="836" w:type="dxa"/>
            <w:tcBorders>
              <w:top w:val="nil"/>
              <w:left w:val="nil"/>
              <w:bottom w:val="single" w:sz="4" w:space="0" w:color="0579B5"/>
              <w:right w:val="nil"/>
            </w:tcBorders>
            <w:shd w:val="clear" w:color="000000" w:fill="00426F"/>
            <w:hideMark/>
          </w:tcPr>
          <w:p w14:paraId="5BF7323C" w14:textId="77777777" w:rsidR="003C4F10" w:rsidRPr="00A35492" w:rsidRDefault="003C4F10" w:rsidP="00FD5F7A">
            <w:pPr>
              <w:jc w:val="center"/>
              <w:rPr>
                <w:rFonts w:ascii="Arial" w:hAnsi="Arial" w:cs="Arial"/>
                <w:color w:val="FFFFFF"/>
                <w:sz w:val="16"/>
                <w:szCs w:val="16"/>
                <w:lang w:eastAsia="en-AU"/>
              </w:rPr>
            </w:pPr>
            <w:r w:rsidRPr="00A35492">
              <w:rPr>
                <w:rFonts w:ascii="Arial" w:hAnsi="Arial" w:cs="Arial"/>
                <w:color w:val="FFFFFF"/>
                <w:sz w:val="16"/>
                <w:szCs w:val="16"/>
                <w:lang w:eastAsia="en-AU"/>
              </w:rPr>
              <w:t>$m</w:t>
            </w:r>
          </w:p>
        </w:tc>
        <w:tc>
          <w:tcPr>
            <w:tcW w:w="836" w:type="dxa"/>
            <w:tcBorders>
              <w:top w:val="nil"/>
              <w:left w:val="nil"/>
              <w:bottom w:val="single" w:sz="4" w:space="0" w:color="0579B5"/>
              <w:right w:val="nil"/>
            </w:tcBorders>
            <w:shd w:val="clear" w:color="000000" w:fill="00426F"/>
            <w:hideMark/>
          </w:tcPr>
          <w:p w14:paraId="354F1FE8" w14:textId="77777777" w:rsidR="003C4F10" w:rsidRPr="00A35492" w:rsidRDefault="003C4F10" w:rsidP="00FD5F7A">
            <w:pPr>
              <w:jc w:val="center"/>
              <w:rPr>
                <w:rFonts w:ascii="Arial" w:hAnsi="Arial" w:cs="Arial"/>
                <w:color w:val="FFFFFF"/>
                <w:sz w:val="16"/>
                <w:szCs w:val="16"/>
                <w:lang w:eastAsia="en-AU"/>
              </w:rPr>
            </w:pPr>
            <w:r w:rsidRPr="00A35492">
              <w:rPr>
                <w:rFonts w:ascii="Arial" w:hAnsi="Arial" w:cs="Arial"/>
                <w:color w:val="FFFFFF"/>
                <w:sz w:val="16"/>
                <w:szCs w:val="16"/>
                <w:lang w:eastAsia="en-AU"/>
              </w:rPr>
              <w:t>$m</w:t>
            </w:r>
          </w:p>
        </w:tc>
        <w:tc>
          <w:tcPr>
            <w:tcW w:w="836" w:type="dxa"/>
            <w:tcBorders>
              <w:top w:val="nil"/>
              <w:left w:val="nil"/>
              <w:bottom w:val="single" w:sz="4" w:space="0" w:color="0579B5"/>
              <w:right w:val="nil"/>
            </w:tcBorders>
            <w:shd w:val="clear" w:color="000000" w:fill="00426F"/>
            <w:hideMark/>
          </w:tcPr>
          <w:p w14:paraId="3787E7A4" w14:textId="77777777" w:rsidR="003C4F10" w:rsidRPr="00A35492" w:rsidRDefault="003C4F10" w:rsidP="00FD5F7A">
            <w:pPr>
              <w:jc w:val="center"/>
              <w:rPr>
                <w:rFonts w:ascii="Arial" w:hAnsi="Arial" w:cs="Arial"/>
                <w:color w:val="FFFFFF"/>
                <w:sz w:val="16"/>
                <w:szCs w:val="16"/>
                <w:lang w:eastAsia="en-AU"/>
              </w:rPr>
            </w:pPr>
            <w:r w:rsidRPr="00A35492">
              <w:rPr>
                <w:rFonts w:ascii="Arial" w:hAnsi="Arial" w:cs="Arial"/>
                <w:color w:val="FFFFFF"/>
                <w:sz w:val="16"/>
                <w:szCs w:val="16"/>
                <w:lang w:eastAsia="en-AU"/>
              </w:rPr>
              <w:t>$m</w:t>
            </w:r>
          </w:p>
        </w:tc>
        <w:tc>
          <w:tcPr>
            <w:tcW w:w="836" w:type="dxa"/>
            <w:tcBorders>
              <w:top w:val="nil"/>
              <w:left w:val="nil"/>
              <w:bottom w:val="single" w:sz="4" w:space="0" w:color="0579B5"/>
              <w:right w:val="nil"/>
            </w:tcBorders>
            <w:shd w:val="clear" w:color="000000" w:fill="00426F"/>
            <w:hideMark/>
          </w:tcPr>
          <w:p w14:paraId="73CE48AE" w14:textId="77777777" w:rsidR="003C4F10" w:rsidRPr="00A35492" w:rsidRDefault="003C4F10" w:rsidP="00FD5F7A">
            <w:pPr>
              <w:jc w:val="center"/>
              <w:rPr>
                <w:rFonts w:ascii="Arial" w:hAnsi="Arial" w:cs="Arial"/>
                <w:color w:val="FFFFFF"/>
                <w:sz w:val="16"/>
                <w:szCs w:val="16"/>
                <w:lang w:eastAsia="en-AU"/>
              </w:rPr>
            </w:pPr>
            <w:r w:rsidRPr="00A35492">
              <w:rPr>
                <w:rFonts w:ascii="Arial" w:hAnsi="Arial" w:cs="Arial"/>
                <w:color w:val="FFFFFF"/>
                <w:sz w:val="16"/>
                <w:szCs w:val="16"/>
                <w:lang w:eastAsia="en-AU"/>
              </w:rPr>
              <w:t>$m</w:t>
            </w:r>
          </w:p>
        </w:tc>
        <w:tc>
          <w:tcPr>
            <w:tcW w:w="836" w:type="dxa"/>
            <w:tcBorders>
              <w:top w:val="nil"/>
              <w:left w:val="nil"/>
              <w:bottom w:val="single" w:sz="4" w:space="0" w:color="0579B5"/>
              <w:right w:val="nil"/>
            </w:tcBorders>
            <w:shd w:val="clear" w:color="000000" w:fill="00426F"/>
            <w:hideMark/>
          </w:tcPr>
          <w:p w14:paraId="4BC72DB3" w14:textId="77777777" w:rsidR="003C4F10" w:rsidRPr="00A35492" w:rsidRDefault="003C4F10" w:rsidP="00FD5F7A">
            <w:pPr>
              <w:jc w:val="center"/>
              <w:rPr>
                <w:rFonts w:ascii="Arial" w:hAnsi="Arial" w:cs="Arial"/>
                <w:color w:val="FFFFFF"/>
                <w:sz w:val="16"/>
                <w:szCs w:val="16"/>
                <w:lang w:eastAsia="en-AU"/>
              </w:rPr>
            </w:pPr>
            <w:r w:rsidRPr="00A35492">
              <w:rPr>
                <w:rFonts w:ascii="Arial" w:hAnsi="Arial" w:cs="Arial"/>
                <w:color w:val="FFFFFF"/>
                <w:sz w:val="16"/>
                <w:szCs w:val="16"/>
                <w:lang w:eastAsia="en-AU"/>
              </w:rPr>
              <w:t>$m</w:t>
            </w:r>
          </w:p>
        </w:tc>
        <w:tc>
          <w:tcPr>
            <w:tcW w:w="1012" w:type="dxa"/>
            <w:vMerge/>
            <w:tcBorders>
              <w:top w:val="nil"/>
              <w:left w:val="nil"/>
              <w:bottom w:val="nil"/>
              <w:right w:val="nil"/>
            </w:tcBorders>
            <w:vAlign w:val="center"/>
            <w:hideMark/>
          </w:tcPr>
          <w:p w14:paraId="33311AD9" w14:textId="77777777" w:rsidR="003C4F10" w:rsidRPr="00A35492" w:rsidRDefault="003C4F10" w:rsidP="00FD5F7A">
            <w:pPr>
              <w:rPr>
                <w:rFonts w:ascii="Arial" w:hAnsi="Arial" w:cs="Arial"/>
                <w:color w:val="FFFFFF"/>
                <w:sz w:val="16"/>
                <w:szCs w:val="16"/>
                <w:lang w:eastAsia="en-AU"/>
              </w:rPr>
            </w:pPr>
          </w:p>
        </w:tc>
      </w:tr>
      <w:tr w:rsidR="003C4F10" w:rsidRPr="00A35492" w14:paraId="3D597389" w14:textId="77777777" w:rsidTr="00704348">
        <w:trPr>
          <w:trHeight w:val="199"/>
        </w:trPr>
        <w:tc>
          <w:tcPr>
            <w:tcW w:w="3686" w:type="dxa"/>
            <w:tcBorders>
              <w:top w:val="nil"/>
              <w:left w:val="nil"/>
              <w:bottom w:val="nil"/>
              <w:right w:val="nil"/>
            </w:tcBorders>
            <w:shd w:val="clear" w:color="000000" w:fill="FFFFFF"/>
            <w:noWrap/>
            <w:vAlign w:val="center"/>
            <w:hideMark/>
          </w:tcPr>
          <w:p w14:paraId="0C4CDF91" w14:textId="77777777" w:rsidR="003C4F10" w:rsidRPr="00A35492" w:rsidRDefault="003C4F10" w:rsidP="00FD5F7A">
            <w:pPr>
              <w:rPr>
                <w:rFonts w:ascii="Arial" w:hAnsi="Arial" w:cs="Arial"/>
                <w:b/>
                <w:bCs/>
                <w:color w:val="000000"/>
                <w:sz w:val="16"/>
                <w:szCs w:val="16"/>
                <w:lang w:eastAsia="en-AU"/>
              </w:rPr>
            </w:pPr>
            <w:r w:rsidRPr="00A35492">
              <w:rPr>
                <w:rFonts w:ascii="Arial" w:hAnsi="Arial" w:cs="Arial"/>
                <w:b/>
                <w:bCs/>
                <w:color w:val="000000"/>
                <w:sz w:val="16"/>
                <w:szCs w:val="16"/>
                <w:lang w:eastAsia="en-AU"/>
              </w:rPr>
              <w:t xml:space="preserve">Revenue from transactions </w:t>
            </w:r>
          </w:p>
        </w:tc>
        <w:tc>
          <w:tcPr>
            <w:tcW w:w="836" w:type="dxa"/>
            <w:tcBorders>
              <w:top w:val="nil"/>
              <w:left w:val="nil"/>
              <w:bottom w:val="nil"/>
              <w:right w:val="nil"/>
            </w:tcBorders>
            <w:shd w:val="clear" w:color="000000" w:fill="FFFFFF"/>
            <w:noWrap/>
            <w:vAlign w:val="bottom"/>
            <w:hideMark/>
          </w:tcPr>
          <w:p w14:paraId="7C2981C8" w14:textId="77777777" w:rsidR="003C4F10" w:rsidRPr="00A35492" w:rsidRDefault="003C4F10" w:rsidP="00FD5F7A">
            <w:pPr>
              <w:rPr>
                <w:rFonts w:ascii="Calibri" w:hAnsi="Calibri" w:cs="Calibri"/>
                <w:color w:val="000000"/>
                <w:sz w:val="16"/>
                <w:szCs w:val="16"/>
                <w:lang w:eastAsia="en-AU"/>
              </w:rPr>
            </w:pPr>
            <w:r w:rsidRPr="00A35492">
              <w:rPr>
                <w:rFonts w:ascii="Calibri" w:hAnsi="Calibri" w:cs="Calibri"/>
                <w:color w:val="000000"/>
                <w:sz w:val="16"/>
                <w:szCs w:val="16"/>
                <w:lang w:eastAsia="en-AU"/>
              </w:rPr>
              <w:t> </w:t>
            </w:r>
          </w:p>
        </w:tc>
        <w:tc>
          <w:tcPr>
            <w:tcW w:w="836" w:type="dxa"/>
            <w:tcBorders>
              <w:top w:val="nil"/>
              <w:left w:val="nil"/>
              <w:bottom w:val="nil"/>
              <w:right w:val="nil"/>
            </w:tcBorders>
            <w:shd w:val="clear" w:color="000000" w:fill="FFFFFF"/>
            <w:noWrap/>
            <w:hideMark/>
          </w:tcPr>
          <w:p w14:paraId="5F64DA21" w14:textId="77777777" w:rsidR="003C4F10" w:rsidRPr="00A35492" w:rsidRDefault="003C4F10" w:rsidP="00FD5F7A">
            <w:pPr>
              <w:jc w:val="center"/>
              <w:rPr>
                <w:rFonts w:ascii="Arial" w:hAnsi="Arial" w:cs="Arial"/>
                <w:sz w:val="16"/>
                <w:szCs w:val="16"/>
                <w:lang w:eastAsia="en-AU"/>
              </w:rPr>
            </w:pPr>
            <w:r w:rsidRPr="00A35492">
              <w:rPr>
                <w:rFonts w:ascii="Arial" w:hAnsi="Arial" w:cs="Arial"/>
                <w:sz w:val="16"/>
                <w:szCs w:val="16"/>
                <w:lang w:eastAsia="en-AU"/>
              </w:rPr>
              <w:t> </w:t>
            </w:r>
          </w:p>
        </w:tc>
        <w:tc>
          <w:tcPr>
            <w:tcW w:w="836" w:type="dxa"/>
            <w:tcBorders>
              <w:top w:val="nil"/>
              <w:left w:val="nil"/>
              <w:bottom w:val="nil"/>
              <w:right w:val="nil"/>
            </w:tcBorders>
            <w:shd w:val="clear" w:color="000000" w:fill="F2F2F2"/>
            <w:noWrap/>
            <w:hideMark/>
          </w:tcPr>
          <w:p w14:paraId="3B110339" w14:textId="77777777" w:rsidR="003C4F10" w:rsidRPr="00A35492" w:rsidRDefault="003C4F10" w:rsidP="00FD5F7A">
            <w:pPr>
              <w:jc w:val="center"/>
              <w:rPr>
                <w:rFonts w:ascii="Arial" w:hAnsi="Arial" w:cs="Arial"/>
                <w:sz w:val="16"/>
                <w:szCs w:val="16"/>
                <w:lang w:eastAsia="en-AU"/>
              </w:rPr>
            </w:pPr>
            <w:r w:rsidRPr="00A35492">
              <w:rPr>
                <w:rFonts w:ascii="Arial" w:hAnsi="Arial" w:cs="Arial"/>
                <w:sz w:val="16"/>
                <w:szCs w:val="16"/>
                <w:lang w:eastAsia="en-AU"/>
              </w:rPr>
              <w:t> </w:t>
            </w:r>
          </w:p>
        </w:tc>
        <w:tc>
          <w:tcPr>
            <w:tcW w:w="836" w:type="dxa"/>
            <w:tcBorders>
              <w:top w:val="nil"/>
              <w:left w:val="nil"/>
              <w:bottom w:val="nil"/>
              <w:right w:val="nil"/>
            </w:tcBorders>
            <w:shd w:val="clear" w:color="000000" w:fill="F2F2F2"/>
            <w:noWrap/>
            <w:hideMark/>
          </w:tcPr>
          <w:p w14:paraId="16B57661" w14:textId="77777777" w:rsidR="003C4F10" w:rsidRPr="00A35492" w:rsidRDefault="003C4F10" w:rsidP="00FD5F7A">
            <w:pPr>
              <w:jc w:val="center"/>
              <w:rPr>
                <w:rFonts w:ascii="Arial" w:hAnsi="Arial" w:cs="Arial"/>
                <w:sz w:val="16"/>
                <w:szCs w:val="16"/>
                <w:lang w:eastAsia="en-AU"/>
              </w:rPr>
            </w:pPr>
            <w:r w:rsidRPr="00A35492">
              <w:rPr>
                <w:rFonts w:ascii="Arial" w:hAnsi="Arial" w:cs="Arial"/>
                <w:sz w:val="16"/>
                <w:szCs w:val="16"/>
                <w:lang w:eastAsia="en-AU"/>
              </w:rPr>
              <w:t> </w:t>
            </w:r>
          </w:p>
        </w:tc>
        <w:tc>
          <w:tcPr>
            <w:tcW w:w="836" w:type="dxa"/>
            <w:tcBorders>
              <w:top w:val="nil"/>
              <w:left w:val="nil"/>
              <w:bottom w:val="nil"/>
              <w:right w:val="nil"/>
            </w:tcBorders>
            <w:shd w:val="clear" w:color="000000" w:fill="F2F2F2"/>
            <w:noWrap/>
            <w:hideMark/>
          </w:tcPr>
          <w:p w14:paraId="4A8B2474" w14:textId="77777777" w:rsidR="003C4F10" w:rsidRPr="00A35492" w:rsidRDefault="003C4F10" w:rsidP="00FD5F7A">
            <w:pPr>
              <w:jc w:val="center"/>
              <w:rPr>
                <w:rFonts w:ascii="Arial" w:hAnsi="Arial" w:cs="Arial"/>
                <w:sz w:val="16"/>
                <w:szCs w:val="16"/>
                <w:lang w:eastAsia="en-AU"/>
              </w:rPr>
            </w:pPr>
            <w:r w:rsidRPr="00A35492">
              <w:rPr>
                <w:rFonts w:ascii="Arial" w:hAnsi="Arial" w:cs="Arial"/>
                <w:sz w:val="16"/>
                <w:szCs w:val="16"/>
                <w:lang w:eastAsia="en-AU"/>
              </w:rPr>
              <w:t> </w:t>
            </w:r>
          </w:p>
        </w:tc>
        <w:tc>
          <w:tcPr>
            <w:tcW w:w="836" w:type="dxa"/>
            <w:tcBorders>
              <w:top w:val="nil"/>
              <w:left w:val="nil"/>
              <w:bottom w:val="nil"/>
              <w:right w:val="nil"/>
            </w:tcBorders>
            <w:shd w:val="clear" w:color="000000" w:fill="F2F2F2"/>
            <w:noWrap/>
            <w:hideMark/>
          </w:tcPr>
          <w:p w14:paraId="57025F57" w14:textId="77777777" w:rsidR="003C4F10" w:rsidRPr="00A35492" w:rsidRDefault="003C4F10" w:rsidP="00FD5F7A">
            <w:pPr>
              <w:jc w:val="center"/>
              <w:rPr>
                <w:rFonts w:ascii="Arial" w:hAnsi="Arial" w:cs="Arial"/>
                <w:sz w:val="16"/>
                <w:szCs w:val="16"/>
                <w:lang w:eastAsia="en-AU"/>
              </w:rPr>
            </w:pPr>
            <w:r w:rsidRPr="00A35492">
              <w:rPr>
                <w:rFonts w:ascii="Arial" w:hAnsi="Arial" w:cs="Arial"/>
                <w:sz w:val="16"/>
                <w:szCs w:val="16"/>
                <w:lang w:eastAsia="en-AU"/>
              </w:rPr>
              <w:t> </w:t>
            </w:r>
          </w:p>
        </w:tc>
        <w:tc>
          <w:tcPr>
            <w:tcW w:w="1012" w:type="dxa"/>
            <w:tcBorders>
              <w:top w:val="nil"/>
              <w:left w:val="nil"/>
              <w:bottom w:val="nil"/>
              <w:right w:val="nil"/>
            </w:tcBorders>
            <w:shd w:val="clear" w:color="000000" w:fill="FFFFFF"/>
            <w:noWrap/>
            <w:vAlign w:val="bottom"/>
            <w:hideMark/>
          </w:tcPr>
          <w:p w14:paraId="11106759" w14:textId="77777777" w:rsidR="003C4F10" w:rsidRPr="00A35492" w:rsidRDefault="003C4F10" w:rsidP="00FD5F7A">
            <w:pPr>
              <w:rPr>
                <w:rFonts w:ascii="Calibri" w:hAnsi="Calibri" w:cs="Calibri"/>
                <w:color w:val="000000"/>
                <w:sz w:val="16"/>
                <w:szCs w:val="16"/>
                <w:lang w:eastAsia="en-AU"/>
              </w:rPr>
            </w:pPr>
            <w:r w:rsidRPr="00A35492">
              <w:rPr>
                <w:rFonts w:ascii="Calibri" w:hAnsi="Calibri" w:cs="Calibri"/>
                <w:color w:val="000000"/>
                <w:sz w:val="16"/>
                <w:szCs w:val="16"/>
                <w:lang w:eastAsia="en-AU"/>
              </w:rPr>
              <w:t> </w:t>
            </w:r>
          </w:p>
        </w:tc>
      </w:tr>
      <w:tr w:rsidR="003C4F10" w:rsidRPr="00A35492" w14:paraId="4C605E77" w14:textId="77777777" w:rsidTr="00704348">
        <w:trPr>
          <w:trHeight w:val="240"/>
        </w:trPr>
        <w:tc>
          <w:tcPr>
            <w:tcW w:w="3686" w:type="dxa"/>
            <w:tcBorders>
              <w:top w:val="nil"/>
              <w:left w:val="nil"/>
              <w:bottom w:val="nil"/>
              <w:right w:val="nil"/>
            </w:tcBorders>
            <w:shd w:val="clear" w:color="000000" w:fill="FFFFFF"/>
            <w:vAlign w:val="center"/>
            <w:hideMark/>
          </w:tcPr>
          <w:p w14:paraId="2BB21D12" w14:textId="77777777" w:rsidR="003C4F10" w:rsidRPr="00A35492" w:rsidRDefault="003C4F10" w:rsidP="00FD5F7A">
            <w:pPr>
              <w:rPr>
                <w:rFonts w:ascii="Arial" w:hAnsi="Arial" w:cs="Arial"/>
                <w:sz w:val="16"/>
                <w:szCs w:val="16"/>
                <w:lang w:eastAsia="en-AU"/>
              </w:rPr>
            </w:pPr>
            <w:r w:rsidRPr="00A35492">
              <w:rPr>
                <w:rFonts w:ascii="Arial" w:hAnsi="Arial" w:cs="Arial"/>
                <w:sz w:val="16"/>
                <w:szCs w:val="16"/>
                <w:lang w:eastAsia="en-AU"/>
              </w:rPr>
              <w:t>Taxation</w:t>
            </w:r>
          </w:p>
        </w:tc>
        <w:tc>
          <w:tcPr>
            <w:tcW w:w="836" w:type="dxa"/>
            <w:tcBorders>
              <w:top w:val="nil"/>
              <w:left w:val="nil"/>
              <w:bottom w:val="nil"/>
              <w:right w:val="nil"/>
            </w:tcBorders>
            <w:shd w:val="clear" w:color="000000" w:fill="FFFFFF"/>
            <w:noWrap/>
            <w:vAlign w:val="center"/>
            <w:hideMark/>
          </w:tcPr>
          <w:p w14:paraId="6B120E42"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34,407 </w:t>
            </w:r>
          </w:p>
        </w:tc>
        <w:tc>
          <w:tcPr>
            <w:tcW w:w="836" w:type="dxa"/>
            <w:tcBorders>
              <w:top w:val="nil"/>
              <w:left w:val="nil"/>
              <w:bottom w:val="nil"/>
              <w:right w:val="nil"/>
            </w:tcBorders>
            <w:shd w:val="clear" w:color="000000" w:fill="FFFFFF"/>
            <w:noWrap/>
            <w:vAlign w:val="center"/>
            <w:hideMark/>
          </w:tcPr>
          <w:p w14:paraId="2EB9E833"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39,240 </w:t>
            </w:r>
          </w:p>
        </w:tc>
        <w:tc>
          <w:tcPr>
            <w:tcW w:w="836" w:type="dxa"/>
            <w:tcBorders>
              <w:top w:val="nil"/>
              <w:left w:val="nil"/>
              <w:bottom w:val="nil"/>
              <w:right w:val="nil"/>
            </w:tcBorders>
            <w:shd w:val="clear" w:color="000000" w:fill="F2F2F2"/>
            <w:noWrap/>
            <w:vAlign w:val="center"/>
            <w:hideMark/>
          </w:tcPr>
          <w:p w14:paraId="2D0DA77F"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39,637 </w:t>
            </w:r>
          </w:p>
        </w:tc>
        <w:tc>
          <w:tcPr>
            <w:tcW w:w="836" w:type="dxa"/>
            <w:tcBorders>
              <w:top w:val="nil"/>
              <w:left w:val="nil"/>
              <w:bottom w:val="nil"/>
              <w:right w:val="nil"/>
            </w:tcBorders>
            <w:shd w:val="clear" w:color="000000" w:fill="F2F2F2"/>
            <w:noWrap/>
            <w:vAlign w:val="center"/>
            <w:hideMark/>
          </w:tcPr>
          <w:p w14:paraId="7FDF8B19"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39,683 </w:t>
            </w:r>
          </w:p>
        </w:tc>
        <w:tc>
          <w:tcPr>
            <w:tcW w:w="836" w:type="dxa"/>
            <w:tcBorders>
              <w:top w:val="nil"/>
              <w:left w:val="nil"/>
              <w:bottom w:val="nil"/>
              <w:right w:val="nil"/>
            </w:tcBorders>
            <w:shd w:val="clear" w:color="000000" w:fill="F2F2F2"/>
            <w:noWrap/>
            <w:vAlign w:val="center"/>
            <w:hideMark/>
          </w:tcPr>
          <w:p w14:paraId="3DE847BA"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41,732 </w:t>
            </w:r>
          </w:p>
        </w:tc>
        <w:tc>
          <w:tcPr>
            <w:tcW w:w="836" w:type="dxa"/>
            <w:tcBorders>
              <w:top w:val="nil"/>
              <w:left w:val="nil"/>
              <w:bottom w:val="nil"/>
              <w:right w:val="nil"/>
            </w:tcBorders>
            <w:shd w:val="clear" w:color="000000" w:fill="F2F2F2"/>
            <w:noWrap/>
            <w:vAlign w:val="center"/>
            <w:hideMark/>
          </w:tcPr>
          <w:p w14:paraId="131477F9"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43,753 </w:t>
            </w:r>
          </w:p>
        </w:tc>
        <w:tc>
          <w:tcPr>
            <w:tcW w:w="1012" w:type="dxa"/>
            <w:tcBorders>
              <w:top w:val="nil"/>
              <w:left w:val="nil"/>
              <w:bottom w:val="nil"/>
              <w:right w:val="nil"/>
            </w:tcBorders>
            <w:shd w:val="clear" w:color="000000" w:fill="FFFFFF"/>
            <w:noWrap/>
            <w:vAlign w:val="center"/>
            <w:hideMark/>
          </w:tcPr>
          <w:p w14:paraId="134B574A" w14:textId="77777777" w:rsidR="003C4F10" w:rsidRPr="00A35492" w:rsidRDefault="003C4F10" w:rsidP="00B52C2E">
            <w:pPr>
              <w:ind w:left="-306" w:right="173"/>
              <w:jc w:val="right"/>
              <w:rPr>
                <w:rFonts w:ascii="Arial" w:hAnsi="Arial" w:cs="Arial"/>
                <w:sz w:val="16"/>
                <w:szCs w:val="16"/>
                <w:lang w:eastAsia="en-AU"/>
              </w:rPr>
            </w:pPr>
            <w:r w:rsidRPr="00A35492">
              <w:rPr>
                <w:rFonts w:ascii="Arial" w:hAnsi="Arial" w:cs="Arial"/>
                <w:sz w:val="16"/>
                <w:szCs w:val="16"/>
                <w:lang w:eastAsia="en-AU"/>
              </w:rPr>
              <w:t>2.8</w:t>
            </w:r>
          </w:p>
        </w:tc>
      </w:tr>
      <w:tr w:rsidR="003C4F10" w:rsidRPr="00A35492" w14:paraId="2E54F6DD" w14:textId="77777777" w:rsidTr="00704348">
        <w:trPr>
          <w:trHeight w:val="240"/>
        </w:trPr>
        <w:tc>
          <w:tcPr>
            <w:tcW w:w="3686" w:type="dxa"/>
            <w:tcBorders>
              <w:top w:val="nil"/>
              <w:left w:val="nil"/>
              <w:bottom w:val="nil"/>
              <w:right w:val="nil"/>
            </w:tcBorders>
            <w:shd w:val="clear" w:color="000000" w:fill="FFFFFF"/>
            <w:vAlign w:val="center"/>
            <w:hideMark/>
          </w:tcPr>
          <w:p w14:paraId="2814D7FE" w14:textId="77777777" w:rsidR="003C4F10" w:rsidRPr="00A35492" w:rsidRDefault="003C4F10" w:rsidP="00FD5F7A">
            <w:pPr>
              <w:rPr>
                <w:rFonts w:ascii="Arial" w:hAnsi="Arial" w:cs="Arial"/>
                <w:sz w:val="16"/>
                <w:szCs w:val="16"/>
                <w:lang w:eastAsia="en-AU"/>
              </w:rPr>
            </w:pPr>
            <w:r w:rsidRPr="00A35492">
              <w:rPr>
                <w:rFonts w:ascii="Arial" w:hAnsi="Arial" w:cs="Arial"/>
                <w:sz w:val="16"/>
                <w:szCs w:val="16"/>
                <w:lang w:eastAsia="en-AU"/>
              </w:rPr>
              <w:t>Grant revenue (including GST)</w:t>
            </w:r>
          </w:p>
        </w:tc>
        <w:tc>
          <w:tcPr>
            <w:tcW w:w="836" w:type="dxa"/>
            <w:tcBorders>
              <w:top w:val="nil"/>
              <w:left w:val="nil"/>
              <w:bottom w:val="nil"/>
              <w:right w:val="nil"/>
            </w:tcBorders>
            <w:shd w:val="clear" w:color="000000" w:fill="FFFFFF"/>
            <w:noWrap/>
            <w:vAlign w:val="center"/>
            <w:hideMark/>
          </w:tcPr>
          <w:p w14:paraId="42AF002B"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35,646 </w:t>
            </w:r>
          </w:p>
        </w:tc>
        <w:tc>
          <w:tcPr>
            <w:tcW w:w="836" w:type="dxa"/>
            <w:tcBorders>
              <w:top w:val="nil"/>
              <w:left w:val="nil"/>
              <w:bottom w:val="nil"/>
              <w:right w:val="nil"/>
            </w:tcBorders>
            <w:shd w:val="clear" w:color="000000" w:fill="FFFFFF"/>
            <w:noWrap/>
            <w:vAlign w:val="center"/>
            <w:hideMark/>
          </w:tcPr>
          <w:p w14:paraId="4EA643BE"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44,924 </w:t>
            </w:r>
          </w:p>
        </w:tc>
        <w:tc>
          <w:tcPr>
            <w:tcW w:w="836" w:type="dxa"/>
            <w:tcBorders>
              <w:top w:val="nil"/>
              <w:left w:val="nil"/>
              <w:bottom w:val="nil"/>
              <w:right w:val="nil"/>
            </w:tcBorders>
            <w:shd w:val="clear" w:color="000000" w:fill="F2F2F2"/>
            <w:noWrap/>
            <w:vAlign w:val="center"/>
            <w:hideMark/>
          </w:tcPr>
          <w:p w14:paraId="5B81ACDC"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42,928 </w:t>
            </w:r>
          </w:p>
        </w:tc>
        <w:tc>
          <w:tcPr>
            <w:tcW w:w="836" w:type="dxa"/>
            <w:tcBorders>
              <w:top w:val="nil"/>
              <w:left w:val="nil"/>
              <w:bottom w:val="nil"/>
              <w:right w:val="nil"/>
            </w:tcBorders>
            <w:shd w:val="clear" w:color="000000" w:fill="F2F2F2"/>
            <w:noWrap/>
            <w:vAlign w:val="center"/>
            <w:hideMark/>
          </w:tcPr>
          <w:p w14:paraId="18D14FC9"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46,024 </w:t>
            </w:r>
          </w:p>
        </w:tc>
        <w:tc>
          <w:tcPr>
            <w:tcW w:w="836" w:type="dxa"/>
            <w:tcBorders>
              <w:top w:val="nil"/>
              <w:left w:val="nil"/>
              <w:bottom w:val="nil"/>
              <w:right w:val="nil"/>
            </w:tcBorders>
            <w:shd w:val="clear" w:color="000000" w:fill="F2F2F2"/>
            <w:noWrap/>
            <w:vAlign w:val="center"/>
            <w:hideMark/>
          </w:tcPr>
          <w:p w14:paraId="30EEA005"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47,891 </w:t>
            </w:r>
          </w:p>
        </w:tc>
        <w:tc>
          <w:tcPr>
            <w:tcW w:w="836" w:type="dxa"/>
            <w:tcBorders>
              <w:top w:val="nil"/>
              <w:left w:val="nil"/>
              <w:bottom w:val="nil"/>
              <w:right w:val="nil"/>
            </w:tcBorders>
            <w:shd w:val="clear" w:color="000000" w:fill="F2F2F2"/>
            <w:noWrap/>
            <w:vAlign w:val="center"/>
            <w:hideMark/>
          </w:tcPr>
          <w:p w14:paraId="4D7DBD07"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48,625 </w:t>
            </w:r>
          </w:p>
        </w:tc>
        <w:tc>
          <w:tcPr>
            <w:tcW w:w="1012" w:type="dxa"/>
            <w:tcBorders>
              <w:top w:val="nil"/>
              <w:left w:val="nil"/>
              <w:bottom w:val="nil"/>
              <w:right w:val="nil"/>
            </w:tcBorders>
            <w:shd w:val="clear" w:color="000000" w:fill="FFFFFF"/>
            <w:noWrap/>
            <w:vAlign w:val="center"/>
            <w:hideMark/>
          </w:tcPr>
          <w:p w14:paraId="6BC98DE2" w14:textId="77777777" w:rsidR="003C4F10" w:rsidRPr="00A35492" w:rsidRDefault="003C4F10" w:rsidP="00B52C2E">
            <w:pPr>
              <w:ind w:left="-306" w:right="173"/>
              <w:jc w:val="right"/>
              <w:rPr>
                <w:rFonts w:ascii="Arial" w:hAnsi="Arial" w:cs="Arial"/>
                <w:sz w:val="16"/>
                <w:szCs w:val="16"/>
                <w:lang w:eastAsia="en-AU"/>
              </w:rPr>
            </w:pPr>
            <w:r w:rsidRPr="00A35492">
              <w:rPr>
                <w:rFonts w:ascii="Arial" w:hAnsi="Arial" w:cs="Arial"/>
                <w:sz w:val="16"/>
                <w:szCs w:val="16"/>
                <w:lang w:eastAsia="en-AU"/>
              </w:rPr>
              <w:t>2.0</w:t>
            </w:r>
          </w:p>
        </w:tc>
      </w:tr>
      <w:tr w:rsidR="003C4F10" w:rsidRPr="00A35492" w14:paraId="6CFCA44D" w14:textId="77777777" w:rsidTr="00704348">
        <w:trPr>
          <w:trHeight w:val="240"/>
        </w:trPr>
        <w:tc>
          <w:tcPr>
            <w:tcW w:w="3686" w:type="dxa"/>
            <w:tcBorders>
              <w:top w:val="nil"/>
              <w:left w:val="nil"/>
              <w:bottom w:val="nil"/>
              <w:right w:val="nil"/>
            </w:tcBorders>
            <w:shd w:val="clear" w:color="000000" w:fill="FFFFFF"/>
            <w:vAlign w:val="center"/>
            <w:hideMark/>
          </w:tcPr>
          <w:p w14:paraId="0C8F3529" w14:textId="77777777" w:rsidR="003C4F10" w:rsidRPr="00A35492" w:rsidRDefault="003C4F10" w:rsidP="00FD5F7A">
            <w:pPr>
              <w:rPr>
                <w:rFonts w:ascii="Arial" w:hAnsi="Arial" w:cs="Arial"/>
                <w:sz w:val="16"/>
                <w:szCs w:val="16"/>
                <w:lang w:eastAsia="en-AU"/>
              </w:rPr>
            </w:pPr>
            <w:r w:rsidRPr="00A35492">
              <w:rPr>
                <w:rFonts w:ascii="Arial" w:hAnsi="Arial" w:cs="Arial"/>
                <w:sz w:val="16"/>
                <w:szCs w:val="16"/>
                <w:lang w:eastAsia="en-AU"/>
              </w:rPr>
              <w:t>Sale of goods and services</w:t>
            </w:r>
          </w:p>
        </w:tc>
        <w:tc>
          <w:tcPr>
            <w:tcW w:w="836" w:type="dxa"/>
            <w:tcBorders>
              <w:top w:val="nil"/>
              <w:left w:val="nil"/>
              <w:bottom w:val="nil"/>
              <w:right w:val="nil"/>
            </w:tcBorders>
            <w:shd w:val="clear" w:color="000000" w:fill="FFFFFF"/>
            <w:noWrap/>
            <w:vAlign w:val="center"/>
            <w:hideMark/>
          </w:tcPr>
          <w:p w14:paraId="6CF71433"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9,949 </w:t>
            </w:r>
          </w:p>
        </w:tc>
        <w:tc>
          <w:tcPr>
            <w:tcW w:w="836" w:type="dxa"/>
            <w:tcBorders>
              <w:top w:val="nil"/>
              <w:left w:val="nil"/>
              <w:bottom w:val="nil"/>
              <w:right w:val="nil"/>
            </w:tcBorders>
            <w:shd w:val="clear" w:color="000000" w:fill="FFFFFF"/>
            <w:noWrap/>
            <w:vAlign w:val="center"/>
            <w:hideMark/>
          </w:tcPr>
          <w:p w14:paraId="5DCECC1B"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9,733 </w:t>
            </w:r>
          </w:p>
        </w:tc>
        <w:tc>
          <w:tcPr>
            <w:tcW w:w="836" w:type="dxa"/>
            <w:tcBorders>
              <w:top w:val="nil"/>
              <w:left w:val="nil"/>
              <w:bottom w:val="nil"/>
              <w:right w:val="nil"/>
            </w:tcBorders>
            <w:shd w:val="clear" w:color="000000" w:fill="F2F2F2"/>
            <w:noWrap/>
            <w:vAlign w:val="center"/>
            <w:hideMark/>
          </w:tcPr>
          <w:p w14:paraId="61791115"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10,191 </w:t>
            </w:r>
          </w:p>
        </w:tc>
        <w:tc>
          <w:tcPr>
            <w:tcW w:w="836" w:type="dxa"/>
            <w:tcBorders>
              <w:top w:val="nil"/>
              <w:left w:val="nil"/>
              <w:bottom w:val="nil"/>
              <w:right w:val="nil"/>
            </w:tcBorders>
            <w:shd w:val="clear" w:color="000000" w:fill="F2F2F2"/>
            <w:noWrap/>
            <w:vAlign w:val="center"/>
            <w:hideMark/>
          </w:tcPr>
          <w:p w14:paraId="7C913455"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10,122 </w:t>
            </w:r>
          </w:p>
        </w:tc>
        <w:tc>
          <w:tcPr>
            <w:tcW w:w="836" w:type="dxa"/>
            <w:tcBorders>
              <w:top w:val="nil"/>
              <w:left w:val="nil"/>
              <w:bottom w:val="nil"/>
              <w:right w:val="nil"/>
            </w:tcBorders>
            <w:shd w:val="clear" w:color="000000" w:fill="F2F2F2"/>
            <w:noWrap/>
            <w:vAlign w:val="center"/>
            <w:hideMark/>
          </w:tcPr>
          <w:p w14:paraId="69919BAF"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9,107 </w:t>
            </w:r>
          </w:p>
        </w:tc>
        <w:tc>
          <w:tcPr>
            <w:tcW w:w="836" w:type="dxa"/>
            <w:tcBorders>
              <w:top w:val="nil"/>
              <w:left w:val="nil"/>
              <w:bottom w:val="nil"/>
              <w:right w:val="nil"/>
            </w:tcBorders>
            <w:shd w:val="clear" w:color="000000" w:fill="F2F2F2"/>
            <w:noWrap/>
            <w:vAlign w:val="center"/>
            <w:hideMark/>
          </w:tcPr>
          <w:p w14:paraId="120E7DB1"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9,084 </w:t>
            </w:r>
          </w:p>
        </w:tc>
        <w:tc>
          <w:tcPr>
            <w:tcW w:w="1012" w:type="dxa"/>
            <w:tcBorders>
              <w:top w:val="nil"/>
              <w:left w:val="nil"/>
              <w:bottom w:val="nil"/>
              <w:right w:val="nil"/>
            </w:tcBorders>
            <w:shd w:val="clear" w:color="000000" w:fill="FFFFFF"/>
            <w:noWrap/>
            <w:vAlign w:val="center"/>
            <w:hideMark/>
          </w:tcPr>
          <w:p w14:paraId="50F89F1B" w14:textId="77777777" w:rsidR="003C4F10" w:rsidRPr="00A35492" w:rsidRDefault="003C4F10" w:rsidP="00B52C2E">
            <w:pPr>
              <w:ind w:left="-306" w:right="173"/>
              <w:jc w:val="right"/>
              <w:rPr>
                <w:rFonts w:ascii="Arial" w:hAnsi="Arial" w:cs="Arial"/>
                <w:sz w:val="16"/>
                <w:szCs w:val="16"/>
                <w:lang w:eastAsia="en-AU"/>
              </w:rPr>
            </w:pPr>
            <w:r w:rsidRPr="00A35492">
              <w:rPr>
                <w:rFonts w:ascii="Arial" w:hAnsi="Arial" w:cs="Arial"/>
                <w:sz w:val="16"/>
                <w:szCs w:val="16"/>
                <w:lang w:eastAsia="en-AU"/>
              </w:rPr>
              <w:t>(1.7)</w:t>
            </w:r>
          </w:p>
        </w:tc>
      </w:tr>
      <w:tr w:rsidR="003C4F10" w:rsidRPr="00A35492" w14:paraId="7B74EA27" w14:textId="77777777" w:rsidTr="00704348">
        <w:trPr>
          <w:trHeight w:val="240"/>
        </w:trPr>
        <w:tc>
          <w:tcPr>
            <w:tcW w:w="3686" w:type="dxa"/>
            <w:tcBorders>
              <w:top w:val="nil"/>
              <w:left w:val="nil"/>
              <w:bottom w:val="nil"/>
              <w:right w:val="nil"/>
            </w:tcBorders>
            <w:shd w:val="clear" w:color="000000" w:fill="FFFFFF"/>
            <w:vAlign w:val="center"/>
            <w:hideMark/>
          </w:tcPr>
          <w:p w14:paraId="3338017B" w14:textId="77777777" w:rsidR="003C4F10" w:rsidRPr="00A35492" w:rsidRDefault="003C4F10" w:rsidP="00FD5F7A">
            <w:pPr>
              <w:rPr>
                <w:rFonts w:ascii="Arial" w:hAnsi="Arial" w:cs="Arial"/>
                <w:sz w:val="16"/>
                <w:szCs w:val="16"/>
                <w:lang w:eastAsia="en-AU"/>
              </w:rPr>
            </w:pPr>
            <w:r w:rsidRPr="00A35492">
              <w:rPr>
                <w:rFonts w:ascii="Arial" w:hAnsi="Arial" w:cs="Arial"/>
                <w:sz w:val="16"/>
                <w:szCs w:val="16"/>
                <w:lang w:eastAsia="en-AU"/>
              </w:rPr>
              <w:t>Interest income</w:t>
            </w:r>
          </w:p>
        </w:tc>
        <w:tc>
          <w:tcPr>
            <w:tcW w:w="836" w:type="dxa"/>
            <w:tcBorders>
              <w:top w:val="nil"/>
              <w:left w:val="nil"/>
              <w:bottom w:val="nil"/>
              <w:right w:val="nil"/>
            </w:tcBorders>
            <w:shd w:val="clear" w:color="000000" w:fill="FFFFFF"/>
            <w:noWrap/>
            <w:vAlign w:val="center"/>
            <w:hideMark/>
          </w:tcPr>
          <w:p w14:paraId="069D878E"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 307 </w:t>
            </w:r>
          </w:p>
        </w:tc>
        <w:tc>
          <w:tcPr>
            <w:tcW w:w="836" w:type="dxa"/>
            <w:tcBorders>
              <w:top w:val="nil"/>
              <w:left w:val="nil"/>
              <w:bottom w:val="nil"/>
              <w:right w:val="nil"/>
            </w:tcBorders>
            <w:shd w:val="clear" w:color="000000" w:fill="FFFFFF"/>
            <w:noWrap/>
            <w:vAlign w:val="center"/>
            <w:hideMark/>
          </w:tcPr>
          <w:p w14:paraId="64660B14"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 268 </w:t>
            </w:r>
          </w:p>
        </w:tc>
        <w:tc>
          <w:tcPr>
            <w:tcW w:w="836" w:type="dxa"/>
            <w:tcBorders>
              <w:top w:val="nil"/>
              <w:left w:val="nil"/>
              <w:bottom w:val="nil"/>
              <w:right w:val="nil"/>
            </w:tcBorders>
            <w:shd w:val="clear" w:color="000000" w:fill="F2F2F2"/>
            <w:noWrap/>
            <w:vAlign w:val="center"/>
            <w:hideMark/>
          </w:tcPr>
          <w:p w14:paraId="39C3FCD2"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 372 </w:t>
            </w:r>
          </w:p>
        </w:tc>
        <w:tc>
          <w:tcPr>
            <w:tcW w:w="836" w:type="dxa"/>
            <w:tcBorders>
              <w:top w:val="nil"/>
              <w:left w:val="nil"/>
              <w:bottom w:val="nil"/>
              <w:right w:val="nil"/>
            </w:tcBorders>
            <w:shd w:val="clear" w:color="000000" w:fill="F2F2F2"/>
            <w:noWrap/>
            <w:vAlign w:val="center"/>
            <w:hideMark/>
          </w:tcPr>
          <w:p w14:paraId="2EC6D61D"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 409 </w:t>
            </w:r>
          </w:p>
        </w:tc>
        <w:tc>
          <w:tcPr>
            <w:tcW w:w="836" w:type="dxa"/>
            <w:tcBorders>
              <w:top w:val="nil"/>
              <w:left w:val="nil"/>
              <w:bottom w:val="nil"/>
              <w:right w:val="nil"/>
            </w:tcBorders>
            <w:shd w:val="clear" w:color="000000" w:fill="F2F2F2"/>
            <w:noWrap/>
            <w:vAlign w:val="center"/>
            <w:hideMark/>
          </w:tcPr>
          <w:p w14:paraId="1D10D780"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 436 </w:t>
            </w:r>
          </w:p>
        </w:tc>
        <w:tc>
          <w:tcPr>
            <w:tcW w:w="836" w:type="dxa"/>
            <w:tcBorders>
              <w:top w:val="nil"/>
              <w:left w:val="nil"/>
              <w:bottom w:val="nil"/>
              <w:right w:val="nil"/>
            </w:tcBorders>
            <w:shd w:val="clear" w:color="000000" w:fill="F2F2F2"/>
            <w:noWrap/>
            <w:vAlign w:val="center"/>
            <w:hideMark/>
          </w:tcPr>
          <w:p w14:paraId="2A280F7C"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 480 </w:t>
            </w:r>
          </w:p>
        </w:tc>
        <w:tc>
          <w:tcPr>
            <w:tcW w:w="1012" w:type="dxa"/>
            <w:tcBorders>
              <w:top w:val="nil"/>
              <w:left w:val="nil"/>
              <w:bottom w:val="nil"/>
              <w:right w:val="nil"/>
            </w:tcBorders>
            <w:shd w:val="clear" w:color="000000" w:fill="FFFFFF"/>
            <w:noWrap/>
            <w:vAlign w:val="center"/>
            <w:hideMark/>
          </w:tcPr>
          <w:p w14:paraId="5DE6D48C" w14:textId="77777777" w:rsidR="003C4F10" w:rsidRPr="00A35492" w:rsidRDefault="003C4F10" w:rsidP="00B52C2E">
            <w:pPr>
              <w:ind w:left="-306" w:right="173"/>
              <w:jc w:val="right"/>
              <w:rPr>
                <w:rFonts w:ascii="Arial" w:hAnsi="Arial" w:cs="Arial"/>
                <w:sz w:val="16"/>
                <w:szCs w:val="16"/>
                <w:lang w:eastAsia="en-AU"/>
              </w:rPr>
            </w:pPr>
            <w:r w:rsidRPr="00A35492">
              <w:rPr>
                <w:rFonts w:ascii="Arial" w:hAnsi="Arial" w:cs="Arial"/>
                <w:sz w:val="16"/>
                <w:szCs w:val="16"/>
                <w:lang w:eastAsia="en-AU"/>
              </w:rPr>
              <w:t>15.7</w:t>
            </w:r>
          </w:p>
        </w:tc>
      </w:tr>
      <w:tr w:rsidR="003C4F10" w:rsidRPr="00A35492" w14:paraId="75E9F383" w14:textId="77777777" w:rsidTr="00704348">
        <w:trPr>
          <w:trHeight w:val="240"/>
        </w:trPr>
        <w:tc>
          <w:tcPr>
            <w:tcW w:w="3686" w:type="dxa"/>
            <w:tcBorders>
              <w:top w:val="nil"/>
              <w:left w:val="nil"/>
              <w:bottom w:val="nil"/>
              <w:right w:val="nil"/>
            </w:tcBorders>
            <w:shd w:val="clear" w:color="000000" w:fill="FFFFFF"/>
            <w:vAlign w:val="center"/>
            <w:hideMark/>
          </w:tcPr>
          <w:p w14:paraId="4F47DE91" w14:textId="77777777" w:rsidR="003C4F10" w:rsidRPr="00A35492" w:rsidRDefault="003C4F10" w:rsidP="00FD5F7A">
            <w:pPr>
              <w:rPr>
                <w:rFonts w:ascii="Arial" w:hAnsi="Arial" w:cs="Arial"/>
                <w:sz w:val="16"/>
                <w:szCs w:val="16"/>
                <w:lang w:eastAsia="en-AU"/>
              </w:rPr>
            </w:pPr>
            <w:r w:rsidRPr="00A35492">
              <w:rPr>
                <w:rFonts w:ascii="Arial" w:hAnsi="Arial" w:cs="Arial"/>
                <w:sz w:val="16"/>
                <w:szCs w:val="16"/>
                <w:lang w:eastAsia="en-AU"/>
              </w:rPr>
              <w:t>Dividends and income tax equivalents from other sectors</w:t>
            </w:r>
          </w:p>
        </w:tc>
        <w:tc>
          <w:tcPr>
            <w:tcW w:w="836" w:type="dxa"/>
            <w:tcBorders>
              <w:top w:val="nil"/>
              <w:left w:val="nil"/>
              <w:bottom w:val="nil"/>
              <w:right w:val="nil"/>
            </w:tcBorders>
            <w:shd w:val="clear" w:color="000000" w:fill="FFFFFF"/>
            <w:noWrap/>
            <w:vAlign w:val="center"/>
            <w:hideMark/>
          </w:tcPr>
          <w:p w14:paraId="13323905"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1,077 </w:t>
            </w:r>
          </w:p>
        </w:tc>
        <w:tc>
          <w:tcPr>
            <w:tcW w:w="836" w:type="dxa"/>
            <w:tcBorders>
              <w:top w:val="nil"/>
              <w:left w:val="nil"/>
              <w:bottom w:val="nil"/>
              <w:right w:val="nil"/>
            </w:tcBorders>
            <w:shd w:val="clear" w:color="000000" w:fill="FFFFFF"/>
            <w:noWrap/>
            <w:vAlign w:val="center"/>
            <w:hideMark/>
          </w:tcPr>
          <w:p w14:paraId="08C22E37"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 542 </w:t>
            </w:r>
          </w:p>
        </w:tc>
        <w:tc>
          <w:tcPr>
            <w:tcW w:w="836" w:type="dxa"/>
            <w:tcBorders>
              <w:top w:val="nil"/>
              <w:left w:val="nil"/>
              <w:bottom w:val="nil"/>
              <w:right w:val="nil"/>
            </w:tcBorders>
            <w:shd w:val="clear" w:color="000000" w:fill="F2F2F2"/>
            <w:noWrap/>
            <w:vAlign w:val="center"/>
            <w:hideMark/>
          </w:tcPr>
          <w:p w14:paraId="1C73ACB4"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 726 </w:t>
            </w:r>
          </w:p>
        </w:tc>
        <w:tc>
          <w:tcPr>
            <w:tcW w:w="836" w:type="dxa"/>
            <w:tcBorders>
              <w:top w:val="nil"/>
              <w:left w:val="nil"/>
              <w:bottom w:val="nil"/>
              <w:right w:val="nil"/>
            </w:tcBorders>
            <w:shd w:val="clear" w:color="000000" w:fill="F2F2F2"/>
            <w:noWrap/>
            <w:vAlign w:val="center"/>
            <w:hideMark/>
          </w:tcPr>
          <w:p w14:paraId="1CB53C20"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1,036 </w:t>
            </w:r>
          </w:p>
        </w:tc>
        <w:tc>
          <w:tcPr>
            <w:tcW w:w="836" w:type="dxa"/>
            <w:tcBorders>
              <w:top w:val="nil"/>
              <w:left w:val="nil"/>
              <w:bottom w:val="nil"/>
              <w:right w:val="nil"/>
            </w:tcBorders>
            <w:shd w:val="clear" w:color="000000" w:fill="F2F2F2"/>
            <w:noWrap/>
            <w:vAlign w:val="center"/>
            <w:hideMark/>
          </w:tcPr>
          <w:p w14:paraId="6FD05D15"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1,340 </w:t>
            </w:r>
          </w:p>
        </w:tc>
        <w:tc>
          <w:tcPr>
            <w:tcW w:w="836" w:type="dxa"/>
            <w:tcBorders>
              <w:top w:val="nil"/>
              <w:left w:val="nil"/>
              <w:bottom w:val="nil"/>
              <w:right w:val="nil"/>
            </w:tcBorders>
            <w:shd w:val="clear" w:color="000000" w:fill="F2F2F2"/>
            <w:noWrap/>
            <w:vAlign w:val="center"/>
            <w:hideMark/>
          </w:tcPr>
          <w:p w14:paraId="278FD715"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1,699 </w:t>
            </w:r>
          </w:p>
        </w:tc>
        <w:tc>
          <w:tcPr>
            <w:tcW w:w="1012" w:type="dxa"/>
            <w:tcBorders>
              <w:top w:val="nil"/>
              <w:left w:val="nil"/>
              <w:bottom w:val="nil"/>
              <w:right w:val="nil"/>
            </w:tcBorders>
            <w:shd w:val="clear" w:color="000000" w:fill="FFFFFF"/>
            <w:noWrap/>
            <w:vAlign w:val="center"/>
            <w:hideMark/>
          </w:tcPr>
          <w:p w14:paraId="543AFC32" w14:textId="77777777" w:rsidR="003C4F10" w:rsidRPr="00A35492" w:rsidRDefault="003C4F10" w:rsidP="00B52C2E">
            <w:pPr>
              <w:ind w:left="-306" w:right="173"/>
              <w:jc w:val="right"/>
              <w:rPr>
                <w:rFonts w:ascii="Arial" w:hAnsi="Arial" w:cs="Arial"/>
                <w:sz w:val="16"/>
                <w:szCs w:val="16"/>
                <w:lang w:eastAsia="en-AU"/>
              </w:rPr>
            </w:pPr>
            <w:r w:rsidRPr="00A35492">
              <w:rPr>
                <w:rFonts w:ascii="Arial" w:hAnsi="Arial" w:cs="Arial"/>
                <w:sz w:val="16"/>
                <w:szCs w:val="16"/>
                <w:lang w:eastAsia="en-AU"/>
              </w:rPr>
              <w:t>33.1</w:t>
            </w:r>
          </w:p>
        </w:tc>
      </w:tr>
      <w:tr w:rsidR="003C4F10" w:rsidRPr="00A35492" w14:paraId="68E43385" w14:textId="77777777" w:rsidTr="00704348">
        <w:trPr>
          <w:trHeight w:val="240"/>
        </w:trPr>
        <w:tc>
          <w:tcPr>
            <w:tcW w:w="3686" w:type="dxa"/>
            <w:tcBorders>
              <w:top w:val="nil"/>
              <w:left w:val="nil"/>
              <w:bottom w:val="nil"/>
              <w:right w:val="nil"/>
            </w:tcBorders>
            <w:shd w:val="clear" w:color="000000" w:fill="FFFFFF"/>
            <w:vAlign w:val="center"/>
            <w:hideMark/>
          </w:tcPr>
          <w:p w14:paraId="2B2FD144" w14:textId="77777777" w:rsidR="003C4F10" w:rsidRPr="00A35492" w:rsidRDefault="003C4F10" w:rsidP="00FD5F7A">
            <w:pPr>
              <w:rPr>
                <w:rFonts w:ascii="Arial" w:hAnsi="Arial" w:cs="Arial"/>
                <w:sz w:val="16"/>
                <w:szCs w:val="16"/>
                <w:lang w:eastAsia="en-AU"/>
              </w:rPr>
            </w:pPr>
            <w:r w:rsidRPr="00A35492">
              <w:rPr>
                <w:rFonts w:ascii="Arial" w:hAnsi="Arial" w:cs="Arial"/>
                <w:sz w:val="16"/>
                <w:szCs w:val="16"/>
                <w:lang w:eastAsia="en-AU"/>
              </w:rPr>
              <w:t>Other dividends and distributions</w:t>
            </w:r>
          </w:p>
        </w:tc>
        <w:tc>
          <w:tcPr>
            <w:tcW w:w="836" w:type="dxa"/>
            <w:tcBorders>
              <w:top w:val="nil"/>
              <w:left w:val="nil"/>
              <w:bottom w:val="nil"/>
              <w:right w:val="nil"/>
            </w:tcBorders>
            <w:shd w:val="clear" w:color="000000" w:fill="FFFFFF"/>
            <w:noWrap/>
            <w:vAlign w:val="center"/>
            <w:hideMark/>
          </w:tcPr>
          <w:p w14:paraId="647BEE19"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2,570 </w:t>
            </w:r>
          </w:p>
        </w:tc>
        <w:tc>
          <w:tcPr>
            <w:tcW w:w="836" w:type="dxa"/>
            <w:tcBorders>
              <w:top w:val="nil"/>
              <w:left w:val="nil"/>
              <w:bottom w:val="nil"/>
              <w:right w:val="nil"/>
            </w:tcBorders>
            <w:shd w:val="clear" w:color="000000" w:fill="FFFFFF"/>
            <w:noWrap/>
            <w:vAlign w:val="center"/>
            <w:hideMark/>
          </w:tcPr>
          <w:p w14:paraId="016A3178"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2,323 </w:t>
            </w:r>
          </w:p>
        </w:tc>
        <w:tc>
          <w:tcPr>
            <w:tcW w:w="836" w:type="dxa"/>
            <w:tcBorders>
              <w:top w:val="nil"/>
              <w:left w:val="nil"/>
              <w:bottom w:val="nil"/>
              <w:right w:val="nil"/>
            </w:tcBorders>
            <w:shd w:val="clear" w:color="000000" w:fill="F2F2F2"/>
            <w:noWrap/>
            <w:vAlign w:val="center"/>
            <w:hideMark/>
          </w:tcPr>
          <w:p w14:paraId="61F869C9"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2,684 </w:t>
            </w:r>
          </w:p>
        </w:tc>
        <w:tc>
          <w:tcPr>
            <w:tcW w:w="836" w:type="dxa"/>
            <w:tcBorders>
              <w:top w:val="nil"/>
              <w:left w:val="nil"/>
              <w:bottom w:val="nil"/>
              <w:right w:val="nil"/>
            </w:tcBorders>
            <w:shd w:val="clear" w:color="000000" w:fill="F2F2F2"/>
            <w:noWrap/>
            <w:vAlign w:val="center"/>
            <w:hideMark/>
          </w:tcPr>
          <w:p w14:paraId="11FF2FC5"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3,636 </w:t>
            </w:r>
          </w:p>
        </w:tc>
        <w:tc>
          <w:tcPr>
            <w:tcW w:w="836" w:type="dxa"/>
            <w:tcBorders>
              <w:top w:val="nil"/>
              <w:left w:val="nil"/>
              <w:bottom w:val="nil"/>
              <w:right w:val="nil"/>
            </w:tcBorders>
            <w:shd w:val="clear" w:color="000000" w:fill="F2F2F2"/>
            <w:noWrap/>
            <w:vAlign w:val="center"/>
            <w:hideMark/>
          </w:tcPr>
          <w:p w14:paraId="05D85F27"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4,179 </w:t>
            </w:r>
          </w:p>
        </w:tc>
        <w:tc>
          <w:tcPr>
            <w:tcW w:w="836" w:type="dxa"/>
            <w:tcBorders>
              <w:top w:val="nil"/>
              <w:left w:val="nil"/>
              <w:bottom w:val="nil"/>
              <w:right w:val="nil"/>
            </w:tcBorders>
            <w:shd w:val="clear" w:color="000000" w:fill="F2F2F2"/>
            <w:noWrap/>
            <w:vAlign w:val="center"/>
            <w:hideMark/>
          </w:tcPr>
          <w:p w14:paraId="58C712B0"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4,288 </w:t>
            </w:r>
          </w:p>
        </w:tc>
        <w:tc>
          <w:tcPr>
            <w:tcW w:w="1012" w:type="dxa"/>
            <w:tcBorders>
              <w:top w:val="nil"/>
              <w:left w:val="nil"/>
              <w:bottom w:val="nil"/>
              <w:right w:val="nil"/>
            </w:tcBorders>
            <w:shd w:val="clear" w:color="000000" w:fill="FFFFFF"/>
            <w:noWrap/>
            <w:vAlign w:val="center"/>
            <w:hideMark/>
          </w:tcPr>
          <w:p w14:paraId="6824DAA1" w14:textId="77777777" w:rsidR="003C4F10" w:rsidRPr="00A35492" w:rsidRDefault="003C4F10" w:rsidP="00B52C2E">
            <w:pPr>
              <w:ind w:left="-306" w:right="173"/>
              <w:jc w:val="right"/>
              <w:rPr>
                <w:rFonts w:ascii="Arial" w:hAnsi="Arial" w:cs="Arial"/>
                <w:sz w:val="16"/>
                <w:szCs w:val="16"/>
                <w:lang w:eastAsia="en-AU"/>
              </w:rPr>
            </w:pPr>
            <w:r w:rsidRPr="00A35492">
              <w:rPr>
                <w:rFonts w:ascii="Arial" w:hAnsi="Arial" w:cs="Arial"/>
                <w:sz w:val="16"/>
                <w:szCs w:val="16"/>
                <w:lang w:eastAsia="en-AU"/>
              </w:rPr>
              <w:t>16.6</w:t>
            </w:r>
          </w:p>
        </w:tc>
      </w:tr>
      <w:tr w:rsidR="003C4F10" w:rsidRPr="00A35492" w14:paraId="2CE28755" w14:textId="77777777" w:rsidTr="00704348">
        <w:trPr>
          <w:trHeight w:val="240"/>
        </w:trPr>
        <w:tc>
          <w:tcPr>
            <w:tcW w:w="3686" w:type="dxa"/>
            <w:tcBorders>
              <w:top w:val="nil"/>
              <w:left w:val="nil"/>
              <w:bottom w:val="nil"/>
              <w:right w:val="nil"/>
            </w:tcBorders>
            <w:shd w:val="clear" w:color="000000" w:fill="FFFFFF"/>
            <w:vAlign w:val="center"/>
            <w:hideMark/>
          </w:tcPr>
          <w:p w14:paraId="159957C6" w14:textId="77777777" w:rsidR="003C4F10" w:rsidRPr="00A35492" w:rsidRDefault="003C4F10" w:rsidP="00FD5F7A">
            <w:pPr>
              <w:rPr>
                <w:rFonts w:ascii="Arial" w:hAnsi="Arial" w:cs="Arial"/>
                <w:sz w:val="16"/>
                <w:szCs w:val="16"/>
                <w:lang w:eastAsia="en-AU"/>
              </w:rPr>
            </w:pPr>
            <w:r w:rsidRPr="00A35492">
              <w:rPr>
                <w:rFonts w:ascii="Arial" w:hAnsi="Arial" w:cs="Arial"/>
                <w:sz w:val="16"/>
                <w:szCs w:val="16"/>
                <w:lang w:eastAsia="en-AU"/>
              </w:rPr>
              <w:t xml:space="preserve">Royalties </w:t>
            </w:r>
          </w:p>
        </w:tc>
        <w:tc>
          <w:tcPr>
            <w:tcW w:w="836" w:type="dxa"/>
            <w:tcBorders>
              <w:top w:val="nil"/>
              <w:left w:val="nil"/>
              <w:bottom w:val="nil"/>
              <w:right w:val="nil"/>
            </w:tcBorders>
            <w:shd w:val="clear" w:color="000000" w:fill="FFFFFF"/>
            <w:noWrap/>
            <w:vAlign w:val="center"/>
            <w:hideMark/>
          </w:tcPr>
          <w:p w14:paraId="36C91455"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1,418 </w:t>
            </w:r>
          </w:p>
        </w:tc>
        <w:tc>
          <w:tcPr>
            <w:tcW w:w="836" w:type="dxa"/>
            <w:tcBorders>
              <w:top w:val="nil"/>
              <w:left w:val="nil"/>
              <w:bottom w:val="nil"/>
              <w:right w:val="nil"/>
            </w:tcBorders>
            <w:shd w:val="clear" w:color="000000" w:fill="FFFFFF"/>
            <w:noWrap/>
            <w:vAlign w:val="center"/>
            <w:hideMark/>
          </w:tcPr>
          <w:p w14:paraId="5B1DCCB4"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3,636 </w:t>
            </w:r>
          </w:p>
        </w:tc>
        <w:tc>
          <w:tcPr>
            <w:tcW w:w="836" w:type="dxa"/>
            <w:tcBorders>
              <w:top w:val="nil"/>
              <w:left w:val="nil"/>
              <w:bottom w:val="nil"/>
              <w:right w:val="nil"/>
            </w:tcBorders>
            <w:shd w:val="clear" w:color="000000" w:fill="F2F2F2"/>
            <w:noWrap/>
            <w:vAlign w:val="center"/>
            <w:hideMark/>
          </w:tcPr>
          <w:p w14:paraId="21430EB4"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4,050 </w:t>
            </w:r>
          </w:p>
        </w:tc>
        <w:tc>
          <w:tcPr>
            <w:tcW w:w="836" w:type="dxa"/>
            <w:tcBorders>
              <w:top w:val="nil"/>
              <w:left w:val="nil"/>
              <w:bottom w:val="nil"/>
              <w:right w:val="nil"/>
            </w:tcBorders>
            <w:shd w:val="clear" w:color="000000" w:fill="F2F2F2"/>
            <w:noWrap/>
            <w:vAlign w:val="center"/>
            <w:hideMark/>
          </w:tcPr>
          <w:p w14:paraId="2497C5CA"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2,797 </w:t>
            </w:r>
          </w:p>
        </w:tc>
        <w:tc>
          <w:tcPr>
            <w:tcW w:w="836" w:type="dxa"/>
            <w:tcBorders>
              <w:top w:val="nil"/>
              <w:left w:val="nil"/>
              <w:bottom w:val="nil"/>
              <w:right w:val="nil"/>
            </w:tcBorders>
            <w:shd w:val="clear" w:color="000000" w:fill="F2F2F2"/>
            <w:noWrap/>
            <w:vAlign w:val="center"/>
            <w:hideMark/>
          </w:tcPr>
          <w:p w14:paraId="6D8BAB46"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2,257 </w:t>
            </w:r>
          </w:p>
        </w:tc>
        <w:tc>
          <w:tcPr>
            <w:tcW w:w="836" w:type="dxa"/>
            <w:tcBorders>
              <w:top w:val="nil"/>
              <w:left w:val="nil"/>
              <w:bottom w:val="nil"/>
              <w:right w:val="nil"/>
            </w:tcBorders>
            <w:shd w:val="clear" w:color="000000" w:fill="F2F2F2"/>
            <w:noWrap/>
            <w:vAlign w:val="center"/>
            <w:hideMark/>
          </w:tcPr>
          <w:p w14:paraId="223694EB"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1,973 </w:t>
            </w:r>
          </w:p>
        </w:tc>
        <w:tc>
          <w:tcPr>
            <w:tcW w:w="1012" w:type="dxa"/>
            <w:tcBorders>
              <w:top w:val="nil"/>
              <w:left w:val="nil"/>
              <w:bottom w:val="nil"/>
              <w:right w:val="nil"/>
            </w:tcBorders>
            <w:shd w:val="clear" w:color="000000" w:fill="FFFFFF"/>
            <w:noWrap/>
            <w:vAlign w:val="center"/>
            <w:hideMark/>
          </w:tcPr>
          <w:p w14:paraId="22FBB1D9" w14:textId="77777777" w:rsidR="003C4F10" w:rsidRPr="00A35492" w:rsidRDefault="003C4F10" w:rsidP="00B52C2E">
            <w:pPr>
              <w:ind w:left="-306" w:right="173"/>
              <w:jc w:val="right"/>
              <w:rPr>
                <w:rFonts w:ascii="Arial" w:hAnsi="Arial" w:cs="Arial"/>
                <w:sz w:val="16"/>
                <w:szCs w:val="16"/>
                <w:lang w:eastAsia="en-AU"/>
              </w:rPr>
            </w:pPr>
            <w:r w:rsidRPr="00A35492">
              <w:rPr>
                <w:rFonts w:ascii="Arial" w:hAnsi="Arial" w:cs="Arial"/>
                <w:sz w:val="16"/>
                <w:szCs w:val="16"/>
                <w:lang w:eastAsia="en-AU"/>
              </w:rPr>
              <w:t>(14.2)</w:t>
            </w:r>
          </w:p>
        </w:tc>
      </w:tr>
      <w:tr w:rsidR="003C4F10" w:rsidRPr="00A35492" w14:paraId="751A27FD" w14:textId="77777777" w:rsidTr="00704348">
        <w:trPr>
          <w:trHeight w:val="240"/>
        </w:trPr>
        <w:tc>
          <w:tcPr>
            <w:tcW w:w="3686" w:type="dxa"/>
            <w:tcBorders>
              <w:top w:val="nil"/>
              <w:left w:val="nil"/>
              <w:bottom w:val="nil"/>
              <w:right w:val="nil"/>
            </w:tcBorders>
            <w:shd w:val="clear" w:color="000000" w:fill="FFFFFF"/>
            <w:vAlign w:val="center"/>
            <w:hideMark/>
          </w:tcPr>
          <w:p w14:paraId="096E95E2" w14:textId="77777777" w:rsidR="003C4F10" w:rsidRPr="00A35492" w:rsidRDefault="003C4F10" w:rsidP="00FD5F7A">
            <w:pPr>
              <w:rPr>
                <w:rFonts w:ascii="Arial" w:hAnsi="Arial" w:cs="Arial"/>
                <w:sz w:val="16"/>
                <w:szCs w:val="16"/>
                <w:lang w:eastAsia="en-AU"/>
              </w:rPr>
            </w:pPr>
            <w:r w:rsidRPr="00A35492">
              <w:rPr>
                <w:rFonts w:ascii="Arial" w:hAnsi="Arial" w:cs="Arial"/>
                <w:sz w:val="16"/>
                <w:szCs w:val="16"/>
                <w:lang w:eastAsia="en-AU"/>
              </w:rPr>
              <w:t xml:space="preserve">Fines, regulatory fees and other revenues </w:t>
            </w:r>
          </w:p>
        </w:tc>
        <w:tc>
          <w:tcPr>
            <w:tcW w:w="836" w:type="dxa"/>
            <w:tcBorders>
              <w:top w:val="nil"/>
              <w:left w:val="nil"/>
              <w:bottom w:val="nil"/>
              <w:right w:val="nil"/>
            </w:tcBorders>
            <w:shd w:val="clear" w:color="000000" w:fill="FFFFFF"/>
            <w:noWrap/>
            <w:vAlign w:val="center"/>
            <w:hideMark/>
          </w:tcPr>
          <w:p w14:paraId="7278B5F2"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2,591 </w:t>
            </w:r>
          </w:p>
        </w:tc>
        <w:tc>
          <w:tcPr>
            <w:tcW w:w="836" w:type="dxa"/>
            <w:tcBorders>
              <w:top w:val="nil"/>
              <w:left w:val="nil"/>
              <w:bottom w:val="nil"/>
              <w:right w:val="nil"/>
            </w:tcBorders>
            <w:shd w:val="clear" w:color="000000" w:fill="FFFFFF"/>
            <w:noWrap/>
            <w:vAlign w:val="center"/>
            <w:hideMark/>
          </w:tcPr>
          <w:p w14:paraId="1BE9039F"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3,040 </w:t>
            </w:r>
          </w:p>
        </w:tc>
        <w:tc>
          <w:tcPr>
            <w:tcW w:w="836" w:type="dxa"/>
            <w:tcBorders>
              <w:top w:val="nil"/>
              <w:left w:val="nil"/>
              <w:bottom w:val="nil"/>
              <w:right w:val="nil"/>
            </w:tcBorders>
            <w:shd w:val="clear" w:color="000000" w:fill="F2F2F2"/>
            <w:noWrap/>
            <w:vAlign w:val="center"/>
            <w:hideMark/>
          </w:tcPr>
          <w:p w14:paraId="553CA43B"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3,029 </w:t>
            </w:r>
          </w:p>
        </w:tc>
        <w:tc>
          <w:tcPr>
            <w:tcW w:w="836" w:type="dxa"/>
            <w:tcBorders>
              <w:top w:val="nil"/>
              <w:left w:val="nil"/>
              <w:bottom w:val="nil"/>
              <w:right w:val="nil"/>
            </w:tcBorders>
            <w:shd w:val="clear" w:color="000000" w:fill="F2F2F2"/>
            <w:noWrap/>
            <w:vAlign w:val="center"/>
            <w:hideMark/>
          </w:tcPr>
          <w:p w14:paraId="1275517D"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2,993 </w:t>
            </w:r>
          </w:p>
        </w:tc>
        <w:tc>
          <w:tcPr>
            <w:tcW w:w="836" w:type="dxa"/>
            <w:tcBorders>
              <w:top w:val="nil"/>
              <w:left w:val="nil"/>
              <w:bottom w:val="nil"/>
              <w:right w:val="nil"/>
            </w:tcBorders>
            <w:shd w:val="clear" w:color="000000" w:fill="F2F2F2"/>
            <w:noWrap/>
            <w:vAlign w:val="center"/>
            <w:hideMark/>
          </w:tcPr>
          <w:p w14:paraId="39C3EB06"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3,160 </w:t>
            </w:r>
          </w:p>
        </w:tc>
        <w:tc>
          <w:tcPr>
            <w:tcW w:w="836" w:type="dxa"/>
            <w:tcBorders>
              <w:top w:val="nil"/>
              <w:left w:val="nil"/>
              <w:bottom w:val="nil"/>
              <w:right w:val="nil"/>
            </w:tcBorders>
            <w:shd w:val="clear" w:color="000000" w:fill="F2F2F2"/>
            <w:noWrap/>
            <w:vAlign w:val="center"/>
            <w:hideMark/>
          </w:tcPr>
          <w:p w14:paraId="2C1C0B04" w14:textId="77777777" w:rsidR="003C4F10" w:rsidRPr="00A35492" w:rsidRDefault="003C4F10" w:rsidP="00FD5F7A">
            <w:pPr>
              <w:jc w:val="right"/>
              <w:rPr>
                <w:rFonts w:ascii="Arial" w:hAnsi="Arial" w:cs="Arial"/>
                <w:sz w:val="16"/>
                <w:szCs w:val="16"/>
                <w:lang w:eastAsia="en-AU"/>
              </w:rPr>
            </w:pPr>
            <w:r w:rsidRPr="00A35492">
              <w:rPr>
                <w:rFonts w:ascii="Arial" w:hAnsi="Arial" w:cs="Arial"/>
                <w:sz w:val="16"/>
                <w:szCs w:val="16"/>
                <w:lang w:eastAsia="en-AU"/>
              </w:rPr>
              <w:t xml:space="preserve">3,041 </w:t>
            </w:r>
          </w:p>
        </w:tc>
        <w:tc>
          <w:tcPr>
            <w:tcW w:w="1012" w:type="dxa"/>
            <w:tcBorders>
              <w:top w:val="nil"/>
              <w:left w:val="nil"/>
              <w:bottom w:val="nil"/>
              <w:right w:val="nil"/>
            </w:tcBorders>
            <w:shd w:val="clear" w:color="000000" w:fill="FFFFFF"/>
            <w:noWrap/>
            <w:vAlign w:val="center"/>
            <w:hideMark/>
          </w:tcPr>
          <w:p w14:paraId="4ADF5705" w14:textId="77777777" w:rsidR="003C4F10" w:rsidRPr="00A35492" w:rsidRDefault="003C4F10" w:rsidP="00B52C2E">
            <w:pPr>
              <w:ind w:left="-306" w:right="173"/>
              <w:jc w:val="right"/>
              <w:rPr>
                <w:rFonts w:ascii="Arial" w:hAnsi="Arial" w:cs="Arial"/>
                <w:sz w:val="16"/>
                <w:szCs w:val="16"/>
                <w:lang w:eastAsia="en-AU"/>
              </w:rPr>
            </w:pPr>
            <w:r w:rsidRPr="00A35492">
              <w:rPr>
                <w:rFonts w:ascii="Arial" w:hAnsi="Arial" w:cs="Arial"/>
                <w:sz w:val="16"/>
                <w:szCs w:val="16"/>
                <w:lang w:eastAsia="en-AU"/>
              </w:rPr>
              <w:t>0.0</w:t>
            </w:r>
          </w:p>
        </w:tc>
      </w:tr>
      <w:tr w:rsidR="003C4F10" w:rsidRPr="00A35492" w14:paraId="39F41BB2" w14:textId="77777777" w:rsidTr="00704348">
        <w:trPr>
          <w:trHeight w:val="283"/>
        </w:trPr>
        <w:tc>
          <w:tcPr>
            <w:tcW w:w="3686" w:type="dxa"/>
            <w:tcBorders>
              <w:top w:val="single" w:sz="4" w:space="0" w:color="auto"/>
              <w:left w:val="nil"/>
              <w:bottom w:val="single" w:sz="4" w:space="0" w:color="auto"/>
              <w:right w:val="nil"/>
            </w:tcBorders>
            <w:shd w:val="clear" w:color="000000" w:fill="FFFFFF"/>
            <w:noWrap/>
            <w:vAlign w:val="center"/>
            <w:hideMark/>
          </w:tcPr>
          <w:p w14:paraId="077D1890" w14:textId="77777777" w:rsidR="003C4F10" w:rsidRPr="00A35492" w:rsidRDefault="003C4F10" w:rsidP="00FD5F7A">
            <w:pPr>
              <w:rPr>
                <w:rFonts w:ascii="Arial" w:hAnsi="Arial" w:cs="Arial"/>
                <w:b/>
                <w:bCs/>
                <w:color w:val="0579B9"/>
                <w:sz w:val="16"/>
                <w:szCs w:val="16"/>
                <w:lang w:eastAsia="en-AU"/>
              </w:rPr>
            </w:pPr>
            <w:r w:rsidRPr="00A35492">
              <w:rPr>
                <w:rFonts w:ascii="Arial" w:hAnsi="Arial" w:cs="Arial"/>
                <w:b/>
                <w:bCs/>
                <w:color w:val="0579B9"/>
                <w:sz w:val="16"/>
                <w:szCs w:val="16"/>
                <w:lang w:eastAsia="en-AU"/>
              </w:rPr>
              <w:t xml:space="preserve">Total revenue </w:t>
            </w:r>
          </w:p>
        </w:tc>
        <w:tc>
          <w:tcPr>
            <w:tcW w:w="836" w:type="dxa"/>
            <w:tcBorders>
              <w:top w:val="single" w:sz="4" w:space="0" w:color="auto"/>
              <w:left w:val="nil"/>
              <w:bottom w:val="single" w:sz="4" w:space="0" w:color="auto"/>
              <w:right w:val="nil"/>
            </w:tcBorders>
            <w:shd w:val="clear" w:color="000000" w:fill="FFFFFF"/>
            <w:noWrap/>
            <w:vAlign w:val="center"/>
            <w:hideMark/>
          </w:tcPr>
          <w:p w14:paraId="65240555" w14:textId="77777777" w:rsidR="003C4F10" w:rsidRPr="00A35492" w:rsidRDefault="003C4F10" w:rsidP="00FD5F7A">
            <w:pPr>
              <w:jc w:val="right"/>
              <w:rPr>
                <w:rFonts w:ascii="Arial" w:hAnsi="Arial" w:cs="Arial"/>
                <w:b/>
                <w:bCs/>
                <w:color w:val="0579B9"/>
                <w:sz w:val="16"/>
                <w:szCs w:val="16"/>
                <w:lang w:eastAsia="en-AU"/>
              </w:rPr>
            </w:pPr>
            <w:r w:rsidRPr="00A35492">
              <w:rPr>
                <w:rFonts w:ascii="Arial" w:hAnsi="Arial" w:cs="Arial"/>
                <w:b/>
                <w:bCs/>
                <w:color w:val="0579B9"/>
                <w:sz w:val="16"/>
                <w:szCs w:val="16"/>
                <w:lang w:eastAsia="en-AU"/>
              </w:rPr>
              <w:t xml:space="preserve">87,965 </w:t>
            </w:r>
          </w:p>
        </w:tc>
        <w:tc>
          <w:tcPr>
            <w:tcW w:w="836" w:type="dxa"/>
            <w:tcBorders>
              <w:top w:val="single" w:sz="4" w:space="0" w:color="auto"/>
              <w:left w:val="nil"/>
              <w:bottom w:val="single" w:sz="4" w:space="0" w:color="auto"/>
              <w:right w:val="nil"/>
            </w:tcBorders>
            <w:shd w:val="clear" w:color="000000" w:fill="FFFFFF"/>
            <w:noWrap/>
            <w:vAlign w:val="center"/>
            <w:hideMark/>
          </w:tcPr>
          <w:p w14:paraId="31ED707C" w14:textId="77777777" w:rsidR="003C4F10" w:rsidRPr="00A35492" w:rsidRDefault="003C4F10" w:rsidP="00FD5F7A">
            <w:pPr>
              <w:jc w:val="right"/>
              <w:rPr>
                <w:rFonts w:ascii="Arial" w:hAnsi="Arial" w:cs="Arial"/>
                <w:b/>
                <w:bCs/>
                <w:color w:val="0579B9"/>
                <w:sz w:val="16"/>
                <w:szCs w:val="16"/>
                <w:lang w:eastAsia="en-AU"/>
              </w:rPr>
            </w:pPr>
            <w:r w:rsidRPr="00A35492">
              <w:rPr>
                <w:rFonts w:ascii="Arial" w:hAnsi="Arial" w:cs="Arial"/>
                <w:b/>
                <w:bCs/>
                <w:color w:val="0579B9"/>
                <w:sz w:val="16"/>
                <w:szCs w:val="16"/>
                <w:lang w:eastAsia="en-AU"/>
              </w:rPr>
              <w:t xml:space="preserve">103,706 </w:t>
            </w:r>
          </w:p>
        </w:tc>
        <w:tc>
          <w:tcPr>
            <w:tcW w:w="836" w:type="dxa"/>
            <w:tcBorders>
              <w:top w:val="single" w:sz="4" w:space="0" w:color="auto"/>
              <w:left w:val="nil"/>
              <w:bottom w:val="single" w:sz="4" w:space="0" w:color="auto"/>
              <w:right w:val="nil"/>
            </w:tcBorders>
            <w:shd w:val="clear" w:color="000000" w:fill="F2F2F2"/>
            <w:noWrap/>
            <w:vAlign w:val="center"/>
            <w:hideMark/>
          </w:tcPr>
          <w:p w14:paraId="7D012062" w14:textId="77777777" w:rsidR="003C4F10" w:rsidRPr="00A35492" w:rsidRDefault="003C4F10" w:rsidP="00FD5F7A">
            <w:pPr>
              <w:jc w:val="right"/>
              <w:rPr>
                <w:rFonts w:ascii="Arial" w:hAnsi="Arial" w:cs="Arial"/>
                <w:b/>
                <w:bCs/>
                <w:color w:val="0579B9"/>
                <w:sz w:val="16"/>
                <w:szCs w:val="16"/>
                <w:lang w:eastAsia="en-AU"/>
              </w:rPr>
            </w:pPr>
            <w:r w:rsidRPr="00A35492">
              <w:rPr>
                <w:rFonts w:ascii="Arial" w:hAnsi="Arial" w:cs="Arial"/>
                <w:b/>
                <w:bCs/>
                <w:color w:val="0579B9"/>
                <w:sz w:val="16"/>
                <w:szCs w:val="16"/>
                <w:lang w:eastAsia="en-AU"/>
              </w:rPr>
              <w:t xml:space="preserve">103,617 </w:t>
            </w:r>
          </w:p>
        </w:tc>
        <w:tc>
          <w:tcPr>
            <w:tcW w:w="836" w:type="dxa"/>
            <w:tcBorders>
              <w:top w:val="single" w:sz="4" w:space="0" w:color="auto"/>
              <w:left w:val="nil"/>
              <w:bottom w:val="single" w:sz="4" w:space="0" w:color="auto"/>
              <w:right w:val="nil"/>
            </w:tcBorders>
            <w:shd w:val="clear" w:color="000000" w:fill="F2F2F2"/>
            <w:noWrap/>
            <w:vAlign w:val="center"/>
            <w:hideMark/>
          </w:tcPr>
          <w:p w14:paraId="2F44398D" w14:textId="77777777" w:rsidR="003C4F10" w:rsidRPr="00A35492" w:rsidRDefault="003C4F10" w:rsidP="00FD5F7A">
            <w:pPr>
              <w:jc w:val="right"/>
              <w:rPr>
                <w:rFonts w:ascii="Arial" w:hAnsi="Arial" w:cs="Arial"/>
                <w:b/>
                <w:bCs/>
                <w:color w:val="0579B9"/>
                <w:sz w:val="16"/>
                <w:szCs w:val="16"/>
                <w:lang w:eastAsia="en-AU"/>
              </w:rPr>
            </w:pPr>
            <w:r w:rsidRPr="00A35492">
              <w:rPr>
                <w:rFonts w:ascii="Arial" w:hAnsi="Arial" w:cs="Arial"/>
                <w:b/>
                <w:bCs/>
                <w:color w:val="0579B9"/>
                <w:sz w:val="16"/>
                <w:szCs w:val="16"/>
                <w:lang w:eastAsia="en-AU"/>
              </w:rPr>
              <w:t xml:space="preserve">106,701 </w:t>
            </w:r>
          </w:p>
        </w:tc>
        <w:tc>
          <w:tcPr>
            <w:tcW w:w="836" w:type="dxa"/>
            <w:tcBorders>
              <w:top w:val="single" w:sz="4" w:space="0" w:color="auto"/>
              <w:left w:val="nil"/>
              <w:bottom w:val="single" w:sz="4" w:space="0" w:color="auto"/>
              <w:right w:val="nil"/>
            </w:tcBorders>
            <w:shd w:val="clear" w:color="000000" w:fill="F2F2F2"/>
            <w:noWrap/>
            <w:vAlign w:val="center"/>
            <w:hideMark/>
          </w:tcPr>
          <w:p w14:paraId="6760AA11" w14:textId="77777777" w:rsidR="003C4F10" w:rsidRPr="00A35492" w:rsidRDefault="003C4F10" w:rsidP="00FD5F7A">
            <w:pPr>
              <w:jc w:val="right"/>
              <w:rPr>
                <w:rFonts w:ascii="Arial" w:hAnsi="Arial" w:cs="Arial"/>
                <w:b/>
                <w:bCs/>
                <w:color w:val="0579B9"/>
                <w:sz w:val="16"/>
                <w:szCs w:val="16"/>
                <w:lang w:eastAsia="en-AU"/>
              </w:rPr>
            </w:pPr>
            <w:r w:rsidRPr="00A35492">
              <w:rPr>
                <w:rFonts w:ascii="Arial" w:hAnsi="Arial" w:cs="Arial"/>
                <w:b/>
                <w:bCs/>
                <w:color w:val="0579B9"/>
                <w:sz w:val="16"/>
                <w:szCs w:val="16"/>
                <w:lang w:eastAsia="en-AU"/>
              </w:rPr>
              <w:t xml:space="preserve">110,101 </w:t>
            </w:r>
          </w:p>
        </w:tc>
        <w:tc>
          <w:tcPr>
            <w:tcW w:w="836" w:type="dxa"/>
            <w:tcBorders>
              <w:top w:val="single" w:sz="4" w:space="0" w:color="auto"/>
              <w:left w:val="nil"/>
              <w:bottom w:val="single" w:sz="4" w:space="0" w:color="auto"/>
              <w:right w:val="nil"/>
            </w:tcBorders>
            <w:shd w:val="clear" w:color="000000" w:fill="F2F2F2"/>
            <w:noWrap/>
            <w:vAlign w:val="center"/>
            <w:hideMark/>
          </w:tcPr>
          <w:p w14:paraId="026931D6" w14:textId="77777777" w:rsidR="003C4F10" w:rsidRPr="00A35492" w:rsidRDefault="003C4F10" w:rsidP="00FD5F7A">
            <w:pPr>
              <w:jc w:val="right"/>
              <w:rPr>
                <w:rFonts w:ascii="Arial" w:hAnsi="Arial" w:cs="Arial"/>
                <w:b/>
                <w:bCs/>
                <w:color w:val="0579B9"/>
                <w:sz w:val="16"/>
                <w:szCs w:val="16"/>
                <w:lang w:eastAsia="en-AU"/>
              </w:rPr>
            </w:pPr>
            <w:r w:rsidRPr="00A35492">
              <w:rPr>
                <w:rFonts w:ascii="Arial" w:hAnsi="Arial" w:cs="Arial"/>
                <w:b/>
                <w:bCs/>
                <w:color w:val="0579B9"/>
                <w:sz w:val="16"/>
                <w:szCs w:val="16"/>
                <w:lang w:eastAsia="en-AU"/>
              </w:rPr>
              <w:t xml:space="preserve">112,944 </w:t>
            </w:r>
          </w:p>
        </w:tc>
        <w:tc>
          <w:tcPr>
            <w:tcW w:w="1012" w:type="dxa"/>
            <w:tcBorders>
              <w:top w:val="single" w:sz="4" w:space="0" w:color="auto"/>
              <w:left w:val="nil"/>
              <w:bottom w:val="single" w:sz="4" w:space="0" w:color="auto"/>
              <w:right w:val="nil"/>
            </w:tcBorders>
            <w:shd w:val="clear" w:color="auto" w:fill="auto"/>
            <w:noWrap/>
            <w:vAlign w:val="center"/>
            <w:hideMark/>
          </w:tcPr>
          <w:p w14:paraId="18A98230" w14:textId="77777777" w:rsidR="003C4F10" w:rsidRPr="00A35492" w:rsidRDefault="003C4F10" w:rsidP="00B52C2E">
            <w:pPr>
              <w:ind w:left="-306" w:right="173"/>
              <w:jc w:val="right"/>
              <w:rPr>
                <w:rFonts w:ascii="Arial" w:hAnsi="Arial" w:cs="Arial"/>
                <w:b/>
                <w:bCs/>
                <w:color w:val="0579B9"/>
                <w:sz w:val="16"/>
                <w:szCs w:val="16"/>
                <w:lang w:eastAsia="en-AU"/>
              </w:rPr>
            </w:pPr>
            <w:r w:rsidRPr="00A35492">
              <w:rPr>
                <w:rFonts w:ascii="Arial" w:hAnsi="Arial" w:cs="Arial"/>
                <w:b/>
                <w:bCs/>
                <w:color w:val="0579B9"/>
                <w:sz w:val="16"/>
                <w:szCs w:val="16"/>
                <w:lang w:eastAsia="en-AU"/>
              </w:rPr>
              <w:t>2.2</w:t>
            </w:r>
          </w:p>
        </w:tc>
      </w:tr>
      <w:tr w:rsidR="003C4F10" w:rsidRPr="00A35492" w14:paraId="3F2910B9" w14:textId="77777777" w:rsidTr="00704348">
        <w:trPr>
          <w:trHeight w:val="283"/>
        </w:trPr>
        <w:tc>
          <w:tcPr>
            <w:tcW w:w="3686" w:type="dxa"/>
            <w:tcBorders>
              <w:top w:val="nil"/>
              <w:left w:val="nil"/>
              <w:bottom w:val="single" w:sz="4" w:space="0" w:color="auto"/>
              <w:right w:val="nil"/>
            </w:tcBorders>
            <w:shd w:val="clear" w:color="000000" w:fill="FFFFFF"/>
            <w:noWrap/>
            <w:vAlign w:val="center"/>
            <w:hideMark/>
          </w:tcPr>
          <w:p w14:paraId="64D7453E" w14:textId="77777777" w:rsidR="003C4F10" w:rsidRPr="00A35492" w:rsidRDefault="003C4F10" w:rsidP="00FD5F7A">
            <w:pPr>
              <w:rPr>
                <w:rFonts w:ascii="Arial" w:hAnsi="Arial" w:cs="Arial"/>
                <w:i/>
                <w:iCs/>
                <w:sz w:val="16"/>
                <w:szCs w:val="16"/>
                <w:lang w:eastAsia="en-AU"/>
              </w:rPr>
            </w:pPr>
            <w:r w:rsidRPr="00A35492">
              <w:rPr>
                <w:rFonts w:ascii="Arial" w:hAnsi="Arial" w:cs="Arial"/>
                <w:i/>
                <w:iCs/>
                <w:sz w:val="16"/>
                <w:szCs w:val="16"/>
                <w:lang w:eastAsia="en-AU"/>
              </w:rPr>
              <w:t>Annual change</w:t>
            </w:r>
          </w:p>
        </w:tc>
        <w:tc>
          <w:tcPr>
            <w:tcW w:w="836" w:type="dxa"/>
            <w:tcBorders>
              <w:top w:val="nil"/>
              <w:left w:val="nil"/>
              <w:bottom w:val="single" w:sz="4" w:space="0" w:color="auto"/>
              <w:right w:val="nil"/>
            </w:tcBorders>
            <w:shd w:val="clear" w:color="000000" w:fill="FFFFFF"/>
            <w:noWrap/>
            <w:vAlign w:val="center"/>
            <w:hideMark/>
          </w:tcPr>
          <w:p w14:paraId="3188439A" w14:textId="77777777" w:rsidR="003C4F10" w:rsidRPr="00A35492" w:rsidRDefault="003C4F10" w:rsidP="00FD5F7A">
            <w:pPr>
              <w:jc w:val="right"/>
              <w:rPr>
                <w:rFonts w:ascii="Arial" w:hAnsi="Arial" w:cs="Arial"/>
                <w:i/>
                <w:iCs/>
                <w:sz w:val="16"/>
                <w:szCs w:val="16"/>
                <w:lang w:eastAsia="en-AU"/>
              </w:rPr>
            </w:pPr>
            <w:r w:rsidRPr="00A35492">
              <w:rPr>
                <w:rFonts w:ascii="Arial" w:hAnsi="Arial" w:cs="Arial"/>
                <w:i/>
                <w:iCs/>
                <w:sz w:val="16"/>
                <w:szCs w:val="16"/>
                <w:lang w:eastAsia="en-AU"/>
              </w:rPr>
              <w:t>8.1%</w:t>
            </w:r>
          </w:p>
        </w:tc>
        <w:tc>
          <w:tcPr>
            <w:tcW w:w="836" w:type="dxa"/>
            <w:tcBorders>
              <w:top w:val="nil"/>
              <w:left w:val="nil"/>
              <w:bottom w:val="single" w:sz="4" w:space="0" w:color="auto"/>
              <w:right w:val="nil"/>
            </w:tcBorders>
            <w:shd w:val="clear" w:color="000000" w:fill="FFFFFF"/>
            <w:noWrap/>
            <w:vAlign w:val="center"/>
            <w:hideMark/>
          </w:tcPr>
          <w:p w14:paraId="539629E2" w14:textId="77777777" w:rsidR="003C4F10" w:rsidRPr="00A35492" w:rsidRDefault="003C4F10" w:rsidP="00FD5F7A">
            <w:pPr>
              <w:jc w:val="right"/>
              <w:rPr>
                <w:rFonts w:ascii="Arial" w:hAnsi="Arial" w:cs="Arial"/>
                <w:i/>
                <w:iCs/>
                <w:sz w:val="16"/>
                <w:szCs w:val="16"/>
                <w:lang w:eastAsia="en-AU"/>
              </w:rPr>
            </w:pPr>
            <w:r w:rsidRPr="00A35492">
              <w:rPr>
                <w:rFonts w:ascii="Arial" w:hAnsi="Arial" w:cs="Arial"/>
                <w:i/>
                <w:iCs/>
                <w:sz w:val="16"/>
                <w:szCs w:val="16"/>
                <w:lang w:eastAsia="en-AU"/>
              </w:rPr>
              <w:t>17.9%</w:t>
            </w:r>
          </w:p>
        </w:tc>
        <w:tc>
          <w:tcPr>
            <w:tcW w:w="836" w:type="dxa"/>
            <w:tcBorders>
              <w:top w:val="nil"/>
              <w:left w:val="nil"/>
              <w:bottom w:val="single" w:sz="4" w:space="0" w:color="auto"/>
              <w:right w:val="nil"/>
            </w:tcBorders>
            <w:shd w:val="clear" w:color="000000" w:fill="F2F2F2"/>
            <w:noWrap/>
            <w:vAlign w:val="center"/>
            <w:hideMark/>
          </w:tcPr>
          <w:p w14:paraId="42D1B31F" w14:textId="77777777" w:rsidR="003C4F10" w:rsidRPr="00A35492" w:rsidRDefault="003C4F10" w:rsidP="00FD5F7A">
            <w:pPr>
              <w:jc w:val="right"/>
              <w:rPr>
                <w:rFonts w:ascii="Arial" w:hAnsi="Arial" w:cs="Arial"/>
                <w:i/>
                <w:iCs/>
                <w:sz w:val="16"/>
                <w:szCs w:val="16"/>
                <w:lang w:eastAsia="en-AU"/>
              </w:rPr>
            </w:pPr>
            <w:r w:rsidRPr="00A35492">
              <w:rPr>
                <w:rFonts w:ascii="Arial" w:hAnsi="Arial" w:cs="Arial"/>
                <w:i/>
                <w:iCs/>
                <w:sz w:val="16"/>
                <w:szCs w:val="16"/>
                <w:lang w:eastAsia="en-AU"/>
              </w:rPr>
              <w:t>-0.1%</w:t>
            </w:r>
          </w:p>
        </w:tc>
        <w:tc>
          <w:tcPr>
            <w:tcW w:w="836" w:type="dxa"/>
            <w:tcBorders>
              <w:top w:val="nil"/>
              <w:left w:val="nil"/>
              <w:bottom w:val="single" w:sz="4" w:space="0" w:color="auto"/>
              <w:right w:val="nil"/>
            </w:tcBorders>
            <w:shd w:val="clear" w:color="000000" w:fill="F2F2F2"/>
            <w:noWrap/>
            <w:vAlign w:val="center"/>
            <w:hideMark/>
          </w:tcPr>
          <w:p w14:paraId="01D174F2" w14:textId="77777777" w:rsidR="003C4F10" w:rsidRPr="00A35492" w:rsidRDefault="003C4F10" w:rsidP="00FD5F7A">
            <w:pPr>
              <w:jc w:val="right"/>
              <w:rPr>
                <w:rFonts w:ascii="Arial" w:hAnsi="Arial" w:cs="Arial"/>
                <w:i/>
                <w:iCs/>
                <w:sz w:val="16"/>
                <w:szCs w:val="16"/>
                <w:lang w:eastAsia="en-AU"/>
              </w:rPr>
            </w:pPr>
            <w:r w:rsidRPr="00A35492">
              <w:rPr>
                <w:rFonts w:ascii="Arial" w:hAnsi="Arial" w:cs="Arial"/>
                <w:i/>
                <w:iCs/>
                <w:sz w:val="16"/>
                <w:szCs w:val="16"/>
                <w:lang w:eastAsia="en-AU"/>
              </w:rPr>
              <w:t>3.0%</w:t>
            </w:r>
          </w:p>
        </w:tc>
        <w:tc>
          <w:tcPr>
            <w:tcW w:w="836" w:type="dxa"/>
            <w:tcBorders>
              <w:top w:val="nil"/>
              <w:left w:val="nil"/>
              <w:bottom w:val="single" w:sz="4" w:space="0" w:color="auto"/>
              <w:right w:val="nil"/>
            </w:tcBorders>
            <w:shd w:val="clear" w:color="000000" w:fill="F2F2F2"/>
            <w:noWrap/>
            <w:vAlign w:val="center"/>
            <w:hideMark/>
          </w:tcPr>
          <w:p w14:paraId="5B8022BB" w14:textId="77777777" w:rsidR="003C4F10" w:rsidRPr="00A35492" w:rsidRDefault="003C4F10" w:rsidP="00FD5F7A">
            <w:pPr>
              <w:jc w:val="right"/>
              <w:rPr>
                <w:rFonts w:ascii="Arial" w:hAnsi="Arial" w:cs="Arial"/>
                <w:i/>
                <w:iCs/>
                <w:sz w:val="16"/>
                <w:szCs w:val="16"/>
                <w:lang w:eastAsia="en-AU"/>
              </w:rPr>
            </w:pPr>
            <w:r w:rsidRPr="00A35492">
              <w:rPr>
                <w:rFonts w:ascii="Arial" w:hAnsi="Arial" w:cs="Arial"/>
                <w:i/>
                <w:iCs/>
                <w:sz w:val="16"/>
                <w:szCs w:val="16"/>
                <w:lang w:eastAsia="en-AU"/>
              </w:rPr>
              <w:t>3.2%</w:t>
            </w:r>
          </w:p>
        </w:tc>
        <w:tc>
          <w:tcPr>
            <w:tcW w:w="836" w:type="dxa"/>
            <w:tcBorders>
              <w:top w:val="nil"/>
              <w:left w:val="nil"/>
              <w:bottom w:val="single" w:sz="4" w:space="0" w:color="auto"/>
              <w:right w:val="nil"/>
            </w:tcBorders>
            <w:shd w:val="clear" w:color="000000" w:fill="F2F2F2"/>
            <w:noWrap/>
            <w:vAlign w:val="center"/>
            <w:hideMark/>
          </w:tcPr>
          <w:p w14:paraId="5DC15054" w14:textId="77777777" w:rsidR="003C4F10" w:rsidRPr="00A35492" w:rsidRDefault="003C4F10" w:rsidP="00FD5F7A">
            <w:pPr>
              <w:jc w:val="right"/>
              <w:rPr>
                <w:rFonts w:ascii="Arial" w:hAnsi="Arial" w:cs="Arial"/>
                <w:i/>
                <w:iCs/>
                <w:sz w:val="16"/>
                <w:szCs w:val="16"/>
                <w:lang w:eastAsia="en-AU"/>
              </w:rPr>
            </w:pPr>
            <w:r w:rsidRPr="00A35492">
              <w:rPr>
                <w:rFonts w:ascii="Arial" w:hAnsi="Arial" w:cs="Arial"/>
                <w:i/>
                <w:iCs/>
                <w:sz w:val="16"/>
                <w:szCs w:val="16"/>
                <w:lang w:eastAsia="en-AU"/>
              </w:rPr>
              <w:t>2.6%</w:t>
            </w:r>
          </w:p>
        </w:tc>
        <w:tc>
          <w:tcPr>
            <w:tcW w:w="1012" w:type="dxa"/>
            <w:tcBorders>
              <w:top w:val="nil"/>
              <w:left w:val="nil"/>
              <w:bottom w:val="single" w:sz="4" w:space="0" w:color="auto"/>
              <w:right w:val="nil"/>
            </w:tcBorders>
            <w:shd w:val="clear" w:color="000000" w:fill="FFFFFF"/>
            <w:noWrap/>
            <w:vAlign w:val="bottom"/>
            <w:hideMark/>
          </w:tcPr>
          <w:p w14:paraId="5C3382AD" w14:textId="77777777" w:rsidR="003C4F10" w:rsidRPr="00A35492" w:rsidRDefault="003C4F10" w:rsidP="00FD5F7A">
            <w:pPr>
              <w:rPr>
                <w:rFonts w:ascii="Calibri" w:hAnsi="Calibri" w:cs="Calibri"/>
                <w:color w:val="000000"/>
                <w:sz w:val="16"/>
                <w:szCs w:val="16"/>
                <w:lang w:eastAsia="en-AU"/>
              </w:rPr>
            </w:pPr>
            <w:r w:rsidRPr="00A35492">
              <w:rPr>
                <w:rFonts w:ascii="Calibri" w:hAnsi="Calibri" w:cs="Calibri"/>
                <w:color w:val="000000"/>
                <w:sz w:val="16"/>
                <w:szCs w:val="16"/>
                <w:lang w:eastAsia="en-AU"/>
              </w:rPr>
              <w:t> </w:t>
            </w:r>
          </w:p>
        </w:tc>
      </w:tr>
    </w:tbl>
    <w:p w14:paraId="333C95B9" w14:textId="77777777" w:rsidR="00AD4290" w:rsidRPr="008F0B8B" w:rsidRDefault="00AD4290" w:rsidP="004300E0">
      <w:pPr>
        <w:rPr>
          <w:highlight w:val="yellow"/>
        </w:rPr>
      </w:pPr>
    </w:p>
    <w:p w14:paraId="7318109A" w14:textId="5F724543" w:rsidR="003A5583" w:rsidRDefault="008F1B04" w:rsidP="003426A4">
      <w:pPr>
        <w:pStyle w:val="BodyText"/>
      </w:pPr>
      <w:r w:rsidRPr="00E70072">
        <w:t>Over the four years to 202</w:t>
      </w:r>
      <w:r w:rsidR="00E70072">
        <w:t>5</w:t>
      </w:r>
      <w:r w:rsidRPr="00E70072">
        <w:t>-2</w:t>
      </w:r>
      <w:r w:rsidR="00E70072">
        <w:t>6</w:t>
      </w:r>
      <w:r w:rsidRPr="00E70072">
        <w:t>, r</w:t>
      </w:r>
      <w:r w:rsidR="0020767D" w:rsidRPr="00E70072">
        <w:t xml:space="preserve">evenue is forecast to be </w:t>
      </w:r>
      <w:r w:rsidR="0020767D" w:rsidRPr="00B5236E">
        <w:t>$</w:t>
      </w:r>
      <w:r w:rsidR="00C74BE1" w:rsidRPr="00B5236E">
        <w:t>2</w:t>
      </w:r>
      <w:r w:rsidR="00C40044">
        <w:t>5</w:t>
      </w:r>
      <w:r w:rsidR="00C74BE1" w:rsidRPr="00B5236E">
        <w:t>.</w:t>
      </w:r>
      <w:r w:rsidR="00C40044">
        <w:t>7</w:t>
      </w:r>
      <w:r w:rsidR="0020767D" w:rsidRPr="00B5236E">
        <w:t xml:space="preserve"> billion</w:t>
      </w:r>
      <w:r w:rsidR="0020767D" w:rsidRPr="00E70072">
        <w:t xml:space="preserve"> </w:t>
      </w:r>
      <w:r w:rsidR="00B21A6B" w:rsidRPr="00B5236E">
        <w:rPr>
          <w:rFonts w:eastAsiaTheme="minorEastAsia"/>
          <w:szCs w:val="23"/>
        </w:rPr>
        <w:t>(</w:t>
      </w:r>
      <w:r w:rsidR="007C0E25" w:rsidRPr="00B5236E">
        <w:rPr>
          <w:rFonts w:eastAsiaTheme="minorEastAsia"/>
          <w:szCs w:val="23"/>
        </w:rPr>
        <w:t>6.</w:t>
      </w:r>
      <w:r w:rsidR="00C40044">
        <w:rPr>
          <w:rFonts w:eastAsiaTheme="minorEastAsia"/>
          <w:szCs w:val="23"/>
        </w:rPr>
        <w:t>3</w:t>
      </w:r>
      <w:r w:rsidR="00B21A6B" w:rsidRPr="00B5236E">
        <w:rPr>
          <w:rFonts w:eastAsiaTheme="minorEastAsia"/>
          <w:szCs w:val="23"/>
        </w:rPr>
        <w:t xml:space="preserve"> per cent)</w:t>
      </w:r>
      <w:r w:rsidR="00B21A6B" w:rsidRPr="00E70072">
        <w:rPr>
          <w:rFonts w:eastAsiaTheme="minorEastAsia"/>
          <w:szCs w:val="23"/>
        </w:rPr>
        <w:t xml:space="preserve"> </w:t>
      </w:r>
      <w:r w:rsidR="0020767D" w:rsidRPr="00E70072">
        <w:t xml:space="preserve">higher </w:t>
      </w:r>
      <w:r w:rsidRPr="00E70072">
        <w:t xml:space="preserve">than previously </w:t>
      </w:r>
      <w:r w:rsidR="0020767D" w:rsidRPr="00E70072">
        <w:t>forecast</w:t>
      </w:r>
      <w:r w:rsidRPr="00E70072">
        <w:t xml:space="preserve"> </w:t>
      </w:r>
      <w:r w:rsidR="0020767D" w:rsidRPr="00E70072">
        <w:t>(</w:t>
      </w:r>
      <w:r w:rsidR="00D51668">
        <w:t>Table 4.2</w:t>
      </w:r>
      <w:r w:rsidR="0020767D" w:rsidRPr="00E70072">
        <w:t xml:space="preserve">). </w:t>
      </w:r>
      <w:r w:rsidR="000461C0">
        <w:t>Key</w:t>
      </w:r>
      <w:r w:rsidR="0020767D" w:rsidRPr="00E70072">
        <w:t xml:space="preserve"> </w:t>
      </w:r>
      <w:r w:rsidR="0094031A">
        <w:t>components</w:t>
      </w:r>
      <w:r w:rsidR="0094031A" w:rsidRPr="00E70072">
        <w:t xml:space="preserve"> </w:t>
      </w:r>
      <w:r w:rsidR="0020767D" w:rsidRPr="00E70072">
        <w:t xml:space="preserve">of the </w:t>
      </w:r>
      <w:r w:rsidR="00B25931">
        <w:t>upwards revision</w:t>
      </w:r>
      <w:r w:rsidR="00B25931" w:rsidRPr="00E70072" w:rsidDel="00B25931">
        <w:t xml:space="preserve"> </w:t>
      </w:r>
      <w:r w:rsidR="0020767D" w:rsidRPr="00E70072">
        <w:t>includ</w:t>
      </w:r>
      <w:r w:rsidR="00D204E5" w:rsidRPr="00E70072">
        <w:t xml:space="preserve">e GST revenue (up </w:t>
      </w:r>
      <w:r w:rsidR="00D204E5" w:rsidRPr="00B5236E">
        <w:t>$</w:t>
      </w:r>
      <w:r w:rsidR="00170762" w:rsidRPr="00B5236E">
        <w:t>1</w:t>
      </w:r>
      <w:r w:rsidR="004C2C61" w:rsidRPr="00B5236E">
        <w:t>1</w:t>
      </w:r>
      <w:r w:rsidR="00170762" w:rsidRPr="00B5236E">
        <w:t>.</w:t>
      </w:r>
      <w:r w:rsidR="004C2C61" w:rsidRPr="00B5236E">
        <w:t>5</w:t>
      </w:r>
      <w:r w:rsidR="005C5499" w:rsidRPr="00B5236E">
        <w:t> </w:t>
      </w:r>
      <w:r w:rsidR="00D204E5" w:rsidRPr="00B5236E">
        <w:t>billion</w:t>
      </w:r>
      <w:r w:rsidR="00D204E5" w:rsidRPr="00E70072">
        <w:t xml:space="preserve">), </w:t>
      </w:r>
      <w:r w:rsidR="000C5A27">
        <w:t>mineral royalties</w:t>
      </w:r>
      <w:r w:rsidR="000C5A27" w:rsidRPr="00E70072">
        <w:t xml:space="preserve"> (up </w:t>
      </w:r>
      <w:r w:rsidR="000C5A27" w:rsidRPr="00B5236E">
        <w:t>$3.</w:t>
      </w:r>
      <w:r w:rsidR="004C2C61" w:rsidRPr="00B5236E">
        <w:t>8</w:t>
      </w:r>
      <w:r w:rsidR="000C5A27" w:rsidRPr="00B5236E">
        <w:t xml:space="preserve"> billion</w:t>
      </w:r>
      <w:r w:rsidR="000C5A27" w:rsidRPr="00E70072">
        <w:t xml:space="preserve">), payroll tax (up </w:t>
      </w:r>
      <w:r w:rsidR="000C5A27" w:rsidRPr="00B5236E">
        <w:t>$2.</w:t>
      </w:r>
      <w:r w:rsidR="00B5236E" w:rsidRPr="00B5236E">
        <w:t>3</w:t>
      </w:r>
      <w:r w:rsidR="000C5A27" w:rsidRPr="00B5236E">
        <w:t> billion</w:t>
      </w:r>
      <w:r w:rsidR="000C5A27" w:rsidRPr="00E70072">
        <w:t>)</w:t>
      </w:r>
      <w:r w:rsidR="00D455A7" w:rsidRPr="00E70072">
        <w:t xml:space="preserve">, </w:t>
      </w:r>
      <w:r w:rsidR="005E45DE">
        <w:t xml:space="preserve">and </w:t>
      </w:r>
      <w:r w:rsidR="000C5A27" w:rsidRPr="00E70072">
        <w:t xml:space="preserve">land tax (up </w:t>
      </w:r>
      <w:r w:rsidR="000C5A27" w:rsidRPr="00B5236E">
        <w:t>$</w:t>
      </w:r>
      <w:r w:rsidR="00C27A6E">
        <w:t>2</w:t>
      </w:r>
      <w:r w:rsidR="000C5A27" w:rsidRPr="00B5236E">
        <w:t>.</w:t>
      </w:r>
      <w:r w:rsidR="00C27A6E">
        <w:t>2</w:t>
      </w:r>
      <w:r w:rsidR="000C5A27" w:rsidRPr="00B5236E">
        <w:t> billion</w:t>
      </w:r>
      <w:r w:rsidR="000C5A27" w:rsidRPr="00E70072">
        <w:t>)</w:t>
      </w:r>
      <w:r w:rsidR="002F0803" w:rsidRPr="00E70072">
        <w:t>.</w:t>
      </w:r>
      <w:r w:rsidR="003D14B6" w:rsidRPr="003D14B6">
        <w:t xml:space="preserve"> This is </w:t>
      </w:r>
      <w:r w:rsidR="00C353E7">
        <w:t>partly</w:t>
      </w:r>
      <w:r w:rsidR="003D14B6" w:rsidRPr="003D14B6">
        <w:t xml:space="preserve"> offset by a downgrade of $</w:t>
      </w:r>
      <w:r w:rsidR="00CE1199">
        <w:t>1</w:t>
      </w:r>
      <w:r w:rsidR="003D14B6" w:rsidRPr="003D14B6">
        <w:t>.</w:t>
      </w:r>
      <w:r w:rsidR="00CE1199">
        <w:t>3</w:t>
      </w:r>
      <w:r w:rsidR="003D14B6" w:rsidRPr="003D14B6">
        <w:t xml:space="preserve"> </w:t>
      </w:r>
      <w:r w:rsidR="00CE1199">
        <w:t>b</w:t>
      </w:r>
      <w:r w:rsidR="003D14B6" w:rsidRPr="003D14B6">
        <w:t xml:space="preserve">illion in </w:t>
      </w:r>
      <w:r w:rsidR="00CE1199">
        <w:t>transfer duty</w:t>
      </w:r>
      <w:r w:rsidR="00926329">
        <w:t xml:space="preserve">, due to </w:t>
      </w:r>
      <w:r w:rsidR="00C04E7F" w:rsidRPr="00C04E7F">
        <w:t>the First Home Buyer Property Tax Option</w:t>
      </w:r>
      <w:r w:rsidR="00C353E7">
        <w:t xml:space="preserve"> </w:t>
      </w:r>
      <w:r w:rsidR="0042715B">
        <w:t xml:space="preserve">(see Box 4.4) </w:t>
      </w:r>
      <w:r w:rsidR="00C353E7">
        <w:t xml:space="preserve">and </w:t>
      </w:r>
      <w:r w:rsidR="00C353E7" w:rsidRPr="00C353E7">
        <w:t xml:space="preserve">the impact of rising </w:t>
      </w:r>
      <w:r w:rsidR="00DA3D30">
        <w:t>interest</w:t>
      </w:r>
      <w:r w:rsidR="00C353E7" w:rsidRPr="00C353E7">
        <w:t xml:space="preserve"> rates</w:t>
      </w:r>
      <w:r w:rsidR="003D14B6" w:rsidRPr="003D14B6">
        <w:t>.</w:t>
      </w:r>
    </w:p>
    <w:p w14:paraId="0138207C" w14:textId="35E4B129" w:rsidR="00BF7384" w:rsidRDefault="00BF7384" w:rsidP="003426A4">
      <w:pPr>
        <w:pStyle w:val="BodyText"/>
      </w:pPr>
      <w:r>
        <w:t xml:space="preserve">The drivers </w:t>
      </w:r>
      <w:r w:rsidRPr="001A6E4D">
        <w:t xml:space="preserve">of the </w:t>
      </w:r>
      <w:r w:rsidR="00AF6F5C">
        <w:t>upwards revisions to</w:t>
      </w:r>
      <w:r w:rsidR="00AF6F5C" w:rsidRPr="001A6E4D">
        <w:t xml:space="preserve"> </w:t>
      </w:r>
      <w:r w:rsidRPr="001A6E4D">
        <w:t xml:space="preserve">revenue </w:t>
      </w:r>
      <w:r w:rsidR="00C560C0">
        <w:t xml:space="preserve">over the </w:t>
      </w:r>
      <w:r w:rsidR="003C042C">
        <w:t xml:space="preserve">four </w:t>
      </w:r>
      <w:r w:rsidR="00C560C0">
        <w:t>years to 2025-26</w:t>
      </w:r>
      <w:r w:rsidRPr="001A6E4D">
        <w:t xml:space="preserve"> are broad</w:t>
      </w:r>
      <w:r w:rsidR="007B2A37">
        <w:noBreakHyphen/>
      </w:r>
      <w:r w:rsidRPr="001A6E4D">
        <w:t>based</w:t>
      </w:r>
      <w:r>
        <w:t xml:space="preserve"> (</w:t>
      </w:r>
      <w:r w:rsidR="001C7B31">
        <w:t xml:space="preserve">see </w:t>
      </w:r>
      <w:r>
        <w:t>Chart</w:t>
      </w:r>
      <w:r w:rsidR="00A22412">
        <w:t> </w:t>
      </w:r>
      <w:r>
        <w:t>4.2).</w:t>
      </w:r>
    </w:p>
    <w:p w14:paraId="7843C60A" w14:textId="03D51DBF" w:rsidR="00FB44DA" w:rsidRDefault="00FB44DA" w:rsidP="001321A1">
      <w:pPr>
        <w:pStyle w:val="Bullet1"/>
      </w:pPr>
      <w:r w:rsidRPr="00D378C5">
        <w:t>Commodity price</w:t>
      </w:r>
      <w:r w:rsidR="009433DE">
        <w:t xml:space="preserve">s </w:t>
      </w:r>
      <w:r>
        <w:t xml:space="preserve">– </w:t>
      </w:r>
      <w:r w:rsidR="00447673">
        <w:t xml:space="preserve">Russia’s </w:t>
      </w:r>
      <w:r w:rsidR="00F25A2B">
        <w:t>invasion of</w:t>
      </w:r>
      <w:r w:rsidRPr="00D378C5">
        <w:t xml:space="preserve"> Ukraine</w:t>
      </w:r>
      <w:r>
        <w:t xml:space="preserve"> has led to a </w:t>
      </w:r>
      <w:r w:rsidRPr="00D378C5">
        <w:t>sharp rise in commodity prices</w:t>
      </w:r>
      <w:r>
        <w:t xml:space="preserve">, which has increased </w:t>
      </w:r>
      <w:r w:rsidRPr="00D378C5">
        <w:t>coal royalties</w:t>
      </w:r>
      <w:r>
        <w:t>.</w:t>
      </w:r>
    </w:p>
    <w:p w14:paraId="6142F841" w14:textId="7BE2A407" w:rsidR="00BF7384" w:rsidRDefault="00977C81" w:rsidP="001321A1">
      <w:pPr>
        <w:pStyle w:val="Bullet1"/>
      </w:pPr>
      <w:r>
        <w:t>GST relativity</w:t>
      </w:r>
      <w:r w:rsidR="00BF7384">
        <w:t xml:space="preserve"> – The </w:t>
      </w:r>
      <w:r w:rsidR="002945DF">
        <w:t>Commonwealth Grants Commission (</w:t>
      </w:r>
      <w:r w:rsidR="00BF7384" w:rsidRPr="00740F7F">
        <w:t>CGC</w:t>
      </w:r>
      <w:r w:rsidR="00E10449">
        <w:t>)</w:t>
      </w:r>
      <w:r w:rsidR="00BF7384" w:rsidRPr="00740F7F">
        <w:t xml:space="preserve"> 2022 Update</w:t>
      </w:r>
      <w:r w:rsidR="00BF7384">
        <w:t xml:space="preserve"> recommended relativity</w:t>
      </w:r>
      <w:r w:rsidR="000F6746">
        <w:t xml:space="preserve"> for New South Wales</w:t>
      </w:r>
      <w:r w:rsidR="00BF7384">
        <w:t xml:space="preserve"> </w:t>
      </w:r>
      <w:r w:rsidR="000465EC">
        <w:t xml:space="preserve">in 2022-23 </w:t>
      </w:r>
      <w:r w:rsidR="00BF7384">
        <w:t xml:space="preserve">was </w:t>
      </w:r>
      <w:r w:rsidR="00BF7384" w:rsidRPr="00740F7F">
        <w:t xml:space="preserve">higher than </w:t>
      </w:r>
      <w:r w:rsidR="000D5FC7">
        <w:t>previously anticipated</w:t>
      </w:r>
      <w:r w:rsidR="000F6746">
        <w:t xml:space="preserve">. </w:t>
      </w:r>
      <w:r w:rsidR="000F6746" w:rsidRPr="000F6746">
        <w:t xml:space="preserve">This </w:t>
      </w:r>
      <w:r w:rsidR="002E69E1">
        <w:t>was mainly due to the amount of spending on urban transport investment nationally exceeding expectations and the CGC’s assessment of relative wage costs in New South Wales being higher than projected. As a result</w:t>
      </w:r>
      <w:r w:rsidR="00ED2046">
        <w:t>,</w:t>
      </w:r>
      <w:r w:rsidR="000F6746" w:rsidRPr="000F6746">
        <w:t xml:space="preserve"> </w:t>
      </w:r>
      <w:r w:rsidR="000D5FC7">
        <w:t>estimates</w:t>
      </w:r>
      <w:r w:rsidR="000D5FC7" w:rsidRPr="000F6746">
        <w:t xml:space="preserve"> </w:t>
      </w:r>
      <w:r w:rsidR="000F6746" w:rsidRPr="000F6746">
        <w:t xml:space="preserve">for </w:t>
      </w:r>
      <w:r w:rsidR="00C437BD">
        <w:t>NSW</w:t>
      </w:r>
      <w:r w:rsidR="00AC413B">
        <w:t>’s</w:t>
      </w:r>
      <w:r w:rsidR="000F6746" w:rsidRPr="000F6746">
        <w:t xml:space="preserve"> GST relativity </w:t>
      </w:r>
      <w:r w:rsidR="00AD69FF">
        <w:t xml:space="preserve">have been </w:t>
      </w:r>
      <w:r w:rsidR="005D1E24">
        <w:t>revised upwards</w:t>
      </w:r>
      <w:r w:rsidR="005D1E24" w:rsidDel="005D1E24">
        <w:t xml:space="preserve"> </w:t>
      </w:r>
      <w:r w:rsidR="000F6746" w:rsidRPr="000F6746">
        <w:t>over the four years to 2025-26.</w:t>
      </w:r>
      <w:r w:rsidR="00BF7384">
        <w:t xml:space="preserve"> </w:t>
      </w:r>
    </w:p>
    <w:p w14:paraId="4DA160EE" w14:textId="55055202" w:rsidR="006401C9" w:rsidRDefault="006401C9" w:rsidP="001321A1">
      <w:pPr>
        <w:pStyle w:val="Bullet1"/>
      </w:pPr>
      <w:r w:rsidRPr="00740F7F">
        <w:t>Inflation</w:t>
      </w:r>
      <w:r>
        <w:t xml:space="preserve"> – </w:t>
      </w:r>
      <w:r w:rsidR="002D0F78">
        <w:t>Higher than previously forecast prices and wages growth has contributed to upwards revisions to GST revenue (t</w:t>
      </w:r>
      <w:r w:rsidR="002D0F78" w:rsidRPr="797BF48D">
        <w:rPr>
          <w:rFonts w:eastAsia="Arial"/>
        </w:rPr>
        <w:t>hrough higher nominal consumption and dwelling investment growth) and payroll tax revenue.</w:t>
      </w:r>
    </w:p>
    <w:p w14:paraId="613AD331" w14:textId="414A2512" w:rsidR="00BF7384" w:rsidRDefault="00BF7384" w:rsidP="001321A1">
      <w:pPr>
        <w:pStyle w:val="Bullet1"/>
      </w:pPr>
      <w:r w:rsidRPr="00740F7F">
        <w:t>Property market</w:t>
      </w:r>
      <w:r>
        <w:t xml:space="preserve"> –</w:t>
      </w:r>
      <w:r w:rsidR="00661749">
        <w:t xml:space="preserve"> </w:t>
      </w:r>
      <w:r w:rsidR="003F00F8">
        <w:t>S</w:t>
      </w:r>
      <w:r w:rsidR="003F00F8" w:rsidRPr="00740F7F">
        <w:t xml:space="preserve">trength </w:t>
      </w:r>
      <w:r w:rsidRPr="00740F7F">
        <w:t>in the property market</w:t>
      </w:r>
      <w:r>
        <w:t xml:space="preserve"> </w:t>
      </w:r>
      <w:r w:rsidR="00F94799">
        <w:t xml:space="preserve">in the early months of 2022 </w:t>
      </w:r>
      <w:r>
        <w:t xml:space="preserve">has </w:t>
      </w:r>
      <w:r w:rsidR="00B32564">
        <w:t>increased</w:t>
      </w:r>
      <w:r>
        <w:t xml:space="preserve"> forecast transfer duty in </w:t>
      </w:r>
      <w:r w:rsidR="00533AD8">
        <w:t>2021-22</w:t>
      </w:r>
      <w:r>
        <w:t xml:space="preserve">, with land tax expected to be higher over the forward estimates due to higher land prices. This is partly offset by </w:t>
      </w:r>
      <w:r w:rsidRPr="00740F7F">
        <w:t xml:space="preserve">the </w:t>
      </w:r>
      <w:r w:rsidR="00814C75">
        <w:t xml:space="preserve">anticipated </w:t>
      </w:r>
      <w:r w:rsidRPr="00740F7F">
        <w:t>impact</w:t>
      </w:r>
      <w:r w:rsidR="00814C75">
        <w:t>s</w:t>
      </w:r>
      <w:r w:rsidRPr="00740F7F">
        <w:t xml:space="preserve"> of rising mortgage </w:t>
      </w:r>
      <w:r w:rsidR="003147CF">
        <w:t xml:space="preserve">interest </w:t>
      </w:r>
      <w:r w:rsidRPr="00740F7F">
        <w:t>rates</w:t>
      </w:r>
      <w:r>
        <w:t>.</w:t>
      </w:r>
    </w:p>
    <w:p w14:paraId="37120C06" w14:textId="6DE68AE5" w:rsidR="00BF7384" w:rsidRDefault="00BF7384" w:rsidP="001321A1">
      <w:pPr>
        <w:pStyle w:val="Bullet1"/>
      </w:pPr>
      <w:r w:rsidRPr="00BF7384">
        <w:t>Stronger economy</w:t>
      </w:r>
      <w:r>
        <w:t xml:space="preserve"> – Despite the impacts from the Omicron variant, underlying momentum in the </w:t>
      </w:r>
      <w:r w:rsidR="00431C51">
        <w:t>New South Wales</w:t>
      </w:r>
      <w:r w:rsidR="006013B0">
        <w:t xml:space="preserve"> and national economy </w:t>
      </w:r>
      <w:r>
        <w:t xml:space="preserve">has been stronger than expected, </w:t>
      </w:r>
      <w:r w:rsidR="007829B9">
        <w:t>leading</w:t>
      </w:r>
      <w:r>
        <w:t xml:space="preserve"> to a</w:t>
      </w:r>
      <w:r w:rsidR="000F6746">
        <w:t xml:space="preserve">n </w:t>
      </w:r>
      <w:r>
        <w:t xml:space="preserve">increase </w:t>
      </w:r>
      <w:r w:rsidR="00762301">
        <w:t xml:space="preserve">in </w:t>
      </w:r>
      <w:r>
        <w:t>GST and payroll tax</w:t>
      </w:r>
      <w:r w:rsidR="00762301">
        <w:t xml:space="preserve"> revenue</w:t>
      </w:r>
      <w:r>
        <w:t xml:space="preserve">.  </w:t>
      </w:r>
    </w:p>
    <w:p w14:paraId="5E5EB54C" w14:textId="77777777" w:rsidR="00C5090D" w:rsidRDefault="00C5090D">
      <w:pPr>
        <w:spacing w:after="200" w:line="276" w:lineRule="auto"/>
        <w:rPr>
          <w:rFonts w:ascii="Arial" w:hAnsi="Arial"/>
          <w:i/>
          <w:color w:val="4F4F4F"/>
          <w:sz w:val="22"/>
        </w:rPr>
      </w:pPr>
      <w:r>
        <w:br w:type="page"/>
      </w:r>
    </w:p>
    <w:p w14:paraId="4DE23E55" w14:textId="72459D52" w:rsidR="00D42181" w:rsidRPr="00E8541E" w:rsidRDefault="006013B0" w:rsidP="00C539A9">
      <w:pPr>
        <w:pStyle w:val="Chart41"/>
      </w:pPr>
      <w:r w:rsidRPr="00BF7384">
        <w:t>Up</w:t>
      </w:r>
      <w:r>
        <w:t>wards revisions</w:t>
      </w:r>
      <w:r w:rsidRPr="00BF7384">
        <w:t xml:space="preserve"> </w:t>
      </w:r>
      <w:r w:rsidR="000E502A">
        <w:t>to</w:t>
      </w:r>
      <w:r w:rsidR="00BF7384" w:rsidRPr="00BF7384">
        <w:t xml:space="preserve"> state taxation, GST and mining royalties revenue</w:t>
      </w:r>
    </w:p>
    <w:p w14:paraId="36B67FB8" w14:textId="2DEB883D" w:rsidR="003C042C" w:rsidRPr="00E70072" w:rsidRDefault="003C042C" w:rsidP="005E1177">
      <w:r>
        <w:rPr>
          <w:noProof/>
        </w:rPr>
        <w:drawing>
          <wp:inline distT="0" distB="0" distL="0" distR="0" wp14:anchorId="3FD6609B" wp14:editId="3980DD53">
            <wp:extent cx="6120765" cy="3370997"/>
            <wp:effectExtent l="0" t="0" r="0" b="1270"/>
            <wp:docPr id="4" name="Chart 4" descr="Chart 4.2: Upwards revisions to state taxation, GST and mining royalties revenue">
              <a:extLst xmlns:a="http://schemas.openxmlformats.org/drawingml/2006/main">
                <a:ext uri="{FF2B5EF4-FFF2-40B4-BE49-F238E27FC236}">
                  <a16:creationId xmlns:a16="http://schemas.microsoft.com/office/drawing/2014/main" id="{F54A5ADD-1EB7-408A-BECA-0FEA4522D3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58EAB62" w14:textId="77777777" w:rsidR="00C9619F" w:rsidRPr="000461C0" w:rsidRDefault="00C9619F" w:rsidP="00C9619F">
      <w:pPr>
        <w:rPr>
          <w:rFonts w:eastAsia="Calibri"/>
        </w:rPr>
      </w:pPr>
    </w:p>
    <w:tbl>
      <w:tblPr>
        <w:tblW w:w="9615" w:type="dxa"/>
        <w:jc w:val="right"/>
        <w:shd w:val="clear" w:color="auto" w:fill="F2F2F2" w:themeFill="background1" w:themeFillShade="F2"/>
        <w:tblLayout w:type="fixed"/>
        <w:tblLook w:val="04A0" w:firstRow="1" w:lastRow="0" w:firstColumn="1" w:lastColumn="0" w:noHBand="0" w:noVBand="1"/>
        <w:tblCaption w:val="Chart 4.3: Contribution to revenue growth from state taxation, GST and mining royalties"/>
        <w:tblDescription w:val="Chart 4.3: Contribution to revenue growth from state taxation, GST and mining royalties"/>
      </w:tblPr>
      <w:tblGrid>
        <w:gridCol w:w="9615"/>
      </w:tblGrid>
      <w:tr w:rsidR="008E0AF7" w:rsidRPr="008F0B8B" w14:paraId="00A741A7" w14:textId="77777777" w:rsidTr="0040197F">
        <w:trPr>
          <w:trHeight w:val="653"/>
          <w:jc w:val="right"/>
        </w:trPr>
        <w:tc>
          <w:tcPr>
            <w:tcW w:w="9615" w:type="dxa"/>
            <w:shd w:val="clear" w:color="auto" w:fill="F2F2F2" w:themeFill="background1" w:themeFillShade="F2"/>
            <w:vAlign w:val="center"/>
          </w:tcPr>
          <w:p w14:paraId="50BDD0F7" w14:textId="4A75001D" w:rsidR="000A2CF1" w:rsidRPr="002A4012" w:rsidRDefault="00204997" w:rsidP="002A4012">
            <w:pPr>
              <w:pStyle w:val="Box41BoxHeading"/>
            </w:pPr>
            <w:r w:rsidRPr="002A4012">
              <w:t>Box 4.1</w:t>
            </w:r>
            <w:r w:rsidR="002D1792">
              <w:t>:</w:t>
            </w:r>
            <w:r w:rsidRPr="002A4012">
              <w:t xml:space="preserve"> </w:t>
            </w:r>
            <w:r w:rsidR="0077028D">
              <w:tab/>
            </w:r>
            <w:r w:rsidR="000A2CF1" w:rsidRPr="002A4012">
              <w:t>Revenue growth volatile in the short term, set to fall in the long term</w:t>
            </w:r>
          </w:p>
          <w:p w14:paraId="7F374204" w14:textId="71E92AE9" w:rsidR="000A2CF1" w:rsidRPr="000A2CF1" w:rsidRDefault="000A2CF1" w:rsidP="009437D2">
            <w:pPr>
              <w:pStyle w:val="BodyTextBox"/>
              <w:framePr w:wrap="around"/>
            </w:pPr>
            <w:r w:rsidRPr="000A2CF1">
              <w:t xml:space="preserve">Stable revenue sources and sustainable revenue growth help states meet expenditure needs and achieve fiscal balance, both in the short term and the long term. </w:t>
            </w:r>
          </w:p>
          <w:p w14:paraId="056AB2D4" w14:textId="754A9212" w:rsidR="000A2CF1" w:rsidRDefault="000A2CF1" w:rsidP="009437D2">
            <w:pPr>
              <w:pStyle w:val="BodyTextBox"/>
              <w:framePr w:wrap="around"/>
            </w:pPr>
            <w:r w:rsidRPr="000A2CF1">
              <w:t>Since the onset of the pandemic</w:t>
            </w:r>
            <w:r w:rsidR="008C3BFF">
              <w:t>,</w:t>
            </w:r>
            <w:r w:rsidR="00E053E4">
              <w:t xml:space="preserve"> </w:t>
            </w:r>
            <w:r w:rsidR="00A16471" w:rsidRPr="000A2CF1">
              <w:t>N</w:t>
            </w:r>
            <w:r w:rsidR="00A16471">
              <w:t>ew South Wales</w:t>
            </w:r>
            <w:r w:rsidR="00A16471" w:rsidRPr="000A2CF1">
              <w:t xml:space="preserve">’ </w:t>
            </w:r>
            <w:r w:rsidRPr="000A2CF1">
              <w:t>tax revenue growth rates have seen unprecedented levels of volatility. While the long</w:t>
            </w:r>
            <w:r w:rsidR="00600808">
              <w:t>-</w:t>
            </w:r>
            <w:r w:rsidRPr="000A2CF1">
              <w:t xml:space="preserve">run average growth rate </w:t>
            </w:r>
            <w:r w:rsidR="00DB1A9E">
              <w:t>over the</w:t>
            </w:r>
            <w:r w:rsidR="00FA50C9">
              <w:t xml:space="preserve"> 20 years to 2018-19 </w:t>
            </w:r>
            <w:r w:rsidRPr="000A2CF1">
              <w:t xml:space="preserve">for </w:t>
            </w:r>
            <w:r w:rsidR="00E9614D">
              <w:t>s</w:t>
            </w:r>
            <w:r w:rsidR="00F46041" w:rsidRPr="000A2CF1">
              <w:t xml:space="preserve">tate </w:t>
            </w:r>
            <w:r w:rsidRPr="000A2CF1">
              <w:t>taxes sits at 6.0</w:t>
            </w:r>
            <w:r w:rsidR="008C3BFF">
              <w:t xml:space="preserve"> per cent</w:t>
            </w:r>
            <w:r w:rsidRPr="000A2CF1">
              <w:t xml:space="preserve">, tax revenue grew by </w:t>
            </w:r>
            <w:r w:rsidR="006721CC">
              <w:t>10</w:t>
            </w:r>
            <w:r w:rsidRPr="000A2CF1">
              <w:t>.</w:t>
            </w:r>
            <w:r w:rsidR="006721CC">
              <w:t>1</w:t>
            </w:r>
            <w:r w:rsidR="00042F4F">
              <w:t xml:space="preserve"> per cent</w:t>
            </w:r>
            <w:r w:rsidRPr="000A2CF1">
              <w:t xml:space="preserve"> in 2020-21 from the lower base set in the pandemic’s first year (2019-20). </w:t>
            </w:r>
            <w:r w:rsidR="00F3095A">
              <w:t>Total revenue growth is</w:t>
            </w:r>
            <w:r w:rsidRPr="000A2CF1">
              <w:t xml:space="preserve"> estimated </w:t>
            </w:r>
            <w:r w:rsidR="00F3095A">
              <w:t xml:space="preserve">to be </w:t>
            </w:r>
            <w:r w:rsidRPr="003D108C">
              <w:t>2</w:t>
            </w:r>
            <w:r w:rsidR="00BC4F8E" w:rsidRPr="003D108C">
              <w:t>0</w:t>
            </w:r>
            <w:r w:rsidRPr="003D108C">
              <w:t>.</w:t>
            </w:r>
            <w:r w:rsidR="00BC4F8E" w:rsidRPr="003D108C">
              <w:t>7</w:t>
            </w:r>
            <w:r w:rsidR="00042F4F" w:rsidRPr="003D108C">
              <w:t xml:space="preserve"> per cent</w:t>
            </w:r>
            <w:r w:rsidRPr="000A2CF1">
              <w:t xml:space="preserve"> in 2021-22, before dropping below the long</w:t>
            </w:r>
            <w:r w:rsidR="00EB3375">
              <w:t>-</w:t>
            </w:r>
            <w:r w:rsidRPr="000A2CF1">
              <w:t xml:space="preserve">run average </w:t>
            </w:r>
            <w:r w:rsidR="00DA2BAF">
              <w:t>over the four years to 2025-26</w:t>
            </w:r>
            <w:r w:rsidRPr="000A2CF1">
              <w:t xml:space="preserve">. </w:t>
            </w:r>
          </w:p>
          <w:p w14:paraId="24C18B2C" w14:textId="6E73D599" w:rsidR="00922106" w:rsidRPr="00E8541E" w:rsidRDefault="00D02B48" w:rsidP="005E1177">
            <w:pPr>
              <w:pStyle w:val="Chart41"/>
            </w:pPr>
            <w:r w:rsidRPr="005E1177">
              <w:t>Contribution</w:t>
            </w:r>
            <w:r w:rsidRPr="00D02B48">
              <w:t xml:space="preserve"> to revenue growth from state taxation, GST and mining royalties</w:t>
            </w:r>
          </w:p>
          <w:p w14:paraId="6DA8DB7C" w14:textId="76B27E9B" w:rsidR="0014794E" w:rsidRDefault="00002096" w:rsidP="004F63C5">
            <w:pPr>
              <w:jc w:val="center"/>
              <w:rPr>
                <w:szCs w:val="23"/>
              </w:rPr>
            </w:pPr>
            <w:r>
              <w:rPr>
                <w:noProof/>
              </w:rPr>
              <mc:AlternateContent>
                <mc:Choice Requires="wps">
                  <w:drawing>
                    <wp:anchor distT="0" distB="0" distL="114300" distR="114300" simplePos="0" relativeHeight="251658240" behindDoc="0" locked="0" layoutInCell="1" allowOverlap="1" wp14:anchorId="46E06B7A" wp14:editId="38AFF93E">
                      <wp:simplePos x="0" y="0"/>
                      <wp:positionH relativeFrom="column">
                        <wp:posOffset>3994150</wp:posOffset>
                      </wp:positionH>
                      <wp:positionV relativeFrom="paragraph">
                        <wp:posOffset>1267460</wp:posOffset>
                      </wp:positionV>
                      <wp:extent cx="2214880" cy="219075"/>
                      <wp:effectExtent l="0" t="0" r="0" b="0"/>
                      <wp:wrapNone/>
                      <wp:docPr id="12" name="TextBox 1"/>
                      <wp:cNvGraphicFramePr/>
                      <a:graphic xmlns:a="http://schemas.openxmlformats.org/drawingml/2006/main">
                        <a:graphicData uri="http://schemas.microsoft.com/office/word/2010/wordprocessingShape">
                          <wps:wsp>
                            <wps:cNvSpPr txBox="1"/>
                            <wps:spPr>
                              <a:xfrm>
                                <a:off x="0" y="0"/>
                                <a:ext cx="2214880" cy="219075"/>
                              </a:xfrm>
                              <a:prstGeom prst="rect">
                                <a:avLst/>
                              </a:prstGeom>
                            </wps:spPr>
                            <wps:txbx>
                              <w:txbxContent>
                                <w:p w14:paraId="257828BF" w14:textId="5532B2B4" w:rsidR="00002096" w:rsidRDefault="00002096" w:rsidP="00002096">
                                  <w:pPr>
                                    <w:rPr>
                                      <w:rFonts w:ascii="Arial" w:hAnsi="Arial" w:cs="Arial"/>
                                      <w:color w:val="FF0000"/>
                                      <w:sz w:val="16"/>
                                      <w:szCs w:val="16"/>
                                    </w:rPr>
                                  </w:pPr>
                                  <w:r>
                                    <w:rPr>
                                      <w:rFonts w:ascii="Arial" w:hAnsi="Arial" w:cs="Arial"/>
                                      <w:color w:val="FF0000"/>
                                      <w:sz w:val="16"/>
                                      <w:szCs w:val="16"/>
                                    </w:rPr>
                                    <w:t>Long</w:t>
                                  </w:r>
                                  <w:r w:rsidR="00600808">
                                    <w:rPr>
                                      <w:rFonts w:ascii="Arial" w:hAnsi="Arial" w:cs="Arial"/>
                                      <w:color w:val="FF0000"/>
                                      <w:sz w:val="16"/>
                                      <w:szCs w:val="16"/>
                                    </w:rPr>
                                    <w:t>-</w:t>
                                  </w:r>
                                  <w:r>
                                    <w:rPr>
                                      <w:rFonts w:ascii="Arial" w:hAnsi="Arial" w:cs="Arial"/>
                                      <w:color w:val="FF0000"/>
                                      <w:sz w:val="16"/>
                                      <w:szCs w:val="16"/>
                                    </w:rPr>
                                    <w:t>run average growth rate</w:t>
                                  </w:r>
                                </w:p>
                              </w:txbxContent>
                            </wps:txbx>
                            <wps:bodyPr wrap="square" rtlCol="0"/>
                          </wps:wsp>
                        </a:graphicData>
                      </a:graphic>
                      <wp14:sizeRelH relativeFrom="margin">
                        <wp14:pctWidth>0</wp14:pctWidth>
                      </wp14:sizeRelH>
                      <wp14:sizeRelV relativeFrom="margin">
                        <wp14:pctHeight>0</wp14:pctHeight>
                      </wp14:sizeRelV>
                    </wp:anchor>
                  </w:drawing>
                </mc:Choice>
                <mc:Fallback>
                  <w:pict>
                    <v:shapetype w14:anchorId="46E06B7A" id="_x0000_t202" coordsize="21600,21600" o:spt="202" path="m,l,21600r21600,l21600,xe">
                      <v:stroke joinstyle="miter"/>
                      <v:path gradientshapeok="t" o:connecttype="rect"/>
                    </v:shapetype>
                    <v:shape id="TextBox 1" o:spid="_x0000_s1026" type="#_x0000_t202" style="position:absolute;left:0;text-align:left;margin-left:314.5pt;margin-top:99.8pt;width:174.4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" filled="f" stroked="f">
                      <v:textbox>
                        <w:txbxContent>
                          <w:p w14:paraId="257828BF" w14:textId="5532B2B4" w:rsidR="00002096" w:rsidRDefault="00002096" w:rsidP="00002096">
                            <w:pPr>
                              <w:rPr>
                                <w:rFonts w:ascii="Arial" w:hAnsi="Arial" w:cs="Arial"/>
                                <w:color w:val="FF0000"/>
                                <w:sz w:val="16"/>
                                <w:szCs w:val="16"/>
                              </w:rPr>
                            </w:pPr>
                            <w:r>
                              <w:rPr>
                                <w:rFonts w:ascii="Arial" w:hAnsi="Arial" w:cs="Arial"/>
                                <w:color w:val="FF0000"/>
                                <w:sz w:val="16"/>
                                <w:szCs w:val="16"/>
                              </w:rPr>
                              <w:t>Long</w:t>
                            </w:r>
                            <w:r w:rsidR="00600808">
                              <w:rPr>
                                <w:rFonts w:ascii="Arial" w:hAnsi="Arial" w:cs="Arial"/>
                                <w:color w:val="FF0000"/>
                                <w:sz w:val="16"/>
                                <w:szCs w:val="16"/>
                              </w:rPr>
                              <w:t>-</w:t>
                            </w:r>
                            <w:r>
                              <w:rPr>
                                <w:rFonts w:ascii="Arial" w:hAnsi="Arial" w:cs="Arial"/>
                                <w:color w:val="FF0000"/>
                                <w:sz w:val="16"/>
                                <w:szCs w:val="16"/>
                              </w:rPr>
                              <w:t>run average growth rate</w:t>
                            </w:r>
                          </w:p>
                        </w:txbxContent>
                      </v:textbox>
                    </v:shape>
                  </w:pict>
                </mc:Fallback>
              </mc:AlternateContent>
            </w:r>
            <w:r>
              <w:rPr>
                <w:noProof/>
              </w:rPr>
              <w:drawing>
                <wp:inline distT="0" distB="0" distL="0" distR="0" wp14:anchorId="0CA0F28D" wp14:editId="2EF1C1A2">
                  <wp:extent cx="5480051" cy="3105150"/>
                  <wp:effectExtent l="0" t="0" r="0" b="0"/>
                  <wp:docPr id="13" name="Chart 13">
                    <a:extLst xmlns:a="http://schemas.openxmlformats.org/drawingml/2006/main">
                      <a:ext uri="{FF2B5EF4-FFF2-40B4-BE49-F238E27FC236}">
                        <a16:creationId xmlns:a16="http://schemas.microsoft.com/office/drawing/2014/main" id="{FBD8EDEA-10C9-42C9-9900-67492601E3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A74DF4C" w14:textId="4D8EE857" w:rsidR="008E0AF7" w:rsidRPr="000A2CF1" w:rsidRDefault="008E0AF7" w:rsidP="005E1177">
            <w:pPr>
              <w:rPr>
                <w:rFonts w:eastAsia="Calibri"/>
                <w:szCs w:val="23"/>
              </w:rPr>
            </w:pPr>
          </w:p>
        </w:tc>
      </w:tr>
    </w:tbl>
    <w:p w14:paraId="5A0CE8F3" w14:textId="77777777" w:rsidR="001A3B1B" w:rsidRPr="008F0B8B" w:rsidRDefault="001A3B1B" w:rsidP="001A3B1B">
      <w:pPr>
        <w:rPr>
          <w:highlight w:val="yellow"/>
        </w:rPr>
      </w:pPr>
      <w:bookmarkStart w:id="2" w:name="_Ref74313583"/>
    </w:p>
    <w:p w14:paraId="29800588" w14:textId="77777777" w:rsidR="00CC59B6" w:rsidRDefault="00CC59B6" w:rsidP="001A3B1B">
      <w:pPr>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Chart 4.4: Average annual growth in state revenues 2018-19 to 2060-61"/>
        <w:tblDescription w:val="Chart 4.4: Average annual growth in state revenues 2018-19 to 2060-61"/>
      </w:tblPr>
      <w:tblGrid>
        <w:gridCol w:w="9629"/>
      </w:tblGrid>
      <w:tr w:rsidR="00CC59B6" w14:paraId="64D60D82" w14:textId="77777777" w:rsidTr="009814C2">
        <w:trPr>
          <w:trHeight w:val="4961"/>
        </w:trPr>
        <w:tc>
          <w:tcPr>
            <w:tcW w:w="9629" w:type="dxa"/>
            <w:shd w:val="clear" w:color="auto" w:fill="F2F2F2" w:themeFill="background1" w:themeFillShade="F2"/>
          </w:tcPr>
          <w:p w14:paraId="451F011B" w14:textId="05922783" w:rsidR="00CC59B6" w:rsidRPr="00E079C6" w:rsidRDefault="0038504A" w:rsidP="001B5C6F">
            <w:pPr>
              <w:pStyle w:val="Box41BoxHeading"/>
            </w:pPr>
            <w:r>
              <w:t>Box 4.2</w:t>
            </w:r>
            <w:r w:rsidR="002D1792">
              <w:t>:</w:t>
            </w:r>
            <w:r w:rsidR="0077028D">
              <w:tab/>
            </w:r>
            <w:r w:rsidR="00E079C6" w:rsidRPr="00E079C6">
              <w:t>Long-</w:t>
            </w:r>
            <w:r w:rsidR="00E079C6" w:rsidRPr="001B5C6F">
              <w:t>term</w:t>
            </w:r>
            <w:r w:rsidR="00E079C6" w:rsidRPr="00E079C6">
              <w:t xml:space="preserve"> revenue outlook</w:t>
            </w:r>
          </w:p>
          <w:p w14:paraId="31BA7CEE" w14:textId="5823E992" w:rsidR="000F7361" w:rsidRDefault="00833572" w:rsidP="009437D2">
            <w:pPr>
              <w:pStyle w:val="BodyTextBox"/>
              <w:framePr w:wrap="around"/>
            </w:pPr>
            <w:r w:rsidRPr="00833572">
              <w:t xml:space="preserve">Over the long run, as outlined in the </w:t>
            </w:r>
            <w:r w:rsidRPr="001B5C6F">
              <w:rPr>
                <w:i/>
                <w:iCs/>
              </w:rPr>
              <w:t>2021-22</w:t>
            </w:r>
            <w:r w:rsidRPr="00833572">
              <w:t xml:space="preserve"> </w:t>
            </w:r>
            <w:r w:rsidRPr="00CB7EF5">
              <w:rPr>
                <w:i/>
                <w:iCs/>
              </w:rPr>
              <w:t>NSW Intergenerational Report</w:t>
            </w:r>
            <w:r w:rsidRPr="00833572">
              <w:t xml:space="preserve"> </w:t>
            </w:r>
            <w:r w:rsidR="004748B6">
              <w:t>(</w:t>
            </w:r>
            <w:r w:rsidRPr="00833572">
              <w:t>IGR</w:t>
            </w:r>
            <w:r w:rsidR="00856175">
              <w:t>),</w:t>
            </w:r>
            <w:r w:rsidR="00856175" w:rsidRPr="00833572">
              <w:t xml:space="preserve"> </w:t>
            </w:r>
            <w:r w:rsidRPr="00833572">
              <w:t xml:space="preserve">NSW revenues are expected to grow at a slower pace than they have historically. </w:t>
            </w:r>
            <w:r w:rsidR="00EA27E4">
              <w:t>If this outcome is realised,</w:t>
            </w:r>
            <w:r w:rsidR="00F61706">
              <w:t xml:space="preserve"> there would be a</w:t>
            </w:r>
            <w:r w:rsidR="005946B0">
              <w:t>n</w:t>
            </w:r>
            <w:r w:rsidR="00F61706">
              <w:t xml:space="preserve"> increasing long</w:t>
            </w:r>
            <w:r w:rsidR="00B54392">
              <w:t>-</w:t>
            </w:r>
            <w:r w:rsidR="00F61706">
              <w:t>term</w:t>
            </w:r>
            <w:r w:rsidRPr="00833572">
              <w:t xml:space="preserve"> ‘fiscal gap’</w:t>
            </w:r>
            <w:r w:rsidR="00F61706">
              <w:t>,</w:t>
            </w:r>
            <w:r w:rsidRPr="00833572">
              <w:t xml:space="preserve"> where revenue growth fails to keep pace with the growth in expenses. The IGR estimated this gap at 2.6 per cent of Gross State Product by 2060-61.</w:t>
            </w:r>
          </w:p>
          <w:p w14:paraId="6D0842FA" w14:textId="74C460ED" w:rsidR="000F7361" w:rsidRDefault="00B811C2" w:rsidP="009437D2">
            <w:pPr>
              <w:pStyle w:val="BodyTextBox"/>
              <w:framePr w:wrap="around"/>
            </w:pPr>
            <w:r>
              <w:t>Over the longer term, r</w:t>
            </w:r>
            <w:r w:rsidRPr="002D5D46">
              <w:t xml:space="preserve">evenue </w:t>
            </w:r>
            <w:r w:rsidR="002D5D46" w:rsidRPr="002D5D46">
              <w:t>growth, and tax revenue growth in particular, is expected to ease due to:</w:t>
            </w:r>
          </w:p>
          <w:p w14:paraId="44F01E8A" w14:textId="49046CC0" w:rsidR="006C2BD5" w:rsidRDefault="006C2BD5" w:rsidP="001321A1">
            <w:pPr>
              <w:pStyle w:val="Bullet1inabox"/>
            </w:pPr>
            <w:r w:rsidRPr="006C2BD5">
              <w:t>an ageing population, which will reduce the labour force in relative terms and increase the dependency ratio</w:t>
            </w:r>
          </w:p>
          <w:p w14:paraId="0486F8D3" w14:textId="6F1D5CBC" w:rsidR="006C2BD5" w:rsidRDefault="00717B3C" w:rsidP="001321A1">
            <w:pPr>
              <w:pStyle w:val="Bullet1inabox"/>
            </w:pPr>
            <w:r w:rsidRPr="00717B3C">
              <w:t xml:space="preserve">an easing in house price growth </w:t>
            </w:r>
            <w:r w:rsidR="00B7458C">
              <w:t>from the high rates achieved over the past two decades</w:t>
            </w:r>
          </w:p>
          <w:p w14:paraId="734475D2" w14:textId="653118BF" w:rsidR="00231C21" w:rsidRDefault="00231C21" w:rsidP="001321A1">
            <w:pPr>
              <w:pStyle w:val="Bullet1inabox"/>
            </w:pPr>
            <w:r w:rsidRPr="00231C21">
              <w:t>declining royalties revenue, in line with declining global demand for coal as the global economy transitions to net zero</w:t>
            </w:r>
            <w:r w:rsidR="0061730F">
              <w:t>.</w:t>
            </w:r>
          </w:p>
          <w:p w14:paraId="1C10DF76" w14:textId="5A0A6E99" w:rsidR="00903B23" w:rsidRDefault="00370C21" w:rsidP="009437D2">
            <w:pPr>
              <w:pStyle w:val="BodyTextBox"/>
              <w:framePr w:wrap="around"/>
            </w:pPr>
            <w:r w:rsidRPr="00370C21">
              <w:t>Under projected conditions, New South Wales and other states will face a growing shortfall in revenues and will come to rely more on f</w:t>
            </w:r>
            <w:r w:rsidR="000465EC">
              <w:t>iscal</w:t>
            </w:r>
            <w:r w:rsidRPr="00370C21">
              <w:t xml:space="preserve"> transfers from the Commonwealth.</w:t>
            </w:r>
          </w:p>
          <w:p w14:paraId="4068EFCB" w14:textId="547B8B29" w:rsidR="00F242B0" w:rsidRPr="0028344F" w:rsidRDefault="005A6709" w:rsidP="009437D2">
            <w:pPr>
              <w:pStyle w:val="BodyTextBox"/>
              <w:framePr w:wrap="around"/>
            </w:pPr>
            <w:r w:rsidRPr="005A6709">
              <w:t xml:space="preserve">The IGR showed that the most effective way of addressing the fiscal gap is by lifting revenue growth through reforms which grow the economy. </w:t>
            </w:r>
            <w:r w:rsidR="0028344F">
              <w:t xml:space="preserve">The IGR showed that supporting women’s economic opportunities would have the most significant impact on the fiscal gap, where </w:t>
            </w:r>
            <w:r w:rsidR="00F242B0" w:rsidRPr="00360B47">
              <w:t xml:space="preserve">women’s workforce participation </w:t>
            </w:r>
            <w:r w:rsidR="0028344F" w:rsidRPr="00360B47">
              <w:t xml:space="preserve">increases </w:t>
            </w:r>
            <w:r w:rsidR="00F242B0" w:rsidRPr="00360B47">
              <w:t>to be equal to that of men</w:t>
            </w:r>
            <w:r w:rsidR="0028344F">
              <w:t>. This is a key driver of the package of reforms outlined in this Budget.</w:t>
            </w:r>
            <w:r w:rsidR="00A04E82">
              <w:t xml:space="preserve"> </w:t>
            </w:r>
            <w:r w:rsidR="00A5268F">
              <w:t>The Report</w:t>
            </w:r>
            <w:r w:rsidR="00A04E82">
              <w:t xml:space="preserve"> also showed that a slow and disorderly transition to renewable energy would increase the size of the fiscal gap, underlying the importance of the NSW Government’s </w:t>
            </w:r>
            <w:r w:rsidR="00A04E82">
              <w:rPr>
                <w:i/>
                <w:iCs/>
              </w:rPr>
              <w:t>Electricity Infrastructure Roadmap</w:t>
            </w:r>
            <w:r w:rsidR="00A04E82">
              <w:t xml:space="preserve"> for both the economic and fiscal outlook.</w:t>
            </w:r>
          </w:p>
          <w:p w14:paraId="3CAE676F" w14:textId="4CA7A366" w:rsidR="00734B8A" w:rsidRPr="00734B8A" w:rsidRDefault="0023702E" w:rsidP="00E840BD">
            <w:pPr>
              <w:pStyle w:val="Chart41"/>
              <w:keepNext/>
            </w:pPr>
            <w:r w:rsidRPr="0023702E">
              <w:t>Average annual growth in state revenues 2018-19 to 2060-61</w:t>
            </w:r>
          </w:p>
          <w:p w14:paraId="3A807AEF" w14:textId="0B41BC68" w:rsidR="009814C2" w:rsidRDefault="009814C2" w:rsidP="009814C2">
            <w:pPr>
              <w:jc w:val="center"/>
              <w:rPr>
                <w:highlight w:val="yellow"/>
              </w:rPr>
            </w:pPr>
            <w:r>
              <w:rPr>
                <w:noProof/>
              </w:rPr>
              <w:drawing>
                <wp:inline distT="0" distB="0" distL="0" distR="0" wp14:anchorId="6172826D" wp14:editId="44BA6325">
                  <wp:extent cx="5883049" cy="3163661"/>
                  <wp:effectExtent l="0" t="0" r="0" b="0"/>
                  <wp:docPr id="5" name="Chart 5">
                    <a:extLst xmlns:a="http://schemas.openxmlformats.org/drawingml/2006/main">
                      <a:ext uri="{FF2B5EF4-FFF2-40B4-BE49-F238E27FC236}">
                        <a16:creationId xmlns:a16="http://schemas.microsoft.com/office/drawing/2014/main" id="{6D0A55CF-AA80-4821-AEDD-3AE564D48B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D7F77EC" w14:textId="7871034A" w:rsidR="00AC4B77" w:rsidRPr="007D033E" w:rsidRDefault="00AC4B77" w:rsidP="00AC4B77">
            <w:pPr>
              <w:rPr>
                <w:rFonts w:ascii="Arial" w:hAnsi="Arial" w:cs="Arial"/>
                <w:i/>
                <w:iCs/>
                <w:color w:val="4F4F4F"/>
                <w:sz w:val="17"/>
                <w:szCs w:val="17"/>
                <w:highlight w:val="yellow"/>
              </w:rPr>
            </w:pPr>
            <w:r w:rsidRPr="007D033E">
              <w:rPr>
                <w:rFonts w:ascii="Arial" w:hAnsi="Arial" w:cs="Arial"/>
                <w:i/>
                <w:iCs/>
                <w:color w:val="4F4F4F"/>
                <w:sz w:val="17"/>
                <w:szCs w:val="17"/>
              </w:rPr>
              <w:t>Source: Projections from the 2021-22 NSW Intergenerational Report</w:t>
            </w:r>
          </w:p>
          <w:p w14:paraId="08D169D7" w14:textId="59216437" w:rsidR="00CC59B6" w:rsidRDefault="00CC59B6" w:rsidP="001A3B1B">
            <w:pPr>
              <w:rPr>
                <w:highlight w:val="yellow"/>
              </w:rPr>
            </w:pPr>
          </w:p>
        </w:tc>
      </w:tr>
    </w:tbl>
    <w:p w14:paraId="262FF190" w14:textId="6B536573" w:rsidR="00317F64" w:rsidRDefault="00317F64" w:rsidP="00317F64">
      <w:pPr>
        <w:pStyle w:val="Table4X"/>
        <w:numPr>
          <w:ilvl w:val="0"/>
          <w:numId w:val="0"/>
        </w:numPr>
        <w:ind w:left="1304" w:hanging="1304"/>
      </w:pPr>
      <w:bookmarkStart w:id="3" w:name="_Ref73357008"/>
      <w:bookmarkEnd w:id="2"/>
    </w:p>
    <w:p w14:paraId="7967D4D9" w14:textId="77777777" w:rsidR="00D83760" w:rsidRDefault="00D83760">
      <w:pPr>
        <w:spacing w:after="200" w:line="276" w:lineRule="auto"/>
        <w:rPr>
          <w:rFonts w:ascii="Arial" w:hAnsi="Arial"/>
          <w:bCs/>
          <w:i/>
          <w:color w:val="4F4F4F"/>
          <w:kern w:val="28"/>
          <w:sz w:val="22"/>
          <w:szCs w:val="22"/>
        </w:rPr>
      </w:pPr>
      <w:r>
        <w:br w:type="page"/>
      </w:r>
    </w:p>
    <w:p w14:paraId="482E93A3" w14:textId="3921269C" w:rsidR="0020767D" w:rsidRPr="00E8541E" w:rsidRDefault="0020767D" w:rsidP="00481B12">
      <w:pPr>
        <w:pStyle w:val="Table4X"/>
      </w:pPr>
      <w:r w:rsidRPr="00E8541E">
        <w:t>Revenue reconciliation</w:t>
      </w:r>
      <w:bookmarkEnd w:id="3"/>
    </w:p>
    <w:tbl>
      <w:tblPr>
        <w:tblW w:w="9682" w:type="dxa"/>
        <w:tblLook w:val="04A0" w:firstRow="1" w:lastRow="0" w:firstColumn="1" w:lastColumn="0" w:noHBand="0" w:noVBand="1"/>
        <w:tblCaption w:val="Table 4.2: Revenue reconciliation"/>
        <w:tblDescription w:val="Table 4.2: Revenue reconciliation"/>
      </w:tblPr>
      <w:tblGrid>
        <w:gridCol w:w="3686"/>
        <w:gridCol w:w="964"/>
        <w:gridCol w:w="964"/>
        <w:gridCol w:w="1016"/>
        <w:gridCol w:w="1076"/>
        <w:gridCol w:w="956"/>
        <w:gridCol w:w="1020"/>
      </w:tblGrid>
      <w:tr w:rsidR="003E64CC" w:rsidRPr="003E64CC" w14:paraId="2A3B66D6" w14:textId="77777777" w:rsidTr="003B5999">
        <w:trPr>
          <w:trHeight w:val="289"/>
        </w:trPr>
        <w:tc>
          <w:tcPr>
            <w:tcW w:w="3686" w:type="dxa"/>
            <w:tcBorders>
              <w:top w:val="nil"/>
              <w:left w:val="nil"/>
              <w:bottom w:val="nil"/>
              <w:right w:val="nil"/>
            </w:tcBorders>
            <w:shd w:val="clear" w:color="000000" w:fill="008EBA"/>
            <w:vAlign w:val="center"/>
            <w:hideMark/>
          </w:tcPr>
          <w:p w14:paraId="68C07796" w14:textId="77777777" w:rsidR="003E64CC" w:rsidRPr="003E64CC" w:rsidRDefault="003E64CC" w:rsidP="003E64CC">
            <w:pPr>
              <w:jc w:val="center"/>
              <w:rPr>
                <w:rFonts w:ascii="Arial" w:hAnsi="Arial" w:cs="Arial"/>
                <w:i/>
                <w:iCs/>
                <w:color w:val="FFFFFF"/>
                <w:sz w:val="16"/>
                <w:szCs w:val="16"/>
                <w:lang w:eastAsia="en-AU"/>
              </w:rPr>
            </w:pPr>
            <w:r w:rsidRPr="003E64CC">
              <w:rPr>
                <w:rFonts w:ascii="Arial" w:hAnsi="Arial" w:cs="Arial"/>
                <w:i/>
                <w:iCs/>
                <w:color w:val="FFFFFF"/>
                <w:sz w:val="16"/>
                <w:szCs w:val="16"/>
                <w:lang w:eastAsia="en-AU"/>
              </w:rPr>
              <w:t> </w:t>
            </w:r>
          </w:p>
        </w:tc>
        <w:tc>
          <w:tcPr>
            <w:tcW w:w="964" w:type="dxa"/>
            <w:tcBorders>
              <w:top w:val="nil"/>
              <w:left w:val="nil"/>
              <w:bottom w:val="nil"/>
              <w:right w:val="nil"/>
            </w:tcBorders>
            <w:shd w:val="clear" w:color="000000" w:fill="008EBA"/>
            <w:noWrap/>
            <w:vAlign w:val="bottom"/>
            <w:hideMark/>
          </w:tcPr>
          <w:p w14:paraId="3AB8B5EC" w14:textId="77777777" w:rsidR="003E64CC" w:rsidRPr="003E64CC" w:rsidRDefault="003E64CC" w:rsidP="003E64CC">
            <w:pPr>
              <w:jc w:val="center"/>
              <w:rPr>
                <w:rFonts w:ascii="Arial" w:hAnsi="Arial" w:cs="Arial"/>
                <w:color w:val="FFFFFF"/>
                <w:sz w:val="16"/>
                <w:szCs w:val="16"/>
                <w:lang w:eastAsia="en-AU"/>
              </w:rPr>
            </w:pPr>
            <w:r w:rsidRPr="003E64CC">
              <w:rPr>
                <w:rFonts w:ascii="Arial" w:hAnsi="Arial" w:cs="Arial"/>
                <w:color w:val="FFFFFF"/>
                <w:sz w:val="16"/>
                <w:szCs w:val="16"/>
                <w:lang w:eastAsia="en-AU"/>
              </w:rPr>
              <w:t>2021-22</w:t>
            </w:r>
          </w:p>
        </w:tc>
        <w:tc>
          <w:tcPr>
            <w:tcW w:w="964" w:type="dxa"/>
            <w:tcBorders>
              <w:top w:val="nil"/>
              <w:left w:val="nil"/>
              <w:bottom w:val="nil"/>
              <w:right w:val="nil"/>
            </w:tcBorders>
            <w:shd w:val="clear" w:color="000000" w:fill="008EBA"/>
            <w:noWrap/>
            <w:vAlign w:val="bottom"/>
            <w:hideMark/>
          </w:tcPr>
          <w:p w14:paraId="5B27DEF2" w14:textId="77777777" w:rsidR="003E64CC" w:rsidRPr="003E64CC" w:rsidRDefault="003E64CC" w:rsidP="003E64CC">
            <w:pPr>
              <w:jc w:val="center"/>
              <w:rPr>
                <w:rFonts w:ascii="Arial" w:hAnsi="Arial" w:cs="Arial"/>
                <w:color w:val="FFFFFF"/>
                <w:sz w:val="16"/>
                <w:szCs w:val="16"/>
                <w:lang w:eastAsia="en-AU"/>
              </w:rPr>
            </w:pPr>
            <w:r w:rsidRPr="003E64CC">
              <w:rPr>
                <w:rFonts w:ascii="Arial" w:hAnsi="Arial" w:cs="Arial"/>
                <w:color w:val="FFFFFF"/>
                <w:sz w:val="16"/>
                <w:szCs w:val="16"/>
                <w:lang w:eastAsia="en-AU"/>
              </w:rPr>
              <w:t>2022-23</w:t>
            </w:r>
          </w:p>
        </w:tc>
        <w:tc>
          <w:tcPr>
            <w:tcW w:w="1016" w:type="dxa"/>
            <w:tcBorders>
              <w:top w:val="nil"/>
              <w:left w:val="nil"/>
              <w:bottom w:val="nil"/>
              <w:right w:val="nil"/>
            </w:tcBorders>
            <w:shd w:val="clear" w:color="000000" w:fill="008EBA"/>
            <w:noWrap/>
            <w:vAlign w:val="bottom"/>
            <w:hideMark/>
          </w:tcPr>
          <w:p w14:paraId="23A0DD4E" w14:textId="77777777" w:rsidR="003E64CC" w:rsidRPr="003E64CC" w:rsidRDefault="003E64CC" w:rsidP="003E64CC">
            <w:pPr>
              <w:jc w:val="center"/>
              <w:rPr>
                <w:rFonts w:ascii="Arial" w:hAnsi="Arial" w:cs="Arial"/>
                <w:color w:val="FFFFFF"/>
                <w:sz w:val="16"/>
                <w:szCs w:val="16"/>
                <w:lang w:eastAsia="en-AU"/>
              </w:rPr>
            </w:pPr>
            <w:r w:rsidRPr="003E64CC">
              <w:rPr>
                <w:rFonts w:ascii="Arial" w:hAnsi="Arial" w:cs="Arial"/>
                <w:color w:val="FFFFFF"/>
                <w:sz w:val="16"/>
                <w:szCs w:val="16"/>
                <w:lang w:eastAsia="en-AU"/>
              </w:rPr>
              <w:t>2023-24</w:t>
            </w:r>
          </w:p>
        </w:tc>
        <w:tc>
          <w:tcPr>
            <w:tcW w:w="1076" w:type="dxa"/>
            <w:tcBorders>
              <w:top w:val="nil"/>
              <w:left w:val="nil"/>
              <w:bottom w:val="nil"/>
              <w:right w:val="nil"/>
            </w:tcBorders>
            <w:shd w:val="clear" w:color="000000" w:fill="008EBA"/>
            <w:noWrap/>
            <w:vAlign w:val="bottom"/>
            <w:hideMark/>
          </w:tcPr>
          <w:p w14:paraId="6D56C8AF" w14:textId="77777777" w:rsidR="003E64CC" w:rsidRPr="003E64CC" w:rsidRDefault="003E64CC" w:rsidP="003E64CC">
            <w:pPr>
              <w:jc w:val="center"/>
              <w:rPr>
                <w:rFonts w:ascii="Arial" w:hAnsi="Arial" w:cs="Arial"/>
                <w:color w:val="FFFFFF"/>
                <w:sz w:val="16"/>
                <w:szCs w:val="16"/>
                <w:lang w:eastAsia="en-AU"/>
              </w:rPr>
            </w:pPr>
            <w:r w:rsidRPr="003E64CC">
              <w:rPr>
                <w:rFonts w:ascii="Arial" w:hAnsi="Arial" w:cs="Arial"/>
                <w:color w:val="FFFFFF"/>
                <w:sz w:val="16"/>
                <w:szCs w:val="16"/>
                <w:lang w:eastAsia="en-AU"/>
              </w:rPr>
              <w:t>2024-25</w:t>
            </w:r>
          </w:p>
        </w:tc>
        <w:tc>
          <w:tcPr>
            <w:tcW w:w="956" w:type="dxa"/>
            <w:tcBorders>
              <w:top w:val="nil"/>
              <w:left w:val="nil"/>
              <w:bottom w:val="nil"/>
              <w:right w:val="nil"/>
            </w:tcBorders>
            <w:shd w:val="clear" w:color="000000" w:fill="008EBA"/>
            <w:noWrap/>
            <w:vAlign w:val="bottom"/>
            <w:hideMark/>
          </w:tcPr>
          <w:p w14:paraId="355DC920" w14:textId="77777777" w:rsidR="003E64CC" w:rsidRPr="003E64CC" w:rsidRDefault="003E64CC" w:rsidP="003E64CC">
            <w:pPr>
              <w:jc w:val="center"/>
              <w:rPr>
                <w:rFonts w:ascii="Arial" w:hAnsi="Arial" w:cs="Arial"/>
                <w:color w:val="FFFFFF"/>
                <w:sz w:val="16"/>
                <w:szCs w:val="16"/>
                <w:lang w:eastAsia="en-AU"/>
              </w:rPr>
            </w:pPr>
            <w:r w:rsidRPr="003E64CC">
              <w:rPr>
                <w:rFonts w:ascii="Arial" w:hAnsi="Arial" w:cs="Arial"/>
                <w:color w:val="FFFFFF"/>
                <w:sz w:val="16"/>
                <w:szCs w:val="16"/>
                <w:lang w:eastAsia="en-AU"/>
              </w:rPr>
              <w:t>2025-26</w:t>
            </w:r>
          </w:p>
        </w:tc>
        <w:tc>
          <w:tcPr>
            <w:tcW w:w="1020" w:type="dxa"/>
            <w:tcBorders>
              <w:top w:val="nil"/>
              <w:left w:val="nil"/>
              <w:bottom w:val="nil"/>
              <w:right w:val="nil"/>
            </w:tcBorders>
            <w:shd w:val="clear" w:color="000000" w:fill="008EBA"/>
            <w:noWrap/>
            <w:vAlign w:val="bottom"/>
            <w:hideMark/>
          </w:tcPr>
          <w:p w14:paraId="69F9ABA9" w14:textId="77777777" w:rsidR="003E64CC" w:rsidRPr="003E64CC" w:rsidRDefault="003E64CC" w:rsidP="003E64CC">
            <w:pPr>
              <w:jc w:val="center"/>
              <w:rPr>
                <w:rFonts w:ascii="Arial" w:hAnsi="Arial" w:cs="Arial"/>
                <w:color w:val="FFFFFF"/>
                <w:sz w:val="16"/>
                <w:szCs w:val="16"/>
                <w:lang w:eastAsia="en-AU"/>
              </w:rPr>
            </w:pPr>
            <w:r w:rsidRPr="003E64CC">
              <w:rPr>
                <w:rFonts w:ascii="Arial" w:hAnsi="Arial" w:cs="Arial"/>
                <w:color w:val="FFFFFF"/>
                <w:sz w:val="16"/>
                <w:szCs w:val="16"/>
                <w:lang w:eastAsia="en-AU"/>
              </w:rPr>
              <w:t>Four years</w:t>
            </w:r>
          </w:p>
        </w:tc>
      </w:tr>
      <w:tr w:rsidR="003E64CC" w:rsidRPr="003E64CC" w14:paraId="1280B104" w14:textId="77777777" w:rsidTr="003B5999">
        <w:trPr>
          <w:trHeight w:val="300"/>
        </w:trPr>
        <w:tc>
          <w:tcPr>
            <w:tcW w:w="3686" w:type="dxa"/>
            <w:tcBorders>
              <w:top w:val="nil"/>
              <w:left w:val="nil"/>
              <w:bottom w:val="nil"/>
              <w:right w:val="nil"/>
            </w:tcBorders>
            <w:shd w:val="clear" w:color="000000" w:fill="008EBA"/>
            <w:vAlign w:val="bottom"/>
            <w:hideMark/>
          </w:tcPr>
          <w:p w14:paraId="43E4DD8F" w14:textId="77777777" w:rsidR="003E64CC" w:rsidRPr="003E64CC" w:rsidRDefault="003E64CC" w:rsidP="003E64CC">
            <w:pPr>
              <w:jc w:val="center"/>
              <w:rPr>
                <w:rFonts w:ascii="Arial" w:hAnsi="Arial" w:cs="Arial"/>
                <w:i/>
                <w:iCs/>
                <w:color w:val="FFFFFF"/>
                <w:sz w:val="16"/>
                <w:szCs w:val="16"/>
                <w:lang w:eastAsia="en-AU"/>
              </w:rPr>
            </w:pPr>
            <w:r w:rsidRPr="003E64CC">
              <w:rPr>
                <w:rFonts w:ascii="Arial" w:hAnsi="Arial" w:cs="Arial"/>
                <w:i/>
                <w:iCs/>
                <w:color w:val="FFFFFF"/>
                <w:sz w:val="16"/>
                <w:szCs w:val="16"/>
                <w:lang w:eastAsia="en-AU"/>
              </w:rPr>
              <w:t> </w:t>
            </w:r>
          </w:p>
        </w:tc>
        <w:tc>
          <w:tcPr>
            <w:tcW w:w="964" w:type="dxa"/>
            <w:tcBorders>
              <w:top w:val="nil"/>
              <w:left w:val="nil"/>
              <w:bottom w:val="nil"/>
              <w:right w:val="nil"/>
            </w:tcBorders>
            <w:shd w:val="clear" w:color="000000" w:fill="008EBA"/>
            <w:noWrap/>
            <w:vAlign w:val="bottom"/>
            <w:hideMark/>
          </w:tcPr>
          <w:p w14:paraId="3E148B2B" w14:textId="77777777" w:rsidR="003E64CC" w:rsidRPr="003E64CC" w:rsidRDefault="003E64CC" w:rsidP="003E64CC">
            <w:pPr>
              <w:jc w:val="center"/>
              <w:rPr>
                <w:rFonts w:ascii="Arial" w:hAnsi="Arial" w:cs="Arial"/>
                <w:color w:val="FFFFFF"/>
                <w:sz w:val="16"/>
                <w:szCs w:val="16"/>
                <w:lang w:eastAsia="en-AU"/>
              </w:rPr>
            </w:pPr>
            <w:r w:rsidRPr="003E64CC">
              <w:rPr>
                <w:rFonts w:ascii="Arial" w:hAnsi="Arial" w:cs="Arial"/>
                <w:color w:val="FFFFFF"/>
                <w:sz w:val="16"/>
                <w:szCs w:val="16"/>
                <w:lang w:eastAsia="en-AU"/>
              </w:rPr>
              <w:t>Revised</w:t>
            </w:r>
          </w:p>
        </w:tc>
        <w:tc>
          <w:tcPr>
            <w:tcW w:w="964" w:type="dxa"/>
            <w:tcBorders>
              <w:top w:val="nil"/>
              <w:left w:val="nil"/>
              <w:bottom w:val="nil"/>
              <w:right w:val="nil"/>
            </w:tcBorders>
            <w:shd w:val="clear" w:color="000000" w:fill="008EBA"/>
            <w:noWrap/>
            <w:vAlign w:val="bottom"/>
            <w:hideMark/>
          </w:tcPr>
          <w:p w14:paraId="352BD0C1" w14:textId="77777777" w:rsidR="003E64CC" w:rsidRPr="003E64CC" w:rsidRDefault="003E64CC" w:rsidP="003E64CC">
            <w:pPr>
              <w:jc w:val="center"/>
              <w:rPr>
                <w:rFonts w:ascii="Arial" w:hAnsi="Arial" w:cs="Arial"/>
                <w:color w:val="FFFFFF"/>
                <w:sz w:val="16"/>
                <w:szCs w:val="16"/>
                <w:lang w:eastAsia="en-AU"/>
              </w:rPr>
            </w:pPr>
            <w:r w:rsidRPr="003E64CC">
              <w:rPr>
                <w:rFonts w:ascii="Arial" w:hAnsi="Arial" w:cs="Arial"/>
                <w:color w:val="FFFFFF"/>
                <w:sz w:val="16"/>
                <w:szCs w:val="16"/>
                <w:lang w:eastAsia="en-AU"/>
              </w:rPr>
              <w:t>Budget</w:t>
            </w:r>
          </w:p>
        </w:tc>
        <w:tc>
          <w:tcPr>
            <w:tcW w:w="3048" w:type="dxa"/>
            <w:gridSpan w:val="3"/>
            <w:tcBorders>
              <w:top w:val="nil"/>
              <w:left w:val="nil"/>
              <w:bottom w:val="nil"/>
              <w:right w:val="nil"/>
            </w:tcBorders>
            <w:shd w:val="clear" w:color="000000" w:fill="008EBA"/>
            <w:noWrap/>
            <w:vAlign w:val="bottom"/>
            <w:hideMark/>
          </w:tcPr>
          <w:p w14:paraId="6CF457AC" w14:textId="77777777" w:rsidR="003E64CC" w:rsidRPr="003E64CC" w:rsidRDefault="003E64CC" w:rsidP="003E64CC">
            <w:pPr>
              <w:jc w:val="center"/>
              <w:rPr>
                <w:rFonts w:ascii="Arial" w:hAnsi="Arial" w:cs="Arial"/>
                <w:color w:val="FFFFFF"/>
                <w:sz w:val="16"/>
                <w:szCs w:val="16"/>
                <w:lang w:eastAsia="en-AU"/>
              </w:rPr>
            </w:pPr>
            <w:r w:rsidRPr="003E64CC">
              <w:rPr>
                <w:rFonts w:ascii="Arial" w:hAnsi="Arial" w:cs="Arial"/>
                <w:color w:val="FFFFFF"/>
                <w:sz w:val="16"/>
                <w:szCs w:val="16"/>
                <w:lang w:eastAsia="en-AU"/>
              </w:rPr>
              <w:t>Forward Estimates</w:t>
            </w:r>
          </w:p>
        </w:tc>
        <w:tc>
          <w:tcPr>
            <w:tcW w:w="1020" w:type="dxa"/>
            <w:tcBorders>
              <w:top w:val="nil"/>
              <w:left w:val="nil"/>
              <w:bottom w:val="nil"/>
              <w:right w:val="nil"/>
            </w:tcBorders>
            <w:shd w:val="clear" w:color="CCFFFF" w:fill="008EBA"/>
            <w:vAlign w:val="center"/>
            <w:hideMark/>
          </w:tcPr>
          <w:p w14:paraId="74D46056" w14:textId="77777777" w:rsidR="003E64CC" w:rsidRPr="003E64CC" w:rsidRDefault="003E64CC" w:rsidP="003E64CC">
            <w:pPr>
              <w:jc w:val="center"/>
              <w:rPr>
                <w:rFonts w:ascii="Arial" w:hAnsi="Arial" w:cs="Arial"/>
                <w:color w:val="FFFFFF"/>
                <w:sz w:val="16"/>
                <w:szCs w:val="16"/>
                <w:lang w:eastAsia="en-AU"/>
              </w:rPr>
            </w:pPr>
            <w:r w:rsidRPr="003E64CC">
              <w:rPr>
                <w:rFonts w:ascii="Arial" w:hAnsi="Arial" w:cs="Arial"/>
                <w:color w:val="FFFFFF"/>
                <w:sz w:val="16"/>
                <w:szCs w:val="16"/>
                <w:lang w:eastAsia="en-AU"/>
              </w:rPr>
              <w:t>to 2025-26</w:t>
            </w:r>
          </w:p>
        </w:tc>
      </w:tr>
      <w:tr w:rsidR="003E64CC" w:rsidRPr="003E64CC" w14:paraId="5442F914" w14:textId="77777777" w:rsidTr="003B5999">
        <w:trPr>
          <w:trHeight w:val="450"/>
        </w:trPr>
        <w:tc>
          <w:tcPr>
            <w:tcW w:w="3686" w:type="dxa"/>
            <w:tcBorders>
              <w:top w:val="nil"/>
              <w:left w:val="nil"/>
              <w:bottom w:val="nil"/>
              <w:right w:val="nil"/>
            </w:tcBorders>
            <w:shd w:val="clear" w:color="000000" w:fill="00426F"/>
            <w:hideMark/>
          </w:tcPr>
          <w:p w14:paraId="6E139DF9" w14:textId="77777777" w:rsidR="003E64CC" w:rsidRPr="003E64CC" w:rsidRDefault="003E64CC" w:rsidP="003E64CC">
            <w:pPr>
              <w:jc w:val="center"/>
              <w:rPr>
                <w:rFonts w:ascii="Arial" w:hAnsi="Arial" w:cs="Arial"/>
                <w:color w:val="FFFFFF"/>
                <w:sz w:val="16"/>
                <w:szCs w:val="16"/>
                <w:lang w:eastAsia="en-AU"/>
              </w:rPr>
            </w:pPr>
            <w:r w:rsidRPr="003E64CC">
              <w:rPr>
                <w:rFonts w:ascii="Arial" w:hAnsi="Arial" w:cs="Arial"/>
                <w:color w:val="FFFFFF"/>
                <w:sz w:val="16"/>
                <w:szCs w:val="16"/>
                <w:lang w:eastAsia="en-AU"/>
              </w:rPr>
              <w:t> </w:t>
            </w:r>
          </w:p>
        </w:tc>
        <w:tc>
          <w:tcPr>
            <w:tcW w:w="964" w:type="dxa"/>
            <w:tcBorders>
              <w:top w:val="nil"/>
              <w:left w:val="nil"/>
              <w:bottom w:val="nil"/>
              <w:right w:val="nil"/>
            </w:tcBorders>
            <w:shd w:val="clear" w:color="000000" w:fill="00426F"/>
            <w:hideMark/>
          </w:tcPr>
          <w:p w14:paraId="01A04A27" w14:textId="77777777" w:rsidR="003E64CC" w:rsidRPr="003E64CC" w:rsidRDefault="003E64CC" w:rsidP="003E64CC">
            <w:pPr>
              <w:jc w:val="center"/>
              <w:rPr>
                <w:rFonts w:ascii="Arial" w:hAnsi="Arial" w:cs="Arial"/>
                <w:color w:val="FFFFFF"/>
                <w:sz w:val="16"/>
                <w:szCs w:val="16"/>
                <w:lang w:eastAsia="en-AU"/>
              </w:rPr>
            </w:pPr>
            <w:r w:rsidRPr="003E64CC">
              <w:rPr>
                <w:rFonts w:ascii="Arial" w:hAnsi="Arial" w:cs="Arial"/>
                <w:color w:val="FFFFFF"/>
                <w:sz w:val="16"/>
                <w:szCs w:val="16"/>
                <w:lang w:eastAsia="en-AU"/>
              </w:rPr>
              <w:t>$m</w:t>
            </w:r>
          </w:p>
        </w:tc>
        <w:tc>
          <w:tcPr>
            <w:tcW w:w="964" w:type="dxa"/>
            <w:tcBorders>
              <w:top w:val="nil"/>
              <w:left w:val="nil"/>
              <w:bottom w:val="nil"/>
              <w:right w:val="nil"/>
            </w:tcBorders>
            <w:shd w:val="clear" w:color="000000" w:fill="00426F"/>
            <w:hideMark/>
          </w:tcPr>
          <w:p w14:paraId="7D4974D5" w14:textId="77777777" w:rsidR="003E64CC" w:rsidRPr="003E64CC" w:rsidRDefault="003E64CC" w:rsidP="003E64CC">
            <w:pPr>
              <w:jc w:val="center"/>
              <w:rPr>
                <w:rFonts w:ascii="Arial" w:hAnsi="Arial" w:cs="Arial"/>
                <w:color w:val="FFFFFF"/>
                <w:sz w:val="16"/>
                <w:szCs w:val="16"/>
                <w:lang w:eastAsia="en-AU"/>
              </w:rPr>
            </w:pPr>
            <w:r w:rsidRPr="003E64CC">
              <w:rPr>
                <w:rFonts w:ascii="Arial" w:hAnsi="Arial" w:cs="Arial"/>
                <w:color w:val="FFFFFF"/>
                <w:sz w:val="16"/>
                <w:szCs w:val="16"/>
                <w:lang w:eastAsia="en-AU"/>
              </w:rPr>
              <w:t>$m</w:t>
            </w:r>
          </w:p>
        </w:tc>
        <w:tc>
          <w:tcPr>
            <w:tcW w:w="1016" w:type="dxa"/>
            <w:tcBorders>
              <w:top w:val="nil"/>
              <w:left w:val="nil"/>
              <w:bottom w:val="nil"/>
              <w:right w:val="nil"/>
            </w:tcBorders>
            <w:shd w:val="clear" w:color="000000" w:fill="00426F"/>
            <w:hideMark/>
          </w:tcPr>
          <w:p w14:paraId="06141834" w14:textId="77777777" w:rsidR="003E64CC" w:rsidRPr="003E64CC" w:rsidRDefault="003E64CC" w:rsidP="003E64CC">
            <w:pPr>
              <w:jc w:val="center"/>
              <w:rPr>
                <w:rFonts w:ascii="Arial" w:hAnsi="Arial" w:cs="Arial"/>
                <w:color w:val="FFFFFF"/>
                <w:sz w:val="16"/>
                <w:szCs w:val="16"/>
                <w:lang w:eastAsia="en-AU"/>
              </w:rPr>
            </w:pPr>
            <w:r w:rsidRPr="003E64CC">
              <w:rPr>
                <w:rFonts w:ascii="Arial" w:hAnsi="Arial" w:cs="Arial"/>
                <w:color w:val="FFFFFF"/>
                <w:sz w:val="16"/>
                <w:szCs w:val="16"/>
                <w:lang w:eastAsia="en-AU"/>
              </w:rPr>
              <w:t>$m</w:t>
            </w:r>
          </w:p>
        </w:tc>
        <w:tc>
          <w:tcPr>
            <w:tcW w:w="1076" w:type="dxa"/>
            <w:tcBorders>
              <w:top w:val="nil"/>
              <w:left w:val="nil"/>
              <w:bottom w:val="nil"/>
              <w:right w:val="nil"/>
            </w:tcBorders>
            <w:shd w:val="clear" w:color="000000" w:fill="00426F"/>
            <w:hideMark/>
          </w:tcPr>
          <w:p w14:paraId="4BF13578" w14:textId="77777777" w:rsidR="003E64CC" w:rsidRPr="003E64CC" w:rsidRDefault="003E64CC" w:rsidP="003E64CC">
            <w:pPr>
              <w:jc w:val="center"/>
              <w:rPr>
                <w:rFonts w:ascii="Arial" w:hAnsi="Arial" w:cs="Arial"/>
                <w:color w:val="FFFFFF"/>
                <w:sz w:val="16"/>
                <w:szCs w:val="16"/>
                <w:lang w:eastAsia="en-AU"/>
              </w:rPr>
            </w:pPr>
            <w:r w:rsidRPr="003E64CC">
              <w:rPr>
                <w:rFonts w:ascii="Arial" w:hAnsi="Arial" w:cs="Arial"/>
                <w:color w:val="FFFFFF"/>
                <w:sz w:val="16"/>
                <w:szCs w:val="16"/>
                <w:lang w:eastAsia="en-AU"/>
              </w:rPr>
              <w:t>$m</w:t>
            </w:r>
          </w:p>
        </w:tc>
        <w:tc>
          <w:tcPr>
            <w:tcW w:w="956" w:type="dxa"/>
            <w:tcBorders>
              <w:top w:val="nil"/>
              <w:left w:val="nil"/>
              <w:bottom w:val="nil"/>
              <w:right w:val="nil"/>
            </w:tcBorders>
            <w:shd w:val="clear" w:color="000000" w:fill="00426F"/>
            <w:hideMark/>
          </w:tcPr>
          <w:p w14:paraId="7F9D075E" w14:textId="77777777" w:rsidR="003E64CC" w:rsidRPr="003E64CC" w:rsidRDefault="003E64CC" w:rsidP="003E64CC">
            <w:pPr>
              <w:jc w:val="center"/>
              <w:rPr>
                <w:rFonts w:ascii="Arial" w:hAnsi="Arial" w:cs="Arial"/>
                <w:color w:val="FFFFFF"/>
                <w:sz w:val="16"/>
                <w:szCs w:val="16"/>
                <w:lang w:eastAsia="en-AU"/>
              </w:rPr>
            </w:pPr>
            <w:r w:rsidRPr="003E64CC">
              <w:rPr>
                <w:rFonts w:ascii="Arial" w:hAnsi="Arial" w:cs="Arial"/>
                <w:color w:val="FFFFFF"/>
                <w:sz w:val="16"/>
                <w:szCs w:val="16"/>
                <w:lang w:eastAsia="en-AU"/>
              </w:rPr>
              <w:t>$m</w:t>
            </w:r>
          </w:p>
        </w:tc>
        <w:tc>
          <w:tcPr>
            <w:tcW w:w="1020" w:type="dxa"/>
            <w:tcBorders>
              <w:top w:val="nil"/>
              <w:left w:val="nil"/>
              <w:bottom w:val="nil"/>
              <w:right w:val="nil"/>
            </w:tcBorders>
            <w:shd w:val="clear" w:color="000000" w:fill="00426F"/>
            <w:hideMark/>
          </w:tcPr>
          <w:p w14:paraId="4630ABFE" w14:textId="77777777" w:rsidR="003E64CC" w:rsidRPr="003E64CC" w:rsidRDefault="003E64CC" w:rsidP="003E64CC">
            <w:pPr>
              <w:jc w:val="center"/>
              <w:rPr>
                <w:rFonts w:ascii="Arial" w:hAnsi="Arial" w:cs="Arial"/>
                <w:color w:val="FFFFFF"/>
                <w:sz w:val="16"/>
                <w:szCs w:val="16"/>
                <w:lang w:eastAsia="en-AU"/>
              </w:rPr>
            </w:pPr>
            <w:r w:rsidRPr="003E64CC">
              <w:rPr>
                <w:rFonts w:ascii="Arial" w:hAnsi="Arial" w:cs="Arial"/>
                <w:color w:val="FFFFFF"/>
                <w:sz w:val="16"/>
                <w:szCs w:val="16"/>
                <w:lang w:eastAsia="en-AU"/>
              </w:rPr>
              <w:t>$m</w:t>
            </w:r>
          </w:p>
        </w:tc>
      </w:tr>
      <w:tr w:rsidR="003E64CC" w:rsidRPr="003E64CC" w14:paraId="4F9D2F21" w14:textId="77777777" w:rsidTr="003B5999">
        <w:trPr>
          <w:trHeight w:val="300"/>
        </w:trPr>
        <w:tc>
          <w:tcPr>
            <w:tcW w:w="3686" w:type="dxa"/>
            <w:tcBorders>
              <w:top w:val="single" w:sz="4" w:space="0" w:color="auto"/>
              <w:left w:val="nil"/>
              <w:bottom w:val="single" w:sz="4" w:space="0" w:color="auto"/>
              <w:right w:val="nil"/>
            </w:tcBorders>
            <w:shd w:val="clear" w:color="000000" w:fill="FFFFFF"/>
            <w:noWrap/>
            <w:vAlign w:val="center"/>
            <w:hideMark/>
          </w:tcPr>
          <w:p w14:paraId="285A4AE2" w14:textId="77777777" w:rsidR="003E64CC" w:rsidRPr="003E64CC" w:rsidRDefault="003E64CC" w:rsidP="003E64CC">
            <w:pPr>
              <w:rPr>
                <w:rFonts w:ascii="Arial" w:hAnsi="Arial" w:cs="Arial"/>
                <w:b/>
                <w:bCs/>
                <w:color w:val="0579B9"/>
                <w:sz w:val="16"/>
                <w:szCs w:val="16"/>
                <w:lang w:eastAsia="en-AU"/>
              </w:rPr>
            </w:pPr>
            <w:r w:rsidRPr="003E64CC">
              <w:rPr>
                <w:rFonts w:ascii="Arial" w:hAnsi="Arial" w:cs="Arial"/>
                <w:b/>
                <w:bCs/>
                <w:color w:val="0579B9"/>
                <w:sz w:val="16"/>
                <w:szCs w:val="16"/>
                <w:lang w:eastAsia="en-AU"/>
              </w:rPr>
              <w:t>Revenue - 2021-22 Budget</w:t>
            </w:r>
          </w:p>
        </w:tc>
        <w:tc>
          <w:tcPr>
            <w:tcW w:w="964" w:type="dxa"/>
            <w:tcBorders>
              <w:top w:val="single" w:sz="4" w:space="0" w:color="auto"/>
              <w:left w:val="nil"/>
              <w:bottom w:val="single" w:sz="4" w:space="0" w:color="auto"/>
              <w:right w:val="nil"/>
            </w:tcBorders>
            <w:shd w:val="clear" w:color="000000" w:fill="F2F2F2"/>
            <w:noWrap/>
            <w:vAlign w:val="center"/>
            <w:hideMark/>
          </w:tcPr>
          <w:p w14:paraId="2AF7990B" w14:textId="77777777" w:rsidR="003E64CC" w:rsidRPr="003E64CC" w:rsidRDefault="003E64CC" w:rsidP="003E64CC">
            <w:pPr>
              <w:ind w:firstLineChars="100" w:firstLine="161"/>
              <w:jc w:val="right"/>
              <w:rPr>
                <w:rFonts w:ascii="Arial" w:hAnsi="Arial" w:cs="Arial"/>
                <w:b/>
                <w:bCs/>
                <w:color w:val="0579B9"/>
                <w:sz w:val="16"/>
                <w:szCs w:val="16"/>
                <w:lang w:eastAsia="en-AU"/>
              </w:rPr>
            </w:pPr>
            <w:r w:rsidRPr="003E64CC">
              <w:rPr>
                <w:rFonts w:ascii="Arial" w:hAnsi="Arial" w:cs="Arial"/>
                <w:b/>
                <w:bCs/>
                <w:color w:val="0579B9"/>
                <w:sz w:val="16"/>
                <w:szCs w:val="16"/>
                <w:lang w:eastAsia="en-AU"/>
              </w:rPr>
              <w:t>93,846</w:t>
            </w:r>
          </w:p>
        </w:tc>
        <w:tc>
          <w:tcPr>
            <w:tcW w:w="964" w:type="dxa"/>
            <w:tcBorders>
              <w:top w:val="single" w:sz="4" w:space="0" w:color="auto"/>
              <w:left w:val="nil"/>
              <w:bottom w:val="single" w:sz="4" w:space="0" w:color="auto"/>
              <w:right w:val="nil"/>
            </w:tcBorders>
            <w:shd w:val="clear" w:color="000000" w:fill="F2F2F2"/>
            <w:noWrap/>
            <w:vAlign w:val="center"/>
            <w:hideMark/>
          </w:tcPr>
          <w:p w14:paraId="77B705C5" w14:textId="77777777" w:rsidR="003E64CC" w:rsidRPr="003E64CC" w:rsidRDefault="003E64CC" w:rsidP="003E64CC">
            <w:pPr>
              <w:ind w:firstLineChars="100" w:firstLine="161"/>
              <w:jc w:val="right"/>
              <w:rPr>
                <w:rFonts w:ascii="Arial" w:hAnsi="Arial" w:cs="Arial"/>
                <w:b/>
                <w:bCs/>
                <w:color w:val="0579B9"/>
                <w:sz w:val="16"/>
                <w:szCs w:val="16"/>
                <w:lang w:eastAsia="en-AU"/>
              </w:rPr>
            </w:pPr>
            <w:r w:rsidRPr="003E64CC">
              <w:rPr>
                <w:rFonts w:ascii="Arial" w:hAnsi="Arial" w:cs="Arial"/>
                <w:b/>
                <w:bCs/>
                <w:color w:val="0579B9"/>
                <w:sz w:val="16"/>
                <w:szCs w:val="16"/>
                <w:lang w:eastAsia="en-AU"/>
              </w:rPr>
              <w:t>96,792</w:t>
            </w:r>
          </w:p>
        </w:tc>
        <w:tc>
          <w:tcPr>
            <w:tcW w:w="1016" w:type="dxa"/>
            <w:tcBorders>
              <w:top w:val="single" w:sz="4" w:space="0" w:color="auto"/>
              <w:left w:val="nil"/>
              <w:bottom w:val="single" w:sz="4" w:space="0" w:color="auto"/>
              <w:right w:val="nil"/>
            </w:tcBorders>
            <w:shd w:val="clear" w:color="000000" w:fill="F2F2F2"/>
            <w:noWrap/>
            <w:vAlign w:val="center"/>
            <w:hideMark/>
          </w:tcPr>
          <w:p w14:paraId="43656169" w14:textId="77777777" w:rsidR="003E64CC" w:rsidRPr="003E64CC" w:rsidRDefault="003E64CC" w:rsidP="003E64CC">
            <w:pPr>
              <w:ind w:firstLineChars="100" w:firstLine="161"/>
              <w:jc w:val="right"/>
              <w:rPr>
                <w:rFonts w:ascii="Arial" w:hAnsi="Arial" w:cs="Arial"/>
                <w:b/>
                <w:bCs/>
                <w:color w:val="0579B9"/>
                <w:sz w:val="16"/>
                <w:szCs w:val="16"/>
                <w:lang w:eastAsia="en-AU"/>
              </w:rPr>
            </w:pPr>
            <w:r w:rsidRPr="003E64CC">
              <w:rPr>
                <w:rFonts w:ascii="Arial" w:hAnsi="Arial" w:cs="Arial"/>
                <w:b/>
                <w:bCs/>
                <w:color w:val="0579B9"/>
                <w:sz w:val="16"/>
                <w:szCs w:val="16"/>
                <w:lang w:eastAsia="en-AU"/>
              </w:rPr>
              <w:t>98,479</w:t>
            </w:r>
          </w:p>
        </w:tc>
        <w:tc>
          <w:tcPr>
            <w:tcW w:w="1076" w:type="dxa"/>
            <w:tcBorders>
              <w:top w:val="single" w:sz="4" w:space="0" w:color="auto"/>
              <w:left w:val="nil"/>
              <w:bottom w:val="single" w:sz="4" w:space="0" w:color="auto"/>
              <w:right w:val="nil"/>
            </w:tcBorders>
            <w:shd w:val="clear" w:color="000000" w:fill="F2F2F2"/>
            <w:noWrap/>
            <w:vAlign w:val="center"/>
            <w:hideMark/>
          </w:tcPr>
          <w:p w14:paraId="2356C2F3" w14:textId="77777777" w:rsidR="003E64CC" w:rsidRPr="003E64CC" w:rsidRDefault="003E64CC" w:rsidP="003E64CC">
            <w:pPr>
              <w:ind w:firstLineChars="100" w:firstLine="161"/>
              <w:jc w:val="right"/>
              <w:rPr>
                <w:rFonts w:ascii="Arial" w:hAnsi="Arial" w:cs="Arial"/>
                <w:b/>
                <w:bCs/>
                <w:color w:val="0579B9"/>
                <w:sz w:val="16"/>
                <w:szCs w:val="16"/>
                <w:lang w:eastAsia="en-AU"/>
              </w:rPr>
            </w:pPr>
            <w:r w:rsidRPr="003E64CC">
              <w:rPr>
                <w:rFonts w:ascii="Arial" w:hAnsi="Arial" w:cs="Arial"/>
                <w:b/>
                <w:bCs/>
                <w:color w:val="0579B9"/>
                <w:sz w:val="16"/>
                <w:szCs w:val="16"/>
                <w:lang w:eastAsia="en-AU"/>
              </w:rPr>
              <w:t>100,328</w:t>
            </w:r>
          </w:p>
        </w:tc>
        <w:tc>
          <w:tcPr>
            <w:tcW w:w="956" w:type="dxa"/>
            <w:tcBorders>
              <w:top w:val="single" w:sz="4" w:space="0" w:color="auto"/>
              <w:left w:val="nil"/>
              <w:bottom w:val="single" w:sz="4" w:space="0" w:color="auto"/>
              <w:right w:val="nil"/>
            </w:tcBorders>
            <w:shd w:val="clear" w:color="000000" w:fill="F2F2F2"/>
            <w:noWrap/>
            <w:vAlign w:val="center"/>
            <w:hideMark/>
          </w:tcPr>
          <w:p w14:paraId="5281BAE5" w14:textId="77777777" w:rsidR="003E64CC" w:rsidRPr="003E64CC" w:rsidRDefault="003E64CC" w:rsidP="003E64CC">
            <w:pPr>
              <w:ind w:firstLineChars="100" w:firstLine="161"/>
              <w:jc w:val="right"/>
              <w:rPr>
                <w:rFonts w:ascii="Arial" w:hAnsi="Arial" w:cs="Arial"/>
                <w:b/>
                <w:bCs/>
                <w:color w:val="0579B9"/>
                <w:sz w:val="16"/>
                <w:szCs w:val="16"/>
                <w:lang w:eastAsia="en-AU"/>
              </w:rPr>
            </w:pPr>
            <w:proofErr w:type="spellStart"/>
            <w:r w:rsidRPr="003E64CC">
              <w:rPr>
                <w:rFonts w:ascii="Arial" w:hAnsi="Arial" w:cs="Arial"/>
                <w:b/>
                <w:bCs/>
                <w:color w:val="0579B9"/>
                <w:sz w:val="16"/>
                <w:szCs w:val="16"/>
                <w:lang w:eastAsia="en-AU"/>
              </w:rPr>
              <w:t>n.a.</w:t>
            </w:r>
            <w:proofErr w:type="spellEnd"/>
          </w:p>
        </w:tc>
        <w:tc>
          <w:tcPr>
            <w:tcW w:w="1020" w:type="dxa"/>
            <w:tcBorders>
              <w:top w:val="single" w:sz="4" w:space="0" w:color="auto"/>
              <w:left w:val="nil"/>
              <w:bottom w:val="single" w:sz="4" w:space="0" w:color="auto"/>
              <w:right w:val="nil"/>
            </w:tcBorders>
            <w:shd w:val="clear" w:color="000000" w:fill="FFFFFF"/>
            <w:noWrap/>
            <w:vAlign w:val="center"/>
            <w:hideMark/>
          </w:tcPr>
          <w:p w14:paraId="55EBBC21" w14:textId="77777777" w:rsidR="003E64CC" w:rsidRPr="003E64CC" w:rsidRDefault="003E64CC" w:rsidP="003E64CC">
            <w:pPr>
              <w:ind w:firstLineChars="100" w:firstLine="161"/>
              <w:jc w:val="right"/>
              <w:rPr>
                <w:rFonts w:ascii="Arial" w:hAnsi="Arial" w:cs="Arial"/>
                <w:b/>
                <w:bCs/>
                <w:color w:val="0579B9"/>
                <w:sz w:val="16"/>
                <w:szCs w:val="16"/>
                <w:lang w:eastAsia="en-AU"/>
              </w:rPr>
            </w:pPr>
            <w:proofErr w:type="spellStart"/>
            <w:r w:rsidRPr="003E64CC">
              <w:rPr>
                <w:rFonts w:ascii="Arial" w:hAnsi="Arial" w:cs="Arial"/>
                <w:b/>
                <w:bCs/>
                <w:color w:val="0579B9"/>
                <w:sz w:val="16"/>
                <w:szCs w:val="16"/>
                <w:lang w:eastAsia="en-AU"/>
              </w:rPr>
              <w:t>n.a.</w:t>
            </w:r>
            <w:proofErr w:type="spellEnd"/>
          </w:p>
        </w:tc>
      </w:tr>
      <w:tr w:rsidR="003E64CC" w:rsidRPr="003E64CC" w14:paraId="1980CBF4" w14:textId="77777777" w:rsidTr="003B5999">
        <w:trPr>
          <w:trHeight w:val="300"/>
        </w:trPr>
        <w:tc>
          <w:tcPr>
            <w:tcW w:w="3686" w:type="dxa"/>
            <w:tcBorders>
              <w:top w:val="nil"/>
              <w:left w:val="nil"/>
              <w:bottom w:val="nil"/>
              <w:right w:val="nil"/>
            </w:tcBorders>
            <w:shd w:val="clear" w:color="000000" w:fill="FFFFFF"/>
            <w:noWrap/>
            <w:vAlign w:val="center"/>
            <w:hideMark/>
          </w:tcPr>
          <w:p w14:paraId="5C25E977" w14:textId="77777777" w:rsidR="003E64CC" w:rsidRPr="003E64CC" w:rsidRDefault="003E64CC" w:rsidP="003E64CC">
            <w:pPr>
              <w:rPr>
                <w:rFonts w:ascii="Arial" w:hAnsi="Arial" w:cs="Arial"/>
                <w:i/>
                <w:iCs/>
                <w:sz w:val="16"/>
                <w:szCs w:val="16"/>
                <w:lang w:eastAsia="en-AU"/>
              </w:rPr>
            </w:pPr>
            <w:r w:rsidRPr="003E64CC">
              <w:rPr>
                <w:rFonts w:ascii="Arial" w:hAnsi="Arial" w:cs="Arial"/>
                <w:i/>
                <w:iCs/>
                <w:sz w:val="16"/>
                <w:szCs w:val="16"/>
                <w:lang w:eastAsia="en-AU"/>
              </w:rPr>
              <w:t>Policy measures</w:t>
            </w:r>
          </w:p>
        </w:tc>
        <w:tc>
          <w:tcPr>
            <w:tcW w:w="964" w:type="dxa"/>
            <w:tcBorders>
              <w:top w:val="nil"/>
              <w:left w:val="nil"/>
              <w:bottom w:val="nil"/>
              <w:right w:val="nil"/>
            </w:tcBorders>
            <w:shd w:val="clear" w:color="000000" w:fill="F2F2F2"/>
            <w:noWrap/>
            <w:vAlign w:val="center"/>
            <w:hideMark/>
          </w:tcPr>
          <w:p w14:paraId="357A6A53"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3,905</w:t>
            </w:r>
          </w:p>
        </w:tc>
        <w:tc>
          <w:tcPr>
            <w:tcW w:w="964" w:type="dxa"/>
            <w:tcBorders>
              <w:top w:val="nil"/>
              <w:left w:val="nil"/>
              <w:bottom w:val="nil"/>
              <w:right w:val="nil"/>
            </w:tcBorders>
            <w:shd w:val="clear" w:color="000000" w:fill="F2F2F2"/>
            <w:noWrap/>
            <w:vAlign w:val="center"/>
            <w:hideMark/>
          </w:tcPr>
          <w:p w14:paraId="344DC1CD"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(11)</w:t>
            </w:r>
          </w:p>
        </w:tc>
        <w:tc>
          <w:tcPr>
            <w:tcW w:w="1016" w:type="dxa"/>
            <w:tcBorders>
              <w:top w:val="nil"/>
              <w:left w:val="nil"/>
              <w:bottom w:val="nil"/>
              <w:right w:val="nil"/>
            </w:tcBorders>
            <w:shd w:val="clear" w:color="000000" w:fill="F2F2F2"/>
            <w:noWrap/>
            <w:vAlign w:val="center"/>
            <w:hideMark/>
          </w:tcPr>
          <w:p w14:paraId="2610B289"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(37)</w:t>
            </w:r>
          </w:p>
        </w:tc>
        <w:tc>
          <w:tcPr>
            <w:tcW w:w="1076" w:type="dxa"/>
            <w:tcBorders>
              <w:top w:val="nil"/>
              <w:left w:val="nil"/>
              <w:bottom w:val="nil"/>
              <w:right w:val="nil"/>
            </w:tcBorders>
            <w:shd w:val="clear" w:color="000000" w:fill="F2F2F2"/>
            <w:noWrap/>
            <w:vAlign w:val="center"/>
            <w:hideMark/>
          </w:tcPr>
          <w:p w14:paraId="699DFC2C"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(66)</w:t>
            </w:r>
          </w:p>
        </w:tc>
        <w:tc>
          <w:tcPr>
            <w:tcW w:w="956" w:type="dxa"/>
            <w:tcBorders>
              <w:top w:val="nil"/>
              <w:left w:val="nil"/>
              <w:bottom w:val="nil"/>
              <w:right w:val="nil"/>
            </w:tcBorders>
            <w:shd w:val="clear" w:color="000000" w:fill="F2F2F2"/>
            <w:noWrap/>
            <w:vAlign w:val="center"/>
            <w:hideMark/>
          </w:tcPr>
          <w:p w14:paraId="6CE00BFC" w14:textId="77777777" w:rsidR="003E64CC" w:rsidRPr="003E64CC" w:rsidRDefault="003E64CC" w:rsidP="003E64CC">
            <w:pPr>
              <w:ind w:firstLineChars="100" w:firstLine="160"/>
              <w:jc w:val="right"/>
              <w:rPr>
                <w:rFonts w:ascii="Arial" w:hAnsi="Arial" w:cs="Arial"/>
                <w:sz w:val="16"/>
                <w:szCs w:val="16"/>
                <w:lang w:eastAsia="en-AU"/>
              </w:rPr>
            </w:pPr>
            <w:proofErr w:type="spellStart"/>
            <w:r w:rsidRPr="003E64CC">
              <w:rPr>
                <w:rFonts w:ascii="Arial" w:hAnsi="Arial" w:cs="Arial"/>
                <w:sz w:val="16"/>
                <w:szCs w:val="16"/>
                <w:lang w:eastAsia="en-AU"/>
              </w:rPr>
              <w:t>n.a.</w:t>
            </w:r>
            <w:proofErr w:type="spellEnd"/>
          </w:p>
        </w:tc>
        <w:tc>
          <w:tcPr>
            <w:tcW w:w="1020" w:type="dxa"/>
            <w:tcBorders>
              <w:top w:val="nil"/>
              <w:left w:val="nil"/>
              <w:bottom w:val="nil"/>
              <w:right w:val="nil"/>
            </w:tcBorders>
            <w:shd w:val="clear" w:color="000000" w:fill="FFFFFF"/>
            <w:noWrap/>
            <w:vAlign w:val="center"/>
            <w:hideMark/>
          </w:tcPr>
          <w:p w14:paraId="6A38A0E1" w14:textId="77777777" w:rsidR="003E64CC" w:rsidRPr="003E64CC" w:rsidRDefault="003E64CC" w:rsidP="003E64CC">
            <w:pPr>
              <w:ind w:firstLineChars="100" w:firstLine="160"/>
              <w:jc w:val="right"/>
              <w:rPr>
                <w:rFonts w:ascii="Arial" w:hAnsi="Arial" w:cs="Arial"/>
                <w:sz w:val="16"/>
                <w:szCs w:val="16"/>
                <w:lang w:eastAsia="en-AU"/>
              </w:rPr>
            </w:pPr>
            <w:proofErr w:type="spellStart"/>
            <w:r w:rsidRPr="003E64CC">
              <w:rPr>
                <w:rFonts w:ascii="Arial" w:hAnsi="Arial" w:cs="Arial"/>
                <w:sz w:val="16"/>
                <w:szCs w:val="16"/>
                <w:lang w:eastAsia="en-AU"/>
              </w:rPr>
              <w:t>n.a.</w:t>
            </w:r>
            <w:proofErr w:type="spellEnd"/>
          </w:p>
        </w:tc>
      </w:tr>
      <w:tr w:rsidR="003E64CC" w:rsidRPr="003E64CC" w14:paraId="7E658E3E" w14:textId="77777777" w:rsidTr="003B5999">
        <w:trPr>
          <w:trHeight w:val="300"/>
        </w:trPr>
        <w:tc>
          <w:tcPr>
            <w:tcW w:w="3686" w:type="dxa"/>
            <w:tcBorders>
              <w:top w:val="nil"/>
              <w:left w:val="nil"/>
              <w:bottom w:val="nil"/>
              <w:right w:val="nil"/>
            </w:tcBorders>
            <w:shd w:val="clear" w:color="000000" w:fill="FFFFFF"/>
            <w:noWrap/>
            <w:vAlign w:val="center"/>
            <w:hideMark/>
          </w:tcPr>
          <w:p w14:paraId="7D1D1EE9" w14:textId="77777777" w:rsidR="003E64CC" w:rsidRPr="003E64CC" w:rsidRDefault="003E64CC" w:rsidP="003E64CC">
            <w:pPr>
              <w:rPr>
                <w:rFonts w:ascii="Arial" w:hAnsi="Arial" w:cs="Arial"/>
                <w:i/>
                <w:iCs/>
                <w:sz w:val="16"/>
                <w:szCs w:val="16"/>
                <w:lang w:eastAsia="en-AU"/>
              </w:rPr>
            </w:pPr>
            <w:r w:rsidRPr="003E64CC">
              <w:rPr>
                <w:rFonts w:ascii="Arial" w:hAnsi="Arial" w:cs="Arial"/>
                <w:i/>
                <w:iCs/>
                <w:sz w:val="16"/>
                <w:szCs w:val="16"/>
                <w:lang w:eastAsia="en-AU"/>
              </w:rPr>
              <w:t>Parameter and other variations</w:t>
            </w:r>
          </w:p>
        </w:tc>
        <w:tc>
          <w:tcPr>
            <w:tcW w:w="964" w:type="dxa"/>
            <w:tcBorders>
              <w:top w:val="nil"/>
              <w:left w:val="nil"/>
              <w:bottom w:val="nil"/>
              <w:right w:val="nil"/>
            </w:tcBorders>
            <w:shd w:val="clear" w:color="000000" w:fill="F2F2F2"/>
            <w:noWrap/>
            <w:vAlign w:val="center"/>
            <w:hideMark/>
          </w:tcPr>
          <w:p w14:paraId="6137D797"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3,439</w:t>
            </w:r>
          </w:p>
        </w:tc>
        <w:tc>
          <w:tcPr>
            <w:tcW w:w="964" w:type="dxa"/>
            <w:tcBorders>
              <w:top w:val="nil"/>
              <w:left w:val="nil"/>
              <w:bottom w:val="nil"/>
              <w:right w:val="nil"/>
            </w:tcBorders>
            <w:shd w:val="clear" w:color="000000" w:fill="F2F2F2"/>
            <w:noWrap/>
            <w:vAlign w:val="center"/>
            <w:hideMark/>
          </w:tcPr>
          <w:p w14:paraId="36569AF1"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2,781</w:t>
            </w:r>
          </w:p>
        </w:tc>
        <w:tc>
          <w:tcPr>
            <w:tcW w:w="1016" w:type="dxa"/>
            <w:tcBorders>
              <w:top w:val="nil"/>
              <w:left w:val="nil"/>
              <w:bottom w:val="nil"/>
              <w:right w:val="nil"/>
            </w:tcBorders>
            <w:shd w:val="clear" w:color="000000" w:fill="F2F2F2"/>
            <w:noWrap/>
            <w:vAlign w:val="center"/>
            <w:hideMark/>
          </w:tcPr>
          <w:p w14:paraId="3382D649"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1,627</w:t>
            </w:r>
          </w:p>
        </w:tc>
        <w:tc>
          <w:tcPr>
            <w:tcW w:w="1076" w:type="dxa"/>
            <w:tcBorders>
              <w:top w:val="nil"/>
              <w:left w:val="nil"/>
              <w:bottom w:val="nil"/>
              <w:right w:val="nil"/>
            </w:tcBorders>
            <w:shd w:val="clear" w:color="000000" w:fill="F2F2F2"/>
            <w:noWrap/>
            <w:vAlign w:val="center"/>
            <w:hideMark/>
          </w:tcPr>
          <w:p w14:paraId="3D6373FB"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2,577</w:t>
            </w:r>
          </w:p>
        </w:tc>
        <w:tc>
          <w:tcPr>
            <w:tcW w:w="956" w:type="dxa"/>
            <w:tcBorders>
              <w:top w:val="nil"/>
              <w:left w:val="nil"/>
              <w:bottom w:val="nil"/>
              <w:right w:val="nil"/>
            </w:tcBorders>
            <w:shd w:val="clear" w:color="000000" w:fill="F2F2F2"/>
            <w:noWrap/>
            <w:vAlign w:val="center"/>
            <w:hideMark/>
          </w:tcPr>
          <w:p w14:paraId="2B652646" w14:textId="77777777" w:rsidR="003E64CC" w:rsidRPr="003E64CC" w:rsidRDefault="003E64CC" w:rsidP="003E64CC">
            <w:pPr>
              <w:ind w:firstLineChars="100" w:firstLine="160"/>
              <w:jc w:val="right"/>
              <w:rPr>
                <w:rFonts w:ascii="Arial" w:hAnsi="Arial" w:cs="Arial"/>
                <w:sz w:val="16"/>
                <w:szCs w:val="16"/>
                <w:lang w:eastAsia="en-AU"/>
              </w:rPr>
            </w:pPr>
            <w:proofErr w:type="spellStart"/>
            <w:r w:rsidRPr="003E64CC">
              <w:rPr>
                <w:rFonts w:ascii="Arial" w:hAnsi="Arial" w:cs="Arial"/>
                <w:sz w:val="16"/>
                <w:szCs w:val="16"/>
                <w:lang w:eastAsia="en-AU"/>
              </w:rPr>
              <w:t>n.a.</w:t>
            </w:r>
            <w:proofErr w:type="spellEnd"/>
          </w:p>
        </w:tc>
        <w:tc>
          <w:tcPr>
            <w:tcW w:w="1020" w:type="dxa"/>
            <w:tcBorders>
              <w:top w:val="nil"/>
              <w:left w:val="nil"/>
              <w:bottom w:val="nil"/>
              <w:right w:val="nil"/>
            </w:tcBorders>
            <w:shd w:val="clear" w:color="000000" w:fill="FFFFFF"/>
            <w:noWrap/>
            <w:vAlign w:val="center"/>
            <w:hideMark/>
          </w:tcPr>
          <w:p w14:paraId="627A06D9" w14:textId="77777777" w:rsidR="003E64CC" w:rsidRPr="003E64CC" w:rsidRDefault="003E64CC" w:rsidP="003E64CC">
            <w:pPr>
              <w:ind w:firstLineChars="100" w:firstLine="160"/>
              <w:jc w:val="right"/>
              <w:rPr>
                <w:rFonts w:ascii="Arial" w:hAnsi="Arial" w:cs="Arial"/>
                <w:sz w:val="16"/>
                <w:szCs w:val="16"/>
                <w:lang w:eastAsia="en-AU"/>
              </w:rPr>
            </w:pPr>
            <w:proofErr w:type="spellStart"/>
            <w:r w:rsidRPr="003E64CC">
              <w:rPr>
                <w:rFonts w:ascii="Arial" w:hAnsi="Arial" w:cs="Arial"/>
                <w:sz w:val="16"/>
                <w:szCs w:val="16"/>
                <w:lang w:eastAsia="en-AU"/>
              </w:rPr>
              <w:t>n.a.</w:t>
            </w:r>
            <w:proofErr w:type="spellEnd"/>
          </w:p>
        </w:tc>
      </w:tr>
      <w:tr w:rsidR="003E64CC" w:rsidRPr="003E64CC" w14:paraId="546546B5" w14:textId="77777777" w:rsidTr="003B5999">
        <w:trPr>
          <w:trHeight w:val="300"/>
        </w:trPr>
        <w:tc>
          <w:tcPr>
            <w:tcW w:w="3686" w:type="dxa"/>
            <w:tcBorders>
              <w:top w:val="single" w:sz="4" w:space="0" w:color="auto"/>
              <w:left w:val="nil"/>
              <w:bottom w:val="single" w:sz="4" w:space="0" w:color="auto"/>
              <w:right w:val="nil"/>
            </w:tcBorders>
            <w:shd w:val="clear" w:color="000000" w:fill="FFFFFF"/>
            <w:noWrap/>
            <w:vAlign w:val="center"/>
            <w:hideMark/>
          </w:tcPr>
          <w:p w14:paraId="190ED171" w14:textId="77777777" w:rsidR="003E64CC" w:rsidRPr="003E64CC" w:rsidRDefault="003E64CC" w:rsidP="003E64CC">
            <w:pPr>
              <w:rPr>
                <w:rFonts w:ascii="Arial" w:hAnsi="Arial" w:cs="Arial"/>
                <w:b/>
                <w:bCs/>
                <w:color w:val="0579B9"/>
                <w:sz w:val="16"/>
                <w:szCs w:val="16"/>
                <w:lang w:eastAsia="en-AU"/>
              </w:rPr>
            </w:pPr>
            <w:r w:rsidRPr="003E64CC">
              <w:rPr>
                <w:rFonts w:ascii="Arial" w:hAnsi="Arial" w:cs="Arial"/>
                <w:b/>
                <w:bCs/>
                <w:color w:val="0579B9"/>
                <w:sz w:val="16"/>
                <w:szCs w:val="16"/>
                <w:lang w:eastAsia="en-AU"/>
              </w:rPr>
              <w:t>Revenue - 2021-22 HYR</w:t>
            </w:r>
          </w:p>
        </w:tc>
        <w:tc>
          <w:tcPr>
            <w:tcW w:w="964" w:type="dxa"/>
            <w:tcBorders>
              <w:top w:val="single" w:sz="4" w:space="0" w:color="auto"/>
              <w:left w:val="nil"/>
              <w:bottom w:val="single" w:sz="4" w:space="0" w:color="auto"/>
              <w:right w:val="nil"/>
            </w:tcBorders>
            <w:shd w:val="clear" w:color="000000" w:fill="F2F2F2"/>
            <w:noWrap/>
            <w:vAlign w:val="center"/>
            <w:hideMark/>
          </w:tcPr>
          <w:p w14:paraId="6885ABB3" w14:textId="77777777" w:rsidR="003E64CC" w:rsidRPr="003E64CC" w:rsidRDefault="003E64CC" w:rsidP="003E64CC">
            <w:pPr>
              <w:ind w:firstLineChars="100" w:firstLine="161"/>
              <w:jc w:val="right"/>
              <w:rPr>
                <w:rFonts w:ascii="Arial" w:hAnsi="Arial" w:cs="Arial"/>
                <w:b/>
                <w:bCs/>
                <w:color w:val="0579B9"/>
                <w:sz w:val="16"/>
                <w:szCs w:val="16"/>
                <w:lang w:eastAsia="en-AU"/>
              </w:rPr>
            </w:pPr>
            <w:r w:rsidRPr="003E64CC">
              <w:rPr>
                <w:rFonts w:ascii="Arial" w:hAnsi="Arial" w:cs="Arial"/>
                <w:b/>
                <w:bCs/>
                <w:color w:val="0579B9"/>
                <w:sz w:val="16"/>
                <w:szCs w:val="16"/>
                <w:lang w:eastAsia="en-AU"/>
              </w:rPr>
              <w:t>101,190</w:t>
            </w:r>
          </w:p>
        </w:tc>
        <w:tc>
          <w:tcPr>
            <w:tcW w:w="964" w:type="dxa"/>
            <w:tcBorders>
              <w:top w:val="single" w:sz="4" w:space="0" w:color="auto"/>
              <w:left w:val="nil"/>
              <w:bottom w:val="single" w:sz="4" w:space="0" w:color="auto"/>
              <w:right w:val="nil"/>
            </w:tcBorders>
            <w:shd w:val="clear" w:color="000000" w:fill="F2F2F2"/>
            <w:noWrap/>
            <w:vAlign w:val="center"/>
            <w:hideMark/>
          </w:tcPr>
          <w:p w14:paraId="6B18CF16" w14:textId="77777777" w:rsidR="003E64CC" w:rsidRPr="003E64CC" w:rsidRDefault="003E64CC" w:rsidP="003E64CC">
            <w:pPr>
              <w:ind w:firstLineChars="100" w:firstLine="161"/>
              <w:jc w:val="right"/>
              <w:rPr>
                <w:rFonts w:ascii="Arial" w:hAnsi="Arial" w:cs="Arial"/>
                <w:b/>
                <w:bCs/>
                <w:color w:val="0579B9"/>
                <w:sz w:val="16"/>
                <w:szCs w:val="16"/>
                <w:lang w:eastAsia="en-AU"/>
              </w:rPr>
            </w:pPr>
            <w:r w:rsidRPr="003E64CC">
              <w:rPr>
                <w:rFonts w:ascii="Arial" w:hAnsi="Arial" w:cs="Arial"/>
                <w:b/>
                <w:bCs/>
                <w:color w:val="0579B9"/>
                <w:sz w:val="16"/>
                <w:szCs w:val="16"/>
                <w:lang w:eastAsia="en-AU"/>
              </w:rPr>
              <w:t>99,562</w:t>
            </w:r>
          </w:p>
        </w:tc>
        <w:tc>
          <w:tcPr>
            <w:tcW w:w="1016" w:type="dxa"/>
            <w:tcBorders>
              <w:top w:val="single" w:sz="4" w:space="0" w:color="auto"/>
              <w:left w:val="nil"/>
              <w:bottom w:val="single" w:sz="4" w:space="0" w:color="auto"/>
              <w:right w:val="nil"/>
            </w:tcBorders>
            <w:shd w:val="clear" w:color="000000" w:fill="F2F2F2"/>
            <w:noWrap/>
            <w:vAlign w:val="center"/>
            <w:hideMark/>
          </w:tcPr>
          <w:p w14:paraId="31CD6FC3" w14:textId="77777777" w:rsidR="003E64CC" w:rsidRPr="003E64CC" w:rsidRDefault="003E64CC" w:rsidP="003E64CC">
            <w:pPr>
              <w:ind w:firstLineChars="100" w:firstLine="161"/>
              <w:jc w:val="right"/>
              <w:rPr>
                <w:rFonts w:ascii="Arial" w:hAnsi="Arial" w:cs="Arial"/>
                <w:b/>
                <w:bCs/>
                <w:color w:val="0579B9"/>
                <w:sz w:val="16"/>
                <w:szCs w:val="16"/>
                <w:lang w:eastAsia="en-AU"/>
              </w:rPr>
            </w:pPr>
            <w:r w:rsidRPr="003E64CC">
              <w:rPr>
                <w:rFonts w:ascii="Arial" w:hAnsi="Arial" w:cs="Arial"/>
                <w:b/>
                <w:bCs/>
                <w:color w:val="0579B9"/>
                <w:sz w:val="16"/>
                <w:szCs w:val="16"/>
                <w:lang w:eastAsia="en-AU"/>
              </w:rPr>
              <w:t>100,069</w:t>
            </w:r>
          </w:p>
        </w:tc>
        <w:tc>
          <w:tcPr>
            <w:tcW w:w="1076" w:type="dxa"/>
            <w:tcBorders>
              <w:top w:val="single" w:sz="4" w:space="0" w:color="auto"/>
              <w:left w:val="nil"/>
              <w:bottom w:val="single" w:sz="4" w:space="0" w:color="auto"/>
              <w:right w:val="nil"/>
            </w:tcBorders>
            <w:shd w:val="clear" w:color="000000" w:fill="F2F2F2"/>
            <w:noWrap/>
            <w:vAlign w:val="center"/>
            <w:hideMark/>
          </w:tcPr>
          <w:p w14:paraId="31454D8E" w14:textId="77777777" w:rsidR="003E64CC" w:rsidRPr="003E64CC" w:rsidRDefault="003E64CC" w:rsidP="003E64CC">
            <w:pPr>
              <w:ind w:firstLineChars="100" w:firstLine="161"/>
              <w:jc w:val="right"/>
              <w:rPr>
                <w:rFonts w:ascii="Arial" w:hAnsi="Arial" w:cs="Arial"/>
                <w:b/>
                <w:bCs/>
                <w:color w:val="0579B9"/>
                <w:sz w:val="16"/>
                <w:szCs w:val="16"/>
                <w:lang w:eastAsia="en-AU"/>
              </w:rPr>
            </w:pPr>
            <w:r w:rsidRPr="003E64CC">
              <w:rPr>
                <w:rFonts w:ascii="Arial" w:hAnsi="Arial" w:cs="Arial"/>
                <w:b/>
                <w:bCs/>
                <w:color w:val="0579B9"/>
                <w:sz w:val="16"/>
                <w:szCs w:val="16"/>
                <w:lang w:eastAsia="en-AU"/>
              </w:rPr>
              <w:t>102,839</w:t>
            </w:r>
          </w:p>
        </w:tc>
        <w:tc>
          <w:tcPr>
            <w:tcW w:w="956" w:type="dxa"/>
            <w:tcBorders>
              <w:top w:val="single" w:sz="4" w:space="0" w:color="auto"/>
              <w:left w:val="nil"/>
              <w:bottom w:val="single" w:sz="4" w:space="0" w:color="auto"/>
              <w:right w:val="nil"/>
            </w:tcBorders>
            <w:shd w:val="clear" w:color="000000" w:fill="F2F2F2"/>
            <w:noWrap/>
            <w:vAlign w:val="center"/>
            <w:hideMark/>
          </w:tcPr>
          <w:p w14:paraId="4ABCFF86" w14:textId="77777777" w:rsidR="003E64CC" w:rsidRPr="003E64CC" w:rsidRDefault="003E64CC" w:rsidP="003E64CC">
            <w:pPr>
              <w:ind w:firstLineChars="100" w:firstLine="161"/>
              <w:jc w:val="right"/>
              <w:rPr>
                <w:rFonts w:ascii="Arial" w:hAnsi="Arial" w:cs="Arial"/>
                <w:b/>
                <w:bCs/>
                <w:color w:val="0579B9"/>
                <w:sz w:val="16"/>
                <w:szCs w:val="16"/>
                <w:lang w:eastAsia="en-AU"/>
              </w:rPr>
            </w:pPr>
            <w:r w:rsidRPr="003E64CC">
              <w:rPr>
                <w:rFonts w:ascii="Arial" w:hAnsi="Arial" w:cs="Arial"/>
                <w:b/>
                <w:bCs/>
                <w:color w:val="0579B9"/>
                <w:sz w:val="16"/>
                <w:szCs w:val="16"/>
                <w:lang w:eastAsia="en-AU"/>
              </w:rPr>
              <w:t>105,189</w:t>
            </w:r>
          </w:p>
        </w:tc>
        <w:tc>
          <w:tcPr>
            <w:tcW w:w="1020" w:type="dxa"/>
            <w:tcBorders>
              <w:top w:val="single" w:sz="4" w:space="0" w:color="auto"/>
              <w:left w:val="nil"/>
              <w:bottom w:val="single" w:sz="4" w:space="0" w:color="auto"/>
              <w:right w:val="nil"/>
            </w:tcBorders>
            <w:shd w:val="clear" w:color="000000" w:fill="FFFFFF"/>
            <w:noWrap/>
            <w:vAlign w:val="center"/>
            <w:hideMark/>
          </w:tcPr>
          <w:p w14:paraId="4FA3A7B2" w14:textId="77777777" w:rsidR="003E64CC" w:rsidRPr="003E64CC" w:rsidRDefault="003E64CC" w:rsidP="003E64CC">
            <w:pPr>
              <w:ind w:firstLineChars="100" w:firstLine="161"/>
              <w:jc w:val="right"/>
              <w:rPr>
                <w:rFonts w:ascii="Arial" w:hAnsi="Arial" w:cs="Arial"/>
                <w:b/>
                <w:bCs/>
                <w:color w:val="0579B9"/>
                <w:sz w:val="16"/>
                <w:szCs w:val="16"/>
                <w:lang w:eastAsia="en-AU"/>
              </w:rPr>
            </w:pPr>
            <w:r w:rsidRPr="003E64CC">
              <w:rPr>
                <w:rFonts w:ascii="Arial" w:hAnsi="Arial" w:cs="Arial"/>
                <w:b/>
                <w:bCs/>
                <w:color w:val="0579B9"/>
                <w:sz w:val="16"/>
                <w:szCs w:val="16"/>
                <w:lang w:eastAsia="en-AU"/>
              </w:rPr>
              <w:t>407,659</w:t>
            </w:r>
          </w:p>
        </w:tc>
      </w:tr>
      <w:tr w:rsidR="003E64CC" w:rsidRPr="003E64CC" w14:paraId="26FEC757" w14:textId="77777777" w:rsidTr="003B5999">
        <w:trPr>
          <w:trHeight w:val="210"/>
        </w:trPr>
        <w:tc>
          <w:tcPr>
            <w:tcW w:w="3686" w:type="dxa"/>
            <w:tcBorders>
              <w:top w:val="nil"/>
              <w:left w:val="nil"/>
              <w:bottom w:val="nil"/>
              <w:right w:val="nil"/>
            </w:tcBorders>
            <w:shd w:val="clear" w:color="000000" w:fill="FFFFFF"/>
            <w:noWrap/>
            <w:vAlign w:val="center"/>
            <w:hideMark/>
          </w:tcPr>
          <w:p w14:paraId="4C566EEF" w14:textId="77777777" w:rsidR="003E64CC" w:rsidRPr="003E64CC" w:rsidRDefault="003E64CC" w:rsidP="003E64CC">
            <w:pPr>
              <w:rPr>
                <w:rFonts w:ascii="Arial" w:hAnsi="Arial" w:cs="Arial"/>
                <w:b/>
                <w:bCs/>
                <w:color w:val="0579B9"/>
                <w:sz w:val="16"/>
                <w:szCs w:val="16"/>
                <w:lang w:eastAsia="en-AU"/>
              </w:rPr>
            </w:pPr>
            <w:r w:rsidRPr="003E64CC">
              <w:rPr>
                <w:rFonts w:ascii="Arial" w:hAnsi="Arial" w:cs="Arial"/>
                <w:b/>
                <w:bCs/>
                <w:color w:val="0579B9"/>
                <w:sz w:val="16"/>
                <w:szCs w:val="16"/>
                <w:lang w:eastAsia="en-AU"/>
              </w:rPr>
              <w:t> </w:t>
            </w:r>
          </w:p>
        </w:tc>
        <w:tc>
          <w:tcPr>
            <w:tcW w:w="964" w:type="dxa"/>
            <w:tcBorders>
              <w:top w:val="nil"/>
              <w:left w:val="nil"/>
              <w:bottom w:val="nil"/>
              <w:right w:val="nil"/>
            </w:tcBorders>
            <w:shd w:val="clear" w:color="000000" w:fill="F2F2F2"/>
            <w:noWrap/>
            <w:vAlign w:val="center"/>
            <w:hideMark/>
          </w:tcPr>
          <w:p w14:paraId="2AEAB738" w14:textId="77777777" w:rsidR="003E64CC" w:rsidRPr="003E64CC" w:rsidRDefault="003E64CC" w:rsidP="003E64CC">
            <w:pPr>
              <w:ind w:firstLineChars="100" w:firstLine="161"/>
              <w:jc w:val="right"/>
              <w:rPr>
                <w:rFonts w:ascii="Arial" w:hAnsi="Arial" w:cs="Arial"/>
                <w:b/>
                <w:bCs/>
                <w:color w:val="0579B9"/>
                <w:sz w:val="16"/>
                <w:szCs w:val="16"/>
                <w:lang w:eastAsia="en-AU"/>
              </w:rPr>
            </w:pPr>
            <w:r w:rsidRPr="003E64CC">
              <w:rPr>
                <w:rFonts w:ascii="Arial" w:hAnsi="Arial" w:cs="Arial"/>
                <w:b/>
                <w:bCs/>
                <w:color w:val="0579B9"/>
                <w:sz w:val="16"/>
                <w:szCs w:val="16"/>
                <w:lang w:eastAsia="en-AU"/>
              </w:rPr>
              <w:t> </w:t>
            </w:r>
          </w:p>
        </w:tc>
        <w:tc>
          <w:tcPr>
            <w:tcW w:w="964" w:type="dxa"/>
            <w:tcBorders>
              <w:top w:val="nil"/>
              <w:left w:val="nil"/>
              <w:bottom w:val="nil"/>
              <w:right w:val="nil"/>
            </w:tcBorders>
            <w:shd w:val="clear" w:color="000000" w:fill="F2F2F2"/>
            <w:noWrap/>
            <w:vAlign w:val="center"/>
            <w:hideMark/>
          </w:tcPr>
          <w:p w14:paraId="0983A482" w14:textId="77777777" w:rsidR="003E64CC" w:rsidRPr="003E64CC" w:rsidRDefault="003E64CC" w:rsidP="003E64CC">
            <w:pPr>
              <w:ind w:firstLineChars="100" w:firstLine="161"/>
              <w:jc w:val="right"/>
              <w:rPr>
                <w:rFonts w:ascii="Arial" w:hAnsi="Arial" w:cs="Arial"/>
                <w:b/>
                <w:bCs/>
                <w:color w:val="0579B9"/>
                <w:sz w:val="16"/>
                <w:szCs w:val="16"/>
                <w:lang w:eastAsia="en-AU"/>
              </w:rPr>
            </w:pPr>
            <w:r w:rsidRPr="003E64CC">
              <w:rPr>
                <w:rFonts w:ascii="Arial" w:hAnsi="Arial" w:cs="Arial"/>
                <w:b/>
                <w:bCs/>
                <w:color w:val="0579B9"/>
                <w:sz w:val="16"/>
                <w:szCs w:val="16"/>
                <w:lang w:eastAsia="en-AU"/>
              </w:rPr>
              <w:t> </w:t>
            </w:r>
          </w:p>
        </w:tc>
        <w:tc>
          <w:tcPr>
            <w:tcW w:w="1016" w:type="dxa"/>
            <w:tcBorders>
              <w:top w:val="nil"/>
              <w:left w:val="nil"/>
              <w:bottom w:val="nil"/>
              <w:right w:val="nil"/>
            </w:tcBorders>
            <w:shd w:val="clear" w:color="000000" w:fill="F2F2F2"/>
            <w:noWrap/>
            <w:vAlign w:val="center"/>
            <w:hideMark/>
          </w:tcPr>
          <w:p w14:paraId="1A4AB571" w14:textId="77777777" w:rsidR="003E64CC" w:rsidRPr="003E64CC" w:rsidRDefault="003E64CC" w:rsidP="003E64CC">
            <w:pPr>
              <w:ind w:firstLineChars="100" w:firstLine="161"/>
              <w:jc w:val="right"/>
              <w:rPr>
                <w:rFonts w:ascii="Arial" w:hAnsi="Arial" w:cs="Arial"/>
                <w:b/>
                <w:bCs/>
                <w:color w:val="0579B9"/>
                <w:sz w:val="16"/>
                <w:szCs w:val="16"/>
                <w:lang w:eastAsia="en-AU"/>
              </w:rPr>
            </w:pPr>
            <w:r w:rsidRPr="003E64CC">
              <w:rPr>
                <w:rFonts w:ascii="Arial" w:hAnsi="Arial" w:cs="Arial"/>
                <w:b/>
                <w:bCs/>
                <w:color w:val="0579B9"/>
                <w:sz w:val="16"/>
                <w:szCs w:val="16"/>
                <w:lang w:eastAsia="en-AU"/>
              </w:rPr>
              <w:t> </w:t>
            </w:r>
          </w:p>
        </w:tc>
        <w:tc>
          <w:tcPr>
            <w:tcW w:w="1076" w:type="dxa"/>
            <w:tcBorders>
              <w:top w:val="nil"/>
              <w:left w:val="nil"/>
              <w:bottom w:val="nil"/>
              <w:right w:val="nil"/>
            </w:tcBorders>
            <w:shd w:val="clear" w:color="000000" w:fill="F2F2F2"/>
            <w:noWrap/>
            <w:vAlign w:val="center"/>
            <w:hideMark/>
          </w:tcPr>
          <w:p w14:paraId="3F1F7BF4" w14:textId="77777777" w:rsidR="003E64CC" w:rsidRPr="003E64CC" w:rsidRDefault="003E64CC" w:rsidP="003E64CC">
            <w:pPr>
              <w:ind w:firstLineChars="100" w:firstLine="161"/>
              <w:jc w:val="right"/>
              <w:rPr>
                <w:rFonts w:ascii="Arial" w:hAnsi="Arial" w:cs="Arial"/>
                <w:b/>
                <w:bCs/>
                <w:color w:val="0579B9"/>
                <w:sz w:val="16"/>
                <w:szCs w:val="16"/>
                <w:lang w:eastAsia="en-AU"/>
              </w:rPr>
            </w:pPr>
            <w:r w:rsidRPr="003E64CC">
              <w:rPr>
                <w:rFonts w:ascii="Arial" w:hAnsi="Arial" w:cs="Arial"/>
                <w:b/>
                <w:bCs/>
                <w:color w:val="0579B9"/>
                <w:sz w:val="16"/>
                <w:szCs w:val="16"/>
                <w:lang w:eastAsia="en-AU"/>
              </w:rPr>
              <w:t> </w:t>
            </w:r>
          </w:p>
        </w:tc>
        <w:tc>
          <w:tcPr>
            <w:tcW w:w="956" w:type="dxa"/>
            <w:tcBorders>
              <w:top w:val="nil"/>
              <w:left w:val="nil"/>
              <w:bottom w:val="nil"/>
              <w:right w:val="nil"/>
            </w:tcBorders>
            <w:shd w:val="clear" w:color="000000" w:fill="F2F2F2"/>
            <w:noWrap/>
            <w:vAlign w:val="center"/>
            <w:hideMark/>
          </w:tcPr>
          <w:p w14:paraId="35E3198E" w14:textId="77777777" w:rsidR="003E64CC" w:rsidRPr="003E64CC" w:rsidRDefault="003E64CC" w:rsidP="003E64CC">
            <w:pPr>
              <w:ind w:firstLineChars="100" w:firstLine="161"/>
              <w:jc w:val="right"/>
              <w:rPr>
                <w:rFonts w:ascii="Arial" w:hAnsi="Arial" w:cs="Arial"/>
                <w:b/>
                <w:bCs/>
                <w:color w:val="0579B9"/>
                <w:sz w:val="16"/>
                <w:szCs w:val="16"/>
                <w:lang w:eastAsia="en-AU"/>
              </w:rPr>
            </w:pPr>
            <w:r w:rsidRPr="003E64CC">
              <w:rPr>
                <w:rFonts w:ascii="Arial" w:hAnsi="Arial" w:cs="Arial"/>
                <w:b/>
                <w:bCs/>
                <w:color w:val="0579B9"/>
                <w:sz w:val="16"/>
                <w:szCs w:val="16"/>
                <w:lang w:eastAsia="en-AU"/>
              </w:rPr>
              <w:t> </w:t>
            </w:r>
          </w:p>
        </w:tc>
        <w:tc>
          <w:tcPr>
            <w:tcW w:w="1020" w:type="dxa"/>
            <w:tcBorders>
              <w:top w:val="nil"/>
              <w:left w:val="nil"/>
              <w:bottom w:val="nil"/>
              <w:right w:val="nil"/>
            </w:tcBorders>
            <w:shd w:val="clear" w:color="000000" w:fill="FFFFFF"/>
            <w:noWrap/>
            <w:vAlign w:val="center"/>
            <w:hideMark/>
          </w:tcPr>
          <w:p w14:paraId="64583539" w14:textId="77777777" w:rsidR="003E64CC" w:rsidRPr="003E64CC" w:rsidRDefault="003E64CC" w:rsidP="003E64CC">
            <w:pPr>
              <w:ind w:firstLineChars="100" w:firstLine="161"/>
              <w:jc w:val="right"/>
              <w:rPr>
                <w:rFonts w:ascii="Arial" w:hAnsi="Arial" w:cs="Arial"/>
                <w:b/>
                <w:bCs/>
                <w:color w:val="0579B9"/>
                <w:sz w:val="16"/>
                <w:szCs w:val="16"/>
                <w:lang w:eastAsia="en-AU"/>
              </w:rPr>
            </w:pPr>
            <w:r w:rsidRPr="003E64CC">
              <w:rPr>
                <w:rFonts w:ascii="Arial" w:hAnsi="Arial" w:cs="Arial"/>
                <w:b/>
                <w:bCs/>
                <w:color w:val="0579B9"/>
                <w:sz w:val="16"/>
                <w:szCs w:val="16"/>
                <w:lang w:eastAsia="en-AU"/>
              </w:rPr>
              <w:t> </w:t>
            </w:r>
          </w:p>
        </w:tc>
      </w:tr>
      <w:tr w:rsidR="003E64CC" w:rsidRPr="003E64CC" w14:paraId="43D4AFA9" w14:textId="77777777" w:rsidTr="003B5999">
        <w:trPr>
          <w:trHeight w:val="270"/>
        </w:trPr>
        <w:tc>
          <w:tcPr>
            <w:tcW w:w="3686" w:type="dxa"/>
            <w:tcBorders>
              <w:top w:val="nil"/>
              <w:left w:val="nil"/>
              <w:bottom w:val="nil"/>
              <w:right w:val="nil"/>
            </w:tcBorders>
            <w:shd w:val="clear" w:color="000000" w:fill="FFFFFF"/>
            <w:noWrap/>
            <w:vAlign w:val="center"/>
            <w:hideMark/>
          </w:tcPr>
          <w:p w14:paraId="17322335" w14:textId="77777777" w:rsidR="003E64CC" w:rsidRPr="003E64CC" w:rsidRDefault="003E64CC" w:rsidP="003E64CC">
            <w:pPr>
              <w:rPr>
                <w:rFonts w:ascii="Arial" w:hAnsi="Arial" w:cs="Arial"/>
                <w:i/>
                <w:iCs/>
                <w:sz w:val="16"/>
                <w:szCs w:val="16"/>
                <w:lang w:eastAsia="en-AU"/>
              </w:rPr>
            </w:pPr>
            <w:r w:rsidRPr="003E64CC">
              <w:rPr>
                <w:rFonts w:ascii="Arial" w:hAnsi="Arial" w:cs="Arial"/>
                <w:i/>
                <w:iCs/>
                <w:sz w:val="16"/>
                <w:szCs w:val="16"/>
                <w:lang w:eastAsia="en-AU"/>
              </w:rPr>
              <w:t>Policy changes since 2021-22 HYR</w:t>
            </w:r>
          </w:p>
        </w:tc>
        <w:tc>
          <w:tcPr>
            <w:tcW w:w="964" w:type="dxa"/>
            <w:tcBorders>
              <w:top w:val="nil"/>
              <w:left w:val="nil"/>
              <w:bottom w:val="nil"/>
              <w:right w:val="nil"/>
            </w:tcBorders>
            <w:shd w:val="clear" w:color="000000" w:fill="F2F2F2"/>
            <w:noWrap/>
            <w:vAlign w:val="center"/>
            <w:hideMark/>
          </w:tcPr>
          <w:p w14:paraId="797D707B" w14:textId="77777777" w:rsidR="003E64CC" w:rsidRPr="003E64CC" w:rsidRDefault="003E64CC" w:rsidP="003E64CC">
            <w:pPr>
              <w:ind w:firstLineChars="100" w:firstLine="161"/>
              <w:jc w:val="right"/>
              <w:rPr>
                <w:rFonts w:ascii="Arial" w:hAnsi="Arial" w:cs="Arial"/>
                <w:b/>
                <w:bCs/>
                <w:color w:val="0579B9"/>
                <w:sz w:val="16"/>
                <w:szCs w:val="16"/>
                <w:lang w:eastAsia="en-AU"/>
              </w:rPr>
            </w:pPr>
            <w:r w:rsidRPr="003E64CC">
              <w:rPr>
                <w:rFonts w:ascii="Arial" w:hAnsi="Arial" w:cs="Arial"/>
                <w:b/>
                <w:bCs/>
                <w:color w:val="0579B9"/>
                <w:sz w:val="16"/>
                <w:szCs w:val="16"/>
                <w:lang w:eastAsia="en-AU"/>
              </w:rPr>
              <w:t> </w:t>
            </w:r>
          </w:p>
        </w:tc>
        <w:tc>
          <w:tcPr>
            <w:tcW w:w="964" w:type="dxa"/>
            <w:tcBorders>
              <w:top w:val="nil"/>
              <w:left w:val="nil"/>
              <w:bottom w:val="nil"/>
              <w:right w:val="nil"/>
            </w:tcBorders>
            <w:shd w:val="clear" w:color="000000" w:fill="F2F2F2"/>
            <w:noWrap/>
            <w:vAlign w:val="center"/>
            <w:hideMark/>
          </w:tcPr>
          <w:p w14:paraId="5C5122C8" w14:textId="77777777" w:rsidR="003E64CC" w:rsidRPr="003E64CC" w:rsidRDefault="003E64CC" w:rsidP="003E64CC">
            <w:pPr>
              <w:ind w:firstLineChars="100" w:firstLine="161"/>
              <w:jc w:val="right"/>
              <w:rPr>
                <w:rFonts w:ascii="Arial" w:hAnsi="Arial" w:cs="Arial"/>
                <w:b/>
                <w:bCs/>
                <w:color w:val="0579B9"/>
                <w:sz w:val="16"/>
                <w:szCs w:val="16"/>
                <w:lang w:eastAsia="en-AU"/>
              </w:rPr>
            </w:pPr>
            <w:r w:rsidRPr="003E64CC">
              <w:rPr>
                <w:rFonts w:ascii="Arial" w:hAnsi="Arial" w:cs="Arial"/>
                <w:b/>
                <w:bCs/>
                <w:color w:val="0579B9"/>
                <w:sz w:val="16"/>
                <w:szCs w:val="16"/>
                <w:lang w:eastAsia="en-AU"/>
              </w:rPr>
              <w:t> </w:t>
            </w:r>
          </w:p>
        </w:tc>
        <w:tc>
          <w:tcPr>
            <w:tcW w:w="1016" w:type="dxa"/>
            <w:tcBorders>
              <w:top w:val="nil"/>
              <w:left w:val="nil"/>
              <w:bottom w:val="nil"/>
              <w:right w:val="nil"/>
            </w:tcBorders>
            <w:shd w:val="clear" w:color="000000" w:fill="F2F2F2"/>
            <w:noWrap/>
            <w:vAlign w:val="center"/>
            <w:hideMark/>
          </w:tcPr>
          <w:p w14:paraId="2FB0357D" w14:textId="77777777" w:rsidR="003E64CC" w:rsidRPr="003E64CC" w:rsidRDefault="003E64CC" w:rsidP="003E64CC">
            <w:pPr>
              <w:ind w:firstLineChars="100" w:firstLine="161"/>
              <w:jc w:val="right"/>
              <w:rPr>
                <w:rFonts w:ascii="Arial" w:hAnsi="Arial" w:cs="Arial"/>
                <w:b/>
                <w:bCs/>
                <w:color w:val="0579B9"/>
                <w:sz w:val="16"/>
                <w:szCs w:val="16"/>
                <w:lang w:eastAsia="en-AU"/>
              </w:rPr>
            </w:pPr>
            <w:r w:rsidRPr="003E64CC">
              <w:rPr>
                <w:rFonts w:ascii="Arial" w:hAnsi="Arial" w:cs="Arial"/>
                <w:b/>
                <w:bCs/>
                <w:color w:val="0579B9"/>
                <w:sz w:val="16"/>
                <w:szCs w:val="16"/>
                <w:lang w:eastAsia="en-AU"/>
              </w:rPr>
              <w:t> </w:t>
            </w:r>
          </w:p>
        </w:tc>
        <w:tc>
          <w:tcPr>
            <w:tcW w:w="1076" w:type="dxa"/>
            <w:tcBorders>
              <w:top w:val="nil"/>
              <w:left w:val="nil"/>
              <w:bottom w:val="nil"/>
              <w:right w:val="nil"/>
            </w:tcBorders>
            <w:shd w:val="clear" w:color="000000" w:fill="F2F2F2"/>
            <w:noWrap/>
            <w:vAlign w:val="center"/>
            <w:hideMark/>
          </w:tcPr>
          <w:p w14:paraId="1600C64B" w14:textId="77777777" w:rsidR="003E64CC" w:rsidRPr="003E64CC" w:rsidRDefault="003E64CC" w:rsidP="003E64CC">
            <w:pPr>
              <w:ind w:firstLineChars="100" w:firstLine="161"/>
              <w:jc w:val="right"/>
              <w:rPr>
                <w:rFonts w:ascii="Arial" w:hAnsi="Arial" w:cs="Arial"/>
                <w:b/>
                <w:bCs/>
                <w:color w:val="0579B9"/>
                <w:sz w:val="16"/>
                <w:szCs w:val="16"/>
                <w:lang w:eastAsia="en-AU"/>
              </w:rPr>
            </w:pPr>
            <w:r w:rsidRPr="003E64CC">
              <w:rPr>
                <w:rFonts w:ascii="Arial" w:hAnsi="Arial" w:cs="Arial"/>
                <w:b/>
                <w:bCs/>
                <w:color w:val="0579B9"/>
                <w:sz w:val="16"/>
                <w:szCs w:val="16"/>
                <w:lang w:eastAsia="en-AU"/>
              </w:rPr>
              <w:t> </w:t>
            </w:r>
          </w:p>
        </w:tc>
        <w:tc>
          <w:tcPr>
            <w:tcW w:w="956" w:type="dxa"/>
            <w:tcBorders>
              <w:top w:val="nil"/>
              <w:left w:val="nil"/>
              <w:bottom w:val="nil"/>
              <w:right w:val="nil"/>
            </w:tcBorders>
            <w:shd w:val="clear" w:color="000000" w:fill="F2F2F2"/>
            <w:noWrap/>
            <w:vAlign w:val="center"/>
            <w:hideMark/>
          </w:tcPr>
          <w:p w14:paraId="36C3E278" w14:textId="77777777" w:rsidR="003E64CC" w:rsidRPr="003E64CC" w:rsidRDefault="003E64CC" w:rsidP="003E64CC">
            <w:pPr>
              <w:ind w:firstLineChars="100" w:firstLine="161"/>
              <w:jc w:val="right"/>
              <w:rPr>
                <w:rFonts w:ascii="Arial" w:hAnsi="Arial" w:cs="Arial"/>
                <w:b/>
                <w:bCs/>
                <w:color w:val="0579B9"/>
                <w:sz w:val="16"/>
                <w:szCs w:val="16"/>
                <w:lang w:eastAsia="en-AU"/>
              </w:rPr>
            </w:pPr>
            <w:r w:rsidRPr="003E64CC">
              <w:rPr>
                <w:rFonts w:ascii="Arial" w:hAnsi="Arial" w:cs="Arial"/>
                <w:b/>
                <w:bCs/>
                <w:color w:val="0579B9"/>
                <w:sz w:val="16"/>
                <w:szCs w:val="16"/>
                <w:lang w:eastAsia="en-AU"/>
              </w:rPr>
              <w:t> </w:t>
            </w:r>
          </w:p>
        </w:tc>
        <w:tc>
          <w:tcPr>
            <w:tcW w:w="1020" w:type="dxa"/>
            <w:tcBorders>
              <w:top w:val="nil"/>
              <w:left w:val="nil"/>
              <w:bottom w:val="nil"/>
              <w:right w:val="nil"/>
            </w:tcBorders>
            <w:shd w:val="clear" w:color="000000" w:fill="FFFFFF"/>
            <w:noWrap/>
            <w:vAlign w:val="center"/>
            <w:hideMark/>
          </w:tcPr>
          <w:p w14:paraId="13D3EA6A" w14:textId="77777777" w:rsidR="003E64CC" w:rsidRPr="003E64CC" w:rsidRDefault="003E64CC" w:rsidP="003E64CC">
            <w:pPr>
              <w:ind w:firstLineChars="100" w:firstLine="161"/>
              <w:jc w:val="right"/>
              <w:rPr>
                <w:rFonts w:ascii="Arial" w:hAnsi="Arial" w:cs="Arial"/>
                <w:b/>
                <w:bCs/>
                <w:color w:val="0579B9"/>
                <w:sz w:val="16"/>
                <w:szCs w:val="16"/>
                <w:lang w:eastAsia="en-AU"/>
              </w:rPr>
            </w:pPr>
            <w:r w:rsidRPr="003E64CC">
              <w:rPr>
                <w:rFonts w:ascii="Arial" w:hAnsi="Arial" w:cs="Arial"/>
                <w:b/>
                <w:bCs/>
                <w:color w:val="0579B9"/>
                <w:sz w:val="16"/>
                <w:szCs w:val="16"/>
                <w:lang w:eastAsia="en-AU"/>
              </w:rPr>
              <w:t> </w:t>
            </w:r>
          </w:p>
        </w:tc>
      </w:tr>
      <w:tr w:rsidR="003E64CC" w:rsidRPr="003E64CC" w14:paraId="644581E4" w14:textId="77777777" w:rsidTr="003B5999">
        <w:trPr>
          <w:trHeight w:val="240"/>
        </w:trPr>
        <w:tc>
          <w:tcPr>
            <w:tcW w:w="3686" w:type="dxa"/>
            <w:tcBorders>
              <w:top w:val="nil"/>
              <w:left w:val="nil"/>
              <w:bottom w:val="nil"/>
              <w:right w:val="nil"/>
            </w:tcBorders>
            <w:shd w:val="clear" w:color="000000" w:fill="FFFFFF"/>
            <w:noWrap/>
            <w:vAlign w:val="center"/>
            <w:hideMark/>
          </w:tcPr>
          <w:p w14:paraId="5163C75A" w14:textId="77777777" w:rsidR="003E64CC" w:rsidRPr="003E64CC" w:rsidRDefault="003E64CC" w:rsidP="003E64CC">
            <w:pPr>
              <w:rPr>
                <w:rFonts w:ascii="Arial" w:hAnsi="Arial" w:cs="Arial"/>
                <w:sz w:val="16"/>
                <w:szCs w:val="16"/>
                <w:lang w:eastAsia="en-AU"/>
              </w:rPr>
            </w:pPr>
            <w:r w:rsidRPr="003E64CC">
              <w:rPr>
                <w:rFonts w:ascii="Arial" w:hAnsi="Arial" w:cs="Arial"/>
                <w:sz w:val="16"/>
                <w:szCs w:val="16"/>
                <w:lang w:eastAsia="en-AU"/>
              </w:rPr>
              <w:t>Revenue measures</w:t>
            </w:r>
          </w:p>
        </w:tc>
        <w:tc>
          <w:tcPr>
            <w:tcW w:w="964" w:type="dxa"/>
            <w:tcBorders>
              <w:top w:val="nil"/>
              <w:left w:val="nil"/>
              <w:bottom w:val="nil"/>
              <w:right w:val="nil"/>
            </w:tcBorders>
            <w:shd w:val="clear" w:color="000000" w:fill="F2F2F2"/>
            <w:noWrap/>
            <w:vAlign w:val="center"/>
            <w:hideMark/>
          </w:tcPr>
          <w:p w14:paraId="7BE3A32E"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w:t>
            </w:r>
          </w:p>
        </w:tc>
        <w:tc>
          <w:tcPr>
            <w:tcW w:w="964" w:type="dxa"/>
            <w:tcBorders>
              <w:top w:val="nil"/>
              <w:left w:val="nil"/>
              <w:bottom w:val="nil"/>
              <w:right w:val="nil"/>
            </w:tcBorders>
            <w:shd w:val="clear" w:color="000000" w:fill="F2F2F2"/>
            <w:noWrap/>
            <w:vAlign w:val="center"/>
            <w:hideMark/>
          </w:tcPr>
          <w:p w14:paraId="66F81398"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259</w:t>
            </w:r>
          </w:p>
        </w:tc>
        <w:tc>
          <w:tcPr>
            <w:tcW w:w="1016" w:type="dxa"/>
            <w:tcBorders>
              <w:top w:val="nil"/>
              <w:left w:val="nil"/>
              <w:bottom w:val="nil"/>
              <w:right w:val="nil"/>
            </w:tcBorders>
            <w:shd w:val="clear" w:color="000000" w:fill="F2F2F2"/>
            <w:noWrap/>
            <w:vAlign w:val="center"/>
            <w:hideMark/>
          </w:tcPr>
          <w:p w14:paraId="5614A009"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395</w:t>
            </w:r>
          </w:p>
        </w:tc>
        <w:tc>
          <w:tcPr>
            <w:tcW w:w="1076" w:type="dxa"/>
            <w:tcBorders>
              <w:top w:val="nil"/>
              <w:left w:val="nil"/>
              <w:bottom w:val="nil"/>
              <w:right w:val="nil"/>
            </w:tcBorders>
            <w:shd w:val="clear" w:color="000000" w:fill="F2F2F2"/>
            <w:noWrap/>
            <w:vAlign w:val="center"/>
            <w:hideMark/>
          </w:tcPr>
          <w:p w14:paraId="704C4FBC"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437</w:t>
            </w:r>
          </w:p>
        </w:tc>
        <w:tc>
          <w:tcPr>
            <w:tcW w:w="956" w:type="dxa"/>
            <w:tcBorders>
              <w:top w:val="nil"/>
              <w:left w:val="nil"/>
              <w:bottom w:val="nil"/>
              <w:right w:val="nil"/>
            </w:tcBorders>
            <w:shd w:val="clear" w:color="000000" w:fill="F2F2F2"/>
            <w:noWrap/>
            <w:vAlign w:val="center"/>
            <w:hideMark/>
          </w:tcPr>
          <w:p w14:paraId="3A9BD0AA"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423</w:t>
            </w:r>
          </w:p>
        </w:tc>
        <w:tc>
          <w:tcPr>
            <w:tcW w:w="1020" w:type="dxa"/>
            <w:tcBorders>
              <w:top w:val="nil"/>
              <w:left w:val="nil"/>
              <w:bottom w:val="nil"/>
              <w:right w:val="nil"/>
            </w:tcBorders>
            <w:shd w:val="clear" w:color="000000" w:fill="FFFFFF"/>
            <w:noWrap/>
            <w:vAlign w:val="center"/>
            <w:hideMark/>
          </w:tcPr>
          <w:p w14:paraId="06A0DCDB" w14:textId="77777777" w:rsidR="003E64CC" w:rsidRPr="003E64CC" w:rsidRDefault="003E64CC" w:rsidP="003E64CC">
            <w:pPr>
              <w:ind w:firstLineChars="100" w:firstLine="161"/>
              <w:jc w:val="right"/>
              <w:rPr>
                <w:rFonts w:ascii="Arial" w:hAnsi="Arial" w:cs="Arial"/>
                <w:b/>
                <w:bCs/>
                <w:sz w:val="16"/>
                <w:szCs w:val="16"/>
                <w:lang w:eastAsia="en-AU"/>
              </w:rPr>
            </w:pPr>
            <w:r w:rsidRPr="003E64CC">
              <w:rPr>
                <w:rFonts w:ascii="Arial" w:hAnsi="Arial" w:cs="Arial"/>
                <w:b/>
                <w:bCs/>
                <w:sz w:val="16"/>
                <w:szCs w:val="16"/>
                <w:lang w:eastAsia="en-AU"/>
              </w:rPr>
              <w:t>1,514</w:t>
            </w:r>
          </w:p>
        </w:tc>
      </w:tr>
      <w:tr w:rsidR="003E64CC" w:rsidRPr="003E64CC" w14:paraId="61E32B69" w14:textId="77777777" w:rsidTr="003B5999">
        <w:trPr>
          <w:trHeight w:val="439"/>
        </w:trPr>
        <w:tc>
          <w:tcPr>
            <w:tcW w:w="3686" w:type="dxa"/>
            <w:tcBorders>
              <w:top w:val="nil"/>
              <w:left w:val="nil"/>
              <w:bottom w:val="nil"/>
              <w:right w:val="nil"/>
            </w:tcBorders>
            <w:shd w:val="clear" w:color="000000" w:fill="FFFFFF"/>
            <w:noWrap/>
            <w:vAlign w:val="center"/>
            <w:hideMark/>
          </w:tcPr>
          <w:p w14:paraId="5994FAD8" w14:textId="77777777" w:rsidR="003E64CC" w:rsidRPr="003E64CC" w:rsidRDefault="003E64CC" w:rsidP="003E64CC">
            <w:pPr>
              <w:rPr>
                <w:rFonts w:ascii="Arial" w:hAnsi="Arial" w:cs="Arial"/>
                <w:sz w:val="16"/>
                <w:szCs w:val="16"/>
                <w:lang w:eastAsia="en-AU"/>
              </w:rPr>
            </w:pPr>
            <w:r w:rsidRPr="003E64CC">
              <w:rPr>
                <w:rFonts w:ascii="Arial" w:hAnsi="Arial" w:cs="Arial"/>
                <w:sz w:val="16"/>
                <w:szCs w:val="16"/>
                <w:lang w:eastAsia="en-AU"/>
              </w:rPr>
              <w:t>Revenue related to expense and capital measures</w:t>
            </w:r>
          </w:p>
        </w:tc>
        <w:tc>
          <w:tcPr>
            <w:tcW w:w="964" w:type="dxa"/>
            <w:tcBorders>
              <w:top w:val="nil"/>
              <w:left w:val="nil"/>
              <w:bottom w:val="nil"/>
              <w:right w:val="nil"/>
            </w:tcBorders>
            <w:shd w:val="clear" w:color="000000" w:fill="F2F2F2"/>
            <w:noWrap/>
            <w:vAlign w:val="center"/>
            <w:hideMark/>
          </w:tcPr>
          <w:p w14:paraId="43680357"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1,292</w:t>
            </w:r>
          </w:p>
        </w:tc>
        <w:tc>
          <w:tcPr>
            <w:tcW w:w="964" w:type="dxa"/>
            <w:tcBorders>
              <w:top w:val="nil"/>
              <w:left w:val="nil"/>
              <w:bottom w:val="nil"/>
              <w:right w:val="nil"/>
            </w:tcBorders>
            <w:shd w:val="clear" w:color="000000" w:fill="F2F2F2"/>
            <w:noWrap/>
            <w:vAlign w:val="center"/>
            <w:hideMark/>
          </w:tcPr>
          <w:p w14:paraId="0854F667"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(25)</w:t>
            </w:r>
          </w:p>
        </w:tc>
        <w:tc>
          <w:tcPr>
            <w:tcW w:w="1016" w:type="dxa"/>
            <w:tcBorders>
              <w:top w:val="nil"/>
              <w:left w:val="nil"/>
              <w:bottom w:val="nil"/>
              <w:right w:val="nil"/>
            </w:tcBorders>
            <w:shd w:val="clear" w:color="000000" w:fill="F2F2F2"/>
            <w:noWrap/>
            <w:vAlign w:val="center"/>
            <w:hideMark/>
          </w:tcPr>
          <w:p w14:paraId="3E7D8012"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838</w:t>
            </w:r>
          </w:p>
        </w:tc>
        <w:tc>
          <w:tcPr>
            <w:tcW w:w="1076" w:type="dxa"/>
            <w:tcBorders>
              <w:top w:val="nil"/>
              <w:left w:val="nil"/>
              <w:bottom w:val="nil"/>
              <w:right w:val="nil"/>
            </w:tcBorders>
            <w:shd w:val="clear" w:color="000000" w:fill="F2F2F2"/>
            <w:noWrap/>
            <w:vAlign w:val="center"/>
            <w:hideMark/>
          </w:tcPr>
          <w:p w14:paraId="6FA70449"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1,349</w:t>
            </w:r>
          </w:p>
        </w:tc>
        <w:tc>
          <w:tcPr>
            <w:tcW w:w="956" w:type="dxa"/>
            <w:tcBorders>
              <w:top w:val="nil"/>
              <w:left w:val="nil"/>
              <w:bottom w:val="nil"/>
              <w:right w:val="nil"/>
            </w:tcBorders>
            <w:shd w:val="clear" w:color="000000" w:fill="F2F2F2"/>
            <w:noWrap/>
            <w:vAlign w:val="center"/>
            <w:hideMark/>
          </w:tcPr>
          <w:p w14:paraId="755C44E0"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146</w:t>
            </w:r>
          </w:p>
        </w:tc>
        <w:tc>
          <w:tcPr>
            <w:tcW w:w="1020" w:type="dxa"/>
            <w:tcBorders>
              <w:top w:val="nil"/>
              <w:left w:val="nil"/>
              <w:bottom w:val="nil"/>
              <w:right w:val="nil"/>
            </w:tcBorders>
            <w:shd w:val="clear" w:color="000000" w:fill="FFFFFF"/>
            <w:noWrap/>
            <w:vAlign w:val="center"/>
            <w:hideMark/>
          </w:tcPr>
          <w:p w14:paraId="6FCB35FD" w14:textId="77777777" w:rsidR="003E64CC" w:rsidRPr="003E64CC" w:rsidRDefault="003E64CC" w:rsidP="003E64CC">
            <w:pPr>
              <w:ind w:firstLineChars="100" w:firstLine="161"/>
              <w:jc w:val="right"/>
              <w:rPr>
                <w:rFonts w:ascii="Arial" w:hAnsi="Arial" w:cs="Arial"/>
                <w:b/>
                <w:bCs/>
                <w:sz w:val="16"/>
                <w:szCs w:val="16"/>
                <w:lang w:eastAsia="en-AU"/>
              </w:rPr>
            </w:pPr>
            <w:r w:rsidRPr="003E64CC">
              <w:rPr>
                <w:rFonts w:ascii="Arial" w:hAnsi="Arial" w:cs="Arial"/>
                <w:b/>
                <w:bCs/>
                <w:sz w:val="16"/>
                <w:szCs w:val="16"/>
                <w:lang w:eastAsia="en-AU"/>
              </w:rPr>
              <w:t>2,308</w:t>
            </w:r>
          </w:p>
        </w:tc>
      </w:tr>
      <w:tr w:rsidR="003E64CC" w:rsidRPr="003E64CC" w14:paraId="56E19DC7" w14:textId="77777777" w:rsidTr="003B5999">
        <w:trPr>
          <w:trHeight w:val="312"/>
        </w:trPr>
        <w:tc>
          <w:tcPr>
            <w:tcW w:w="3686" w:type="dxa"/>
            <w:tcBorders>
              <w:top w:val="single" w:sz="4" w:space="0" w:color="auto"/>
              <w:left w:val="nil"/>
              <w:bottom w:val="nil"/>
              <w:right w:val="nil"/>
            </w:tcBorders>
            <w:shd w:val="clear" w:color="000000" w:fill="FFFFFF"/>
            <w:noWrap/>
            <w:vAlign w:val="center"/>
            <w:hideMark/>
          </w:tcPr>
          <w:p w14:paraId="630548C3" w14:textId="77777777" w:rsidR="003E64CC" w:rsidRPr="003E64CC" w:rsidRDefault="003E64CC" w:rsidP="003E64CC">
            <w:pPr>
              <w:rPr>
                <w:rFonts w:ascii="Arial" w:hAnsi="Arial" w:cs="Arial"/>
                <w:b/>
                <w:bCs/>
                <w:color w:val="53C8E9"/>
                <w:sz w:val="16"/>
                <w:szCs w:val="16"/>
                <w:lang w:eastAsia="en-AU"/>
              </w:rPr>
            </w:pPr>
            <w:r w:rsidRPr="003E64CC">
              <w:rPr>
                <w:rFonts w:ascii="Arial" w:hAnsi="Arial" w:cs="Arial"/>
                <w:b/>
                <w:bCs/>
                <w:color w:val="53C8E9"/>
                <w:sz w:val="16"/>
                <w:szCs w:val="16"/>
                <w:lang w:eastAsia="en-AU"/>
              </w:rPr>
              <w:t>Total policy measures</w:t>
            </w:r>
          </w:p>
        </w:tc>
        <w:tc>
          <w:tcPr>
            <w:tcW w:w="964" w:type="dxa"/>
            <w:tcBorders>
              <w:top w:val="single" w:sz="4" w:space="0" w:color="auto"/>
              <w:left w:val="nil"/>
              <w:bottom w:val="nil"/>
              <w:right w:val="nil"/>
            </w:tcBorders>
            <w:shd w:val="clear" w:color="000000" w:fill="F2F2F2"/>
            <w:noWrap/>
            <w:vAlign w:val="center"/>
            <w:hideMark/>
          </w:tcPr>
          <w:p w14:paraId="5CC55713" w14:textId="77777777" w:rsidR="003E64CC" w:rsidRPr="003E64CC" w:rsidRDefault="003E64CC" w:rsidP="003E64CC">
            <w:pPr>
              <w:ind w:firstLineChars="100" w:firstLine="161"/>
              <w:jc w:val="right"/>
              <w:rPr>
                <w:rFonts w:ascii="Arial" w:hAnsi="Arial" w:cs="Arial"/>
                <w:b/>
                <w:bCs/>
                <w:color w:val="53C8E9"/>
                <w:sz w:val="16"/>
                <w:szCs w:val="16"/>
                <w:lang w:eastAsia="en-AU"/>
              </w:rPr>
            </w:pPr>
            <w:r w:rsidRPr="003E64CC">
              <w:rPr>
                <w:rFonts w:ascii="Arial" w:hAnsi="Arial" w:cs="Arial"/>
                <w:b/>
                <w:bCs/>
                <w:color w:val="53C8E9"/>
                <w:sz w:val="16"/>
                <w:szCs w:val="16"/>
                <w:lang w:eastAsia="en-AU"/>
              </w:rPr>
              <w:t>1,292</w:t>
            </w:r>
          </w:p>
        </w:tc>
        <w:tc>
          <w:tcPr>
            <w:tcW w:w="964" w:type="dxa"/>
            <w:tcBorders>
              <w:top w:val="single" w:sz="4" w:space="0" w:color="auto"/>
              <w:left w:val="nil"/>
              <w:bottom w:val="nil"/>
              <w:right w:val="nil"/>
            </w:tcBorders>
            <w:shd w:val="clear" w:color="000000" w:fill="F2F2F2"/>
            <w:noWrap/>
            <w:vAlign w:val="center"/>
            <w:hideMark/>
          </w:tcPr>
          <w:p w14:paraId="19AA65DF" w14:textId="77777777" w:rsidR="003E64CC" w:rsidRPr="003E64CC" w:rsidRDefault="003E64CC" w:rsidP="003E64CC">
            <w:pPr>
              <w:ind w:firstLineChars="100" w:firstLine="161"/>
              <w:jc w:val="right"/>
              <w:rPr>
                <w:rFonts w:ascii="Arial" w:hAnsi="Arial" w:cs="Arial"/>
                <w:b/>
                <w:bCs/>
                <w:color w:val="53C8E9"/>
                <w:sz w:val="16"/>
                <w:szCs w:val="16"/>
                <w:lang w:eastAsia="en-AU"/>
              </w:rPr>
            </w:pPr>
            <w:r w:rsidRPr="003E64CC">
              <w:rPr>
                <w:rFonts w:ascii="Arial" w:hAnsi="Arial" w:cs="Arial"/>
                <w:b/>
                <w:bCs/>
                <w:color w:val="53C8E9"/>
                <w:sz w:val="16"/>
                <w:szCs w:val="16"/>
                <w:lang w:eastAsia="en-AU"/>
              </w:rPr>
              <w:t>234</w:t>
            </w:r>
          </w:p>
        </w:tc>
        <w:tc>
          <w:tcPr>
            <w:tcW w:w="1016" w:type="dxa"/>
            <w:tcBorders>
              <w:top w:val="single" w:sz="4" w:space="0" w:color="auto"/>
              <w:left w:val="nil"/>
              <w:bottom w:val="nil"/>
              <w:right w:val="nil"/>
            </w:tcBorders>
            <w:shd w:val="clear" w:color="000000" w:fill="F2F2F2"/>
            <w:noWrap/>
            <w:vAlign w:val="center"/>
            <w:hideMark/>
          </w:tcPr>
          <w:p w14:paraId="3912DA0E" w14:textId="77777777" w:rsidR="003E64CC" w:rsidRPr="003E64CC" w:rsidRDefault="003E64CC" w:rsidP="003E64CC">
            <w:pPr>
              <w:ind w:firstLineChars="100" w:firstLine="161"/>
              <w:jc w:val="right"/>
              <w:rPr>
                <w:rFonts w:ascii="Arial" w:hAnsi="Arial" w:cs="Arial"/>
                <w:b/>
                <w:bCs/>
                <w:color w:val="53C8E9"/>
                <w:sz w:val="16"/>
                <w:szCs w:val="16"/>
                <w:lang w:eastAsia="en-AU"/>
              </w:rPr>
            </w:pPr>
            <w:r w:rsidRPr="003E64CC">
              <w:rPr>
                <w:rFonts w:ascii="Arial" w:hAnsi="Arial" w:cs="Arial"/>
                <w:b/>
                <w:bCs/>
                <w:color w:val="53C8E9"/>
                <w:sz w:val="16"/>
                <w:szCs w:val="16"/>
                <w:lang w:eastAsia="en-AU"/>
              </w:rPr>
              <w:t>1,233</w:t>
            </w:r>
          </w:p>
        </w:tc>
        <w:tc>
          <w:tcPr>
            <w:tcW w:w="1076" w:type="dxa"/>
            <w:tcBorders>
              <w:top w:val="single" w:sz="4" w:space="0" w:color="auto"/>
              <w:left w:val="nil"/>
              <w:bottom w:val="nil"/>
              <w:right w:val="nil"/>
            </w:tcBorders>
            <w:shd w:val="clear" w:color="000000" w:fill="F2F2F2"/>
            <w:noWrap/>
            <w:vAlign w:val="center"/>
            <w:hideMark/>
          </w:tcPr>
          <w:p w14:paraId="23440DD9" w14:textId="77777777" w:rsidR="003E64CC" w:rsidRPr="003E64CC" w:rsidRDefault="003E64CC" w:rsidP="003E64CC">
            <w:pPr>
              <w:ind w:firstLineChars="100" w:firstLine="161"/>
              <w:jc w:val="right"/>
              <w:rPr>
                <w:rFonts w:ascii="Arial" w:hAnsi="Arial" w:cs="Arial"/>
                <w:b/>
                <w:bCs/>
                <w:color w:val="53C8E9"/>
                <w:sz w:val="16"/>
                <w:szCs w:val="16"/>
                <w:lang w:eastAsia="en-AU"/>
              </w:rPr>
            </w:pPr>
            <w:r w:rsidRPr="003E64CC">
              <w:rPr>
                <w:rFonts w:ascii="Arial" w:hAnsi="Arial" w:cs="Arial"/>
                <w:b/>
                <w:bCs/>
                <w:color w:val="53C8E9"/>
                <w:sz w:val="16"/>
                <w:szCs w:val="16"/>
                <w:lang w:eastAsia="en-AU"/>
              </w:rPr>
              <w:t>1,786</w:t>
            </w:r>
          </w:p>
        </w:tc>
        <w:tc>
          <w:tcPr>
            <w:tcW w:w="956" w:type="dxa"/>
            <w:tcBorders>
              <w:top w:val="single" w:sz="4" w:space="0" w:color="auto"/>
              <w:left w:val="nil"/>
              <w:bottom w:val="nil"/>
              <w:right w:val="nil"/>
            </w:tcBorders>
            <w:shd w:val="clear" w:color="000000" w:fill="F2F2F2"/>
            <w:noWrap/>
            <w:vAlign w:val="center"/>
            <w:hideMark/>
          </w:tcPr>
          <w:p w14:paraId="04D4119B" w14:textId="77777777" w:rsidR="003E64CC" w:rsidRPr="003E64CC" w:rsidRDefault="003E64CC" w:rsidP="003E64CC">
            <w:pPr>
              <w:ind w:firstLineChars="100" w:firstLine="161"/>
              <w:jc w:val="right"/>
              <w:rPr>
                <w:rFonts w:ascii="Arial" w:hAnsi="Arial" w:cs="Arial"/>
                <w:b/>
                <w:bCs/>
                <w:color w:val="53C8E9"/>
                <w:sz w:val="16"/>
                <w:szCs w:val="16"/>
                <w:lang w:eastAsia="en-AU"/>
              </w:rPr>
            </w:pPr>
            <w:r w:rsidRPr="003E64CC">
              <w:rPr>
                <w:rFonts w:ascii="Arial" w:hAnsi="Arial" w:cs="Arial"/>
                <w:b/>
                <w:bCs/>
                <w:color w:val="53C8E9"/>
                <w:sz w:val="16"/>
                <w:szCs w:val="16"/>
                <w:lang w:eastAsia="en-AU"/>
              </w:rPr>
              <w:t>569</w:t>
            </w:r>
          </w:p>
        </w:tc>
        <w:tc>
          <w:tcPr>
            <w:tcW w:w="1020" w:type="dxa"/>
            <w:tcBorders>
              <w:top w:val="single" w:sz="4" w:space="0" w:color="auto"/>
              <w:left w:val="nil"/>
              <w:bottom w:val="nil"/>
              <w:right w:val="nil"/>
            </w:tcBorders>
            <w:shd w:val="clear" w:color="000000" w:fill="FFFFFF"/>
            <w:noWrap/>
            <w:vAlign w:val="center"/>
            <w:hideMark/>
          </w:tcPr>
          <w:p w14:paraId="56B41DA1" w14:textId="77777777" w:rsidR="003E64CC" w:rsidRPr="003E64CC" w:rsidRDefault="003E64CC" w:rsidP="003E64CC">
            <w:pPr>
              <w:ind w:firstLineChars="100" w:firstLine="161"/>
              <w:jc w:val="right"/>
              <w:rPr>
                <w:rFonts w:ascii="Arial" w:hAnsi="Arial" w:cs="Arial"/>
                <w:b/>
                <w:bCs/>
                <w:color w:val="53C8E9"/>
                <w:sz w:val="16"/>
                <w:szCs w:val="16"/>
                <w:lang w:eastAsia="en-AU"/>
              </w:rPr>
            </w:pPr>
            <w:r w:rsidRPr="003E64CC">
              <w:rPr>
                <w:rFonts w:ascii="Arial" w:hAnsi="Arial" w:cs="Arial"/>
                <w:b/>
                <w:bCs/>
                <w:color w:val="53C8E9"/>
                <w:sz w:val="16"/>
                <w:szCs w:val="16"/>
                <w:lang w:eastAsia="en-AU"/>
              </w:rPr>
              <w:t>3,821</w:t>
            </w:r>
          </w:p>
        </w:tc>
      </w:tr>
      <w:tr w:rsidR="003E64CC" w:rsidRPr="003E64CC" w14:paraId="44FA1AE3" w14:textId="77777777" w:rsidTr="003B5999">
        <w:trPr>
          <w:trHeight w:val="170"/>
        </w:trPr>
        <w:tc>
          <w:tcPr>
            <w:tcW w:w="3686" w:type="dxa"/>
            <w:tcBorders>
              <w:top w:val="nil"/>
              <w:left w:val="nil"/>
              <w:bottom w:val="nil"/>
              <w:right w:val="nil"/>
            </w:tcBorders>
            <w:shd w:val="clear" w:color="000000" w:fill="FFFFFF"/>
            <w:noWrap/>
            <w:vAlign w:val="center"/>
            <w:hideMark/>
          </w:tcPr>
          <w:p w14:paraId="286EB18A" w14:textId="77777777" w:rsidR="003E64CC" w:rsidRPr="003E64CC" w:rsidRDefault="003E64CC" w:rsidP="003E64CC">
            <w:pPr>
              <w:rPr>
                <w:rFonts w:ascii="Arial" w:hAnsi="Arial" w:cs="Arial"/>
                <w:b/>
                <w:bCs/>
                <w:color w:val="53C8E9"/>
                <w:sz w:val="16"/>
                <w:szCs w:val="16"/>
                <w:lang w:eastAsia="en-AU"/>
              </w:rPr>
            </w:pPr>
            <w:r w:rsidRPr="003E64CC">
              <w:rPr>
                <w:rFonts w:ascii="Arial" w:hAnsi="Arial" w:cs="Arial"/>
                <w:b/>
                <w:bCs/>
                <w:color w:val="53C8E9"/>
                <w:sz w:val="16"/>
                <w:szCs w:val="16"/>
                <w:lang w:eastAsia="en-AU"/>
              </w:rPr>
              <w:t> </w:t>
            </w:r>
          </w:p>
        </w:tc>
        <w:tc>
          <w:tcPr>
            <w:tcW w:w="964" w:type="dxa"/>
            <w:tcBorders>
              <w:top w:val="nil"/>
              <w:left w:val="nil"/>
              <w:bottom w:val="nil"/>
              <w:right w:val="nil"/>
            </w:tcBorders>
            <w:shd w:val="clear" w:color="000000" w:fill="F2F2F2"/>
            <w:noWrap/>
            <w:vAlign w:val="center"/>
            <w:hideMark/>
          </w:tcPr>
          <w:p w14:paraId="399DB13B" w14:textId="77777777" w:rsidR="003E64CC" w:rsidRPr="003E64CC" w:rsidRDefault="003E64CC" w:rsidP="003E64CC">
            <w:pPr>
              <w:ind w:firstLineChars="100" w:firstLine="161"/>
              <w:jc w:val="right"/>
              <w:rPr>
                <w:rFonts w:ascii="Arial" w:hAnsi="Arial" w:cs="Arial"/>
                <w:b/>
                <w:bCs/>
                <w:color w:val="53C8E9"/>
                <w:sz w:val="16"/>
                <w:szCs w:val="16"/>
                <w:lang w:eastAsia="en-AU"/>
              </w:rPr>
            </w:pPr>
            <w:r w:rsidRPr="003E64CC">
              <w:rPr>
                <w:rFonts w:ascii="Arial" w:hAnsi="Arial" w:cs="Arial"/>
                <w:b/>
                <w:bCs/>
                <w:color w:val="53C8E9"/>
                <w:sz w:val="16"/>
                <w:szCs w:val="16"/>
                <w:lang w:eastAsia="en-AU"/>
              </w:rPr>
              <w:t> </w:t>
            </w:r>
          </w:p>
        </w:tc>
        <w:tc>
          <w:tcPr>
            <w:tcW w:w="964" w:type="dxa"/>
            <w:tcBorders>
              <w:top w:val="nil"/>
              <w:left w:val="nil"/>
              <w:bottom w:val="nil"/>
              <w:right w:val="nil"/>
            </w:tcBorders>
            <w:shd w:val="clear" w:color="000000" w:fill="F2F2F2"/>
            <w:noWrap/>
            <w:vAlign w:val="center"/>
            <w:hideMark/>
          </w:tcPr>
          <w:p w14:paraId="71A503D1" w14:textId="77777777" w:rsidR="003E64CC" w:rsidRPr="003E64CC" w:rsidRDefault="003E64CC" w:rsidP="003E64CC">
            <w:pPr>
              <w:ind w:firstLineChars="100" w:firstLine="161"/>
              <w:jc w:val="right"/>
              <w:rPr>
                <w:rFonts w:ascii="Arial" w:hAnsi="Arial" w:cs="Arial"/>
                <w:b/>
                <w:bCs/>
                <w:color w:val="53C8E9"/>
                <w:sz w:val="16"/>
                <w:szCs w:val="16"/>
                <w:lang w:eastAsia="en-AU"/>
              </w:rPr>
            </w:pPr>
            <w:r w:rsidRPr="003E64CC">
              <w:rPr>
                <w:rFonts w:ascii="Arial" w:hAnsi="Arial" w:cs="Arial"/>
                <w:b/>
                <w:bCs/>
                <w:color w:val="53C8E9"/>
                <w:sz w:val="16"/>
                <w:szCs w:val="16"/>
                <w:lang w:eastAsia="en-AU"/>
              </w:rPr>
              <w:t> </w:t>
            </w:r>
          </w:p>
        </w:tc>
        <w:tc>
          <w:tcPr>
            <w:tcW w:w="1016" w:type="dxa"/>
            <w:tcBorders>
              <w:top w:val="nil"/>
              <w:left w:val="nil"/>
              <w:bottom w:val="nil"/>
              <w:right w:val="nil"/>
            </w:tcBorders>
            <w:shd w:val="clear" w:color="000000" w:fill="F2F2F2"/>
            <w:noWrap/>
            <w:vAlign w:val="center"/>
            <w:hideMark/>
          </w:tcPr>
          <w:p w14:paraId="62904B88" w14:textId="77777777" w:rsidR="003E64CC" w:rsidRPr="003E64CC" w:rsidRDefault="003E64CC" w:rsidP="003E64CC">
            <w:pPr>
              <w:ind w:firstLineChars="100" w:firstLine="161"/>
              <w:jc w:val="right"/>
              <w:rPr>
                <w:rFonts w:ascii="Arial" w:hAnsi="Arial" w:cs="Arial"/>
                <w:b/>
                <w:bCs/>
                <w:color w:val="53C8E9"/>
                <w:sz w:val="16"/>
                <w:szCs w:val="16"/>
                <w:lang w:eastAsia="en-AU"/>
              </w:rPr>
            </w:pPr>
            <w:r w:rsidRPr="003E64CC">
              <w:rPr>
                <w:rFonts w:ascii="Arial" w:hAnsi="Arial" w:cs="Arial"/>
                <w:b/>
                <w:bCs/>
                <w:color w:val="53C8E9"/>
                <w:sz w:val="16"/>
                <w:szCs w:val="16"/>
                <w:lang w:eastAsia="en-AU"/>
              </w:rPr>
              <w:t> </w:t>
            </w:r>
          </w:p>
        </w:tc>
        <w:tc>
          <w:tcPr>
            <w:tcW w:w="1076" w:type="dxa"/>
            <w:tcBorders>
              <w:top w:val="nil"/>
              <w:left w:val="nil"/>
              <w:bottom w:val="nil"/>
              <w:right w:val="nil"/>
            </w:tcBorders>
            <w:shd w:val="clear" w:color="000000" w:fill="F2F2F2"/>
            <w:noWrap/>
            <w:vAlign w:val="center"/>
            <w:hideMark/>
          </w:tcPr>
          <w:p w14:paraId="54AE7BBE" w14:textId="77777777" w:rsidR="003E64CC" w:rsidRPr="003E64CC" w:rsidRDefault="003E64CC" w:rsidP="003E64CC">
            <w:pPr>
              <w:ind w:firstLineChars="100" w:firstLine="161"/>
              <w:jc w:val="right"/>
              <w:rPr>
                <w:rFonts w:ascii="Arial" w:hAnsi="Arial" w:cs="Arial"/>
                <w:b/>
                <w:bCs/>
                <w:color w:val="53C8E9"/>
                <w:sz w:val="16"/>
                <w:szCs w:val="16"/>
                <w:lang w:eastAsia="en-AU"/>
              </w:rPr>
            </w:pPr>
            <w:r w:rsidRPr="003E64CC">
              <w:rPr>
                <w:rFonts w:ascii="Arial" w:hAnsi="Arial" w:cs="Arial"/>
                <w:b/>
                <w:bCs/>
                <w:color w:val="53C8E9"/>
                <w:sz w:val="16"/>
                <w:szCs w:val="16"/>
                <w:lang w:eastAsia="en-AU"/>
              </w:rPr>
              <w:t> </w:t>
            </w:r>
          </w:p>
        </w:tc>
        <w:tc>
          <w:tcPr>
            <w:tcW w:w="956" w:type="dxa"/>
            <w:tcBorders>
              <w:top w:val="nil"/>
              <w:left w:val="nil"/>
              <w:bottom w:val="nil"/>
              <w:right w:val="nil"/>
            </w:tcBorders>
            <w:shd w:val="clear" w:color="000000" w:fill="F2F2F2"/>
            <w:noWrap/>
            <w:vAlign w:val="center"/>
            <w:hideMark/>
          </w:tcPr>
          <w:p w14:paraId="44CE11F9" w14:textId="77777777" w:rsidR="003E64CC" w:rsidRPr="003E64CC" w:rsidRDefault="003E64CC" w:rsidP="003E64CC">
            <w:pPr>
              <w:ind w:firstLineChars="100" w:firstLine="161"/>
              <w:jc w:val="right"/>
              <w:rPr>
                <w:rFonts w:ascii="Arial" w:hAnsi="Arial" w:cs="Arial"/>
                <w:b/>
                <w:bCs/>
                <w:color w:val="53C8E9"/>
                <w:sz w:val="16"/>
                <w:szCs w:val="16"/>
                <w:lang w:eastAsia="en-AU"/>
              </w:rPr>
            </w:pPr>
            <w:r w:rsidRPr="003E64CC">
              <w:rPr>
                <w:rFonts w:ascii="Arial" w:hAnsi="Arial" w:cs="Arial"/>
                <w:b/>
                <w:bCs/>
                <w:color w:val="53C8E9"/>
                <w:sz w:val="16"/>
                <w:szCs w:val="16"/>
                <w:lang w:eastAsia="en-AU"/>
              </w:rPr>
              <w:t> </w:t>
            </w:r>
          </w:p>
        </w:tc>
        <w:tc>
          <w:tcPr>
            <w:tcW w:w="1020" w:type="dxa"/>
            <w:tcBorders>
              <w:top w:val="nil"/>
              <w:left w:val="nil"/>
              <w:bottom w:val="nil"/>
              <w:right w:val="nil"/>
            </w:tcBorders>
            <w:shd w:val="clear" w:color="000000" w:fill="FFFFFF"/>
            <w:noWrap/>
            <w:vAlign w:val="center"/>
            <w:hideMark/>
          </w:tcPr>
          <w:p w14:paraId="30945127" w14:textId="77777777" w:rsidR="003E64CC" w:rsidRPr="003E64CC" w:rsidRDefault="003E64CC" w:rsidP="003E64CC">
            <w:pPr>
              <w:ind w:firstLineChars="100" w:firstLine="161"/>
              <w:jc w:val="right"/>
              <w:rPr>
                <w:rFonts w:ascii="Arial" w:hAnsi="Arial" w:cs="Arial"/>
                <w:b/>
                <w:bCs/>
                <w:color w:val="53C8E9"/>
                <w:sz w:val="16"/>
                <w:szCs w:val="16"/>
                <w:lang w:eastAsia="en-AU"/>
              </w:rPr>
            </w:pPr>
            <w:r w:rsidRPr="003E64CC">
              <w:rPr>
                <w:rFonts w:ascii="Arial" w:hAnsi="Arial" w:cs="Arial"/>
                <w:b/>
                <w:bCs/>
                <w:color w:val="53C8E9"/>
                <w:sz w:val="16"/>
                <w:szCs w:val="16"/>
                <w:lang w:eastAsia="en-AU"/>
              </w:rPr>
              <w:t> </w:t>
            </w:r>
          </w:p>
        </w:tc>
      </w:tr>
      <w:tr w:rsidR="003E64CC" w:rsidRPr="003E64CC" w14:paraId="2344558C" w14:textId="77777777" w:rsidTr="003B5999">
        <w:trPr>
          <w:trHeight w:val="240"/>
        </w:trPr>
        <w:tc>
          <w:tcPr>
            <w:tcW w:w="3686" w:type="dxa"/>
            <w:tcBorders>
              <w:top w:val="nil"/>
              <w:left w:val="nil"/>
              <w:bottom w:val="nil"/>
              <w:right w:val="nil"/>
            </w:tcBorders>
            <w:shd w:val="clear" w:color="000000" w:fill="FFFFFF"/>
            <w:noWrap/>
            <w:vAlign w:val="center"/>
            <w:hideMark/>
          </w:tcPr>
          <w:p w14:paraId="49E64883" w14:textId="77777777" w:rsidR="003E64CC" w:rsidRPr="003E64CC" w:rsidRDefault="003E64CC" w:rsidP="003E64CC">
            <w:pPr>
              <w:rPr>
                <w:rFonts w:ascii="Arial" w:hAnsi="Arial" w:cs="Arial"/>
                <w:i/>
                <w:iCs/>
                <w:sz w:val="16"/>
                <w:szCs w:val="16"/>
                <w:lang w:eastAsia="en-AU"/>
              </w:rPr>
            </w:pPr>
            <w:r w:rsidRPr="003E64CC">
              <w:rPr>
                <w:rFonts w:ascii="Arial" w:hAnsi="Arial" w:cs="Arial"/>
                <w:i/>
                <w:iCs/>
                <w:sz w:val="16"/>
                <w:szCs w:val="16"/>
                <w:lang w:eastAsia="en-AU"/>
              </w:rPr>
              <w:t>Parameter changes since 2021-22 HYR</w:t>
            </w:r>
          </w:p>
        </w:tc>
        <w:tc>
          <w:tcPr>
            <w:tcW w:w="964" w:type="dxa"/>
            <w:tcBorders>
              <w:top w:val="nil"/>
              <w:left w:val="nil"/>
              <w:bottom w:val="nil"/>
              <w:right w:val="nil"/>
            </w:tcBorders>
            <w:shd w:val="clear" w:color="000000" w:fill="F2F2F2"/>
            <w:noWrap/>
            <w:vAlign w:val="center"/>
            <w:hideMark/>
          </w:tcPr>
          <w:p w14:paraId="22789F76"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 </w:t>
            </w:r>
          </w:p>
        </w:tc>
        <w:tc>
          <w:tcPr>
            <w:tcW w:w="964" w:type="dxa"/>
            <w:tcBorders>
              <w:top w:val="nil"/>
              <w:left w:val="nil"/>
              <w:bottom w:val="nil"/>
              <w:right w:val="nil"/>
            </w:tcBorders>
            <w:shd w:val="clear" w:color="000000" w:fill="F2F2F2"/>
            <w:noWrap/>
            <w:vAlign w:val="center"/>
            <w:hideMark/>
          </w:tcPr>
          <w:p w14:paraId="088A2B7E"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 </w:t>
            </w:r>
          </w:p>
        </w:tc>
        <w:tc>
          <w:tcPr>
            <w:tcW w:w="1016" w:type="dxa"/>
            <w:tcBorders>
              <w:top w:val="nil"/>
              <w:left w:val="nil"/>
              <w:bottom w:val="nil"/>
              <w:right w:val="nil"/>
            </w:tcBorders>
            <w:shd w:val="clear" w:color="000000" w:fill="F2F2F2"/>
            <w:noWrap/>
            <w:vAlign w:val="center"/>
            <w:hideMark/>
          </w:tcPr>
          <w:p w14:paraId="37B32809"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 </w:t>
            </w:r>
          </w:p>
        </w:tc>
        <w:tc>
          <w:tcPr>
            <w:tcW w:w="1076" w:type="dxa"/>
            <w:tcBorders>
              <w:top w:val="nil"/>
              <w:left w:val="nil"/>
              <w:bottom w:val="nil"/>
              <w:right w:val="nil"/>
            </w:tcBorders>
            <w:shd w:val="clear" w:color="000000" w:fill="F2F2F2"/>
            <w:noWrap/>
            <w:vAlign w:val="center"/>
            <w:hideMark/>
          </w:tcPr>
          <w:p w14:paraId="6F13C200"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 </w:t>
            </w:r>
          </w:p>
        </w:tc>
        <w:tc>
          <w:tcPr>
            <w:tcW w:w="956" w:type="dxa"/>
            <w:tcBorders>
              <w:top w:val="nil"/>
              <w:left w:val="nil"/>
              <w:bottom w:val="nil"/>
              <w:right w:val="nil"/>
            </w:tcBorders>
            <w:shd w:val="clear" w:color="000000" w:fill="F2F2F2"/>
            <w:noWrap/>
            <w:vAlign w:val="center"/>
            <w:hideMark/>
          </w:tcPr>
          <w:p w14:paraId="640666F2"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 </w:t>
            </w:r>
          </w:p>
        </w:tc>
        <w:tc>
          <w:tcPr>
            <w:tcW w:w="1020" w:type="dxa"/>
            <w:tcBorders>
              <w:top w:val="nil"/>
              <w:left w:val="nil"/>
              <w:bottom w:val="nil"/>
              <w:right w:val="nil"/>
            </w:tcBorders>
            <w:shd w:val="clear" w:color="000000" w:fill="FFFFFF"/>
            <w:noWrap/>
            <w:vAlign w:val="center"/>
            <w:hideMark/>
          </w:tcPr>
          <w:p w14:paraId="64A82FF2" w14:textId="77777777" w:rsidR="003E64CC" w:rsidRPr="003E64CC" w:rsidRDefault="003E64CC" w:rsidP="003E64CC">
            <w:pPr>
              <w:ind w:firstLineChars="100" w:firstLine="161"/>
              <w:jc w:val="right"/>
              <w:rPr>
                <w:rFonts w:ascii="Arial" w:hAnsi="Arial" w:cs="Arial"/>
                <w:b/>
                <w:bCs/>
                <w:color w:val="0579B9"/>
                <w:sz w:val="16"/>
                <w:szCs w:val="16"/>
                <w:lang w:eastAsia="en-AU"/>
              </w:rPr>
            </w:pPr>
            <w:r w:rsidRPr="003E64CC">
              <w:rPr>
                <w:rFonts w:ascii="Arial" w:hAnsi="Arial" w:cs="Arial"/>
                <w:b/>
                <w:bCs/>
                <w:color w:val="0579B9"/>
                <w:sz w:val="16"/>
                <w:szCs w:val="16"/>
                <w:lang w:eastAsia="en-AU"/>
              </w:rPr>
              <w:t> </w:t>
            </w:r>
          </w:p>
        </w:tc>
      </w:tr>
      <w:tr w:rsidR="003E64CC" w:rsidRPr="003E64CC" w14:paraId="3156048A" w14:textId="77777777" w:rsidTr="003B5999">
        <w:trPr>
          <w:trHeight w:val="79"/>
        </w:trPr>
        <w:tc>
          <w:tcPr>
            <w:tcW w:w="3686" w:type="dxa"/>
            <w:tcBorders>
              <w:top w:val="nil"/>
              <w:left w:val="nil"/>
              <w:bottom w:val="nil"/>
              <w:right w:val="nil"/>
            </w:tcBorders>
            <w:shd w:val="clear" w:color="000000" w:fill="FFFFFF"/>
            <w:noWrap/>
            <w:vAlign w:val="center"/>
            <w:hideMark/>
          </w:tcPr>
          <w:p w14:paraId="0F928E4A" w14:textId="77777777" w:rsidR="003E64CC" w:rsidRPr="003E64CC" w:rsidRDefault="003E64CC" w:rsidP="003E64CC">
            <w:pPr>
              <w:rPr>
                <w:rFonts w:ascii="Arial" w:hAnsi="Arial" w:cs="Arial"/>
                <w:i/>
                <w:iCs/>
                <w:sz w:val="16"/>
                <w:szCs w:val="16"/>
                <w:lang w:eastAsia="en-AU"/>
              </w:rPr>
            </w:pPr>
            <w:r w:rsidRPr="003E64CC">
              <w:rPr>
                <w:rFonts w:ascii="Arial" w:hAnsi="Arial" w:cs="Arial"/>
                <w:i/>
                <w:iCs/>
                <w:sz w:val="16"/>
                <w:szCs w:val="16"/>
                <w:lang w:eastAsia="en-AU"/>
              </w:rPr>
              <w:t> </w:t>
            </w:r>
          </w:p>
        </w:tc>
        <w:tc>
          <w:tcPr>
            <w:tcW w:w="964" w:type="dxa"/>
            <w:tcBorders>
              <w:top w:val="nil"/>
              <w:left w:val="nil"/>
              <w:bottom w:val="nil"/>
              <w:right w:val="nil"/>
            </w:tcBorders>
            <w:shd w:val="clear" w:color="000000" w:fill="F2F2F2"/>
            <w:noWrap/>
            <w:vAlign w:val="center"/>
            <w:hideMark/>
          </w:tcPr>
          <w:p w14:paraId="046969BB"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 </w:t>
            </w:r>
          </w:p>
        </w:tc>
        <w:tc>
          <w:tcPr>
            <w:tcW w:w="964" w:type="dxa"/>
            <w:tcBorders>
              <w:top w:val="nil"/>
              <w:left w:val="nil"/>
              <w:bottom w:val="nil"/>
              <w:right w:val="nil"/>
            </w:tcBorders>
            <w:shd w:val="clear" w:color="000000" w:fill="F2F2F2"/>
            <w:noWrap/>
            <w:vAlign w:val="center"/>
            <w:hideMark/>
          </w:tcPr>
          <w:p w14:paraId="5B09CAED"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 </w:t>
            </w:r>
          </w:p>
        </w:tc>
        <w:tc>
          <w:tcPr>
            <w:tcW w:w="1016" w:type="dxa"/>
            <w:tcBorders>
              <w:top w:val="nil"/>
              <w:left w:val="nil"/>
              <w:bottom w:val="nil"/>
              <w:right w:val="nil"/>
            </w:tcBorders>
            <w:shd w:val="clear" w:color="000000" w:fill="F2F2F2"/>
            <w:noWrap/>
            <w:vAlign w:val="center"/>
            <w:hideMark/>
          </w:tcPr>
          <w:p w14:paraId="21BAD571"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 </w:t>
            </w:r>
          </w:p>
        </w:tc>
        <w:tc>
          <w:tcPr>
            <w:tcW w:w="1076" w:type="dxa"/>
            <w:tcBorders>
              <w:top w:val="nil"/>
              <w:left w:val="nil"/>
              <w:bottom w:val="nil"/>
              <w:right w:val="nil"/>
            </w:tcBorders>
            <w:shd w:val="clear" w:color="000000" w:fill="F2F2F2"/>
            <w:noWrap/>
            <w:vAlign w:val="center"/>
            <w:hideMark/>
          </w:tcPr>
          <w:p w14:paraId="179B26BF"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 </w:t>
            </w:r>
          </w:p>
        </w:tc>
        <w:tc>
          <w:tcPr>
            <w:tcW w:w="956" w:type="dxa"/>
            <w:tcBorders>
              <w:top w:val="nil"/>
              <w:left w:val="nil"/>
              <w:bottom w:val="nil"/>
              <w:right w:val="nil"/>
            </w:tcBorders>
            <w:shd w:val="clear" w:color="000000" w:fill="F2F2F2"/>
            <w:noWrap/>
            <w:vAlign w:val="center"/>
            <w:hideMark/>
          </w:tcPr>
          <w:p w14:paraId="362A26EF"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 </w:t>
            </w:r>
          </w:p>
        </w:tc>
        <w:tc>
          <w:tcPr>
            <w:tcW w:w="1020" w:type="dxa"/>
            <w:tcBorders>
              <w:top w:val="nil"/>
              <w:left w:val="nil"/>
              <w:bottom w:val="nil"/>
              <w:right w:val="nil"/>
            </w:tcBorders>
            <w:shd w:val="clear" w:color="000000" w:fill="FFFFFF"/>
            <w:noWrap/>
            <w:vAlign w:val="center"/>
            <w:hideMark/>
          </w:tcPr>
          <w:p w14:paraId="0A24657C" w14:textId="77777777" w:rsidR="003E64CC" w:rsidRPr="003E64CC" w:rsidRDefault="003E64CC" w:rsidP="003E64CC">
            <w:pPr>
              <w:ind w:firstLineChars="100" w:firstLine="161"/>
              <w:jc w:val="right"/>
              <w:rPr>
                <w:rFonts w:ascii="Arial" w:hAnsi="Arial" w:cs="Arial"/>
                <w:b/>
                <w:bCs/>
                <w:color w:val="0579B9"/>
                <w:sz w:val="16"/>
                <w:szCs w:val="16"/>
                <w:lang w:eastAsia="en-AU"/>
              </w:rPr>
            </w:pPr>
            <w:r w:rsidRPr="003E64CC">
              <w:rPr>
                <w:rFonts w:ascii="Arial" w:hAnsi="Arial" w:cs="Arial"/>
                <w:b/>
                <w:bCs/>
                <w:color w:val="0579B9"/>
                <w:sz w:val="16"/>
                <w:szCs w:val="16"/>
                <w:lang w:eastAsia="en-AU"/>
              </w:rPr>
              <w:t> </w:t>
            </w:r>
          </w:p>
        </w:tc>
      </w:tr>
      <w:tr w:rsidR="003E64CC" w:rsidRPr="003E64CC" w14:paraId="7693B60D" w14:textId="77777777" w:rsidTr="003B5999">
        <w:trPr>
          <w:trHeight w:val="222"/>
        </w:trPr>
        <w:tc>
          <w:tcPr>
            <w:tcW w:w="3686" w:type="dxa"/>
            <w:tcBorders>
              <w:top w:val="nil"/>
              <w:left w:val="nil"/>
              <w:bottom w:val="nil"/>
              <w:right w:val="nil"/>
            </w:tcBorders>
            <w:shd w:val="clear" w:color="000000" w:fill="FFFFFF"/>
            <w:noWrap/>
            <w:vAlign w:val="center"/>
            <w:hideMark/>
          </w:tcPr>
          <w:p w14:paraId="4BF8E857" w14:textId="77777777" w:rsidR="003E64CC" w:rsidRPr="003E64CC" w:rsidRDefault="003E64CC" w:rsidP="003E64CC">
            <w:pPr>
              <w:rPr>
                <w:rFonts w:ascii="Arial" w:hAnsi="Arial" w:cs="Arial"/>
                <w:b/>
                <w:bCs/>
                <w:sz w:val="16"/>
                <w:szCs w:val="16"/>
                <w:lang w:eastAsia="en-AU"/>
              </w:rPr>
            </w:pPr>
            <w:r w:rsidRPr="003E64CC">
              <w:rPr>
                <w:rFonts w:ascii="Arial" w:hAnsi="Arial" w:cs="Arial"/>
                <w:b/>
                <w:bCs/>
                <w:sz w:val="16"/>
                <w:szCs w:val="16"/>
                <w:lang w:eastAsia="en-AU"/>
              </w:rPr>
              <w:t>Taxation</w:t>
            </w:r>
          </w:p>
        </w:tc>
        <w:tc>
          <w:tcPr>
            <w:tcW w:w="964" w:type="dxa"/>
            <w:tcBorders>
              <w:top w:val="nil"/>
              <w:left w:val="nil"/>
              <w:bottom w:val="nil"/>
              <w:right w:val="nil"/>
            </w:tcBorders>
            <w:shd w:val="clear" w:color="000000" w:fill="F2F2F2"/>
            <w:noWrap/>
            <w:vAlign w:val="center"/>
            <w:hideMark/>
          </w:tcPr>
          <w:p w14:paraId="26F63304"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 </w:t>
            </w:r>
          </w:p>
        </w:tc>
        <w:tc>
          <w:tcPr>
            <w:tcW w:w="964" w:type="dxa"/>
            <w:tcBorders>
              <w:top w:val="nil"/>
              <w:left w:val="nil"/>
              <w:bottom w:val="nil"/>
              <w:right w:val="nil"/>
            </w:tcBorders>
            <w:shd w:val="clear" w:color="000000" w:fill="F2F2F2"/>
            <w:noWrap/>
            <w:vAlign w:val="center"/>
            <w:hideMark/>
          </w:tcPr>
          <w:p w14:paraId="4E0FD906"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 </w:t>
            </w:r>
          </w:p>
        </w:tc>
        <w:tc>
          <w:tcPr>
            <w:tcW w:w="1016" w:type="dxa"/>
            <w:tcBorders>
              <w:top w:val="nil"/>
              <w:left w:val="nil"/>
              <w:bottom w:val="nil"/>
              <w:right w:val="nil"/>
            </w:tcBorders>
            <w:shd w:val="clear" w:color="000000" w:fill="F2F2F2"/>
            <w:noWrap/>
            <w:vAlign w:val="center"/>
            <w:hideMark/>
          </w:tcPr>
          <w:p w14:paraId="51059A57"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 </w:t>
            </w:r>
          </w:p>
        </w:tc>
        <w:tc>
          <w:tcPr>
            <w:tcW w:w="1076" w:type="dxa"/>
            <w:tcBorders>
              <w:top w:val="nil"/>
              <w:left w:val="nil"/>
              <w:bottom w:val="nil"/>
              <w:right w:val="nil"/>
            </w:tcBorders>
            <w:shd w:val="clear" w:color="000000" w:fill="F2F2F2"/>
            <w:noWrap/>
            <w:vAlign w:val="center"/>
            <w:hideMark/>
          </w:tcPr>
          <w:p w14:paraId="5EFEC94E"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 </w:t>
            </w:r>
          </w:p>
        </w:tc>
        <w:tc>
          <w:tcPr>
            <w:tcW w:w="956" w:type="dxa"/>
            <w:tcBorders>
              <w:top w:val="nil"/>
              <w:left w:val="nil"/>
              <w:bottom w:val="nil"/>
              <w:right w:val="nil"/>
            </w:tcBorders>
            <w:shd w:val="clear" w:color="000000" w:fill="F2F2F2"/>
            <w:noWrap/>
            <w:vAlign w:val="center"/>
            <w:hideMark/>
          </w:tcPr>
          <w:p w14:paraId="6F7D9D09"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 </w:t>
            </w:r>
          </w:p>
        </w:tc>
        <w:tc>
          <w:tcPr>
            <w:tcW w:w="1020" w:type="dxa"/>
            <w:tcBorders>
              <w:top w:val="nil"/>
              <w:left w:val="nil"/>
              <w:bottom w:val="nil"/>
              <w:right w:val="nil"/>
            </w:tcBorders>
            <w:shd w:val="clear" w:color="000000" w:fill="FFFFFF"/>
            <w:noWrap/>
            <w:vAlign w:val="center"/>
            <w:hideMark/>
          </w:tcPr>
          <w:p w14:paraId="40FE4B18" w14:textId="77777777" w:rsidR="003E64CC" w:rsidRPr="003E64CC" w:rsidRDefault="003E64CC" w:rsidP="003E64CC">
            <w:pPr>
              <w:ind w:firstLineChars="100" w:firstLine="161"/>
              <w:jc w:val="right"/>
              <w:rPr>
                <w:rFonts w:ascii="Arial" w:hAnsi="Arial" w:cs="Arial"/>
                <w:b/>
                <w:bCs/>
                <w:color w:val="0579B9"/>
                <w:sz w:val="16"/>
                <w:szCs w:val="16"/>
                <w:lang w:eastAsia="en-AU"/>
              </w:rPr>
            </w:pPr>
            <w:r w:rsidRPr="003E64CC">
              <w:rPr>
                <w:rFonts w:ascii="Arial" w:hAnsi="Arial" w:cs="Arial"/>
                <w:b/>
                <w:bCs/>
                <w:color w:val="0579B9"/>
                <w:sz w:val="16"/>
                <w:szCs w:val="16"/>
                <w:lang w:eastAsia="en-AU"/>
              </w:rPr>
              <w:t> </w:t>
            </w:r>
          </w:p>
        </w:tc>
      </w:tr>
      <w:tr w:rsidR="003E64CC" w:rsidRPr="003E64CC" w14:paraId="56647389" w14:textId="77777777" w:rsidTr="003B5999">
        <w:trPr>
          <w:trHeight w:val="240"/>
        </w:trPr>
        <w:tc>
          <w:tcPr>
            <w:tcW w:w="3686" w:type="dxa"/>
            <w:tcBorders>
              <w:top w:val="nil"/>
              <w:left w:val="nil"/>
              <w:bottom w:val="nil"/>
              <w:right w:val="nil"/>
            </w:tcBorders>
            <w:shd w:val="clear" w:color="000000" w:fill="FFFFFF"/>
            <w:noWrap/>
            <w:vAlign w:val="center"/>
            <w:hideMark/>
          </w:tcPr>
          <w:p w14:paraId="1BBC04DD" w14:textId="77777777" w:rsidR="003E64CC" w:rsidRPr="003E64CC" w:rsidRDefault="003E64CC" w:rsidP="003E64CC">
            <w:pPr>
              <w:rPr>
                <w:rFonts w:ascii="Arial" w:hAnsi="Arial" w:cs="Arial"/>
                <w:sz w:val="16"/>
                <w:szCs w:val="16"/>
                <w:lang w:eastAsia="en-AU"/>
              </w:rPr>
            </w:pPr>
            <w:r w:rsidRPr="003E64CC">
              <w:rPr>
                <w:rFonts w:ascii="Arial" w:hAnsi="Arial" w:cs="Arial"/>
                <w:sz w:val="16"/>
                <w:szCs w:val="16"/>
                <w:lang w:eastAsia="en-AU"/>
              </w:rPr>
              <w:t>Payroll tax</w:t>
            </w:r>
          </w:p>
        </w:tc>
        <w:tc>
          <w:tcPr>
            <w:tcW w:w="964" w:type="dxa"/>
            <w:tcBorders>
              <w:top w:val="nil"/>
              <w:left w:val="nil"/>
              <w:bottom w:val="nil"/>
              <w:right w:val="nil"/>
            </w:tcBorders>
            <w:shd w:val="clear" w:color="000000" w:fill="F2F2F2"/>
            <w:noWrap/>
            <w:vAlign w:val="center"/>
            <w:hideMark/>
          </w:tcPr>
          <w:p w14:paraId="17135ABE"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437</w:t>
            </w:r>
          </w:p>
        </w:tc>
        <w:tc>
          <w:tcPr>
            <w:tcW w:w="964" w:type="dxa"/>
            <w:tcBorders>
              <w:top w:val="nil"/>
              <w:left w:val="nil"/>
              <w:bottom w:val="nil"/>
              <w:right w:val="nil"/>
            </w:tcBorders>
            <w:shd w:val="clear" w:color="000000" w:fill="F2F2F2"/>
            <w:noWrap/>
            <w:vAlign w:val="center"/>
            <w:hideMark/>
          </w:tcPr>
          <w:p w14:paraId="5C8CF74D"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519</w:t>
            </w:r>
          </w:p>
        </w:tc>
        <w:tc>
          <w:tcPr>
            <w:tcW w:w="1016" w:type="dxa"/>
            <w:tcBorders>
              <w:top w:val="nil"/>
              <w:left w:val="nil"/>
              <w:bottom w:val="nil"/>
              <w:right w:val="nil"/>
            </w:tcBorders>
            <w:shd w:val="clear" w:color="000000" w:fill="F2F2F2"/>
            <w:noWrap/>
            <w:vAlign w:val="center"/>
            <w:hideMark/>
          </w:tcPr>
          <w:p w14:paraId="26F81B5E"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611</w:t>
            </w:r>
          </w:p>
        </w:tc>
        <w:tc>
          <w:tcPr>
            <w:tcW w:w="1076" w:type="dxa"/>
            <w:tcBorders>
              <w:top w:val="nil"/>
              <w:left w:val="nil"/>
              <w:bottom w:val="nil"/>
              <w:right w:val="nil"/>
            </w:tcBorders>
            <w:shd w:val="clear" w:color="000000" w:fill="F2F2F2"/>
            <w:noWrap/>
            <w:vAlign w:val="center"/>
            <w:hideMark/>
          </w:tcPr>
          <w:p w14:paraId="173EA930"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649</w:t>
            </w:r>
          </w:p>
        </w:tc>
        <w:tc>
          <w:tcPr>
            <w:tcW w:w="956" w:type="dxa"/>
            <w:tcBorders>
              <w:top w:val="nil"/>
              <w:left w:val="nil"/>
              <w:bottom w:val="nil"/>
              <w:right w:val="nil"/>
            </w:tcBorders>
            <w:shd w:val="clear" w:color="000000" w:fill="F2F2F2"/>
            <w:noWrap/>
            <w:vAlign w:val="center"/>
            <w:hideMark/>
          </w:tcPr>
          <w:p w14:paraId="59ED4737"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539</w:t>
            </w:r>
          </w:p>
        </w:tc>
        <w:tc>
          <w:tcPr>
            <w:tcW w:w="1020" w:type="dxa"/>
            <w:tcBorders>
              <w:top w:val="nil"/>
              <w:left w:val="nil"/>
              <w:bottom w:val="nil"/>
              <w:right w:val="nil"/>
            </w:tcBorders>
            <w:shd w:val="clear" w:color="000000" w:fill="FFFFFF"/>
            <w:noWrap/>
            <w:vAlign w:val="center"/>
            <w:hideMark/>
          </w:tcPr>
          <w:p w14:paraId="7ED1EC55" w14:textId="77777777" w:rsidR="003E64CC" w:rsidRPr="003E64CC" w:rsidRDefault="003E64CC" w:rsidP="003E64CC">
            <w:pPr>
              <w:ind w:firstLineChars="100" w:firstLine="161"/>
              <w:jc w:val="right"/>
              <w:rPr>
                <w:rFonts w:ascii="Arial" w:hAnsi="Arial" w:cs="Arial"/>
                <w:b/>
                <w:bCs/>
                <w:sz w:val="16"/>
                <w:szCs w:val="16"/>
                <w:lang w:eastAsia="en-AU"/>
              </w:rPr>
            </w:pPr>
            <w:r w:rsidRPr="003E64CC">
              <w:rPr>
                <w:rFonts w:ascii="Arial" w:hAnsi="Arial" w:cs="Arial"/>
                <w:b/>
                <w:bCs/>
                <w:sz w:val="16"/>
                <w:szCs w:val="16"/>
                <w:lang w:eastAsia="en-AU"/>
              </w:rPr>
              <w:t>2,318</w:t>
            </w:r>
          </w:p>
        </w:tc>
      </w:tr>
      <w:tr w:rsidR="003E64CC" w:rsidRPr="003E64CC" w14:paraId="6CE6E283" w14:textId="77777777" w:rsidTr="003B5999">
        <w:trPr>
          <w:trHeight w:val="240"/>
        </w:trPr>
        <w:tc>
          <w:tcPr>
            <w:tcW w:w="3686" w:type="dxa"/>
            <w:tcBorders>
              <w:top w:val="nil"/>
              <w:left w:val="nil"/>
              <w:bottom w:val="nil"/>
              <w:right w:val="nil"/>
            </w:tcBorders>
            <w:shd w:val="clear" w:color="000000" w:fill="FFFFFF"/>
            <w:noWrap/>
            <w:vAlign w:val="center"/>
            <w:hideMark/>
          </w:tcPr>
          <w:p w14:paraId="66B135F2" w14:textId="77777777" w:rsidR="003E64CC" w:rsidRPr="003E64CC" w:rsidRDefault="003E64CC" w:rsidP="003E64CC">
            <w:pPr>
              <w:rPr>
                <w:rFonts w:ascii="Arial" w:hAnsi="Arial" w:cs="Arial"/>
                <w:sz w:val="16"/>
                <w:szCs w:val="16"/>
                <w:lang w:eastAsia="en-AU"/>
              </w:rPr>
            </w:pPr>
            <w:r w:rsidRPr="003E64CC">
              <w:rPr>
                <w:rFonts w:ascii="Arial" w:hAnsi="Arial" w:cs="Arial"/>
                <w:sz w:val="16"/>
                <w:szCs w:val="16"/>
                <w:lang w:eastAsia="en-AU"/>
              </w:rPr>
              <w:t>Transfer duty</w:t>
            </w:r>
          </w:p>
        </w:tc>
        <w:tc>
          <w:tcPr>
            <w:tcW w:w="964" w:type="dxa"/>
            <w:tcBorders>
              <w:top w:val="nil"/>
              <w:left w:val="nil"/>
              <w:bottom w:val="nil"/>
              <w:right w:val="nil"/>
            </w:tcBorders>
            <w:shd w:val="clear" w:color="000000" w:fill="F2F2F2"/>
            <w:noWrap/>
            <w:vAlign w:val="center"/>
            <w:hideMark/>
          </w:tcPr>
          <w:p w14:paraId="376F6353"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1,234</w:t>
            </w:r>
          </w:p>
        </w:tc>
        <w:tc>
          <w:tcPr>
            <w:tcW w:w="964" w:type="dxa"/>
            <w:tcBorders>
              <w:top w:val="nil"/>
              <w:left w:val="nil"/>
              <w:bottom w:val="nil"/>
              <w:right w:val="nil"/>
            </w:tcBorders>
            <w:shd w:val="clear" w:color="000000" w:fill="F2F2F2"/>
            <w:noWrap/>
            <w:vAlign w:val="center"/>
            <w:hideMark/>
          </w:tcPr>
          <w:p w14:paraId="47423BE5"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(512)</w:t>
            </w:r>
          </w:p>
        </w:tc>
        <w:tc>
          <w:tcPr>
            <w:tcW w:w="1016" w:type="dxa"/>
            <w:tcBorders>
              <w:top w:val="nil"/>
              <w:left w:val="nil"/>
              <w:bottom w:val="nil"/>
              <w:right w:val="nil"/>
            </w:tcBorders>
            <w:shd w:val="clear" w:color="000000" w:fill="F2F2F2"/>
            <w:noWrap/>
            <w:vAlign w:val="center"/>
            <w:hideMark/>
          </w:tcPr>
          <w:p w14:paraId="5300AABD"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(624)</w:t>
            </w:r>
          </w:p>
        </w:tc>
        <w:tc>
          <w:tcPr>
            <w:tcW w:w="1076" w:type="dxa"/>
            <w:tcBorders>
              <w:top w:val="nil"/>
              <w:left w:val="nil"/>
              <w:bottom w:val="nil"/>
              <w:right w:val="nil"/>
            </w:tcBorders>
            <w:shd w:val="clear" w:color="000000" w:fill="F2F2F2"/>
            <w:noWrap/>
            <w:vAlign w:val="center"/>
            <w:hideMark/>
          </w:tcPr>
          <w:p w14:paraId="5BA2F9BD"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385</w:t>
            </w:r>
          </w:p>
        </w:tc>
        <w:tc>
          <w:tcPr>
            <w:tcW w:w="956" w:type="dxa"/>
            <w:tcBorders>
              <w:top w:val="nil"/>
              <w:left w:val="nil"/>
              <w:bottom w:val="nil"/>
              <w:right w:val="nil"/>
            </w:tcBorders>
            <w:shd w:val="clear" w:color="000000" w:fill="F2F2F2"/>
            <w:noWrap/>
            <w:vAlign w:val="center"/>
            <w:hideMark/>
          </w:tcPr>
          <w:p w14:paraId="1653A2C7"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276</w:t>
            </w:r>
          </w:p>
        </w:tc>
        <w:tc>
          <w:tcPr>
            <w:tcW w:w="1020" w:type="dxa"/>
            <w:tcBorders>
              <w:top w:val="nil"/>
              <w:left w:val="nil"/>
              <w:bottom w:val="nil"/>
              <w:right w:val="nil"/>
            </w:tcBorders>
            <w:shd w:val="clear" w:color="000000" w:fill="FFFFFF"/>
            <w:noWrap/>
            <w:vAlign w:val="center"/>
            <w:hideMark/>
          </w:tcPr>
          <w:p w14:paraId="21985AFA" w14:textId="77777777" w:rsidR="003E64CC" w:rsidRPr="003E64CC" w:rsidRDefault="003E64CC" w:rsidP="003E64CC">
            <w:pPr>
              <w:ind w:firstLineChars="100" w:firstLine="161"/>
              <w:jc w:val="right"/>
              <w:rPr>
                <w:rFonts w:ascii="Arial" w:hAnsi="Arial" w:cs="Arial"/>
                <w:b/>
                <w:bCs/>
                <w:sz w:val="16"/>
                <w:szCs w:val="16"/>
                <w:lang w:eastAsia="en-AU"/>
              </w:rPr>
            </w:pPr>
            <w:r w:rsidRPr="003E64CC">
              <w:rPr>
                <w:rFonts w:ascii="Arial" w:hAnsi="Arial" w:cs="Arial"/>
                <w:b/>
                <w:bCs/>
                <w:sz w:val="16"/>
                <w:szCs w:val="16"/>
                <w:lang w:eastAsia="en-AU"/>
              </w:rPr>
              <w:t>-475</w:t>
            </w:r>
          </w:p>
        </w:tc>
      </w:tr>
      <w:tr w:rsidR="003E64CC" w:rsidRPr="003E64CC" w14:paraId="2920F481" w14:textId="77777777" w:rsidTr="003B5999">
        <w:trPr>
          <w:trHeight w:val="240"/>
        </w:trPr>
        <w:tc>
          <w:tcPr>
            <w:tcW w:w="3686" w:type="dxa"/>
            <w:tcBorders>
              <w:top w:val="nil"/>
              <w:left w:val="nil"/>
              <w:bottom w:val="nil"/>
              <w:right w:val="nil"/>
            </w:tcBorders>
            <w:shd w:val="clear" w:color="000000" w:fill="FFFFFF"/>
            <w:noWrap/>
            <w:vAlign w:val="center"/>
            <w:hideMark/>
          </w:tcPr>
          <w:p w14:paraId="708CB68B" w14:textId="77777777" w:rsidR="003E64CC" w:rsidRPr="003E64CC" w:rsidRDefault="003E64CC" w:rsidP="003E64CC">
            <w:pPr>
              <w:rPr>
                <w:rFonts w:ascii="Arial" w:hAnsi="Arial" w:cs="Arial"/>
                <w:sz w:val="16"/>
                <w:szCs w:val="16"/>
                <w:lang w:eastAsia="en-AU"/>
              </w:rPr>
            </w:pPr>
            <w:r w:rsidRPr="003E64CC">
              <w:rPr>
                <w:rFonts w:ascii="Arial" w:hAnsi="Arial" w:cs="Arial"/>
                <w:sz w:val="16"/>
                <w:szCs w:val="16"/>
                <w:lang w:eastAsia="en-AU"/>
              </w:rPr>
              <w:t>Land tax</w:t>
            </w:r>
          </w:p>
        </w:tc>
        <w:tc>
          <w:tcPr>
            <w:tcW w:w="964" w:type="dxa"/>
            <w:tcBorders>
              <w:top w:val="nil"/>
              <w:left w:val="nil"/>
              <w:bottom w:val="nil"/>
              <w:right w:val="nil"/>
            </w:tcBorders>
            <w:shd w:val="clear" w:color="000000" w:fill="F2F2F2"/>
            <w:noWrap/>
            <w:vAlign w:val="center"/>
            <w:hideMark/>
          </w:tcPr>
          <w:p w14:paraId="6143F58B"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(61)</w:t>
            </w:r>
          </w:p>
        </w:tc>
        <w:tc>
          <w:tcPr>
            <w:tcW w:w="964" w:type="dxa"/>
            <w:tcBorders>
              <w:top w:val="nil"/>
              <w:left w:val="nil"/>
              <w:bottom w:val="nil"/>
              <w:right w:val="nil"/>
            </w:tcBorders>
            <w:shd w:val="clear" w:color="000000" w:fill="F2F2F2"/>
            <w:noWrap/>
            <w:vAlign w:val="center"/>
            <w:hideMark/>
          </w:tcPr>
          <w:p w14:paraId="072FC9DD"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213</w:t>
            </w:r>
          </w:p>
        </w:tc>
        <w:tc>
          <w:tcPr>
            <w:tcW w:w="1016" w:type="dxa"/>
            <w:tcBorders>
              <w:top w:val="nil"/>
              <w:left w:val="nil"/>
              <w:bottom w:val="nil"/>
              <w:right w:val="nil"/>
            </w:tcBorders>
            <w:shd w:val="clear" w:color="000000" w:fill="F2F2F2"/>
            <w:noWrap/>
            <w:vAlign w:val="center"/>
            <w:hideMark/>
          </w:tcPr>
          <w:p w14:paraId="4F5FDA22"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388</w:t>
            </w:r>
          </w:p>
        </w:tc>
        <w:tc>
          <w:tcPr>
            <w:tcW w:w="1076" w:type="dxa"/>
            <w:tcBorders>
              <w:top w:val="nil"/>
              <w:left w:val="nil"/>
              <w:bottom w:val="nil"/>
              <w:right w:val="nil"/>
            </w:tcBorders>
            <w:shd w:val="clear" w:color="000000" w:fill="F2F2F2"/>
            <w:noWrap/>
            <w:vAlign w:val="center"/>
            <w:hideMark/>
          </w:tcPr>
          <w:p w14:paraId="2B4022B2"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352</w:t>
            </w:r>
          </w:p>
        </w:tc>
        <w:tc>
          <w:tcPr>
            <w:tcW w:w="956" w:type="dxa"/>
            <w:tcBorders>
              <w:top w:val="nil"/>
              <w:left w:val="nil"/>
              <w:bottom w:val="nil"/>
              <w:right w:val="nil"/>
            </w:tcBorders>
            <w:shd w:val="clear" w:color="000000" w:fill="F2F2F2"/>
            <w:noWrap/>
            <w:vAlign w:val="center"/>
            <w:hideMark/>
          </w:tcPr>
          <w:p w14:paraId="567FC00F"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235</w:t>
            </w:r>
          </w:p>
        </w:tc>
        <w:tc>
          <w:tcPr>
            <w:tcW w:w="1020" w:type="dxa"/>
            <w:tcBorders>
              <w:top w:val="nil"/>
              <w:left w:val="nil"/>
              <w:bottom w:val="nil"/>
              <w:right w:val="nil"/>
            </w:tcBorders>
            <w:shd w:val="clear" w:color="000000" w:fill="FFFFFF"/>
            <w:noWrap/>
            <w:vAlign w:val="center"/>
            <w:hideMark/>
          </w:tcPr>
          <w:p w14:paraId="7DF7DE88" w14:textId="77777777" w:rsidR="003E64CC" w:rsidRPr="003E64CC" w:rsidRDefault="003E64CC" w:rsidP="003E64CC">
            <w:pPr>
              <w:ind w:firstLineChars="100" w:firstLine="161"/>
              <w:jc w:val="right"/>
              <w:rPr>
                <w:rFonts w:ascii="Arial" w:hAnsi="Arial" w:cs="Arial"/>
                <w:b/>
                <w:bCs/>
                <w:sz w:val="16"/>
                <w:szCs w:val="16"/>
                <w:lang w:eastAsia="en-AU"/>
              </w:rPr>
            </w:pPr>
            <w:r w:rsidRPr="003E64CC">
              <w:rPr>
                <w:rFonts w:ascii="Arial" w:hAnsi="Arial" w:cs="Arial"/>
                <w:b/>
                <w:bCs/>
                <w:sz w:val="16"/>
                <w:szCs w:val="16"/>
                <w:lang w:eastAsia="en-AU"/>
              </w:rPr>
              <w:t>1,187</w:t>
            </w:r>
          </w:p>
        </w:tc>
      </w:tr>
      <w:tr w:rsidR="003E64CC" w:rsidRPr="003E64CC" w14:paraId="7FBBCCE6" w14:textId="77777777" w:rsidTr="003B5999">
        <w:trPr>
          <w:trHeight w:val="240"/>
        </w:trPr>
        <w:tc>
          <w:tcPr>
            <w:tcW w:w="3686" w:type="dxa"/>
            <w:tcBorders>
              <w:top w:val="nil"/>
              <w:left w:val="nil"/>
              <w:bottom w:val="nil"/>
              <w:right w:val="nil"/>
            </w:tcBorders>
            <w:shd w:val="clear" w:color="000000" w:fill="FFFFFF"/>
            <w:noWrap/>
            <w:vAlign w:val="center"/>
            <w:hideMark/>
          </w:tcPr>
          <w:p w14:paraId="7050BE52" w14:textId="77777777" w:rsidR="003E64CC" w:rsidRPr="003E64CC" w:rsidRDefault="003E64CC" w:rsidP="003E64CC">
            <w:pPr>
              <w:rPr>
                <w:rFonts w:ascii="Arial" w:hAnsi="Arial" w:cs="Arial"/>
                <w:sz w:val="16"/>
                <w:szCs w:val="16"/>
                <w:lang w:eastAsia="en-AU"/>
              </w:rPr>
            </w:pPr>
            <w:r w:rsidRPr="003E64CC">
              <w:rPr>
                <w:rFonts w:ascii="Arial" w:hAnsi="Arial" w:cs="Arial"/>
                <w:sz w:val="16"/>
                <w:szCs w:val="16"/>
                <w:lang w:eastAsia="en-AU"/>
              </w:rPr>
              <w:t>Motor vehicle stamp duty</w:t>
            </w:r>
          </w:p>
        </w:tc>
        <w:tc>
          <w:tcPr>
            <w:tcW w:w="964" w:type="dxa"/>
            <w:tcBorders>
              <w:top w:val="nil"/>
              <w:left w:val="nil"/>
              <w:bottom w:val="nil"/>
              <w:right w:val="nil"/>
            </w:tcBorders>
            <w:shd w:val="clear" w:color="000000" w:fill="F2F2F2"/>
            <w:noWrap/>
            <w:vAlign w:val="center"/>
            <w:hideMark/>
          </w:tcPr>
          <w:p w14:paraId="64A2383D"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68</w:t>
            </w:r>
          </w:p>
        </w:tc>
        <w:tc>
          <w:tcPr>
            <w:tcW w:w="964" w:type="dxa"/>
            <w:tcBorders>
              <w:top w:val="nil"/>
              <w:left w:val="nil"/>
              <w:bottom w:val="nil"/>
              <w:right w:val="nil"/>
            </w:tcBorders>
            <w:shd w:val="clear" w:color="000000" w:fill="F2F2F2"/>
            <w:noWrap/>
            <w:vAlign w:val="center"/>
            <w:hideMark/>
          </w:tcPr>
          <w:p w14:paraId="3E545E18"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36</w:t>
            </w:r>
          </w:p>
        </w:tc>
        <w:tc>
          <w:tcPr>
            <w:tcW w:w="1016" w:type="dxa"/>
            <w:tcBorders>
              <w:top w:val="nil"/>
              <w:left w:val="nil"/>
              <w:bottom w:val="nil"/>
              <w:right w:val="nil"/>
            </w:tcBorders>
            <w:shd w:val="clear" w:color="000000" w:fill="F2F2F2"/>
            <w:noWrap/>
            <w:vAlign w:val="center"/>
            <w:hideMark/>
          </w:tcPr>
          <w:p w14:paraId="45AA81B4"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47</w:t>
            </w:r>
          </w:p>
        </w:tc>
        <w:tc>
          <w:tcPr>
            <w:tcW w:w="1076" w:type="dxa"/>
            <w:tcBorders>
              <w:top w:val="nil"/>
              <w:left w:val="nil"/>
              <w:bottom w:val="nil"/>
              <w:right w:val="nil"/>
            </w:tcBorders>
            <w:shd w:val="clear" w:color="000000" w:fill="F2F2F2"/>
            <w:noWrap/>
            <w:vAlign w:val="center"/>
            <w:hideMark/>
          </w:tcPr>
          <w:p w14:paraId="393EBF11"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61</w:t>
            </w:r>
          </w:p>
        </w:tc>
        <w:tc>
          <w:tcPr>
            <w:tcW w:w="956" w:type="dxa"/>
            <w:tcBorders>
              <w:top w:val="nil"/>
              <w:left w:val="nil"/>
              <w:bottom w:val="nil"/>
              <w:right w:val="nil"/>
            </w:tcBorders>
            <w:shd w:val="clear" w:color="000000" w:fill="F2F2F2"/>
            <w:noWrap/>
            <w:vAlign w:val="center"/>
            <w:hideMark/>
          </w:tcPr>
          <w:p w14:paraId="3734BF80"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90</w:t>
            </w:r>
          </w:p>
        </w:tc>
        <w:tc>
          <w:tcPr>
            <w:tcW w:w="1020" w:type="dxa"/>
            <w:tcBorders>
              <w:top w:val="nil"/>
              <w:left w:val="nil"/>
              <w:bottom w:val="nil"/>
              <w:right w:val="nil"/>
            </w:tcBorders>
            <w:shd w:val="clear" w:color="000000" w:fill="FFFFFF"/>
            <w:noWrap/>
            <w:vAlign w:val="center"/>
            <w:hideMark/>
          </w:tcPr>
          <w:p w14:paraId="7DA3608C" w14:textId="77777777" w:rsidR="003E64CC" w:rsidRPr="003E64CC" w:rsidRDefault="003E64CC" w:rsidP="003E64CC">
            <w:pPr>
              <w:ind w:firstLineChars="100" w:firstLine="161"/>
              <w:jc w:val="right"/>
              <w:rPr>
                <w:rFonts w:ascii="Arial" w:hAnsi="Arial" w:cs="Arial"/>
                <w:b/>
                <w:bCs/>
                <w:sz w:val="16"/>
                <w:szCs w:val="16"/>
                <w:lang w:eastAsia="en-AU"/>
              </w:rPr>
            </w:pPr>
            <w:r w:rsidRPr="003E64CC">
              <w:rPr>
                <w:rFonts w:ascii="Arial" w:hAnsi="Arial" w:cs="Arial"/>
                <w:b/>
                <w:bCs/>
                <w:sz w:val="16"/>
                <w:szCs w:val="16"/>
                <w:lang w:eastAsia="en-AU"/>
              </w:rPr>
              <w:t>234</w:t>
            </w:r>
          </w:p>
        </w:tc>
      </w:tr>
      <w:tr w:rsidR="003E64CC" w:rsidRPr="003E64CC" w14:paraId="71337BB2" w14:textId="77777777" w:rsidTr="003B5999">
        <w:trPr>
          <w:trHeight w:val="240"/>
        </w:trPr>
        <w:tc>
          <w:tcPr>
            <w:tcW w:w="3686" w:type="dxa"/>
            <w:tcBorders>
              <w:top w:val="nil"/>
              <w:left w:val="nil"/>
              <w:bottom w:val="nil"/>
              <w:right w:val="nil"/>
            </w:tcBorders>
            <w:shd w:val="clear" w:color="000000" w:fill="FFFFFF"/>
            <w:noWrap/>
            <w:vAlign w:val="center"/>
            <w:hideMark/>
          </w:tcPr>
          <w:p w14:paraId="62B07F13" w14:textId="77777777" w:rsidR="003E64CC" w:rsidRPr="003E64CC" w:rsidRDefault="003E64CC" w:rsidP="003E64CC">
            <w:pPr>
              <w:rPr>
                <w:rFonts w:ascii="Arial" w:hAnsi="Arial" w:cs="Arial"/>
                <w:sz w:val="16"/>
                <w:szCs w:val="16"/>
                <w:lang w:eastAsia="en-AU"/>
              </w:rPr>
            </w:pPr>
            <w:r w:rsidRPr="003E64CC">
              <w:rPr>
                <w:rFonts w:ascii="Arial" w:hAnsi="Arial" w:cs="Arial"/>
                <w:sz w:val="16"/>
                <w:szCs w:val="16"/>
                <w:lang w:eastAsia="en-AU"/>
              </w:rPr>
              <w:t>Other taxes</w:t>
            </w:r>
          </w:p>
        </w:tc>
        <w:tc>
          <w:tcPr>
            <w:tcW w:w="964" w:type="dxa"/>
            <w:tcBorders>
              <w:top w:val="nil"/>
              <w:left w:val="nil"/>
              <w:bottom w:val="nil"/>
              <w:right w:val="nil"/>
            </w:tcBorders>
            <w:shd w:val="clear" w:color="000000" w:fill="F2F2F2"/>
            <w:noWrap/>
            <w:vAlign w:val="center"/>
            <w:hideMark/>
          </w:tcPr>
          <w:p w14:paraId="2807EEEB"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100</w:t>
            </w:r>
          </w:p>
        </w:tc>
        <w:tc>
          <w:tcPr>
            <w:tcW w:w="964" w:type="dxa"/>
            <w:tcBorders>
              <w:top w:val="nil"/>
              <w:left w:val="nil"/>
              <w:bottom w:val="nil"/>
              <w:right w:val="nil"/>
            </w:tcBorders>
            <w:shd w:val="clear" w:color="000000" w:fill="F2F2F2"/>
            <w:noWrap/>
            <w:vAlign w:val="center"/>
            <w:hideMark/>
          </w:tcPr>
          <w:p w14:paraId="5365803E"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182</w:t>
            </w:r>
          </w:p>
        </w:tc>
        <w:tc>
          <w:tcPr>
            <w:tcW w:w="1016" w:type="dxa"/>
            <w:tcBorders>
              <w:top w:val="nil"/>
              <w:left w:val="nil"/>
              <w:bottom w:val="nil"/>
              <w:right w:val="nil"/>
            </w:tcBorders>
            <w:shd w:val="clear" w:color="000000" w:fill="F2F2F2"/>
            <w:noWrap/>
            <w:vAlign w:val="center"/>
            <w:hideMark/>
          </w:tcPr>
          <w:p w14:paraId="77F5A050"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164</w:t>
            </w:r>
          </w:p>
        </w:tc>
        <w:tc>
          <w:tcPr>
            <w:tcW w:w="1076" w:type="dxa"/>
            <w:tcBorders>
              <w:top w:val="nil"/>
              <w:left w:val="nil"/>
              <w:bottom w:val="nil"/>
              <w:right w:val="nil"/>
            </w:tcBorders>
            <w:shd w:val="clear" w:color="000000" w:fill="F2F2F2"/>
            <w:noWrap/>
            <w:vAlign w:val="center"/>
            <w:hideMark/>
          </w:tcPr>
          <w:p w14:paraId="25141C71"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184</w:t>
            </w:r>
          </w:p>
        </w:tc>
        <w:tc>
          <w:tcPr>
            <w:tcW w:w="956" w:type="dxa"/>
            <w:tcBorders>
              <w:top w:val="nil"/>
              <w:left w:val="nil"/>
              <w:bottom w:val="nil"/>
              <w:right w:val="nil"/>
            </w:tcBorders>
            <w:shd w:val="clear" w:color="000000" w:fill="F2F2F2"/>
            <w:noWrap/>
            <w:vAlign w:val="center"/>
            <w:hideMark/>
          </w:tcPr>
          <w:p w14:paraId="0F93ECCD"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233</w:t>
            </w:r>
          </w:p>
        </w:tc>
        <w:tc>
          <w:tcPr>
            <w:tcW w:w="1020" w:type="dxa"/>
            <w:tcBorders>
              <w:top w:val="nil"/>
              <w:left w:val="nil"/>
              <w:bottom w:val="nil"/>
              <w:right w:val="nil"/>
            </w:tcBorders>
            <w:shd w:val="clear" w:color="000000" w:fill="FFFFFF"/>
            <w:noWrap/>
            <w:vAlign w:val="center"/>
            <w:hideMark/>
          </w:tcPr>
          <w:p w14:paraId="38F02E78" w14:textId="77777777" w:rsidR="003E64CC" w:rsidRPr="003E64CC" w:rsidRDefault="003E64CC" w:rsidP="003E64CC">
            <w:pPr>
              <w:ind w:firstLineChars="100" w:firstLine="161"/>
              <w:jc w:val="right"/>
              <w:rPr>
                <w:rFonts w:ascii="Arial" w:hAnsi="Arial" w:cs="Arial"/>
                <w:b/>
                <w:bCs/>
                <w:sz w:val="16"/>
                <w:szCs w:val="16"/>
                <w:lang w:eastAsia="en-AU"/>
              </w:rPr>
            </w:pPr>
            <w:r w:rsidRPr="003E64CC">
              <w:rPr>
                <w:rFonts w:ascii="Arial" w:hAnsi="Arial" w:cs="Arial"/>
                <w:b/>
                <w:bCs/>
                <w:sz w:val="16"/>
                <w:szCs w:val="16"/>
                <w:lang w:eastAsia="en-AU"/>
              </w:rPr>
              <w:t>764</w:t>
            </w:r>
          </w:p>
        </w:tc>
      </w:tr>
      <w:tr w:rsidR="003E64CC" w:rsidRPr="003E64CC" w14:paraId="0001C9F1" w14:textId="77777777" w:rsidTr="003B5999">
        <w:trPr>
          <w:trHeight w:val="113"/>
        </w:trPr>
        <w:tc>
          <w:tcPr>
            <w:tcW w:w="3686" w:type="dxa"/>
            <w:tcBorders>
              <w:top w:val="nil"/>
              <w:left w:val="nil"/>
              <w:bottom w:val="nil"/>
              <w:right w:val="nil"/>
            </w:tcBorders>
            <w:shd w:val="clear" w:color="000000" w:fill="FFFFFF"/>
            <w:noWrap/>
            <w:vAlign w:val="center"/>
            <w:hideMark/>
          </w:tcPr>
          <w:p w14:paraId="5F1D4E27" w14:textId="77777777" w:rsidR="003E64CC" w:rsidRPr="003E64CC" w:rsidRDefault="003E64CC" w:rsidP="003E64CC">
            <w:pPr>
              <w:rPr>
                <w:rFonts w:ascii="Arial" w:hAnsi="Arial" w:cs="Arial"/>
                <w:sz w:val="16"/>
                <w:szCs w:val="16"/>
                <w:lang w:eastAsia="en-AU"/>
              </w:rPr>
            </w:pPr>
            <w:r w:rsidRPr="003E64CC">
              <w:rPr>
                <w:rFonts w:ascii="Arial" w:hAnsi="Arial" w:cs="Arial"/>
                <w:sz w:val="16"/>
                <w:szCs w:val="16"/>
                <w:lang w:eastAsia="en-AU"/>
              </w:rPr>
              <w:t> </w:t>
            </w:r>
          </w:p>
        </w:tc>
        <w:tc>
          <w:tcPr>
            <w:tcW w:w="964" w:type="dxa"/>
            <w:tcBorders>
              <w:top w:val="nil"/>
              <w:left w:val="nil"/>
              <w:bottom w:val="nil"/>
              <w:right w:val="nil"/>
            </w:tcBorders>
            <w:shd w:val="clear" w:color="000000" w:fill="F2F2F2"/>
            <w:noWrap/>
            <w:vAlign w:val="center"/>
            <w:hideMark/>
          </w:tcPr>
          <w:p w14:paraId="024C1CFE"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 </w:t>
            </w:r>
          </w:p>
        </w:tc>
        <w:tc>
          <w:tcPr>
            <w:tcW w:w="964" w:type="dxa"/>
            <w:tcBorders>
              <w:top w:val="nil"/>
              <w:left w:val="nil"/>
              <w:bottom w:val="nil"/>
              <w:right w:val="nil"/>
            </w:tcBorders>
            <w:shd w:val="clear" w:color="000000" w:fill="F2F2F2"/>
            <w:noWrap/>
            <w:vAlign w:val="center"/>
            <w:hideMark/>
          </w:tcPr>
          <w:p w14:paraId="3D00E230"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 </w:t>
            </w:r>
          </w:p>
        </w:tc>
        <w:tc>
          <w:tcPr>
            <w:tcW w:w="1016" w:type="dxa"/>
            <w:tcBorders>
              <w:top w:val="nil"/>
              <w:left w:val="nil"/>
              <w:bottom w:val="nil"/>
              <w:right w:val="nil"/>
            </w:tcBorders>
            <w:shd w:val="clear" w:color="000000" w:fill="F2F2F2"/>
            <w:noWrap/>
            <w:vAlign w:val="center"/>
            <w:hideMark/>
          </w:tcPr>
          <w:p w14:paraId="65F221D5"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 </w:t>
            </w:r>
          </w:p>
        </w:tc>
        <w:tc>
          <w:tcPr>
            <w:tcW w:w="1076" w:type="dxa"/>
            <w:tcBorders>
              <w:top w:val="nil"/>
              <w:left w:val="nil"/>
              <w:bottom w:val="nil"/>
              <w:right w:val="nil"/>
            </w:tcBorders>
            <w:shd w:val="clear" w:color="000000" w:fill="F2F2F2"/>
            <w:noWrap/>
            <w:vAlign w:val="center"/>
            <w:hideMark/>
          </w:tcPr>
          <w:p w14:paraId="1508C36B"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 </w:t>
            </w:r>
          </w:p>
        </w:tc>
        <w:tc>
          <w:tcPr>
            <w:tcW w:w="956" w:type="dxa"/>
            <w:tcBorders>
              <w:top w:val="nil"/>
              <w:left w:val="nil"/>
              <w:bottom w:val="nil"/>
              <w:right w:val="nil"/>
            </w:tcBorders>
            <w:shd w:val="clear" w:color="000000" w:fill="F2F2F2"/>
            <w:noWrap/>
            <w:vAlign w:val="center"/>
            <w:hideMark/>
          </w:tcPr>
          <w:p w14:paraId="0C3DADF3"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 </w:t>
            </w:r>
          </w:p>
        </w:tc>
        <w:tc>
          <w:tcPr>
            <w:tcW w:w="1020" w:type="dxa"/>
            <w:tcBorders>
              <w:top w:val="nil"/>
              <w:left w:val="nil"/>
              <w:bottom w:val="nil"/>
              <w:right w:val="nil"/>
            </w:tcBorders>
            <w:shd w:val="clear" w:color="000000" w:fill="FFFFFF"/>
            <w:noWrap/>
            <w:vAlign w:val="center"/>
            <w:hideMark/>
          </w:tcPr>
          <w:p w14:paraId="35470118" w14:textId="77777777" w:rsidR="003E64CC" w:rsidRPr="003E64CC" w:rsidRDefault="003E64CC" w:rsidP="003E64CC">
            <w:pPr>
              <w:ind w:firstLineChars="100" w:firstLine="161"/>
              <w:jc w:val="right"/>
              <w:rPr>
                <w:rFonts w:ascii="Arial" w:hAnsi="Arial" w:cs="Arial"/>
                <w:b/>
                <w:bCs/>
                <w:sz w:val="16"/>
                <w:szCs w:val="16"/>
                <w:lang w:eastAsia="en-AU"/>
              </w:rPr>
            </w:pPr>
            <w:r w:rsidRPr="003E64CC">
              <w:rPr>
                <w:rFonts w:ascii="Arial" w:hAnsi="Arial" w:cs="Arial"/>
                <w:b/>
                <w:bCs/>
                <w:sz w:val="16"/>
                <w:szCs w:val="16"/>
                <w:lang w:eastAsia="en-AU"/>
              </w:rPr>
              <w:t> </w:t>
            </w:r>
          </w:p>
        </w:tc>
      </w:tr>
      <w:tr w:rsidR="003E64CC" w:rsidRPr="003E64CC" w14:paraId="1EB4FC37" w14:textId="77777777" w:rsidTr="003B5999">
        <w:trPr>
          <w:trHeight w:val="240"/>
        </w:trPr>
        <w:tc>
          <w:tcPr>
            <w:tcW w:w="3686" w:type="dxa"/>
            <w:tcBorders>
              <w:top w:val="nil"/>
              <w:left w:val="nil"/>
              <w:bottom w:val="nil"/>
              <w:right w:val="nil"/>
            </w:tcBorders>
            <w:shd w:val="clear" w:color="000000" w:fill="FFFFFF"/>
            <w:noWrap/>
            <w:vAlign w:val="center"/>
            <w:hideMark/>
          </w:tcPr>
          <w:p w14:paraId="5FACDC52" w14:textId="77777777" w:rsidR="003E64CC" w:rsidRPr="003E64CC" w:rsidRDefault="003E64CC" w:rsidP="003E64CC">
            <w:pPr>
              <w:rPr>
                <w:rFonts w:ascii="Arial" w:hAnsi="Arial" w:cs="Arial"/>
                <w:b/>
                <w:bCs/>
                <w:sz w:val="16"/>
                <w:szCs w:val="16"/>
                <w:lang w:eastAsia="en-AU"/>
              </w:rPr>
            </w:pPr>
            <w:r w:rsidRPr="003E64CC">
              <w:rPr>
                <w:rFonts w:ascii="Arial" w:hAnsi="Arial" w:cs="Arial"/>
                <w:b/>
                <w:bCs/>
                <w:sz w:val="16"/>
                <w:szCs w:val="16"/>
                <w:lang w:eastAsia="en-AU"/>
              </w:rPr>
              <w:t>Grant revenue</w:t>
            </w:r>
          </w:p>
        </w:tc>
        <w:tc>
          <w:tcPr>
            <w:tcW w:w="964" w:type="dxa"/>
            <w:tcBorders>
              <w:top w:val="nil"/>
              <w:left w:val="nil"/>
              <w:bottom w:val="nil"/>
              <w:right w:val="nil"/>
            </w:tcBorders>
            <w:shd w:val="clear" w:color="000000" w:fill="F2F2F2"/>
            <w:noWrap/>
            <w:vAlign w:val="center"/>
            <w:hideMark/>
          </w:tcPr>
          <w:p w14:paraId="058D115B"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 </w:t>
            </w:r>
          </w:p>
        </w:tc>
        <w:tc>
          <w:tcPr>
            <w:tcW w:w="964" w:type="dxa"/>
            <w:tcBorders>
              <w:top w:val="nil"/>
              <w:left w:val="nil"/>
              <w:bottom w:val="nil"/>
              <w:right w:val="nil"/>
            </w:tcBorders>
            <w:shd w:val="clear" w:color="000000" w:fill="F2F2F2"/>
            <w:noWrap/>
            <w:vAlign w:val="center"/>
            <w:hideMark/>
          </w:tcPr>
          <w:p w14:paraId="0FDF900D"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 </w:t>
            </w:r>
          </w:p>
        </w:tc>
        <w:tc>
          <w:tcPr>
            <w:tcW w:w="1016" w:type="dxa"/>
            <w:tcBorders>
              <w:top w:val="nil"/>
              <w:left w:val="nil"/>
              <w:bottom w:val="nil"/>
              <w:right w:val="nil"/>
            </w:tcBorders>
            <w:shd w:val="clear" w:color="000000" w:fill="F2F2F2"/>
            <w:noWrap/>
            <w:vAlign w:val="center"/>
            <w:hideMark/>
          </w:tcPr>
          <w:p w14:paraId="0EA5FAD9"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 </w:t>
            </w:r>
          </w:p>
        </w:tc>
        <w:tc>
          <w:tcPr>
            <w:tcW w:w="1076" w:type="dxa"/>
            <w:tcBorders>
              <w:top w:val="nil"/>
              <w:left w:val="nil"/>
              <w:bottom w:val="nil"/>
              <w:right w:val="nil"/>
            </w:tcBorders>
            <w:shd w:val="clear" w:color="000000" w:fill="F2F2F2"/>
            <w:noWrap/>
            <w:vAlign w:val="center"/>
            <w:hideMark/>
          </w:tcPr>
          <w:p w14:paraId="10950C2F"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 </w:t>
            </w:r>
          </w:p>
        </w:tc>
        <w:tc>
          <w:tcPr>
            <w:tcW w:w="956" w:type="dxa"/>
            <w:tcBorders>
              <w:top w:val="nil"/>
              <w:left w:val="nil"/>
              <w:bottom w:val="nil"/>
              <w:right w:val="nil"/>
            </w:tcBorders>
            <w:shd w:val="clear" w:color="000000" w:fill="F2F2F2"/>
            <w:noWrap/>
            <w:vAlign w:val="center"/>
            <w:hideMark/>
          </w:tcPr>
          <w:p w14:paraId="41012723"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 </w:t>
            </w:r>
          </w:p>
        </w:tc>
        <w:tc>
          <w:tcPr>
            <w:tcW w:w="1020" w:type="dxa"/>
            <w:tcBorders>
              <w:top w:val="nil"/>
              <w:left w:val="nil"/>
              <w:bottom w:val="nil"/>
              <w:right w:val="nil"/>
            </w:tcBorders>
            <w:shd w:val="clear" w:color="000000" w:fill="FFFFFF"/>
            <w:noWrap/>
            <w:vAlign w:val="center"/>
            <w:hideMark/>
          </w:tcPr>
          <w:p w14:paraId="64474F2A" w14:textId="77777777" w:rsidR="003E64CC" w:rsidRPr="003E64CC" w:rsidRDefault="003E64CC" w:rsidP="003E64CC">
            <w:pPr>
              <w:ind w:firstLineChars="100" w:firstLine="161"/>
              <w:jc w:val="right"/>
              <w:rPr>
                <w:rFonts w:ascii="Arial" w:hAnsi="Arial" w:cs="Arial"/>
                <w:b/>
                <w:bCs/>
                <w:sz w:val="16"/>
                <w:szCs w:val="16"/>
                <w:lang w:eastAsia="en-AU"/>
              </w:rPr>
            </w:pPr>
            <w:r w:rsidRPr="003E64CC">
              <w:rPr>
                <w:rFonts w:ascii="Arial" w:hAnsi="Arial" w:cs="Arial"/>
                <w:b/>
                <w:bCs/>
                <w:sz w:val="16"/>
                <w:szCs w:val="16"/>
                <w:lang w:eastAsia="en-AU"/>
              </w:rPr>
              <w:t> </w:t>
            </w:r>
          </w:p>
        </w:tc>
      </w:tr>
      <w:tr w:rsidR="003E64CC" w:rsidRPr="003E64CC" w14:paraId="5AB56EB3" w14:textId="77777777" w:rsidTr="003B5999">
        <w:trPr>
          <w:trHeight w:val="240"/>
        </w:trPr>
        <w:tc>
          <w:tcPr>
            <w:tcW w:w="3686" w:type="dxa"/>
            <w:tcBorders>
              <w:top w:val="nil"/>
              <w:left w:val="nil"/>
              <w:bottom w:val="nil"/>
              <w:right w:val="nil"/>
            </w:tcBorders>
            <w:shd w:val="clear" w:color="000000" w:fill="FFFFFF"/>
            <w:noWrap/>
            <w:vAlign w:val="center"/>
            <w:hideMark/>
          </w:tcPr>
          <w:p w14:paraId="203C8A6C" w14:textId="77777777" w:rsidR="003E64CC" w:rsidRPr="003E64CC" w:rsidRDefault="003E64CC" w:rsidP="003E64CC">
            <w:pPr>
              <w:rPr>
                <w:rFonts w:ascii="Arial" w:hAnsi="Arial" w:cs="Arial"/>
                <w:sz w:val="16"/>
                <w:szCs w:val="16"/>
                <w:lang w:eastAsia="en-AU"/>
              </w:rPr>
            </w:pPr>
            <w:r w:rsidRPr="003E64CC">
              <w:rPr>
                <w:rFonts w:ascii="Arial" w:hAnsi="Arial" w:cs="Arial"/>
                <w:sz w:val="16"/>
                <w:szCs w:val="16"/>
                <w:lang w:eastAsia="en-AU"/>
              </w:rPr>
              <w:t>GST</w:t>
            </w:r>
          </w:p>
        </w:tc>
        <w:tc>
          <w:tcPr>
            <w:tcW w:w="964" w:type="dxa"/>
            <w:tcBorders>
              <w:top w:val="nil"/>
              <w:left w:val="nil"/>
              <w:bottom w:val="nil"/>
              <w:right w:val="nil"/>
            </w:tcBorders>
            <w:shd w:val="clear" w:color="000000" w:fill="F2F2F2"/>
            <w:noWrap/>
            <w:vAlign w:val="center"/>
            <w:hideMark/>
          </w:tcPr>
          <w:p w14:paraId="4D970CCD"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253</w:t>
            </w:r>
          </w:p>
        </w:tc>
        <w:tc>
          <w:tcPr>
            <w:tcW w:w="964" w:type="dxa"/>
            <w:tcBorders>
              <w:top w:val="nil"/>
              <w:left w:val="nil"/>
              <w:bottom w:val="nil"/>
              <w:right w:val="nil"/>
            </w:tcBorders>
            <w:shd w:val="clear" w:color="000000" w:fill="F2F2F2"/>
            <w:noWrap/>
            <w:vAlign w:val="center"/>
            <w:hideMark/>
          </w:tcPr>
          <w:p w14:paraId="36D2FDD3"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2,158</w:t>
            </w:r>
          </w:p>
        </w:tc>
        <w:tc>
          <w:tcPr>
            <w:tcW w:w="1016" w:type="dxa"/>
            <w:tcBorders>
              <w:top w:val="nil"/>
              <w:left w:val="nil"/>
              <w:bottom w:val="nil"/>
              <w:right w:val="nil"/>
            </w:tcBorders>
            <w:shd w:val="clear" w:color="000000" w:fill="F2F2F2"/>
            <w:noWrap/>
            <w:vAlign w:val="center"/>
            <w:hideMark/>
          </w:tcPr>
          <w:p w14:paraId="576049F6"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2,956</w:t>
            </w:r>
          </w:p>
        </w:tc>
        <w:tc>
          <w:tcPr>
            <w:tcW w:w="1076" w:type="dxa"/>
            <w:tcBorders>
              <w:top w:val="nil"/>
              <w:left w:val="nil"/>
              <w:bottom w:val="nil"/>
              <w:right w:val="nil"/>
            </w:tcBorders>
            <w:shd w:val="clear" w:color="000000" w:fill="F2F2F2"/>
            <w:noWrap/>
            <w:vAlign w:val="center"/>
            <w:hideMark/>
          </w:tcPr>
          <w:p w14:paraId="2402590E"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3,234</w:t>
            </w:r>
          </w:p>
        </w:tc>
        <w:tc>
          <w:tcPr>
            <w:tcW w:w="956" w:type="dxa"/>
            <w:tcBorders>
              <w:top w:val="nil"/>
              <w:left w:val="nil"/>
              <w:bottom w:val="nil"/>
              <w:right w:val="nil"/>
            </w:tcBorders>
            <w:shd w:val="clear" w:color="000000" w:fill="F2F2F2"/>
            <w:noWrap/>
            <w:vAlign w:val="center"/>
            <w:hideMark/>
          </w:tcPr>
          <w:p w14:paraId="091F3D24"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3,195</w:t>
            </w:r>
          </w:p>
        </w:tc>
        <w:tc>
          <w:tcPr>
            <w:tcW w:w="1020" w:type="dxa"/>
            <w:tcBorders>
              <w:top w:val="nil"/>
              <w:left w:val="nil"/>
              <w:bottom w:val="nil"/>
              <w:right w:val="nil"/>
            </w:tcBorders>
            <w:shd w:val="clear" w:color="000000" w:fill="FFFFFF"/>
            <w:noWrap/>
            <w:vAlign w:val="center"/>
            <w:hideMark/>
          </w:tcPr>
          <w:p w14:paraId="0E793365" w14:textId="77777777" w:rsidR="003E64CC" w:rsidRPr="003E64CC" w:rsidRDefault="003E64CC" w:rsidP="003E64CC">
            <w:pPr>
              <w:ind w:firstLineChars="100" w:firstLine="161"/>
              <w:jc w:val="right"/>
              <w:rPr>
                <w:rFonts w:ascii="Arial" w:hAnsi="Arial" w:cs="Arial"/>
                <w:b/>
                <w:bCs/>
                <w:sz w:val="16"/>
                <w:szCs w:val="16"/>
                <w:lang w:eastAsia="en-AU"/>
              </w:rPr>
            </w:pPr>
            <w:r w:rsidRPr="003E64CC">
              <w:rPr>
                <w:rFonts w:ascii="Arial" w:hAnsi="Arial" w:cs="Arial"/>
                <w:b/>
                <w:bCs/>
                <w:sz w:val="16"/>
                <w:szCs w:val="16"/>
                <w:lang w:eastAsia="en-AU"/>
              </w:rPr>
              <w:t>11,542</w:t>
            </w:r>
          </w:p>
        </w:tc>
      </w:tr>
      <w:tr w:rsidR="003E64CC" w:rsidRPr="003E64CC" w14:paraId="15405DF6" w14:textId="77777777" w:rsidTr="003B5999">
        <w:trPr>
          <w:trHeight w:val="240"/>
        </w:trPr>
        <w:tc>
          <w:tcPr>
            <w:tcW w:w="3686" w:type="dxa"/>
            <w:tcBorders>
              <w:top w:val="nil"/>
              <w:left w:val="nil"/>
              <w:bottom w:val="nil"/>
              <w:right w:val="nil"/>
            </w:tcBorders>
            <w:shd w:val="clear" w:color="000000" w:fill="FFFFFF"/>
            <w:noWrap/>
            <w:vAlign w:val="center"/>
            <w:hideMark/>
          </w:tcPr>
          <w:p w14:paraId="7D64AE07" w14:textId="77777777" w:rsidR="003E64CC" w:rsidRPr="003E64CC" w:rsidRDefault="003E64CC" w:rsidP="003E64CC">
            <w:pPr>
              <w:rPr>
                <w:rFonts w:ascii="Arial" w:hAnsi="Arial" w:cs="Arial"/>
                <w:sz w:val="16"/>
                <w:szCs w:val="16"/>
                <w:lang w:eastAsia="en-AU"/>
              </w:rPr>
            </w:pPr>
            <w:r w:rsidRPr="003E64CC">
              <w:rPr>
                <w:rFonts w:ascii="Arial" w:hAnsi="Arial" w:cs="Arial"/>
                <w:sz w:val="16"/>
                <w:szCs w:val="16"/>
                <w:lang w:eastAsia="en-AU"/>
              </w:rPr>
              <w:t>National Agreement payments</w:t>
            </w:r>
          </w:p>
        </w:tc>
        <w:tc>
          <w:tcPr>
            <w:tcW w:w="964" w:type="dxa"/>
            <w:tcBorders>
              <w:top w:val="nil"/>
              <w:left w:val="nil"/>
              <w:bottom w:val="nil"/>
              <w:right w:val="nil"/>
            </w:tcBorders>
            <w:shd w:val="clear" w:color="000000" w:fill="F2F2F2"/>
            <w:noWrap/>
            <w:vAlign w:val="center"/>
            <w:hideMark/>
          </w:tcPr>
          <w:p w14:paraId="1A753D0E"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(385)</w:t>
            </w:r>
          </w:p>
        </w:tc>
        <w:tc>
          <w:tcPr>
            <w:tcW w:w="964" w:type="dxa"/>
            <w:tcBorders>
              <w:top w:val="nil"/>
              <w:left w:val="nil"/>
              <w:bottom w:val="nil"/>
              <w:right w:val="nil"/>
            </w:tcBorders>
            <w:shd w:val="clear" w:color="000000" w:fill="F2F2F2"/>
            <w:noWrap/>
            <w:vAlign w:val="center"/>
            <w:hideMark/>
          </w:tcPr>
          <w:p w14:paraId="1EB3F4F7"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(87)</w:t>
            </w:r>
          </w:p>
        </w:tc>
        <w:tc>
          <w:tcPr>
            <w:tcW w:w="1016" w:type="dxa"/>
            <w:tcBorders>
              <w:top w:val="nil"/>
              <w:left w:val="nil"/>
              <w:bottom w:val="nil"/>
              <w:right w:val="nil"/>
            </w:tcBorders>
            <w:shd w:val="clear" w:color="000000" w:fill="F2F2F2"/>
            <w:noWrap/>
            <w:vAlign w:val="center"/>
            <w:hideMark/>
          </w:tcPr>
          <w:p w14:paraId="78C96804"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(120)</w:t>
            </w:r>
          </w:p>
        </w:tc>
        <w:tc>
          <w:tcPr>
            <w:tcW w:w="1076" w:type="dxa"/>
            <w:tcBorders>
              <w:top w:val="nil"/>
              <w:left w:val="nil"/>
              <w:bottom w:val="nil"/>
              <w:right w:val="nil"/>
            </w:tcBorders>
            <w:shd w:val="clear" w:color="000000" w:fill="F2F2F2"/>
            <w:noWrap/>
            <w:vAlign w:val="center"/>
            <w:hideMark/>
          </w:tcPr>
          <w:p w14:paraId="61A85BCF"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(139)</w:t>
            </w:r>
          </w:p>
        </w:tc>
        <w:tc>
          <w:tcPr>
            <w:tcW w:w="956" w:type="dxa"/>
            <w:tcBorders>
              <w:top w:val="nil"/>
              <w:left w:val="nil"/>
              <w:bottom w:val="nil"/>
              <w:right w:val="nil"/>
            </w:tcBorders>
            <w:shd w:val="clear" w:color="000000" w:fill="F2F2F2"/>
            <w:noWrap/>
            <w:vAlign w:val="center"/>
            <w:hideMark/>
          </w:tcPr>
          <w:p w14:paraId="12D705DE"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5</w:t>
            </w:r>
          </w:p>
        </w:tc>
        <w:tc>
          <w:tcPr>
            <w:tcW w:w="1020" w:type="dxa"/>
            <w:tcBorders>
              <w:top w:val="nil"/>
              <w:left w:val="nil"/>
              <w:bottom w:val="nil"/>
              <w:right w:val="nil"/>
            </w:tcBorders>
            <w:shd w:val="clear" w:color="000000" w:fill="FFFFFF"/>
            <w:noWrap/>
            <w:vAlign w:val="center"/>
            <w:hideMark/>
          </w:tcPr>
          <w:p w14:paraId="5E08DE2D" w14:textId="77777777" w:rsidR="003E64CC" w:rsidRPr="003E64CC" w:rsidRDefault="003E64CC" w:rsidP="003E64CC">
            <w:pPr>
              <w:ind w:firstLineChars="100" w:firstLine="161"/>
              <w:jc w:val="right"/>
              <w:rPr>
                <w:rFonts w:ascii="Arial" w:hAnsi="Arial" w:cs="Arial"/>
                <w:b/>
                <w:bCs/>
                <w:sz w:val="16"/>
                <w:szCs w:val="16"/>
                <w:lang w:eastAsia="en-AU"/>
              </w:rPr>
            </w:pPr>
            <w:r w:rsidRPr="003E64CC">
              <w:rPr>
                <w:rFonts w:ascii="Arial" w:hAnsi="Arial" w:cs="Arial"/>
                <w:b/>
                <w:bCs/>
                <w:sz w:val="16"/>
                <w:szCs w:val="16"/>
                <w:lang w:eastAsia="en-AU"/>
              </w:rPr>
              <w:t>-341</w:t>
            </w:r>
          </w:p>
        </w:tc>
      </w:tr>
      <w:tr w:rsidR="003E64CC" w:rsidRPr="003E64CC" w14:paraId="4876FAE4" w14:textId="77777777" w:rsidTr="003B5999">
        <w:trPr>
          <w:trHeight w:val="240"/>
        </w:trPr>
        <w:tc>
          <w:tcPr>
            <w:tcW w:w="3686" w:type="dxa"/>
            <w:tcBorders>
              <w:top w:val="nil"/>
              <w:left w:val="nil"/>
              <w:bottom w:val="nil"/>
              <w:right w:val="nil"/>
            </w:tcBorders>
            <w:shd w:val="clear" w:color="000000" w:fill="FFFFFF"/>
            <w:noWrap/>
            <w:vAlign w:val="center"/>
            <w:hideMark/>
          </w:tcPr>
          <w:p w14:paraId="61615246" w14:textId="77777777" w:rsidR="003E64CC" w:rsidRPr="003E64CC" w:rsidRDefault="003E64CC" w:rsidP="003E64CC">
            <w:pPr>
              <w:rPr>
                <w:rFonts w:ascii="Arial" w:hAnsi="Arial" w:cs="Arial"/>
                <w:sz w:val="16"/>
                <w:szCs w:val="16"/>
                <w:lang w:eastAsia="en-AU"/>
              </w:rPr>
            </w:pPr>
            <w:r w:rsidRPr="003E64CC">
              <w:rPr>
                <w:rFonts w:ascii="Arial" w:hAnsi="Arial" w:cs="Arial"/>
                <w:sz w:val="16"/>
                <w:szCs w:val="16"/>
                <w:lang w:eastAsia="en-AU"/>
              </w:rPr>
              <w:t>Federation Funding Agreement payments</w:t>
            </w:r>
          </w:p>
        </w:tc>
        <w:tc>
          <w:tcPr>
            <w:tcW w:w="964" w:type="dxa"/>
            <w:tcBorders>
              <w:top w:val="nil"/>
              <w:left w:val="nil"/>
              <w:bottom w:val="nil"/>
              <w:right w:val="nil"/>
            </w:tcBorders>
            <w:shd w:val="clear" w:color="000000" w:fill="F2F2F2"/>
            <w:noWrap/>
            <w:vAlign w:val="center"/>
            <w:hideMark/>
          </w:tcPr>
          <w:p w14:paraId="6D9E3233"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(73)</w:t>
            </w:r>
          </w:p>
        </w:tc>
        <w:tc>
          <w:tcPr>
            <w:tcW w:w="964" w:type="dxa"/>
            <w:tcBorders>
              <w:top w:val="nil"/>
              <w:left w:val="nil"/>
              <w:bottom w:val="nil"/>
              <w:right w:val="nil"/>
            </w:tcBorders>
            <w:shd w:val="clear" w:color="000000" w:fill="F2F2F2"/>
            <w:noWrap/>
            <w:vAlign w:val="center"/>
            <w:hideMark/>
          </w:tcPr>
          <w:p w14:paraId="68F8C882"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(856)</w:t>
            </w:r>
          </w:p>
        </w:tc>
        <w:tc>
          <w:tcPr>
            <w:tcW w:w="1016" w:type="dxa"/>
            <w:tcBorders>
              <w:top w:val="nil"/>
              <w:left w:val="nil"/>
              <w:bottom w:val="nil"/>
              <w:right w:val="nil"/>
            </w:tcBorders>
            <w:shd w:val="clear" w:color="000000" w:fill="F2F2F2"/>
            <w:noWrap/>
            <w:vAlign w:val="center"/>
            <w:hideMark/>
          </w:tcPr>
          <w:p w14:paraId="2B311857"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205</w:t>
            </w:r>
          </w:p>
        </w:tc>
        <w:tc>
          <w:tcPr>
            <w:tcW w:w="1076" w:type="dxa"/>
            <w:tcBorders>
              <w:top w:val="nil"/>
              <w:left w:val="nil"/>
              <w:bottom w:val="nil"/>
              <w:right w:val="nil"/>
            </w:tcBorders>
            <w:shd w:val="clear" w:color="000000" w:fill="F2F2F2"/>
            <w:noWrap/>
            <w:vAlign w:val="center"/>
            <w:hideMark/>
          </w:tcPr>
          <w:p w14:paraId="157F97C7"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(11)</w:t>
            </w:r>
          </w:p>
        </w:tc>
        <w:tc>
          <w:tcPr>
            <w:tcW w:w="956" w:type="dxa"/>
            <w:tcBorders>
              <w:top w:val="nil"/>
              <w:left w:val="nil"/>
              <w:bottom w:val="nil"/>
              <w:right w:val="nil"/>
            </w:tcBorders>
            <w:shd w:val="clear" w:color="000000" w:fill="F2F2F2"/>
            <w:noWrap/>
            <w:vAlign w:val="center"/>
            <w:hideMark/>
          </w:tcPr>
          <w:p w14:paraId="5AEE5C6C"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818</w:t>
            </w:r>
          </w:p>
        </w:tc>
        <w:tc>
          <w:tcPr>
            <w:tcW w:w="1020" w:type="dxa"/>
            <w:tcBorders>
              <w:top w:val="nil"/>
              <w:left w:val="nil"/>
              <w:bottom w:val="nil"/>
              <w:right w:val="nil"/>
            </w:tcBorders>
            <w:shd w:val="clear" w:color="000000" w:fill="FFFFFF"/>
            <w:noWrap/>
            <w:vAlign w:val="center"/>
            <w:hideMark/>
          </w:tcPr>
          <w:p w14:paraId="055C7EBE" w14:textId="77777777" w:rsidR="003E64CC" w:rsidRPr="003E64CC" w:rsidRDefault="003E64CC" w:rsidP="003E64CC">
            <w:pPr>
              <w:ind w:firstLineChars="100" w:firstLine="161"/>
              <w:jc w:val="right"/>
              <w:rPr>
                <w:rFonts w:ascii="Arial" w:hAnsi="Arial" w:cs="Arial"/>
                <w:b/>
                <w:bCs/>
                <w:sz w:val="16"/>
                <w:szCs w:val="16"/>
                <w:lang w:eastAsia="en-AU"/>
              </w:rPr>
            </w:pPr>
            <w:r w:rsidRPr="003E64CC">
              <w:rPr>
                <w:rFonts w:ascii="Arial" w:hAnsi="Arial" w:cs="Arial"/>
                <w:b/>
                <w:bCs/>
                <w:sz w:val="16"/>
                <w:szCs w:val="16"/>
                <w:lang w:eastAsia="en-AU"/>
              </w:rPr>
              <w:t>157</w:t>
            </w:r>
          </w:p>
        </w:tc>
      </w:tr>
      <w:tr w:rsidR="003E64CC" w:rsidRPr="003E64CC" w14:paraId="57E6207C" w14:textId="77777777" w:rsidTr="003B5999">
        <w:trPr>
          <w:trHeight w:val="240"/>
        </w:trPr>
        <w:tc>
          <w:tcPr>
            <w:tcW w:w="3686" w:type="dxa"/>
            <w:tcBorders>
              <w:top w:val="nil"/>
              <w:left w:val="nil"/>
              <w:bottom w:val="nil"/>
              <w:right w:val="nil"/>
            </w:tcBorders>
            <w:shd w:val="clear" w:color="000000" w:fill="FFFFFF"/>
            <w:noWrap/>
            <w:vAlign w:val="center"/>
            <w:hideMark/>
          </w:tcPr>
          <w:p w14:paraId="1783DBB1" w14:textId="77777777" w:rsidR="003E64CC" w:rsidRPr="003E64CC" w:rsidRDefault="003E64CC" w:rsidP="003E64CC">
            <w:pPr>
              <w:rPr>
                <w:rFonts w:ascii="Arial" w:hAnsi="Arial" w:cs="Arial"/>
                <w:sz w:val="16"/>
                <w:szCs w:val="16"/>
                <w:lang w:eastAsia="en-AU"/>
              </w:rPr>
            </w:pPr>
            <w:r w:rsidRPr="003E64CC">
              <w:rPr>
                <w:rFonts w:ascii="Arial" w:hAnsi="Arial" w:cs="Arial"/>
                <w:sz w:val="16"/>
                <w:szCs w:val="16"/>
                <w:lang w:eastAsia="en-AU"/>
              </w:rPr>
              <w:t>Other grant revenue</w:t>
            </w:r>
          </w:p>
        </w:tc>
        <w:tc>
          <w:tcPr>
            <w:tcW w:w="964" w:type="dxa"/>
            <w:tcBorders>
              <w:top w:val="nil"/>
              <w:left w:val="nil"/>
              <w:bottom w:val="nil"/>
              <w:right w:val="nil"/>
            </w:tcBorders>
            <w:shd w:val="clear" w:color="000000" w:fill="F2F2F2"/>
            <w:noWrap/>
            <w:vAlign w:val="center"/>
            <w:hideMark/>
          </w:tcPr>
          <w:p w14:paraId="388FC721"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(65)</w:t>
            </w:r>
          </w:p>
        </w:tc>
        <w:tc>
          <w:tcPr>
            <w:tcW w:w="964" w:type="dxa"/>
            <w:tcBorders>
              <w:top w:val="nil"/>
              <w:left w:val="nil"/>
              <w:bottom w:val="nil"/>
              <w:right w:val="nil"/>
            </w:tcBorders>
            <w:shd w:val="clear" w:color="000000" w:fill="F2F2F2"/>
            <w:noWrap/>
            <w:vAlign w:val="center"/>
            <w:hideMark/>
          </w:tcPr>
          <w:p w14:paraId="7ED70ECE"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275</w:t>
            </w:r>
          </w:p>
        </w:tc>
        <w:tc>
          <w:tcPr>
            <w:tcW w:w="1016" w:type="dxa"/>
            <w:tcBorders>
              <w:top w:val="nil"/>
              <w:left w:val="nil"/>
              <w:bottom w:val="nil"/>
              <w:right w:val="nil"/>
            </w:tcBorders>
            <w:shd w:val="clear" w:color="000000" w:fill="F2F2F2"/>
            <w:noWrap/>
            <w:vAlign w:val="center"/>
            <w:hideMark/>
          </w:tcPr>
          <w:p w14:paraId="1B600287"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125</w:t>
            </w:r>
          </w:p>
        </w:tc>
        <w:tc>
          <w:tcPr>
            <w:tcW w:w="1076" w:type="dxa"/>
            <w:tcBorders>
              <w:top w:val="nil"/>
              <w:left w:val="nil"/>
              <w:bottom w:val="nil"/>
              <w:right w:val="nil"/>
            </w:tcBorders>
            <w:shd w:val="clear" w:color="000000" w:fill="F2F2F2"/>
            <w:noWrap/>
            <w:vAlign w:val="center"/>
            <w:hideMark/>
          </w:tcPr>
          <w:p w14:paraId="4D4DBB1A"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123</w:t>
            </w:r>
          </w:p>
        </w:tc>
        <w:tc>
          <w:tcPr>
            <w:tcW w:w="956" w:type="dxa"/>
            <w:tcBorders>
              <w:top w:val="nil"/>
              <w:left w:val="nil"/>
              <w:bottom w:val="nil"/>
              <w:right w:val="nil"/>
            </w:tcBorders>
            <w:shd w:val="clear" w:color="000000" w:fill="F2F2F2"/>
            <w:noWrap/>
            <w:vAlign w:val="center"/>
            <w:hideMark/>
          </w:tcPr>
          <w:p w14:paraId="3A0FA7EB"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116</w:t>
            </w:r>
          </w:p>
        </w:tc>
        <w:tc>
          <w:tcPr>
            <w:tcW w:w="1020" w:type="dxa"/>
            <w:tcBorders>
              <w:top w:val="nil"/>
              <w:left w:val="nil"/>
              <w:bottom w:val="nil"/>
              <w:right w:val="nil"/>
            </w:tcBorders>
            <w:shd w:val="clear" w:color="000000" w:fill="FFFFFF"/>
            <w:noWrap/>
            <w:vAlign w:val="center"/>
            <w:hideMark/>
          </w:tcPr>
          <w:p w14:paraId="05A9A330" w14:textId="77777777" w:rsidR="003E64CC" w:rsidRPr="003E64CC" w:rsidRDefault="003E64CC" w:rsidP="003E64CC">
            <w:pPr>
              <w:ind w:firstLineChars="100" w:firstLine="161"/>
              <w:jc w:val="right"/>
              <w:rPr>
                <w:rFonts w:ascii="Arial" w:hAnsi="Arial" w:cs="Arial"/>
                <w:b/>
                <w:bCs/>
                <w:sz w:val="16"/>
                <w:szCs w:val="16"/>
                <w:lang w:eastAsia="en-AU"/>
              </w:rPr>
            </w:pPr>
            <w:r w:rsidRPr="003E64CC">
              <w:rPr>
                <w:rFonts w:ascii="Arial" w:hAnsi="Arial" w:cs="Arial"/>
                <w:b/>
                <w:bCs/>
                <w:sz w:val="16"/>
                <w:szCs w:val="16"/>
                <w:lang w:eastAsia="en-AU"/>
              </w:rPr>
              <w:t>638</w:t>
            </w:r>
          </w:p>
        </w:tc>
      </w:tr>
      <w:tr w:rsidR="003E64CC" w:rsidRPr="003E64CC" w14:paraId="2412EE26" w14:textId="77777777" w:rsidTr="003B5999">
        <w:trPr>
          <w:trHeight w:val="113"/>
        </w:trPr>
        <w:tc>
          <w:tcPr>
            <w:tcW w:w="3686" w:type="dxa"/>
            <w:tcBorders>
              <w:top w:val="nil"/>
              <w:left w:val="nil"/>
              <w:bottom w:val="nil"/>
              <w:right w:val="nil"/>
            </w:tcBorders>
            <w:shd w:val="clear" w:color="000000" w:fill="FFFFFF"/>
            <w:noWrap/>
            <w:vAlign w:val="center"/>
            <w:hideMark/>
          </w:tcPr>
          <w:p w14:paraId="327909CB" w14:textId="77777777" w:rsidR="003E64CC" w:rsidRPr="003E64CC" w:rsidRDefault="003E64CC" w:rsidP="003E64CC">
            <w:pPr>
              <w:rPr>
                <w:rFonts w:ascii="Arial" w:hAnsi="Arial" w:cs="Arial"/>
                <w:sz w:val="16"/>
                <w:szCs w:val="16"/>
                <w:lang w:eastAsia="en-AU"/>
              </w:rPr>
            </w:pPr>
            <w:r w:rsidRPr="003E64CC">
              <w:rPr>
                <w:rFonts w:ascii="Arial" w:hAnsi="Arial" w:cs="Arial"/>
                <w:sz w:val="16"/>
                <w:szCs w:val="16"/>
                <w:lang w:eastAsia="en-AU"/>
              </w:rPr>
              <w:t> </w:t>
            </w:r>
          </w:p>
        </w:tc>
        <w:tc>
          <w:tcPr>
            <w:tcW w:w="964" w:type="dxa"/>
            <w:tcBorders>
              <w:top w:val="nil"/>
              <w:left w:val="nil"/>
              <w:bottom w:val="nil"/>
              <w:right w:val="nil"/>
            </w:tcBorders>
            <w:shd w:val="clear" w:color="000000" w:fill="F2F2F2"/>
            <w:noWrap/>
            <w:vAlign w:val="center"/>
            <w:hideMark/>
          </w:tcPr>
          <w:p w14:paraId="687974EE"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 </w:t>
            </w:r>
          </w:p>
        </w:tc>
        <w:tc>
          <w:tcPr>
            <w:tcW w:w="964" w:type="dxa"/>
            <w:tcBorders>
              <w:top w:val="nil"/>
              <w:left w:val="nil"/>
              <w:bottom w:val="nil"/>
              <w:right w:val="nil"/>
            </w:tcBorders>
            <w:shd w:val="clear" w:color="000000" w:fill="F2F2F2"/>
            <w:noWrap/>
            <w:vAlign w:val="center"/>
            <w:hideMark/>
          </w:tcPr>
          <w:p w14:paraId="1687B38B"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 </w:t>
            </w:r>
          </w:p>
        </w:tc>
        <w:tc>
          <w:tcPr>
            <w:tcW w:w="1016" w:type="dxa"/>
            <w:tcBorders>
              <w:top w:val="nil"/>
              <w:left w:val="nil"/>
              <w:bottom w:val="nil"/>
              <w:right w:val="nil"/>
            </w:tcBorders>
            <w:shd w:val="clear" w:color="000000" w:fill="F2F2F2"/>
            <w:noWrap/>
            <w:vAlign w:val="center"/>
            <w:hideMark/>
          </w:tcPr>
          <w:p w14:paraId="6EFF903E"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 </w:t>
            </w:r>
          </w:p>
        </w:tc>
        <w:tc>
          <w:tcPr>
            <w:tcW w:w="1076" w:type="dxa"/>
            <w:tcBorders>
              <w:top w:val="nil"/>
              <w:left w:val="nil"/>
              <w:bottom w:val="nil"/>
              <w:right w:val="nil"/>
            </w:tcBorders>
            <w:shd w:val="clear" w:color="000000" w:fill="F2F2F2"/>
            <w:noWrap/>
            <w:vAlign w:val="center"/>
            <w:hideMark/>
          </w:tcPr>
          <w:p w14:paraId="5D4D95EE"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 </w:t>
            </w:r>
          </w:p>
        </w:tc>
        <w:tc>
          <w:tcPr>
            <w:tcW w:w="956" w:type="dxa"/>
            <w:tcBorders>
              <w:top w:val="nil"/>
              <w:left w:val="nil"/>
              <w:bottom w:val="nil"/>
              <w:right w:val="nil"/>
            </w:tcBorders>
            <w:shd w:val="clear" w:color="000000" w:fill="F2F2F2"/>
            <w:noWrap/>
            <w:vAlign w:val="center"/>
            <w:hideMark/>
          </w:tcPr>
          <w:p w14:paraId="047DAB99"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 </w:t>
            </w:r>
          </w:p>
        </w:tc>
        <w:tc>
          <w:tcPr>
            <w:tcW w:w="1020" w:type="dxa"/>
            <w:tcBorders>
              <w:top w:val="nil"/>
              <w:left w:val="nil"/>
              <w:bottom w:val="nil"/>
              <w:right w:val="nil"/>
            </w:tcBorders>
            <w:shd w:val="clear" w:color="000000" w:fill="FFFFFF"/>
            <w:noWrap/>
            <w:vAlign w:val="center"/>
            <w:hideMark/>
          </w:tcPr>
          <w:p w14:paraId="642CC1C7" w14:textId="77777777" w:rsidR="003E64CC" w:rsidRPr="003E64CC" w:rsidRDefault="003E64CC" w:rsidP="003E64CC">
            <w:pPr>
              <w:ind w:firstLineChars="100" w:firstLine="161"/>
              <w:jc w:val="right"/>
              <w:rPr>
                <w:rFonts w:ascii="Arial" w:hAnsi="Arial" w:cs="Arial"/>
                <w:b/>
                <w:bCs/>
                <w:sz w:val="16"/>
                <w:szCs w:val="16"/>
                <w:lang w:eastAsia="en-AU"/>
              </w:rPr>
            </w:pPr>
            <w:r w:rsidRPr="003E64CC">
              <w:rPr>
                <w:rFonts w:ascii="Arial" w:hAnsi="Arial" w:cs="Arial"/>
                <w:b/>
                <w:bCs/>
                <w:sz w:val="16"/>
                <w:szCs w:val="16"/>
                <w:lang w:eastAsia="en-AU"/>
              </w:rPr>
              <w:t> </w:t>
            </w:r>
          </w:p>
        </w:tc>
      </w:tr>
      <w:tr w:rsidR="003E64CC" w:rsidRPr="003E64CC" w14:paraId="08F1B324" w14:textId="77777777" w:rsidTr="003B5999">
        <w:trPr>
          <w:trHeight w:val="240"/>
        </w:trPr>
        <w:tc>
          <w:tcPr>
            <w:tcW w:w="3686" w:type="dxa"/>
            <w:tcBorders>
              <w:top w:val="nil"/>
              <w:left w:val="nil"/>
              <w:bottom w:val="nil"/>
              <w:right w:val="nil"/>
            </w:tcBorders>
            <w:shd w:val="clear" w:color="000000" w:fill="FFFFFF"/>
            <w:noWrap/>
            <w:vAlign w:val="center"/>
            <w:hideMark/>
          </w:tcPr>
          <w:p w14:paraId="0546EF24" w14:textId="77777777" w:rsidR="003E64CC" w:rsidRPr="003E64CC" w:rsidRDefault="003E64CC" w:rsidP="003E64CC">
            <w:pPr>
              <w:rPr>
                <w:rFonts w:ascii="Arial" w:hAnsi="Arial" w:cs="Arial"/>
                <w:b/>
                <w:bCs/>
                <w:sz w:val="16"/>
                <w:szCs w:val="16"/>
                <w:lang w:eastAsia="en-AU"/>
              </w:rPr>
            </w:pPr>
            <w:r w:rsidRPr="003E64CC">
              <w:rPr>
                <w:rFonts w:ascii="Arial" w:hAnsi="Arial" w:cs="Arial"/>
                <w:b/>
                <w:bCs/>
                <w:sz w:val="16"/>
                <w:szCs w:val="16"/>
                <w:lang w:eastAsia="en-AU"/>
              </w:rPr>
              <w:t>Sale of goods and services</w:t>
            </w:r>
          </w:p>
        </w:tc>
        <w:tc>
          <w:tcPr>
            <w:tcW w:w="964" w:type="dxa"/>
            <w:tcBorders>
              <w:top w:val="nil"/>
              <w:left w:val="nil"/>
              <w:bottom w:val="nil"/>
              <w:right w:val="nil"/>
            </w:tcBorders>
            <w:shd w:val="clear" w:color="000000" w:fill="F2F2F2"/>
            <w:noWrap/>
            <w:vAlign w:val="center"/>
            <w:hideMark/>
          </w:tcPr>
          <w:p w14:paraId="0D50E88F"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(842)</w:t>
            </w:r>
          </w:p>
        </w:tc>
        <w:tc>
          <w:tcPr>
            <w:tcW w:w="964" w:type="dxa"/>
            <w:tcBorders>
              <w:top w:val="nil"/>
              <w:left w:val="nil"/>
              <w:bottom w:val="nil"/>
              <w:right w:val="nil"/>
            </w:tcBorders>
            <w:shd w:val="clear" w:color="000000" w:fill="F2F2F2"/>
            <w:noWrap/>
            <w:vAlign w:val="center"/>
            <w:hideMark/>
          </w:tcPr>
          <w:p w14:paraId="73F67D6E"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127</w:t>
            </w:r>
          </w:p>
        </w:tc>
        <w:tc>
          <w:tcPr>
            <w:tcW w:w="1016" w:type="dxa"/>
            <w:tcBorders>
              <w:top w:val="nil"/>
              <w:left w:val="nil"/>
              <w:bottom w:val="nil"/>
              <w:right w:val="nil"/>
            </w:tcBorders>
            <w:shd w:val="clear" w:color="000000" w:fill="F2F2F2"/>
            <w:noWrap/>
            <w:vAlign w:val="center"/>
            <w:hideMark/>
          </w:tcPr>
          <w:p w14:paraId="5236C9BD"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543</w:t>
            </w:r>
          </w:p>
        </w:tc>
        <w:tc>
          <w:tcPr>
            <w:tcW w:w="1076" w:type="dxa"/>
            <w:tcBorders>
              <w:top w:val="nil"/>
              <w:left w:val="nil"/>
              <w:bottom w:val="nil"/>
              <w:right w:val="nil"/>
            </w:tcBorders>
            <w:shd w:val="clear" w:color="000000" w:fill="F2F2F2"/>
            <w:noWrap/>
            <w:vAlign w:val="center"/>
            <w:hideMark/>
          </w:tcPr>
          <w:p w14:paraId="1AE63D57"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682</w:t>
            </w:r>
          </w:p>
        </w:tc>
        <w:tc>
          <w:tcPr>
            <w:tcW w:w="956" w:type="dxa"/>
            <w:tcBorders>
              <w:top w:val="nil"/>
              <w:left w:val="nil"/>
              <w:bottom w:val="nil"/>
              <w:right w:val="nil"/>
            </w:tcBorders>
            <w:shd w:val="clear" w:color="000000" w:fill="F2F2F2"/>
            <w:noWrap/>
            <w:vAlign w:val="center"/>
            <w:hideMark/>
          </w:tcPr>
          <w:p w14:paraId="0DCBF8BE"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619</w:t>
            </w:r>
          </w:p>
        </w:tc>
        <w:tc>
          <w:tcPr>
            <w:tcW w:w="1020" w:type="dxa"/>
            <w:tcBorders>
              <w:top w:val="nil"/>
              <w:left w:val="nil"/>
              <w:bottom w:val="nil"/>
              <w:right w:val="nil"/>
            </w:tcBorders>
            <w:shd w:val="clear" w:color="000000" w:fill="FFFFFF"/>
            <w:noWrap/>
            <w:vAlign w:val="center"/>
            <w:hideMark/>
          </w:tcPr>
          <w:p w14:paraId="65124519" w14:textId="77777777" w:rsidR="003E64CC" w:rsidRPr="003E64CC" w:rsidRDefault="003E64CC" w:rsidP="003E64CC">
            <w:pPr>
              <w:ind w:firstLineChars="100" w:firstLine="161"/>
              <w:jc w:val="right"/>
              <w:rPr>
                <w:rFonts w:ascii="Arial" w:hAnsi="Arial" w:cs="Arial"/>
                <w:b/>
                <w:bCs/>
                <w:sz w:val="16"/>
                <w:szCs w:val="16"/>
                <w:lang w:eastAsia="en-AU"/>
              </w:rPr>
            </w:pPr>
            <w:r w:rsidRPr="003E64CC">
              <w:rPr>
                <w:rFonts w:ascii="Arial" w:hAnsi="Arial" w:cs="Arial"/>
                <w:b/>
                <w:bCs/>
                <w:sz w:val="16"/>
                <w:szCs w:val="16"/>
                <w:lang w:eastAsia="en-AU"/>
              </w:rPr>
              <w:t>1,971</w:t>
            </w:r>
          </w:p>
        </w:tc>
      </w:tr>
      <w:tr w:rsidR="003E64CC" w:rsidRPr="003E64CC" w14:paraId="0F85276A" w14:textId="77777777" w:rsidTr="003B5999">
        <w:trPr>
          <w:trHeight w:val="240"/>
        </w:trPr>
        <w:tc>
          <w:tcPr>
            <w:tcW w:w="3686" w:type="dxa"/>
            <w:tcBorders>
              <w:top w:val="nil"/>
              <w:left w:val="nil"/>
              <w:bottom w:val="nil"/>
              <w:right w:val="nil"/>
            </w:tcBorders>
            <w:shd w:val="clear" w:color="000000" w:fill="FFFFFF"/>
            <w:noWrap/>
            <w:vAlign w:val="center"/>
            <w:hideMark/>
          </w:tcPr>
          <w:p w14:paraId="3B722480" w14:textId="77777777" w:rsidR="003E64CC" w:rsidRPr="003E64CC" w:rsidRDefault="003E64CC" w:rsidP="003E64CC">
            <w:pPr>
              <w:rPr>
                <w:rFonts w:ascii="Arial" w:hAnsi="Arial" w:cs="Arial"/>
                <w:b/>
                <w:bCs/>
                <w:sz w:val="16"/>
                <w:szCs w:val="16"/>
                <w:lang w:eastAsia="en-AU"/>
              </w:rPr>
            </w:pPr>
            <w:r w:rsidRPr="003E64CC">
              <w:rPr>
                <w:rFonts w:ascii="Arial" w:hAnsi="Arial" w:cs="Arial"/>
                <w:b/>
                <w:bCs/>
                <w:sz w:val="16"/>
                <w:szCs w:val="16"/>
                <w:lang w:eastAsia="en-AU"/>
              </w:rPr>
              <w:t>Interest income</w:t>
            </w:r>
          </w:p>
        </w:tc>
        <w:tc>
          <w:tcPr>
            <w:tcW w:w="964" w:type="dxa"/>
            <w:tcBorders>
              <w:top w:val="nil"/>
              <w:left w:val="nil"/>
              <w:bottom w:val="nil"/>
              <w:right w:val="nil"/>
            </w:tcBorders>
            <w:shd w:val="clear" w:color="000000" w:fill="F2F2F2"/>
            <w:noWrap/>
            <w:vAlign w:val="center"/>
            <w:hideMark/>
          </w:tcPr>
          <w:p w14:paraId="24EF13B9"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41</w:t>
            </w:r>
          </w:p>
        </w:tc>
        <w:tc>
          <w:tcPr>
            <w:tcW w:w="964" w:type="dxa"/>
            <w:tcBorders>
              <w:top w:val="nil"/>
              <w:left w:val="nil"/>
              <w:bottom w:val="nil"/>
              <w:right w:val="nil"/>
            </w:tcBorders>
            <w:shd w:val="clear" w:color="000000" w:fill="F2F2F2"/>
            <w:noWrap/>
            <w:vAlign w:val="center"/>
            <w:hideMark/>
          </w:tcPr>
          <w:p w14:paraId="02D47627"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134</w:t>
            </w:r>
          </w:p>
        </w:tc>
        <w:tc>
          <w:tcPr>
            <w:tcW w:w="1016" w:type="dxa"/>
            <w:tcBorders>
              <w:top w:val="nil"/>
              <w:left w:val="nil"/>
              <w:bottom w:val="nil"/>
              <w:right w:val="nil"/>
            </w:tcBorders>
            <w:shd w:val="clear" w:color="000000" w:fill="F2F2F2"/>
            <w:noWrap/>
            <w:vAlign w:val="center"/>
            <w:hideMark/>
          </w:tcPr>
          <w:p w14:paraId="2BC576C2"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151</w:t>
            </w:r>
          </w:p>
        </w:tc>
        <w:tc>
          <w:tcPr>
            <w:tcW w:w="1076" w:type="dxa"/>
            <w:tcBorders>
              <w:top w:val="nil"/>
              <w:left w:val="nil"/>
              <w:bottom w:val="nil"/>
              <w:right w:val="nil"/>
            </w:tcBorders>
            <w:shd w:val="clear" w:color="000000" w:fill="F2F2F2"/>
            <w:noWrap/>
            <w:vAlign w:val="center"/>
            <w:hideMark/>
          </w:tcPr>
          <w:p w14:paraId="5169B9FC"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151</w:t>
            </w:r>
          </w:p>
        </w:tc>
        <w:tc>
          <w:tcPr>
            <w:tcW w:w="956" w:type="dxa"/>
            <w:tcBorders>
              <w:top w:val="nil"/>
              <w:left w:val="nil"/>
              <w:bottom w:val="nil"/>
              <w:right w:val="nil"/>
            </w:tcBorders>
            <w:shd w:val="clear" w:color="000000" w:fill="F2F2F2"/>
            <w:noWrap/>
            <w:vAlign w:val="center"/>
            <w:hideMark/>
          </w:tcPr>
          <w:p w14:paraId="6010CA4B"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175</w:t>
            </w:r>
          </w:p>
        </w:tc>
        <w:tc>
          <w:tcPr>
            <w:tcW w:w="1020" w:type="dxa"/>
            <w:tcBorders>
              <w:top w:val="nil"/>
              <w:left w:val="nil"/>
              <w:bottom w:val="nil"/>
              <w:right w:val="nil"/>
            </w:tcBorders>
            <w:shd w:val="clear" w:color="000000" w:fill="FFFFFF"/>
            <w:noWrap/>
            <w:vAlign w:val="center"/>
            <w:hideMark/>
          </w:tcPr>
          <w:p w14:paraId="7F2D7F9A" w14:textId="77777777" w:rsidR="003E64CC" w:rsidRPr="003E64CC" w:rsidRDefault="003E64CC" w:rsidP="003E64CC">
            <w:pPr>
              <w:ind w:firstLineChars="100" w:firstLine="161"/>
              <w:jc w:val="right"/>
              <w:rPr>
                <w:rFonts w:ascii="Arial" w:hAnsi="Arial" w:cs="Arial"/>
                <w:b/>
                <w:bCs/>
                <w:sz w:val="16"/>
                <w:szCs w:val="16"/>
                <w:lang w:eastAsia="en-AU"/>
              </w:rPr>
            </w:pPr>
            <w:r w:rsidRPr="003E64CC">
              <w:rPr>
                <w:rFonts w:ascii="Arial" w:hAnsi="Arial" w:cs="Arial"/>
                <w:b/>
                <w:bCs/>
                <w:sz w:val="16"/>
                <w:szCs w:val="16"/>
                <w:lang w:eastAsia="en-AU"/>
              </w:rPr>
              <w:t>611</w:t>
            </w:r>
          </w:p>
        </w:tc>
      </w:tr>
      <w:tr w:rsidR="003E64CC" w:rsidRPr="003E64CC" w14:paraId="2175DC4E" w14:textId="77777777" w:rsidTr="003B5999">
        <w:trPr>
          <w:trHeight w:val="240"/>
        </w:trPr>
        <w:tc>
          <w:tcPr>
            <w:tcW w:w="3686" w:type="dxa"/>
            <w:tcBorders>
              <w:top w:val="nil"/>
              <w:left w:val="nil"/>
              <w:bottom w:val="nil"/>
              <w:right w:val="nil"/>
            </w:tcBorders>
            <w:shd w:val="clear" w:color="000000" w:fill="FFFFFF"/>
            <w:noWrap/>
            <w:vAlign w:val="center"/>
            <w:hideMark/>
          </w:tcPr>
          <w:p w14:paraId="0245D9B7" w14:textId="77777777" w:rsidR="003E64CC" w:rsidRPr="003E64CC" w:rsidRDefault="003E64CC" w:rsidP="003E64CC">
            <w:pPr>
              <w:rPr>
                <w:rFonts w:ascii="Arial" w:hAnsi="Arial" w:cs="Arial"/>
                <w:b/>
                <w:bCs/>
                <w:sz w:val="16"/>
                <w:szCs w:val="16"/>
                <w:lang w:eastAsia="en-AU"/>
              </w:rPr>
            </w:pPr>
            <w:r w:rsidRPr="003E64CC">
              <w:rPr>
                <w:rFonts w:ascii="Arial" w:hAnsi="Arial" w:cs="Arial"/>
                <w:b/>
                <w:bCs/>
                <w:sz w:val="16"/>
                <w:szCs w:val="16"/>
                <w:lang w:eastAsia="en-AU"/>
              </w:rPr>
              <w:t>Dividends and income tax equivalents</w:t>
            </w:r>
          </w:p>
        </w:tc>
        <w:tc>
          <w:tcPr>
            <w:tcW w:w="964" w:type="dxa"/>
            <w:tcBorders>
              <w:top w:val="nil"/>
              <w:left w:val="nil"/>
              <w:bottom w:val="nil"/>
              <w:right w:val="nil"/>
            </w:tcBorders>
            <w:shd w:val="clear" w:color="000000" w:fill="F2F2F2"/>
            <w:noWrap/>
            <w:vAlign w:val="center"/>
            <w:hideMark/>
          </w:tcPr>
          <w:p w14:paraId="4CBDEA8A"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(106)</w:t>
            </w:r>
          </w:p>
        </w:tc>
        <w:tc>
          <w:tcPr>
            <w:tcW w:w="964" w:type="dxa"/>
            <w:tcBorders>
              <w:top w:val="nil"/>
              <w:left w:val="nil"/>
              <w:bottom w:val="nil"/>
              <w:right w:val="nil"/>
            </w:tcBorders>
            <w:shd w:val="clear" w:color="000000" w:fill="F2F2F2"/>
            <w:noWrap/>
            <w:vAlign w:val="center"/>
            <w:hideMark/>
          </w:tcPr>
          <w:p w14:paraId="2CDB9EA8"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(159)</w:t>
            </w:r>
          </w:p>
        </w:tc>
        <w:tc>
          <w:tcPr>
            <w:tcW w:w="1016" w:type="dxa"/>
            <w:tcBorders>
              <w:top w:val="nil"/>
              <w:left w:val="nil"/>
              <w:bottom w:val="nil"/>
              <w:right w:val="nil"/>
            </w:tcBorders>
            <w:shd w:val="clear" w:color="000000" w:fill="F2F2F2"/>
            <w:noWrap/>
            <w:vAlign w:val="center"/>
            <w:hideMark/>
          </w:tcPr>
          <w:p w14:paraId="00625A71"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3</w:t>
            </w:r>
          </w:p>
        </w:tc>
        <w:tc>
          <w:tcPr>
            <w:tcW w:w="1076" w:type="dxa"/>
            <w:tcBorders>
              <w:top w:val="nil"/>
              <w:left w:val="nil"/>
              <w:bottom w:val="nil"/>
              <w:right w:val="nil"/>
            </w:tcBorders>
            <w:shd w:val="clear" w:color="000000" w:fill="F2F2F2"/>
            <w:noWrap/>
            <w:vAlign w:val="center"/>
            <w:hideMark/>
          </w:tcPr>
          <w:p w14:paraId="5834587F"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(274)</w:t>
            </w:r>
          </w:p>
        </w:tc>
        <w:tc>
          <w:tcPr>
            <w:tcW w:w="956" w:type="dxa"/>
            <w:tcBorders>
              <w:top w:val="nil"/>
              <w:left w:val="nil"/>
              <w:bottom w:val="nil"/>
              <w:right w:val="nil"/>
            </w:tcBorders>
            <w:shd w:val="clear" w:color="000000" w:fill="F2F2F2"/>
            <w:noWrap/>
            <w:vAlign w:val="center"/>
            <w:hideMark/>
          </w:tcPr>
          <w:p w14:paraId="6B33E9DC"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466</w:t>
            </w:r>
          </w:p>
        </w:tc>
        <w:tc>
          <w:tcPr>
            <w:tcW w:w="1020" w:type="dxa"/>
            <w:tcBorders>
              <w:top w:val="nil"/>
              <w:left w:val="nil"/>
              <w:bottom w:val="nil"/>
              <w:right w:val="nil"/>
            </w:tcBorders>
            <w:shd w:val="clear" w:color="000000" w:fill="FFFFFF"/>
            <w:noWrap/>
            <w:vAlign w:val="center"/>
            <w:hideMark/>
          </w:tcPr>
          <w:p w14:paraId="419F9076" w14:textId="77777777" w:rsidR="003E64CC" w:rsidRPr="003E64CC" w:rsidRDefault="003E64CC" w:rsidP="003E64CC">
            <w:pPr>
              <w:ind w:firstLineChars="100" w:firstLine="161"/>
              <w:jc w:val="right"/>
              <w:rPr>
                <w:rFonts w:ascii="Arial" w:hAnsi="Arial" w:cs="Arial"/>
                <w:b/>
                <w:bCs/>
                <w:sz w:val="16"/>
                <w:szCs w:val="16"/>
                <w:lang w:eastAsia="en-AU"/>
              </w:rPr>
            </w:pPr>
            <w:r w:rsidRPr="003E64CC">
              <w:rPr>
                <w:rFonts w:ascii="Arial" w:hAnsi="Arial" w:cs="Arial"/>
                <w:b/>
                <w:bCs/>
                <w:sz w:val="16"/>
                <w:szCs w:val="16"/>
                <w:lang w:eastAsia="en-AU"/>
              </w:rPr>
              <w:t>36</w:t>
            </w:r>
          </w:p>
        </w:tc>
      </w:tr>
      <w:tr w:rsidR="003E64CC" w:rsidRPr="003E64CC" w14:paraId="376743E0" w14:textId="77777777" w:rsidTr="003B5999">
        <w:trPr>
          <w:trHeight w:val="240"/>
        </w:trPr>
        <w:tc>
          <w:tcPr>
            <w:tcW w:w="3686" w:type="dxa"/>
            <w:tcBorders>
              <w:top w:val="nil"/>
              <w:left w:val="nil"/>
              <w:bottom w:val="nil"/>
              <w:right w:val="nil"/>
            </w:tcBorders>
            <w:shd w:val="clear" w:color="000000" w:fill="FFFFFF"/>
            <w:noWrap/>
            <w:vAlign w:val="center"/>
            <w:hideMark/>
          </w:tcPr>
          <w:p w14:paraId="41916338" w14:textId="77777777" w:rsidR="003E64CC" w:rsidRPr="003E64CC" w:rsidRDefault="003E64CC" w:rsidP="003E64CC">
            <w:pPr>
              <w:rPr>
                <w:rFonts w:ascii="Arial" w:hAnsi="Arial" w:cs="Arial"/>
                <w:b/>
                <w:bCs/>
                <w:sz w:val="16"/>
                <w:szCs w:val="16"/>
                <w:lang w:eastAsia="en-AU"/>
              </w:rPr>
            </w:pPr>
            <w:r w:rsidRPr="003E64CC">
              <w:rPr>
                <w:rFonts w:ascii="Arial" w:hAnsi="Arial" w:cs="Arial"/>
                <w:b/>
                <w:bCs/>
                <w:sz w:val="16"/>
                <w:szCs w:val="16"/>
                <w:lang w:eastAsia="en-AU"/>
              </w:rPr>
              <w:t>Other dividends and distributions</w:t>
            </w:r>
          </w:p>
        </w:tc>
        <w:tc>
          <w:tcPr>
            <w:tcW w:w="964" w:type="dxa"/>
            <w:tcBorders>
              <w:top w:val="nil"/>
              <w:left w:val="nil"/>
              <w:bottom w:val="nil"/>
              <w:right w:val="nil"/>
            </w:tcBorders>
            <w:shd w:val="clear" w:color="000000" w:fill="F2F2F2"/>
            <w:noWrap/>
            <w:vAlign w:val="center"/>
            <w:hideMark/>
          </w:tcPr>
          <w:p w14:paraId="01982EBE"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(124)</w:t>
            </w:r>
          </w:p>
        </w:tc>
        <w:tc>
          <w:tcPr>
            <w:tcW w:w="964" w:type="dxa"/>
            <w:tcBorders>
              <w:top w:val="nil"/>
              <w:left w:val="nil"/>
              <w:bottom w:val="nil"/>
              <w:right w:val="nil"/>
            </w:tcBorders>
            <w:shd w:val="clear" w:color="000000" w:fill="F2F2F2"/>
            <w:noWrap/>
            <w:vAlign w:val="center"/>
            <w:hideMark/>
          </w:tcPr>
          <w:p w14:paraId="4645E8DE"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(54)</w:t>
            </w:r>
          </w:p>
        </w:tc>
        <w:tc>
          <w:tcPr>
            <w:tcW w:w="1016" w:type="dxa"/>
            <w:tcBorders>
              <w:top w:val="nil"/>
              <w:left w:val="nil"/>
              <w:bottom w:val="nil"/>
              <w:right w:val="nil"/>
            </w:tcBorders>
            <w:shd w:val="clear" w:color="000000" w:fill="F2F2F2"/>
            <w:noWrap/>
            <w:vAlign w:val="center"/>
            <w:hideMark/>
          </w:tcPr>
          <w:p w14:paraId="03036F2F"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83</w:t>
            </w:r>
          </w:p>
        </w:tc>
        <w:tc>
          <w:tcPr>
            <w:tcW w:w="1076" w:type="dxa"/>
            <w:tcBorders>
              <w:top w:val="nil"/>
              <w:left w:val="nil"/>
              <w:bottom w:val="nil"/>
              <w:right w:val="nil"/>
            </w:tcBorders>
            <w:shd w:val="clear" w:color="000000" w:fill="F2F2F2"/>
            <w:noWrap/>
            <w:vAlign w:val="center"/>
            <w:hideMark/>
          </w:tcPr>
          <w:p w14:paraId="35CD178C"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(504)</w:t>
            </w:r>
          </w:p>
        </w:tc>
        <w:tc>
          <w:tcPr>
            <w:tcW w:w="956" w:type="dxa"/>
            <w:tcBorders>
              <w:top w:val="nil"/>
              <w:left w:val="nil"/>
              <w:bottom w:val="nil"/>
              <w:right w:val="nil"/>
            </w:tcBorders>
            <w:shd w:val="clear" w:color="000000" w:fill="F2F2F2"/>
            <w:noWrap/>
            <w:vAlign w:val="center"/>
            <w:hideMark/>
          </w:tcPr>
          <w:p w14:paraId="180D158E"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87</w:t>
            </w:r>
          </w:p>
        </w:tc>
        <w:tc>
          <w:tcPr>
            <w:tcW w:w="1020" w:type="dxa"/>
            <w:tcBorders>
              <w:top w:val="nil"/>
              <w:left w:val="nil"/>
              <w:bottom w:val="nil"/>
              <w:right w:val="nil"/>
            </w:tcBorders>
            <w:shd w:val="clear" w:color="000000" w:fill="FFFFFF"/>
            <w:noWrap/>
            <w:vAlign w:val="center"/>
            <w:hideMark/>
          </w:tcPr>
          <w:p w14:paraId="49009BD6" w14:textId="77777777" w:rsidR="003E64CC" w:rsidRPr="003E64CC" w:rsidRDefault="003E64CC" w:rsidP="003E64CC">
            <w:pPr>
              <w:ind w:firstLineChars="100" w:firstLine="161"/>
              <w:jc w:val="right"/>
              <w:rPr>
                <w:rFonts w:ascii="Arial" w:hAnsi="Arial" w:cs="Arial"/>
                <w:b/>
                <w:bCs/>
                <w:sz w:val="16"/>
                <w:szCs w:val="16"/>
                <w:lang w:eastAsia="en-AU"/>
              </w:rPr>
            </w:pPr>
            <w:r w:rsidRPr="003E64CC">
              <w:rPr>
                <w:rFonts w:ascii="Arial" w:hAnsi="Arial" w:cs="Arial"/>
                <w:b/>
                <w:bCs/>
                <w:sz w:val="16"/>
                <w:szCs w:val="16"/>
                <w:lang w:eastAsia="en-AU"/>
              </w:rPr>
              <w:t>-389</w:t>
            </w:r>
          </w:p>
        </w:tc>
      </w:tr>
      <w:tr w:rsidR="003E64CC" w:rsidRPr="003E64CC" w14:paraId="187CF345" w14:textId="77777777" w:rsidTr="003B5999">
        <w:trPr>
          <w:trHeight w:val="240"/>
        </w:trPr>
        <w:tc>
          <w:tcPr>
            <w:tcW w:w="3686" w:type="dxa"/>
            <w:tcBorders>
              <w:top w:val="nil"/>
              <w:left w:val="nil"/>
              <w:bottom w:val="nil"/>
              <w:right w:val="nil"/>
            </w:tcBorders>
            <w:shd w:val="clear" w:color="000000" w:fill="FFFFFF"/>
            <w:noWrap/>
            <w:vAlign w:val="center"/>
            <w:hideMark/>
          </w:tcPr>
          <w:p w14:paraId="0FA3A7C5" w14:textId="77777777" w:rsidR="003E64CC" w:rsidRPr="003E64CC" w:rsidRDefault="003E64CC" w:rsidP="003E64CC">
            <w:pPr>
              <w:rPr>
                <w:rFonts w:ascii="Arial" w:hAnsi="Arial" w:cs="Arial"/>
                <w:b/>
                <w:bCs/>
                <w:sz w:val="16"/>
                <w:szCs w:val="16"/>
                <w:lang w:eastAsia="en-AU"/>
              </w:rPr>
            </w:pPr>
            <w:r w:rsidRPr="003E64CC">
              <w:rPr>
                <w:rFonts w:ascii="Arial" w:hAnsi="Arial" w:cs="Arial"/>
                <w:b/>
                <w:bCs/>
                <w:sz w:val="16"/>
                <w:szCs w:val="16"/>
                <w:lang w:eastAsia="en-AU"/>
              </w:rPr>
              <w:t>Royalties</w:t>
            </w:r>
          </w:p>
        </w:tc>
        <w:tc>
          <w:tcPr>
            <w:tcW w:w="964" w:type="dxa"/>
            <w:tcBorders>
              <w:top w:val="nil"/>
              <w:left w:val="nil"/>
              <w:bottom w:val="nil"/>
              <w:right w:val="nil"/>
            </w:tcBorders>
            <w:shd w:val="clear" w:color="000000" w:fill="F2F2F2"/>
            <w:noWrap/>
            <w:vAlign w:val="center"/>
            <w:hideMark/>
          </w:tcPr>
          <w:p w14:paraId="1467D74F"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810</w:t>
            </w:r>
          </w:p>
        </w:tc>
        <w:tc>
          <w:tcPr>
            <w:tcW w:w="964" w:type="dxa"/>
            <w:tcBorders>
              <w:top w:val="nil"/>
              <w:left w:val="nil"/>
              <w:bottom w:val="nil"/>
              <w:right w:val="nil"/>
            </w:tcBorders>
            <w:shd w:val="clear" w:color="000000" w:fill="F2F2F2"/>
            <w:noWrap/>
            <w:vAlign w:val="center"/>
            <w:hideMark/>
          </w:tcPr>
          <w:p w14:paraId="6EBBA1A7"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1,840</w:t>
            </w:r>
          </w:p>
        </w:tc>
        <w:tc>
          <w:tcPr>
            <w:tcW w:w="1016" w:type="dxa"/>
            <w:tcBorders>
              <w:top w:val="nil"/>
              <w:left w:val="nil"/>
              <w:bottom w:val="nil"/>
              <w:right w:val="nil"/>
            </w:tcBorders>
            <w:shd w:val="clear" w:color="000000" w:fill="F2F2F2"/>
            <w:noWrap/>
            <w:vAlign w:val="center"/>
            <w:hideMark/>
          </w:tcPr>
          <w:p w14:paraId="2F356719"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1,010</w:t>
            </w:r>
          </w:p>
        </w:tc>
        <w:tc>
          <w:tcPr>
            <w:tcW w:w="1076" w:type="dxa"/>
            <w:tcBorders>
              <w:top w:val="nil"/>
              <w:left w:val="nil"/>
              <w:bottom w:val="nil"/>
              <w:right w:val="nil"/>
            </w:tcBorders>
            <w:shd w:val="clear" w:color="000000" w:fill="F2F2F2"/>
            <w:noWrap/>
            <w:vAlign w:val="center"/>
            <w:hideMark/>
          </w:tcPr>
          <w:p w14:paraId="2EC1056C"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584</w:t>
            </w:r>
          </w:p>
        </w:tc>
        <w:tc>
          <w:tcPr>
            <w:tcW w:w="956" w:type="dxa"/>
            <w:tcBorders>
              <w:top w:val="nil"/>
              <w:left w:val="nil"/>
              <w:bottom w:val="nil"/>
              <w:right w:val="nil"/>
            </w:tcBorders>
            <w:shd w:val="clear" w:color="000000" w:fill="F2F2F2"/>
            <w:noWrap/>
            <w:vAlign w:val="center"/>
            <w:hideMark/>
          </w:tcPr>
          <w:p w14:paraId="3DF9C3D2"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353</w:t>
            </w:r>
          </w:p>
        </w:tc>
        <w:tc>
          <w:tcPr>
            <w:tcW w:w="1020" w:type="dxa"/>
            <w:tcBorders>
              <w:top w:val="nil"/>
              <w:left w:val="nil"/>
              <w:bottom w:val="nil"/>
              <w:right w:val="nil"/>
            </w:tcBorders>
            <w:shd w:val="clear" w:color="000000" w:fill="FFFFFF"/>
            <w:noWrap/>
            <w:vAlign w:val="center"/>
            <w:hideMark/>
          </w:tcPr>
          <w:p w14:paraId="31DA22FC" w14:textId="77777777" w:rsidR="003E64CC" w:rsidRPr="003E64CC" w:rsidRDefault="003E64CC" w:rsidP="003E64CC">
            <w:pPr>
              <w:ind w:firstLineChars="100" w:firstLine="161"/>
              <w:jc w:val="right"/>
              <w:rPr>
                <w:rFonts w:ascii="Arial" w:hAnsi="Arial" w:cs="Arial"/>
                <w:b/>
                <w:bCs/>
                <w:sz w:val="16"/>
                <w:szCs w:val="16"/>
                <w:lang w:eastAsia="en-AU"/>
              </w:rPr>
            </w:pPr>
            <w:r w:rsidRPr="003E64CC">
              <w:rPr>
                <w:rFonts w:ascii="Arial" w:hAnsi="Arial" w:cs="Arial"/>
                <w:b/>
                <w:bCs/>
                <w:sz w:val="16"/>
                <w:szCs w:val="16"/>
                <w:lang w:eastAsia="en-AU"/>
              </w:rPr>
              <w:t>3,787</w:t>
            </w:r>
          </w:p>
        </w:tc>
      </w:tr>
      <w:tr w:rsidR="003E64CC" w:rsidRPr="003E64CC" w14:paraId="07D382CF" w14:textId="77777777" w:rsidTr="003B5999">
        <w:trPr>
          <w:trHeight w:val="240"/>
        </w:trPr>
        <w:tc>
          <w:tcPr>
            <w:tcW w:w="3686" w:type="dxa"/>
            <w:tcBorders>
              <w:top w:val="nil"/>
              <w:left w:val="nil"/>
              <w:bottom w:val="nil"/>
              <w:right w:val="nil"/>
            </w:tcBorders>
            <w:shd w:val="clear" w:color="000000" w:fill="FFFFFF"/>
            <w:noWrap/>
            <w:vAlign w:val="center"/>
            <w:hideMark/>
          </w:tcPr>
          <w:p w14:paraId="0C8D49C1" w14:textId="77777777" w:rsidR="003E64CC" w:rsidRPr="003E64CC" w:rsidRDefault="003E64CC" w:rsidP="003E64CC">
            <w:pPr>
              <w:rPr>
                <w:rFonts w:ascii="Arial" w:hAnsi="Arial" w:cs="Arial"/>
                <w:b/>
                <w:bCs/>
                <w:sz w:val="16"/>
                <w:szCs w:val="16"/>
                <w:lang w:eastAsia="en-AU"/>
              </w:rPr>
            </w:pPr>
            <w:r w:rsidRPr="003E64CC">
              <w:rPr>
                <w:rFonts w:ascii="Arial" w:hAnsi="Arial" w:cs="Arial"/>
                <w:b/>
                <w:bCs/>
                <w:sz w:val="16"/>
                <w:szCs w:val="16"/>
                <w:lang w:eastAsia="en-AU"/>
              </w:rPr>
              <w:t>Fines, regulatory fees and other revenues</w:t>
            </w:r>
          </w:p>
        </w:tc>
        <w:tc>
          <w:tcPr>
            <w:tcW w:w="964" w:type="dxa"/>
            <w:tcBorders>
              <w:top w:val="nil"/>
              <w:left w:val="nil"/>
              <w:bottom w:val="nil"/>
              <w:right w:val="nil"/>
            </w:tcBorders>
            <w:shd w:val="clear" w:color="000000" w:fill="F2F2F2"/>
            <w:noWrap/>
            <w:vAlign w:val="center"/>
            <w:hideMark/>
          </w:tcPr>
          <w:p w14:paraId="2353209F"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(64)</w:t>
            </w:r>
          </w:p>
        </w:tc>
        <w:tc>
          <w:tcPr>
            <w:tcW w:w="964" w:type="dxa"/>
            <w:tcBorders>
              <w:top w:val="nil"/>
              <w:left w:val="nil"/>
              <w:bottom w:val="nil"/>
              <w:right w:val="nil"/>
            </w:tcBorders>
            <w:shd w:val="clear" w:color="000000" w:fill="F2F2F2"/>
            <w:noWrap/>
            <w:vAlign w:val="center"/>
            <w:hideMark/>
          </w:tcPr>
          <w:p w14:paraId="47172D62"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5</w:t>
            </w:r>
          </w:p>
        </w:tc>
        <w:tc>
          <w:tcPr>
            <w:tcW w:w="1016" w:type="dxa"/>
            <w:tcBorders>
              <w:top w:val="nil"/>
              <w:left w:val="nil"/>
              <w:bottom w:val="nil"/>
              <w:right w:val="nil"/>
            </w:tcBorders>
            <w:shd w:val="clear" w:color="000000" w:fill="F2F2F2"/>
            <w:noWrap/>
            <w:vAlign w:val="center"/>
            <w:hideMark/>
          </w:tcPr>
          <w:p w14:paraId="5F34D63A"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(143)</w:t>
            </w:r>
          </w:p>
        </w:tc>
        <w:tc>
          <w:tcPr>
            <w:tcW w:w="1076" w:type="dxa"/>
            <w:tcBorders>
              <w:top w:val="nil"/>
              <w:left w:val="nil"/>
              <w:bottom w:val="nil"/>
              <w:right w:val="nil"/>
            </w:tcBorders>
            <w:shd w:val="clear" w:color="000000" w:fill="F2F2F2"/>
            <w:noWrap/>
            <w:vAlign w:val="center"/>
            <w:hideMark/>
          </w:tcPr>
          <w:p w14:paraId="090B4FCE"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(0)</w:t>
            </w:r>
          </w:p>
        </w:tc>
        <w:tc>
          <w:tcPr>
            <w:tcW w:w="956" w:type="dxa"/>
            <w:tcBorders>
              <w:top w:val="nil"/>
              <w:left w:val="nil"/>
              <w:bottom w:val="nil"/>
              <w:right w:val="nil"/>
            </w:tcBorders>
            <w:shd w:val="clear" w:color="000000" w:fill="F2F2F2"/>
            <w:noWrap/>
            <w:vAlign w:val="center"/>
            <w:hideMark/>
          </w:tcPr>
          <w:p w14:paraId="1201586C" w14:textId="77777777" w:rsidR="003E64CC" w:rsidRPr="003E64CC" w:rsidRDefault="003E64CC" w:rsidP="003E64CC">
            <w:pPr>
              <w:ind w:firstLineChars="100" w:firstLine="160"/>
              <w:jc w:val="right"/>
              <w:rPr>
                <w:rFonts w:ascii="Arial" w:hAnsi="Arial" w:cs="Arial"/>
                <w:sz w:val="16"/>
                <w:szCs w:val="16"/>
                <w:lang w:eastAsia="en-AU"/>
              </w:rPr>
            </w:pPr>
            <w:r w:rsidRPr="003E64CC">
              <w:rPr>
                <w:rFonts w:ascii="Arial" w:hAnsi="Arial" w:cs="Arial"/>
                <w:sz w:val="16"/>
                <w:szCs w:val="16"/>
                <w:lang w:eastAsia="en-AU"/>
              </w:rPr>
              <w:t>(20)</w:t>
            </w:r>
          </w:p>
        </w:tc>
        <w:tc>
          <w:tcPr>
            <w:tcW w:w="1020" w:type="dxa"/>
            <w:tcBorders>
              <w:top w:val="nil"/>
              <w:left w:val="nil"/>
              <w:bottom w:val="nil"/>
              <w:right w:val="nil"/>
            </w:tcBorders>
            <w:shd w:val="clear" w:color="000000" w:fill="FFFFFF"/>
            <w:noWrap/>
            <w:vAlign w:val="center"/>
            <w:hideMark/>
          </w:tcPr>
          <w:p w14:paraId="58A9DEC1" w14:textId="77777777" w:rsidR="003E64CC" w:rsidRPr="003E64CC" w:rsidRDefault="003E64CC" w:rsidP="003E64CC">
            <w:pPr>
              <w:ind w:firstLineChars="100" w:firstLine="161"/>
              <w:jc w:val="right"/>
              <w:rPr>
                <w:rFonts w:ascii="Arial" w:hAnsi="Arial" w:cs="Arial"/>
                <w:b/>
                <w:bCs/>
                <w:sz w:val="16"/>
                <w:szCs w:val="16"/>
                <w:lang w:eastAsia="en-AU"/>
              </w:rPr>
            </w:pPr>
            <w:r w:rsidRPr="003E64CC">
              <w:rPr>
                <w:rFonts w:ascii="Arial" w:hAnsi="Arial" w:cs="Arial"/>
                <w:b/>
                <w:bCs/>
                <w:sz w:val="16"/>
                <w:szCs w:val="16"/>
                <w:lang w:eastAsia="en-AU"/>
              </w:rPr>
              <w:t>-159</w:t>
            </w:r>
          </w:p>
        </w:tc>
      </w:tr>
      <w:tr w:rsidR="003E64CC" w:rsidRPr="003E64CC" w14:paraId="160D2D86" w14:textId="77777777" w:rsidTr="0012085F">
        <w:trPr>
          <w:trHeight w:val="283"/>
        </w:trPr>
        <w:tc>
          <w:tcPr>
            <w:tcW w:w="3686" w:type="dxa"/>
            <w:tcBorders>
              <w:top w:val="single" w:sz="4" w:space="0" w:color="auto"/>
              <w:left w:val="nil"/>
              <w:bottom w:val="nil"/>
              <w:right w:val="nil"/>
            </w:tcBorders>
            <w:shd w:val="clear" w:color="000000" w:fill="FFFFFF"/>
            <w:noWrap/>
            <w:vAlign w:val="center"/>
            <w:hideMark/>
          </w:tcPr>
          <w:p w14:paraId="584DF9DE" w14:textId="77777777" w:rsidR="003E64CC" w:rsidRPr="00592CB0" w:rsidRDefault="003E64CC" w:rsidP="00592CB0">
            <w:pPr>
              <w:ind w:right="-247"/>
              <w:rPr>
                <w:rFonts w:ascii="Arial" w:hAnsi="Arial" w:cs="Arial"/>
                <w:b/>
                <w:color w:val="00ABE6"/>
                <w:sz w:val="16"/>
                <w:szCs w:val="16"/>
                <w:lang w:eastAsia="en-AU"/>
              </w:rPr>
            </w:pPr>
            <w:r w:rsidRPr="00592CB0">
              <w:rPr>
                <w:rFonts w:ascii="Arial" w:hAnsi="Arial" w:cs="Arial"/>
                <w:b/>
                <w:color w:val="00ABE6"/>
                <w:sz w:val="16"/>
                <w:szCs w:val="16"/>
                <w:lang w:eastAsia="en-AU"/>
              </w:rPr>
              <w:t>Total parameter changes and other variations</w:t>
            </w:r>
          </w:p>
        </w:tc>
        <w:tc>
          <w:tcPr>
            <w:tcW w:w="964" w:type="dxa"/>
            <w:tcBorders>
              <w:top w:val="single" w:sz="4" w:space="0" w:color="auto"/>
              <w:left w:val="nil"/>
              <w:bottom w:val="nil"/>
              <w:right w:val="nil"/>
            </w:tcBorders>
            <w:shd w:val="clear" w:color="000000" w:fill="F2F2F2"/>
            <w:noWrap/>
            <w:vAlign w:val="center"/>
            <w:hideMark/>
          </w:tcPr>
          <w:p w14:paraId="42779C1B" w14:textId="77777777" w:rsidR="003E64CC" w:rsidRPr="00592CB0" w:rsidRDefault="003E64CC" w:rsidP="003E64CC">
            <w:pPr>
              <w:ind w:firstLineChars="100" w:firstLine="161"/>
              <w:jc w:val="right"/>
              <w:rPr>
                <w:rFonts w:ascii="Arial" w:hAnsi="Arial" w:cs="Arial"/>
                <w:b/>
                <w:color w:val="00ABE6"/>
                <w:sz w:val="16"/>
                <w:szCs w:val="16"/>
                <w:lang w:eastAsia="en-AU"/>
              </w:rPr>
            </w:pPr>
            <w:r w:rsidRPr="00592CB0">
              <w:rPr>
                <w:rFonts w:ascii="Arial" w:hAnsi="Arial" w:cs="Arial"/>
                <w:b/>
                <w:color w:val="00ABE6"/>
                <w:sz w:val="16"/>
                <w:szCs w:val="16"/>
                <w:lang w:eastAsia="en-AU"/>
              </w:rPr>
              <w:t>1,224</w:t>
            </w:r>
          </w:p>
        </w:tc>
        <w:tc>
          <w:tcPr>
            <w:tcW w:w="964" w:type="dxa"/>
            <w:tcBorders>
              <w:top w:val="single" w:sz="4" w:space="0" w:color="auto"/>
              <w:left w:val="nil"/>
              <w:bottom w:val="nil"/>
              <w:right w:val="nil"/>
            </w:tcBorders>
            <w:shd w:val="clear" w:color="000000" w:fill="F2F2F2"/>
            <w:noWrap/>
            <w:vAlign w:val="center"/>
            <w:hideMark/>
          </w:tcPr>
          <w:p w14:paraId="01AC8537" w14:textId="77777777" w:rsidR="003E64CC" w:rsidRPr="00592CB0" w:rsidRDefault="003E64CC" w:rsidP="003E64CC">
            <w:pPr>
              <w:ind w:firstLineChars="100" w:firstLine="161"/>
              <w:jc w:val="right"/>
              <w:rPr>
                <w:rFonts w:ascii="Arial" w:hAnsi="Arial" w:cs="Arial"/>
                <w:b/>
                <w:color w:val="00ABE6"/>
                <w:sz w:val="16"/>
                <w:szCs w:val="16"/>
                <w:lang w:eastAsia="en-AU"/>
              </w:rPr>
            </w:pPr>
            <w:r w:rsidRPr="00592CB0">
              <w:rPr>
                <w:rFonts w:ascii="Arial" w:hAnsi="Arial" w:cs="Arial"/>
                <w:b/>
                <w:color w:val="00ABE6"/>
                <w:sz w:val="16"/>
                <w:szCs w:val="16"/>
                <w:lang w:eastAsia="en-AU"/>
              </w:rPr>
              <w:t>3,822</w:t>
            </w:r>
          </w:p>
        </w:tc>
        <w:tc>
          <w:tcPr>
            <w:tcW w:w="1016" w:type="dxa"/>
            <w:tcBorders>
              <w:top w:val="single" w:sz="4" w:space="0" w:color="auto"/>
              <w:left w:val="nil"/>
              <w:bottom w:val="nil"/>
              <w:right w:val="nil"/>
            </w:tcBorders>
            <w:shd w:val="clear" w:color="000000" w:fill="F2F2F2"/>
            <w:noWrap/>
            <w:vAlign w:val="center"/>
            <w:hideMark/>
          </w:tcPr>
          <w:p w14:paraId="527F3472" w14:textId="77777777" w:rsidR="003E64CC" w:rsidRPr="00592CB0" w:rsidRDefault="003E64CC" w:rsidP="003E64CC">
            <w:pPr>
              <w:ind w:firstLineChars="100" w:firstLine="161"/>
              <w:jc w:val="right"/>
              <w:rPr>
                <w:rFonts w:ascii="Arial" w:hAnsi="Arial" w:cs="Arial"/>
                <w:b/>
                <w:color w:val="00ABE6"/>
                <w:sz w:val="16"/>
                <w:szCs w:val="16"/>
                <w:lang w:eastAsia="en-AU"/>
              </w:rPr>
            </w:pPr>
            <w:r w:rsidRPr="00592CB0">
              <w:rPr>
                <w:rFonts w:ascii="Arial" w:hAnsi="Arial" w:cs="Arial"/>
                <w:b/>
                <w:color w:val="00ABE6"/>
                <w:sz w:val="16"/>
                <w:szCs w:val="16"/>
                <w:lang w:eastAsia="en-AU"/>
              </w:rPr>
              <w:t>5,398</w:t>
            </w:r>
          </w:p>
        </w:tc>
        <w:tc>
          <w:tcPr>
            <w:tcW w:w="1076" w:type="dxa"/>
            <w:tcBorders>
              <w:top w:val="single" w:sz="4" w:space="0" w:color="auto"/>
              <w:left w:val="nil"/>
              <w:bottom w:val="nil"/>
              <w:right w:val="nil"/>
            </w:tcBorders>
            <w:shd w:val="clear" w:color="000000" w:fill="F2F2F2"/>
            <w:noWrap/>
            <w:vAlign w:val="center"/>
            <w:hideMark/>
          </w:tcPr>
          <w:p w14:paraId="750BCC5C" w14:textId="77777777" w:rsidR="003E64CC" w:rsidRPr="00592CB0" w:rsidRDefault="003E64CC" w:rsidP="003E64CC">
            <w:pPr>
              <w:ind w:firstLineChars="100" w:firstLine="161"/>
              <w:jc w:val="right"/>
              <w:rPr>
                <w:rFonts w:ascii="Arial" w:hAnsi="Arial" w:cs="Arial"/>
                <w:b/>
                <w:color w:val="00ABE6"/>
                <w:sz w:val="16"/>
                <w:szCs w:val="16"/>
                <w:lang w:eastAsia="en-AU"/>
              </w:rPr>
            </w:pPr>
            <w:r w:rsidRPr="00592CB0">
              <w:rPr>
                <w:rFonts w:ascii="Arial" w:hAnsi="Arial" w:cs="Arial"/>
                <w:b/>
                <w:color w:val="00ABE6"/>
                <w:sz w:val="16"/>
                <w:szCs w:val="16"/>
                <w:lang w:eastAsia="en-AU"/>
              </w:rPr>
              <w:t>5,476</w:t>
            </w:r>
          </w:p>
        </w:tc>
        <w:tc>
          <w:tcPr>
            <w:tcW w:w="956" w:type="dxa"/>
            <w:tcBorders>
              <w:top w:val="single" w:sz="4" w:space="0" w:color="auto"/>
              <w:left w:val="nil"/>
              <w:bottom w:val="nil"/>
              <w:right w:val="nil"/>
            </w:tcBorders>
            <w:shd w:val="clear" w:color="000000" w:fill="F2F2F2"/>
            <w:noWrap/>
            <w:vAlign w:val="center"/>
            <w:hideMark/>
          </w:tcPr>
          <w:p w14:paraId="60ABD92F" w14:textId="77777777" w:rsidR="003E64CC" w:rsidRPr="00592CB0" w:rsidRDefault="003E64CC" w:rsidP="003E64CC">
            <w:pPr>
              <w:ind w:firstLineChars="100" w:firstLine="161"/>
              <w:jc w:val="right"/>
              <w:rPr>
                <w:rFonts w:ascii="Arial" w:hAnsi="Arial" w:cs="Arial"/>
                <w:b/>
                <w:color w:val="00ABE6"/>
                <w:sz w:val="16"/>
                <w:szCs w:val="16"/>
                <w:lang w:eastAsia="en-AU"/>
              </w:rPr>
            </w:pPr>
            <w:r w:rsidRPr="00592CB0">
              <w:rPr>
                <w:rFonts w:ascii="Arial" w:hAnsi="Arial" w:cs="Arial"/>
                <w:b/>
                <w:color w:val="00ABE6"/>
                <w:sz w:val="16"/>
                <w:szCs w:val="16"/>
                <w:lang w:eastAsia="en-AU"/>
              </w:rPr>
              <w:t>7,187</w:t>
            </w:r>
          </w:p>
        </w:tc>
        <w:tc>
          <w:tcPr>
            <w:tcW w:w="1020" w:type="dxa"/>
            <w:tcBorders>
              <w:top w:val="single" w:sz="4" w:space="0" w:color="auto"/>
              <w:left w:val="nil"/>
              <w:bottom w:val="nil"/>
              <w:right w:val="nil"/>
            </w:tcBorders>
            <w:shd w:val="clear" w:color="000000" w:fill="FFFFFF"/>
            <w:noWrap/>
            <w:vAlign w:val="center"/>
            <w:hideMark/>
          </w:tcPr>
          <w:p w14:paraId="3BB7D257" w14:textId="77777777" w:rsidR="003E64CC" w:rsidRPr="003E64CC" w:rsidRDefault="003E64CC" w:rsidP="003E64CC">
            <w:pPr>
              <w:ind w:firstLineChars="100" w:firstLine="161"/>
              <w:jc w:val="right"/>
              <w:rPr>
                <w:rFonts w:ascii="Arial" w:hAnsi="Arial" w:cs="Arial"/>
                <w:b/>
                <w:bCs/>
                <w:color w:val="00ABE6"/>
                <w:sz w:val="16"/>
                <w:szCs w:val="16"/>
                <w:lang w:eastAsia="en-AU"/>
              </w:rPr>
            </w:pPr>
            <w:r w:rsidRPr="003E64CC">
              <w:rPr>
                <w:rFonts w:ascii="Arial" w:hAnsi="Arial" w:cs="Arial"/>
                <w:b/>
                <w:bCs/>
                <w:color w:val="00ABE6"/>
                <w:sz w:val="16"/>
                <w:szCs w:val="16"/>
                <w:lang w:eastAsia="en-AU"/>
              </w:rPr>
              <w:t>21,883</w:t>
            </w:r>
          </w:p>
        </w:tc>
      </w:tr>
      <w:tr w:rsidR="003E64CC" w:rsidRPr="003E64CC" w14:paraId="3A78A544" w14:textId="77777777" w:rsidTr="0012085F">
        <w:trPr>
          <w:trHeight w:val="283"/>
        </w:trPr>
        <w:tc>
          <w:tcPr>
            <w:tcW w:w="3686" w:type="dxa"/>
            <w:tcBorders>
              <w:top w:val="single" w:sz="4" w:space="0" w:color="auto"/>
              <w:left w:val="nil"/>
              <w:bottom w:val="nil"/>
              <w:right w:val="nil"/>
            </w:tcBorders>
            <w:shd w:val="clear" w:color="000000" w:fill="FFFFFF"/>
            <w:noWrap/>
            <w:vAlign w:val="center"/>
            <w:hideMark/>
          </w:tcPr>
          <w:p w14:paraId="1D3144B9" w14:textId="77777777" w:rsidR="003E64CC" w:rsidRPr="003E64CC" w:rsidRDefault="003E64CC" w:rsidP="003E64CC">
            <w:pPr>
              <w:rPr>
                <w:rFonts w:ascii="Arial" w:hAnsi="Arial" w:cs="Arial"/>
                <w:b/>
                <w:bCs/>
                <w:color w:val="00ABE6"/>
                <w:sz w:val="16"/>
                <w:szCs w:val="16"/>
                <w:lang w:eastAsia="en-AU"/>
              </w:rPr>
            </w:pPr>
            <w:r w:rsidRPr="003E64CC">
              <w:rPr>
                <w:rFonts w:ascii="Arial" w:hAnsi="Arial" w:cs="Arial"/>
                <w:b/>
                <w:bCs/>
                <w:color w:val="00ABE6"/>
                <w:sz w:val="16"/>
                <w:szCs w:val="16"/>
                <w:lang w:eastAsia="en-AU"/>
              </w:rPr>
              <w:t>Total changes since 2021-22 HYR</w:t>
            </w:r>
          </w:p>
        </w:tc>
        <w:tc>
          <w:tcPr>
            <w:tcW w:w="964" w:type="dxa"/>
            <w:tcBorders>
              <w:top w:val="single" w:sz="4" w:space="0" w:color="auto"/>
              <w:left w:val="nil"/>
              <w:bottom w:val="nil"/>
              <w:right w:val="nil"/>
            </w:tcBorders>
            <w:shd w:val="clear" w:color="000000" w:fill="F2F2F2"/>
            <w:noWrap/>
            <w:vAlign w:val="center"/>
            <w:hideMark/>
          </w:tcPr>
          <w:p w14:paraId="06263DC2" w14:textId="77777777" w:rsidR="003E64CC" w:rsidRPr="003E64CC" w:rsidRDefault="003E64CC" w:rsidP="003E64CC">
            <w:pPr>
              <w:ind w:firstLineChars="100" w:firstLine="161"/>
              <w:jc w:val="right"/>
              <w:rPr>
                <w:rFonts w:ascii="Arial" w:hAnsi="Arial" w:cs="Arial"/>
                <w:b/>
                <w:bCs/>
                <w:color w:val="00ABE6"/>
                <w:sz w:val="16"/>
                <w:szCs w:val="16"/>
                <w:lang w:eastAsia="en-AU"/>
              </w:rPr>
            </w:pPr>
            <w:r w:rsidRPr="003E64CC">
              <w:rPr>
                <w:rFonts w:ascii="Arial" w:hAnsi="Arial" w:cs="Arial"/>
                <w:b/>
                <w:bCs/>
                <w:color w:val="00ABE6"/>
                <w:sz w:val="16"/>
                <w:szCs w:val="16"/>
                <w:lang w:eastAsia="en-AU"/>
              </w:rPr>
              <w:t>2,516</w:t>
            </w:r>
          </w:p>
        </w:tc>
        <w:tc>
          <w:tcPr>
            <w:tcW w:w="964" w:type="dxa"/>
            <w:tcBorders>
              <w:top w:val="single" w:sz="4" w:space="0" w:color="auto"/>
              <w:left w:val="nil"/>
              <w:bottom w:val="nil"/>
              <w:right w:val="nil"/>
            </w:tcBorders>
            <w:shd w:val="clear" w:color="000000" w:fill="F2F2F2"/>
            <w:noWrap/>
            <w:vAlign w:val="center"/>
            <w:hideMark/>
          </w:tcPr>
          <w:p w14:paraId="041BF912" w14:textId="77777777" w:rsidR="003E64CC" w:rsidRPr="003E64CC" w:rsidRDefault="003E64CC" w:rsidP="003E64CC">
            <w:pPr>
              <w:ind w:firstLineChars="100" w:firstLine="161"/>
              <w:jc w:val="right"/>
              <w:rPr>
                <w:rFonts w:ascii="Arial" w:hAnsi="Arial" w:cs="Arial"/>
                <w:b/>
                <w:bCs/>
                <w:color w:val="00ABE6"/>
                <w:sz w:val="16"/>
                <w:szCs w:val="16"/>
                <w:lang w:eastAsia="en-AU"/>
              </w:rPr>
            </w:pPr>
            <w:r w:rsidRPr="003E64CC">
              <w:rPr>
                <w:rFonts w:ascii="Arial" w:hAnsi="Arial" w:cs="Arial"/>
                <w:b/>
                <w:bCs/>
                <w:color w:val="00ABE6"/>
                <w:sz w:val="16"/>
                <w:szCs w:val="16"/>
                <w:lang w:eastAsia="en-AU"/>
              </w:rPr>
              <w:t>4,055</w:t>
            </w:r>
          </w:p>
        </w:tc>
        <w:tc>
          <w:tcPr>
            <w:tcW w:w="1016" w:type="dxa"/>
            <w:tcBorders>
              <w:top w:val="single" w:sz="4" w:space="0" w:color="auto"/>
              <w:left w:val="nil"/>
              <w:bottom w:val="nil"/>
              <w:right w:val="nil"/>
            </w:tcBorders>
            <w:shd w:val="clear" w:color="000000" w:fill="F2F2F2"/>
            <w:noWrap/>
            <w:vAlign w:val="center"/>
            <w:hideMark/>
          </w:tcPr>
          <w:p w14:paraId="402EE6DB" w14:textId="77777777" w:rsidR="003E64CC" w:rsidRPr="003E64CC" w:rsidRDefault="003E64CC" w:rsidP="003E64CC">
            <w:pPr>
              <w:ind w:firstLineChars="100" w:firstLine="161"/>
              <w:jc w:val="right"/>
              <w:rPr>
                <w:rFonts w:ascii="Arial" w:hAnsi="Arial" w:cs="Arial"/>
                <w:b/>
                <w:bCs/>
                <w:color w:val="00ABE6"/>
                <w:sz w:val="16"/>
                <w:szCs w:val="16"/>
                <w:lang w:eastAsia="en-AU"/>
              </w:rPr>
            </w:pPr>
            <w:r w:rsidRPr="003E64CC">
              <w:rPr>
                <w:rFonts w:ascii="Arial" w:hAnsi="Arial" w:cs="Arial"/>
                <w:b/>
                <w:bCs/>
                <w:color w:val="00ABE6"/>
                <w:sz w:val="16"/>
                <w:szCs w:val="16"/>
                <w:lang w:eastAsia="en-AU"/>
              </w:rPr>
              <w:t>6,631</w:t>
            </w:r>
          </w:p>
        </w:tc>
        <w:tc>
          <w:tcPr>
            <w:tcW w:w="1076" w:type="dxa"/>
            <w:tcBorders>
              <w:top w:val="single" w:sz="4" w:space="0" w:color="auto"/>
              <w:left w:val="nil"/>
              <w:bottom w:val="nil"/>
              <w:right w:val="nil"/>
            </w:tcBorders>
            <w:shd w:val="clear" w:color="000000" w:fill="F2F2F2"/>
            <w:noWrap/>
            <w:vAlign w:val="center"/>
            <w:hideMark/>
          </w:tcPr>
          <w:p w14:paraId="625B25B1" w14:textId="77777777" w:rsidR="003E64CC" w:rsidRPr="003E64CC" w:rsidRDefault="003E64CC" w:rsidP="003E64CC">
            <w:pPr>
              <w:ind w:firstLineChars="100" w:firstLine="161"/>
              <w:jc w:val="right"/>
              <w:rPr>
                <w:rFonts w:ascii="Arial" w:hAnsi="Arial" w:cs="Arial"/>
                <w:b/>
                <w:bCs/>
                <w:color w:val="00ABE6"/>
                <w:sz w:val="16"/>
                <w:szCs w:val="16"/>
                <w:lang w:eastAsia="en-AU"/>
              </w:rPr>
            </w:pPr>
            <w:r w:rsidRPr="003E64CC">
              <w:rPr>
                <w:rFonts w:ascii="Arial" w:hAnsi="Arial" w:cs="Arial"/>
                <w:b/>
                <w:bCs/>
                <w:color w:val="00ABE6"/>
                <w:sz w:val="16"/>
                <w:szCs w:val="16"/>
                <w:lang w:eastAsia="en-AU"/>
              </w:rPr>
              <w:t>7,262</w:t>
            </w:r>
          </w:p>
        </w:tc>
        <w:tc>
          <w:tcPr>
            <w:tcW w:w="956" w:type="dxa"/>
            <w:tcBorders>
              <w:top w:val="single" w:sz="4" w:space="0" w:color="auto"/>
              <w:left w:val="nil"/>
              <w:bottom w:val="nil"/>
              <w:right w:val="nil"/>
            </w:tcBorders>
            <w:shd w:val="clear" w:color="000000" w:fill="F2F2F2"/>
            <w:noWrap/>
            <w:vAlign w:val="center"/>
            <w:hideMark/>
          </w:tcPr>
          <w:p w14:paraId="5DC1D1BD" w14:textId="77777777" w:rsidR="003E64CC" w:rsidRPr="003E64CC" w:rsidRDefault="003E64CC" w:rsidP="003E64CC">
            <w:pPr>
              <w:ind w:firstLineChars="100" w:firstLine="161"/>
              <w:jc w:val="right"/>
              <w:rPr>
                <w:rFonts w:ascii="Arial" w:hAnsi="Arial" w:cs="Arial"/>
                <w:b/>
                <w:bCs/>
                <w:color w:val="00ABE6"/>
                <w:sz w:val="16"/>
                <w:szCs w:val="16"/>
                <w:lang w:eastAsia="en-AU"/>
              </w:rPr>
            </w:pPr>
            <w:r w:rsidRPr="003E64CC">
              <w:rPr>
                <w:rFonts w:ascii="Arial" w:hAnsi="Arial" w:cs="Arial"/>
                <w:b/>
                <w:bCs/>
                <w:color w:val="00ABE6"/>
                <w:sz w:val="16"/>
                <w:szCs w:val="16"/>
                <w:lang w:eastAsia="en-AU"/>
              </w:rPr>
              <w:t>7,756</w:t>
            </w:r>
          </w:p>
        </w:tc>
        <w:tc>
          <w:tcPr>
            <w:tcW w:w="1020" w:type="dxa"/>
            <w:tcBorders>
              <w:top w:val="single" w:sz="4" w:space="0" w:color="auto"/>
              <w:left w:val="nil"/>
              <w:bottom w:val="nil"/>
              <w:right w:val="nil"/>
            </w:tcBorders>
            <w:shd w:val="clear" w:color="000000" w:fill="FFFFFF"/>
            <w:noWrap/>
            <w:vAlign w:val="center"/>
            <w:hideMark/>
          </w:tcPr>
          <w:p w14:paraId="6F9822B6" w14:textId="77777777" w:rsidR="003E64CC" w:rsidRPr="003E64CC" w:rsidRDefault="003E64CC" w:rsidP="003E64CC">
            <w:pPr>
              <w:ind w:firstLineChars="100" w:firstLine="161"/>
              <w:jc w:val="right"/>
              <w:rPr>
                <w:rFonts w:ascii="Arial" w:hAnsi="Arial" w:cs="Arial"/>
                <w:b/>
                <w:bCs/>
                <w:color w:val="00ABE6"/>
                <w:sz w:val="16"/>
                <w:szCs w:val="16"/>
                <w:lang w:eastAsia="en-AU"/>
              </w:rPr>
            </w:pPr>
            <w:r w:rsidRPr="003E64CC">
              <w:rPr>
                <w:rFonts w:ascii="Arial" w:hAnsi="Arial" w:cs="Arial"/>
                <w:b/>
                <w:bCs/>
                <w:color w:val="00ABE6"/>
                <w:sz w:val="16"/>
                <w:szCs w:val="16"/>
                <w:lang w:eastAsia="en-AU"/>
              </w:rPr>
              <w:t>25,704</w:t>
            </w:r>
          </w:p>
        </w:tc>
      </w:tr>
      <w:tr w:rsidR="003E64CC" w:rsidRPr="003E64CC" w14:paraId="44581768" w14:textId="77777777" w:rsidTr="0012085F">
        <w:trPr>
          <w:trHeight w:val="283"/>
        </w:trPr>
        <w:tc>
          <w:tcPr>
            <w:tcW w:w="3686" w:type="dxa"/>
            <w:tcBorders>
              <w:top w:val="single" w:sz="4" w:space="0" w:color="auto"/>
              <w:left w:val="nil"/>
              <w:bottom w:val="single" w:sz="4" w:space="0" w:color="auto"/>
              <w:right w:val="nil"/>
            </w:tcBorders>
            <w:shd w:val="clear" w:color="000000" w:fill="FFFFFF"/>
            <w:noWrap/>
            <w:vAlign w:val="center"/>
            <w:hideMark/>
          </w:tcPr>
          <w:p w14:paraId="4168F300" w14:textId="77777777" w:rsidR="003E64CC" w:rsidRPr="003E64CC" w:rsidRDefault="003E64CC" w:rsidP="003E64CC">
            <w:pPr>
              <w:rPr>
                <w:rFonts w:ascii="Arial" w:hAnsi="Arial" w:cs="Arial"/>
                <w:b/>
                <w:bCs/>
                <w:color w:val="0579B9"/>
                <w:sz w:val="16"/>
                <w:szCs w:val="16"/>
                <w:lang w:eastAsia="en-AU"/>
              </w:rPr>
            </w:pPr>
            <w:r w:rsidRPr="003E64CC">
              <w:rPr>
                <w:rFonts w:ascii="Arial" w:hAnsi="Arial" w:cs="Arial"/>
                <w:b/>
                <w:bCs/>
                <w:color w:val="0579B9"/>
                <w:sz w:val="16"/>
                <w:szCs w:val="16"/>
                <w:lang w:eastAsia="en-AU"/>
              </w:rPr>
              <w:t>Revenue - 2022-23 Budget</w:t>
            </w:r>
          </w:p>
        </w:tc>
        <w:tc>
          <w:tcPr>
            <w:tcW w:w="964" w:type="dxa"/>
            <w:tcBorders>
              <w:top w:val="single" w:sz="4" w:space="0" w:color="auto"/>
              <w:left w:val="nil"/>
              <w:bottom w:val="single" w:sz="4" w:space="0" w:color="auto"/>
              <w:right w:val="nil"/>
            </w:tcBorders>
            <w:shd w:val="clear" w:color="000000" w:fill="F2F2F2"/>
            <w:noWrap/>
            <w:vAlign w:val="center"/>
            <w:hideMark/>
          </w:tcPr>
          <w:p w14:paraId="723F23E9" w14:textId="77777777" w:rsidR="003E64CC" w:rsidRPr="003E64CC" w:rsidRDefault="003E64CC" w:rsidP="003E64CC">
            <w:pPr>
              <w:ind w:firstLineChars="100" w:firstLine="161"/>
              <w:jc w:val="right"/>
              <w:rPr>
                <w:rFonts w:ascii="Arial" w:hAnsi="Arial" w:cs="Arial"/>
                <w:b/>
                <w:bCs/>
                <w:color w:val="0579B9"/>
                <w:sz w:val="16"/>
                <w:szCs w:val="16"/>
                <w:lang w:eastAsia="en-AU"/>
              </w:rPr>
            </w:pPr>
            <w:r w:rsidRPr="003E64CC">
              <w:rPr>
                <w:rFonts w:ascii="Arial" w:hAnsi="Arial" w:cs="Arial"/>
                <w:b/>
                <w:bCs/>
                <w:color w:val="0579B9"/>
                <w:sz w:val="16"/>
                <w:szCs w:val="16"/>
                <w:lang w:eastAsia="en-AU"/>
              </w:rPr>
              <w:t>103,706</w:t>
            </w:r>
          </w:p>
        </w:tc>
        <w:tc>
          <w:tcPr>
            <w:tcW w:w="964" w:type="dxa"/>
            <w:tcBorders>
              <w:top w:val="single" w:sz="4" w:space="0" w:color="auto"/>
              <w:left w:val="nil"/>
              <w:bottom w:val="single" w:sz="4" w:space="0" w:color="auto"/>
              <w:right w:val="nil"/>
            </w:tcBorders>
            <w:shd w:val="clear" w:color="000000" w:fill="F2F2F2"/>
            <w:noWrap/>
            <w:vAlign w:val="center"/>
            <w:hideMark/>
          </w:tcPr>
          <w:p w14:paraId="7B518479" w14:textId="77777777" w:rsidR="003E64CC" w:rsidRPr="003E64CC" w:rsidRDefault="003E64CC" w:rsidP="003E64CC">
            <w:pPr>
              <w:ind w:firstLineChars="100" w:firstLine="161"/>
              <w:jc w:val="right"/>
              <w:rPr>
                <w:rFonts w:ascii="Arial" w:hAnsi="Arial" w:cs="Arial"/>
                <w:b/>
                <w:bCs/>
                <w:color w:val="0579B9"/>
                <w:sz w:val="16"/>
                <w:szCs w:val="16"/>
                <w:lang w:eastAsia="en-AU"/>
              </w:rPr>
            </w:pPr>
            <w:r w:rsidRPr="003E64CC">
              <w:rPr>
                <w:rFonts w:ascii="Arial" w:hAnsi="Arial" w:cs="Arial"/>
                <w:b/>
                <w:bCs/>
                <w:color w:val="0579B9"/>
                <w:sz w:val="16"/>
                <w:szCs w:val="16"/>
                <w:lang w:eastAsia="en-AU"/>
              </w:rPr>
              <w:t>103,617</w:t>
            </w:r>
          </w:p>
        </w:tc>
        <w:tc>
          <w:tcPr>
            <w:tcW w:w="1016" w:type="dxa"/>
            <w:tcBorders>
              <w:top w:val="single" w:sz="4" w:space="0" w:color="auto"/>
              <w:left w:val="nil"/>
              <w:bottom w:val="single" w:sz="4" w:space="0" w:color="auto"/>
              <w:right w:val="nil"/>
            </w:tcBorders>
            <w:shd w:val="clear" w:color="000000" w:fill="F2F2F2"/>
            <w:noWrap/>
            <w:vAlign w:val="center"/>
            <w:hideMark/>
          </w:tcPr>
          <w:p w14:paraId="01540647" w14:textId="77777777" w:rsidR="003E64CC" w:rsidRPr="003E64CC" w:rsidRDefault="003E64CC" w:rsidP="003E64CC">
            <w:pPr>
              <w:ind w:firstLineChars="100" w:firstLine="161"/>
              <w:jc w:val="right"/>
              <w:rPr>
                <w:rFonts w:ascii="Arial" w:hAnsi="Arial" w:cs="Arial"/>
                <w:b/>
                <w:bCs/>
                <w:color w:val="0579B9"/>
                <w:sz w:val="16"/>
                <w:szCs w:val="16"/>
                <w:lang w:eastAsia="en-AU"/>
              </w:rPr>
            </w:pPr>
            <w:r w:rsidRPr="003E64CC">
              <w:rPr>
                <w:rFonts w:ascii="Arial" w:hAnsi="Arial" w:cs="Arial"/>
                <w:b/>
                <w:bCs/>
                <w:color w:val="0579B9"/>
                <w:sz w:val="16"/>
                <w:szCs w:val="16"/>
                <w:lang w:eastAsia="en-AU"/>
              </w:rPr>
              <w:t>106,701</w:t>
            </w:r>
          </w:p>
        </w:tc>
        <w:tc>
          <w:tcPr>
            <w:tcW w:w="1076" w:type="dxa"/>
            <w:tcBorders>
              <w:top w:val="single" w:sz="4" w:space="0" w:color="auto"/>
              <w:left w:val="nil"/>
              <w:bottom w:val="single" w:sz="4" w:space="0" w:color="auto"/>
              <w:right w:val="nil"/>
            </w:tcBorders>
            <w:shd w:val="clear" w:color="000000" w:fill="F2F2F2"/>
            <w:noWrap/>
            <w:vAlign w:val="center"/>
            <w:hideMark/>
          </w:tcPr>
          <w:p w14:paraId="0F819010" w14:textId="77777777" w:rsidR="003E64CC" w:rsidRPr="003E64CC" w:rsidRDefault="003E64CC" w:rsidP="003E64CC">
            <w:pPr>
              <w:ind w:firstLineChars="100" w:firstLine="161"/>
              <w:jc w:val="right"/>
              <w:rPr>
                <w:rFonts w:ascii="Arial" w:hAnsi="Arial" w:cs="Arial"/>
                <w:b/>
                <w:bCs/>
                <w:color w:val="0579B9"/>
                <w:sz w:val="16"/>
                <w:szCs w:val="16"/>
                <w:lang w:eastAsia="en-AU"/>
              </w:rPr>
            </w:pPr>
            <w:r w:rsidRPr="003E64CC">
              <w:rPr>
                <w:rFonts w:ascii="Arial" w:hAnsi="Arial" w:cs="Arial"/>
                <w:b/>
                <w:bCs/>
                <w:color w:val="0579B9"/>
                <w:sz w:val="16"/>
                <w:szCs w:val="16"/>
                <w:lang w:eastAsia="en-AU"/>
              </w:rPr>
              <w:t>110,101</w:t>
            </w:r>
          </w:p>
        </w:tc>
        <w:tc>
          <w:tcPr>
            <w:tcW w:w="956" w:type="dxa"/>
            <w:tcBorders>
              <w:top w:val="single" w:sz="4" w:space="0" w:color="auto"/>
              <w:left w:val="nil"/>
              <w:bottom w:val="single" w:sz="4" w:space="0" w:color="auto"/>
              <w:right w:val="nil"/>
            </w:tcBorders>
            <w:shd w:val="clear" w:color="000000" w:fill="F2F2F2"/>
            <w:noWrap/>
            <w:vAlign w:val="center"/>
            <w:hideMark/>
          </w:tcPr>
          <w:p w14:paraId="7880671D" w14:textId="77777777" w:rsidR="003E64CC" w:rsidRPr="003E64CC" w:rsidRDefault="003E64CC" w:rsidP="003E64CC">
            <w:pPr>
              <w:ind w:firstLineChars="100" w:firstLine="161"/>
              <w:jc w:val="right"/>
              <w:rPr>
                <w:rFonts w:ascii="Arial" w:hAnsi="Arial" w:cs="Arial"/>
                <w:b/>
                <w:bCs/>
                <w:color w:val="0579B9"/>
                <w:sz w:val="16"/>
                <w:szCs w:val="16"/>
                <w:lang w:eastAsia="en-AU"/>
              </w:rPr>
            </w:pPr>
            <w:r w:rsidRPr="003E64CC">
              <w:rPr>
                <w:rFonts w:ascii="Arial" w:hAnsi="Arial" w:cs="Arial"/>
                <w:b/>
                <w:bCs/>
                <w:color w:val="0579B9"/>
                <w:sz w:val="16"/>
                <w:szCs w:val="16"/>
                <w:lang w:eastAsia="en-AU"/>
              </w:rPr>
              <w:t>112,944</w:t>
            </w:r>
          </w:p>
        </w:tc>
        <w:tc>
          <w:tcPr>
            <w:tcW w:w="1020" w:type="dxa"/>
            <w:tcBorders>
              <w:top w:val="single" w:sz="4" w:space="0" w:color="auto"/>
              <w:left w:val="nil"/>
              <w:bottom w:val="single" w:sz="4" w:space="0" w:color="auto"/>
              <w:right w:val="nil"/>
            </w:tcBorders>
            <w:shd w:val="clear" w:color="000000" w:fill="FFFFFF"/>
            <w:noWrap/>
            <w:vAlign w:val="center"/>
            <w:hideMark/>
          </w:tcPr>
          <w:p w14:paraId="7100BCCE" w14:textId="77777777" w:rsidR="003E64CC" w:rsidRPr="003E64CC" w:rsidRDefault="003E64CC" w:rsidP="003E64CC">
            <w:pPr>
              <w:ind w:firstLineChars="100" w:firstLine="161"/>
              <w:jc w:val="right"/>
              <w:rPr>
                <w:rFonts w:ascii="Arial" w:hAnsi="Arial" w:cs="Arial"/>
                <w:b/>
                <w:bCs/>
                <w:color w:val="0579B9"/>
                <w:sz w:val="16"/>
                <w:szCs w:val="16"/>
                <w:lang w:eastAsia="en-AU"/>
              </w:rPr>
            </w:pPr>
            <w:r w:rsidRPr="003E64CC">
              <w:rPr>
                <w:rFonts w:ascii="Arial" w:hAnsi="Arial" w:cs="Arial"/>
                <w:b/>
                <w:bCs/>
                <w:color w:val="0579B9"/>
                <w:sz w:val="16"/>
                <w:szCs w:val="16"/>
                <w:lang w:eastAsia="en-AU"/>
              </w:rPr>
              <w:t>433,363</w:t>
            </w:r>
          </w:p>
        </w:tc>
      </w:tr>
    </w:tbl>
    <w:p w14:paraId="6A170301" w14:textId="77777777" w:rsidR="008511F6" w:rsidRPr="008D0141" w:rsidRDefault="008511F6" w:rsidP="0012085F"/>
    <w:p w14:paraId="5098F2DB" w14:textId="6CB428B7" w:rsidR="00140E0C" w:rsidRPr="00077DA2" w:rsidRDefault="0021430B">
      <w:pPr>
        <w:pStyle w:val="41Heading2"/>
      </w:pPr>
      <w:bookmarkStart w:id="4" w:name="_Ref72485301"/>
      <w:r w:rsidRPr="00077DA2">
        <w:t>R</w:t>
      </w:r>
      <w:r w:rsidR="00140E0C" w:rsidRPr="00077DA2">
        <w:t xml:space="preserve">evenue measures </w:t>
      </w:r>
      <w:r w:rsidRPr="00077DA2">
        <w:t>since 20</w:t>
      </w:r>
      <w:r w:rsidR="00AA3975" w:rsidRPr="00077DA2">
        <w:t>2</w:t>
      </w:r>
      <w:r w:rsidR="00077DA2">
        <w:t>1</w:t>
      </w:r>
      <w:r w:rsidRPr="00077DA2">
        <w:t>-2</w:t>
      </w:r>
      <w:r w:rsidR="00077DA2">
        <w:t>2</w:t>
      </w:r>
      <w:r w:rsidRPr="00077DA2">
        <w:t xml:space="preserve"> H</w:t>
      </w:r>
      <w:r w:rsidR="00F25377" w:rsidRPr="00077DA2">
        <w:t>alf-</w:t>
      </w:r>
      <w:r w:rsidRPr="00077DA2">
        <w:t>Y</w:t>
      </w:r>
      <w:r w:rsidR="00F25377" w:rsidRPr="00077DA2">
        <w:t xml:space="preserve">early </w:t>
      </w:r>
      <w:r w:rsidRPr="00077DA2">
        <w:t>R</w:t>
      </w:r>
      <w:r w:rsidR="00F25377" w:rsidRPr="00077DA2">
        <w:t>eview</w:t>
      </w:r>
      <w:bookmarkEnd w:id="4"/>
    </w:p>
    <w:p w14:paraId="1032E6A1" w14:textId="1ED15C16" w:rsidR="0052595E" w:rsidRDefault="009F0B44" w:rsidP="003426A4">
      <w:pPr>
        <w:pStyle w:val="BodyText"/>
      </w:pPr>
      <w:r>
        <w:t>Decisions made</w:t>
      </w:r>
      <w:r w:rsidR="0069513D" w:rsidRPr="00077DA2">
        <w:t xml:space="preserve"> since the 202</w:t>
      </w:r>
      <w:r w:rsidR="00077DA2">
        <w:t>1</w:t>
      </w:r>
      <w:r w:rsidR="0069513D" w:rsidRPr="00077DA2">
        <w:t>-2</w:t>
      </w:r>
      <w:r w:rsidR="00077DA2">
        <w:t>2</w:t>
      </w:r>
      <w:r w:rsidR="0069513D" w:rsidRPr="00077DA2">
        <w:t xml:space="preserve"> H</w:t>
      </w:r>
      <w:r w:rsidR="004717FE" w:rsidRPr="00077DA2">
        <w:t>alf-Yearly Review</w:t>
      </w:r>
      <w:r w:rsidR="0069513D" w:rsidRPr="00077DA2">
        <w:t xml:space="preserve"> </w:t>
      </w:r>
      <w:r w:rsidR="00734D52" w:rsidRPr="00077DA2">
        <w:t xml:space="preserve">(including those subject to Commonwealth agreements) </w:t>
      </w:r>
      <w:r w:rsidR="15FDC558" w:rsidRPr="00077DA2">
        <w:t xml:space="preserve">are forecast to </w:t>
      </w:r>
      <w:r w:rsidR="007248FE" w:rsidRPr="00077DA2">
        <w:t>increase</w:t>
      </w:r>
      <w:r w:rsidR="00AA3975" w:rsidRPr="00077DA2">
        <w:t xml:space="preserve"> revenue</w:t>
      </w:r>
      <w:r w:rsidR="00303887" w:rsidRPr="00077DA2">
        <w:t xml:space="preserve"> by </w:t>
      </w:r>
      <w:r w:rsidR="00303887" w:rsidRPr="005A5EB5">
        <w:t>$</w:t>
      </w:r>
      <w:r w:rsidR="002850F5">
        <w:t>233</w:t>
      </w:r>
      <w:r w:rsidR="002B4B1E" w:rsidRPr="005A5EB5">
        <w:t>.</w:t>
      </w:r>
      <w:r w:rsidR="002850F5">
        <w:t>5</w:t>
      </w:r>
      <w:r w:rsidR="00BA2DB7" w:rsidRPr="005A5EB5">
        <w:t xml:space="preserve"> </w:t>
      </w:r>
      <w:r w:rsidR="00DD4F29" w:rsidRPr="005A5EB5">
        <w:t>million</w:t>
      </w:r>
      <w:r w:rsidR="00303887" w:rsidRPr="00077DA2">
        <w:t xml:space="preserve"> in 202</w:t>
      </w:r>
      <w:r w:rsidR="00077DA2">
        <w:t>2</w:t>
      </w:r>
      <w:r w:rsidR="00303887" w:rsidRPr="00077DA2">
        <w:t>-2</w:t>
      </w:r>
      <w:r w:rsidR="00077DA2">
        <w:t>3</w:t>
      </w:r>
      <w:r w:rsidR="00303887" w:rsidRPr="00077DA2">
        <w:t xml:space="preserve"> and </w:t>
      </w:r>
      <w:r w:rsidR="00DD4F29" w:rsidRPr="00077DA2">
        <w:t>by</w:t>
      </w:r>
      <w:r w:rsidR="00303887" w:rsidRPr="00077DA2">
        <w:t xml:space="preserve"> </w:t>
      </w:r>
      <w:r w:rsidR="007151C2" w:rsidRPr="005A5EB5">
        <w:t>$</w:t>
      </w:r>
      <w:r w:rsidR="002850F5">
        <w:t>3</w:t>
      </w:r>
      <w:r w:rsidR="002B4B1E" w:rsidRPr="005A5EB5">
        <w:t>.</w:t>
      </w:r>
      <w:r w:rsidR="002850F5">
        <w:t>8</w:t>
      </w:r>
      <w:r w:rsidR="007C2406" w:rsidRPr="005A5EB5">
        <w:t xml:space="preserve"> </w:t>
      </w:r>
      <w:r w:rsidR="007151C2" w:rsidRPr="005A5EB5">
        <w:t>billion</w:t>
      </w:r>
      <w:r w:rsidR="007151C2" w:rsidRPr="00077DA2">
        <w:t xml:space="preserve"> over the four years to 202</w:t>
      </w:r>
      <w:r w:rsidR="00077DA2">
        <w:t>5</w:t>
      </w:r>
      <w:r w:rsidR="007151C2" w:rsidRPr="00077DA2">
        <w:t>-2</w:t>
      </w:r>
      <w:r w:rsidR="00077DA2">
        <w:t>6</w:t>
      </w:r>
      <w:r w:rsidR="007151C2" w:rsidRPr="00077DA2">
        <w:t>.</w:t>
      </w:r>
      <w:r w:rsidR="0052595E">
        <w:t xml:space="preserve"> </w:t>
      </w:r>
    </w:p>
    <w:p w14:paraId="71B36DC5" w14:textId="6A219FBC" w:rsidR="0052595E" w:rsidRDefault="0052595E" w:rsidP="003426A4">
      <w:pPr>
        <w:pStyle w:val="BodyText"/>
      </w:pPr>
      <w:r>
        <w:t>Revenue measures</w:t>
      </w:r>
      <w:r w:rsidR="006152BC">
        <w:t>, which largely comprise measures introduced by the Government aimed at fiscal repair,</w:t>
      </w:r>
      <w:r>
        <w:t xml:space="preserve"> are forecast to provide a net increase in revenue </w:t>
      </w:r>
      <w:r w:rsidR="007C6F3B">
        <w:t>of</w:t>
      </w:r>
      <w:r w:rsidRPr="005A5EB5">
        <w:t xml:space="preserve"> $1.5 billion</w:t>
      </w:r>
      <w:r>
        <w:t xml:space="preserve"> over the four years to 2025-26. </w:t>
      </w:r>
      <w:r w:rsidRPr="0052595E">
        <w:t xml:space="preserve">These </w:t>
      </w:r>
      <w:r w:rsidR="00DE7848">
        <w:t xml:space="preserve">fiscal repair measures </w:t>
      </w:r>
      <w:r w:rsidRPr="0052595E">
        <w:t xml:space="preserve">include adjusting Point of Consumption and Betting tax rates to 15 per cent, reducing the land tax </w:t>
      </w:r>
      <w:r w:rsidR="001953C9" w:rsidRPr="0052595E">
        <w:t xml:space="preserve">early payment </w:t>
      </w:r>
      <w:r w:rsidRPr="0052595E">
        <w:t xml:space="preserve">discount to 0.5 per cent, increasing the </w:t>
      </w:r>
      <w:r w:rsidR="00543917">
        <w:t>f</w:t>
      </w:r>
      <w:r w:rsidR="00543917" w:rsidRPr="0052595E">
        <w:t xml:space="preserve">oreign </w:t>
      </w:r>
      <w:r w:rsidR="00543917">
        <w:t>i</w:t>
      </w:r>
      <w:r w:rsidR="00543917" w:rsidRPr="0052595E">
        <w:t xml:space="preserve">nvestor </w:t>
      </w:r>
      <w:r w:rsidR="00543917">
        <w:t>s</w:t>
      </w:r>
      <w:r w:rsidR="00543917" w:rsidRPr="0052595E">
        <w:t xml:space="preserve">urcharge </w:t>
      </w:r>
      <w:r w:rsidRPr="0052595E">
        <w:t xml:space="preserve">land tax to 4 per cent and investing in additional compliance at Revenue NSW. </w:t>
      </w:r>
    </w:p>
    <w:p w14:paraId="40E50803" w14:textId="1F8E5A7A" w:rsidR="00C34036" w:rsidRDefault="00A229D1" w:rsidP="003426A4">
      <w:pPr>
        <w:pStyle w:val="BodyText"/>
      </w:pPr>
      <w:r>
        <w:t>The Government has also made expenditure and capital decisions that have an indirect impact on revenue.</w:t>
      </w:r>
      <w:r w:rsidR="00E91CA0">
        <w:t xml:space="preserve"> </w:t>
      </w:r>
      <w:r>
        <w:t xml:space="preserve">These measures are forecast to have a net </w:t>
      </w:r>
      <w:r w:rsidR="00C10039" w:rsidRPr="005A5EB5">
        <w:t xml:space="preserve">positive </w:t>
      </w:r>
      <w:r>
        <w:t xml:space="preserve">impact of </w:t>
      </w:r>
      <w:r w:rsidRPr="005A5EB5">
        <w:t>$</w:t>
      </w:r>
      <w:r w:rsidR="002850F5">
        <w:t>2</w:t>
      </w:r>
      <w:r w:rsidR="002B4B1E" w:rsidRPr="005A5EB5">
        <w:t>.</w:t>
      </w:r>
      <w:r w:rsidR="00747B8D">
        <w:t>3</w:t>
      </w:r>
      <w:r w:rsidRPr="005A5EB5">
        <w:t xml:space="preserve"> billion</w:t>
      </w:r>
      <w:r>
        <w:t xml:space="preserve"> over the four years to 2025-26</w:t>
      </w:r>
      <w:r w:rsidR="00C34036">
        <w:t xml:space="preserve"> and include revenue from </w:t>
      </w:r>
      <w:r w:rsidR="001E5A10" w:rsidRPr="001E5A10">
        <w:t>Federation Funding Agreement</w:t>
      </w:r>
      <w:r w:rsidR="00C34036">
        <w:t xml:space="preserve">s such as the </w:t>
      </w:r>
      <w:r w:rsidR="00C34036" w:rsidRPr="001F11B3">
        <w:t xml:space="preserve">Disaster </w:t>
      </w:r>
      <w:r w:rsidR="00C34036">
        <w:t xml:space="preserve">Recovery Funding </w:t>
      </w:r>
      <w:r w:rsidR="00C34036" w:rsidRPr="001F11B3">
        <w:t>Arrangements</w:t>
      </w:r>
      <w:r w:rsidR="00C34036">
        <w:t>.</w:t>
      </w:r>
    </w:p>
    <w:p w14:paraId="4632825F" w14:textId="3331AD7F" w:rsidR="00A229D1" w:rsidRPr="00077DA2" w:rsidRDefault="00A229D1" w:rsidP="003426A4">
      <w:pPr>
        <w:pStyle w:val="BodyText"/>
      </w:pPr>
      <w:r w:rsidRPr="00A229D1">
        <w:t xml:space="preserve">Key revenue decisions </w:t>
      </w:r>
      <w:r>
        <w:t xml:space="preserve">since the </w:t>
      </w:r>
      <w:r w:rsidR="003A01B1">
        <w:t xml:space="preserve">2021-22 </w:t>
      </w:r>
      <w:r>
        <w:t>H</w:t>
      </w:r>
      <w:r w:rsidR="003A01B1">
        <w:t>alf-</w:t>
      </w:r>
      <w:r>
        <w:t>Y</w:t>
      </w:r>
      <w:r w:rsidR="003A01B1">
        <w:t xml:space="preserve">early </w:t>
      </w:r>
      <w:r>
        <w:t>R</w:t>
      </w:r>
      <w:r w:rsidR="003A01B1">
        <w:t>eview</w:t>
      </w:r>
      <w:r w:rsidRPr="00A229D1">
        <w:t xml:space="preserve"> </w:t>
      </w:r>
      <w:r w:rsidR="0056454E">
        <w:t>are set out below.</w:t>
      </w:r>
    </w:p>
    <w:p w14:paraId="7B57A192" w14:textId="090A9F3E" w:rsidR="003F5E61" w:rsidRPr="007B1147" w:rsidRDefault="003F5E61" w:rsidP="00063373">
      <w:pPr>
        <w:pStyle w:val="Heading4"/>
      </w:pPr>
      <w:r w:rsidRPr="007B1147">
        <w:t xml:space="preserve">Increase to the </w:t>
      </w:r>
      <w:r w:rsidR="00470DE9">
        <w:t>p</w:t>
      </w:r>
      <w:r w:rsidR="009A6A54" w:rsidRPr="007B1147">
        <w:t xml:space="preserve">oint </w:t>
      </w:r>
      <w:r w:rsidRPr="007B1147">
        <w:t xml:space="preserve">of </w:t>
      </w:r>
      <w:r w:rsidR="00470DE9">
        <w:t>c</w:t>
      </w:r>
      <w:r w:rsidR="009A6A54" w:rsidRPr="007B1147">
        <w:t>onsumption</w:t>
      </w:r>
      <w:r w:rsidR="009A6A54">
        <w:t xml:space="preserve"> </w:t>
      </w:r>
      <w:r w:rsidR="00965AA6">
        <w:t>(</w:t>
      </w:r>
      <w:r w:rsidR="00965AA6" w:rsidRPr="00880D16">
        <w:t>PoC</w:t>
      </w:r>
      <w:r w:rsidR="00965AA6">
        <w:t>)</w:t>
      </w:r>
      <w:r w:rsidRPr="007B1147">
        <w:t xml:space="preserve"> tax and changes to other betting taxes</w:t>
      </w:r>
    </w:p>
    <w:p w14:paraId="4DA6F8B3" w14:textId="0E99C2A4" w:rsidR="003F5E61" w:rsidRPr="007B1147" w:rsidRDefault="00C14FB9" w:rsidP="003426A4">
      <w:pPr>
        <w:pStyle w:val="BodyText"/>
      </w:pPr>
      <w:r>
        <w:t>From 1 July 2022, t</w:t>
      </w:r>
      <w:r w:rsidR="003F5E61" w:rsidRPr="007B1147">
        <w:t>he PoC tax rate will increase to 15 per cent and the</w:t>
      </w:r>
      <w:r w:rsidR="00A87466">
        <w:t xml:space="preserve"> </w:t>
      </w:r>
      <w:r w:rsidR="005A219A">
        <w:t xml:space="preserve">effective </w:t>
      </w:r>
      <w:r w:rsidR="00A87466">
        <w:t>betting tax rates (including</w:t>
      </w:r>
      <w:r w:rsidR="003F5E61" w:rsidRPr="007B1147">
        <w:t xml:space="preserve"> </w:t>
      </w:r>
      <w:r w:rsidR="00DC00E0" w:rsidRPr="007B1147">
        <w:t xml:space="preserve">totalizator and fixed odds </w:t>
      </w:r>
      <w:r w:rsidR="00A87466">
        <w:t>bets)</w:t>
      </w:r>
      <w:r w:rsidR="003F5E61" w:rsidRPr="007B1147">
        <w:t xml:space="preserve"> </w:t>
      </w:r>
      <w:r w:rsidR="005B1265">
        <w:t xml:space="preserve">charged under the </w:t>
      </w:r>
      <w:r w:rsidR="005B1265" w:rsidRPr="008C0E25">
        <w:rPr>
          <w:i/>
        </w:rPr>
        <w:t>Betting Tax Act 2001</w:t>
      </w:r>
      <w:r w:rsidR="005B1265">
        <w:t xml:space="preserve"> </w:t>
      </w:r>
      <w:r w:rsidR="003F5E61" w:rsidRPr="007B1147">
        <w:t>will be adjusted to 15 per cent</w:t>
      </w:r>
      <w:r w:rsidR="002630AA">
        <w:t>.</w:t>
      </w:r>
      <w:r w:rsidR="002630AA" w:rsidRPr="007B1147">
        <w:t xml:space="preserve"> </w:t>
      </w:r>
      <w:r w:rsidR="002630AA">
        <w:t xml:space="preserve">These measures will </w:t>
      </w:r>
      <w:r w:rsidR="002630AA" w:rsidRPr="007B1147">
        <w:t>generat</w:t>
      </w:r>
      <w:r w:rsidR="002630AA">
        <w:t>e</w:t>
      </w:r>
      <w:r w:rsidR="002630AA" w:rsidRPr="007B1147">
        <w:t xml:space="preserve"> </w:t>
      </w:r>
      <w:r w:rsidR="00B47E15">
        <w:t xml:space="preserve">an </w:t>
      </w:r>
      <w:r w:rsidR="003F5E61" w:rsidRPr="007B1147">
        <w:t>additional $740</w:t>
      </w:r>
      <w:r w:rsidR="00965AA6">
        <w:t>.0</w:t>
      </w:r>
      <w:r w:rsidR="003F5E61" w:rsidRPr="007B1147">
        <w:t xml:space="preserve"> million </w:t>
      </w:r>
      <w:r w:rsidR="00B47E15">
        <w:t xml:space="preserve">of revenue </w:t>
      </w:r>
      <w:r w:rsidR="003F5E61" w:rsidRPr="007B1147">
        <w:t>over the four years to 2025-26</w:t>
      </w:r>
      <w:r w:rsidR="00DD37CE">
        <w:t>.</w:t>
      </w:r>
    </w:p>
    <w:p w14:paraId="61C2807B" w14:textId="37A8605E" w:rsidR="00070648" w:rsidRDefault="003F5E61" w:rsidP="003426A4">
      <w:pPr>
        <w:pStyle w:val="BodyText"/>
      </w:pPr>
      <w:r w:rsidRPr="007B1147">
        <w:t xml:space="preserve">The basis of PoC industry funding </w:t>
      </w:r>
      <w:r w:rsidR="00B87950">
        <w:t xml:space="preserve">under the </w:t>
      </w:r>
      <w:r w:rsidR="00B87950" w:rsidRPr="00817190">
        <w:rPr>
          <w:i/>
        </w:rPr>
        <w:t>Betting Tax Act 2001</w:t>
      </w:r>
      <w:r w:rsidR="00B87950">
        <w:t xml:space="preserve"> </w:t>
      </w:r>
      <w:r w:rsidRPr="007B1147">
        <w:t>will change from 2 per cent of net wagering revenue to 33</w:t>
      </w:r>
      <w:r w:rsidR="00965AA6">
        <w:t> </w:t>
      </w:r>
      <w:r w:rsidRPr="007B1147">
        <w:t xml:space="preserve">per cent of PoC tax revenue collected by the Government. Additionally, $5 million will be allocated per year (increasing with inflation from 2023-24) to the Responsible Gambling Fund. </w:t>
      </w:r>
      <w:r w:rsidR="001875A4">
        <w:t xml:space="preserve">Combined, </w:t>
      </w:r>
      <w:r w:rsidR="00B87950">
        <w:t>these measures</w:t>
      </w:r>
      <w:r w:rsidR="00B87950" w:rsidRPr="007B1147">
        <w:t xml:space="preserve"> </w:t>
      </w:r>
      <w:r w:rsidRPr="007B1147">
        <w:t>will increase expenses by $</w:t>
      </w:r>
      <w:r w:rsidR="005A0FD2" w:rsidRPr="005A0FD2">
        <w:t>285.8</w:t>
      </w:r>
      <w:r w:rsidR="005A5600">
        <w:t> </w:t>
      </w:r>
      <w:r w:rsidRPr="007B1147">
        <w:t>million over the four years to 2025-26.</w:t>
      </w:r>
    </w:p>
    <w:p w14:paraId="199FCD69" w14:textId="4D52A8D6" w:rsidR="003F5E61" w:rsidRDefault="006F6A32" w:rsidP="003426A4">
      <w:pPr>
        <w:pStyle w:val="BodyText"/>
      </w:pPr>
      <w:r>
        <w:t>T</w:t>
      </w:r>
      <w:r w:rsidR="00070648" w:rsidRPr="00070648">
        <w:t>he Government will support Tabcorp in the transition to the new taxation arrangements.</w:t>
      </w:r>
      <w:r w:rsidR="001875A4">
        <w:t xml:space="preserve"> T</w:t>
      </w:r>
      <w:r w:rsidR="00070648" w:rsidRPr="00070648">
        <w:t>his will increase expenses by $30 million over two years to 2023-24.</w:t>
      </w:r>
      <w:r w:rsidR="00DD37CE">
        <w:t xml:space="preserve"> For more information</w:t>
      </w:r>
      <w:r w:rsidR="00965AA6">
        <w:t xml:space="preserve"> see </w:t>
      </w:r>
      <w:r w:rsidR="005B6027">
        <w:t>Box </w:t>
      </w:r>
      <w:r w:rsidR="00965AA6">
        <w:t>4.</w:t>
      </w:r>
      <w:r w:rsidR="00C10557">
        <w:t>3</w:t>
      </w:r>
      <w:r w:rsidR="00DD37CE">
        <w:t xml:space="preserve">. </w:t>
      </w:r>
    </w:p>
    <w:p w14:paraId="4DFD7691" w14:textId="2F2462B9" w:rsidR="00832DA8" w:rsidRPr="007B1147" w:rsidRDefault="000B586B" w:rsidP="00063373">
      <w:pPr>
        <w:pStyle w:val="Heading4"/>
      </w:pPr>
      <w:r>
        <w:t>Introduce the First Home Buyer Property Tax Option</w:t>
      </w:r>
    </w:p>
    <w:p w14:paraId="0FBA7105" w14:textId="1E653C86" w:rsidR="00832DA8" w:rsidRPr="007B1147" w:rsidRDefault="00C10557" w:rsidP="003426A4">
      <w:pPr>
        <w:pStyle w:val="BodyText"/>
      </w:pPr>
      <w:r w:rsidRPr="00C10557">
        <w:t xml:space="preserve">First home buyers purchasing a property up to $1.5 million will be </w:t>
      </w:r>
      <w:r w:rsidR="001F1CFA">
        <w:t xml:space="preserve">provided with an </w:t>
      </w:r>
      <w:r w:rsidRPr="00C10557">
        <w:t>opti</w:t>
      </w:r>
      <w:r w:rsidR="00EE500A">
        <w:t>o</w:t>
      </w:r>
      <w:r w:rsidRPr="00C10557">
        <w:t xml:space="preserve">n to </w:t>
      </w:r>
      <w:r w:rsidR="00C66285">
        <w:t>pay an annual</w:t>
      </w:r>
      <w:r w:rsidRPr="00C10557">
        <w:t xml:space="preserve"> property tax instead of transfer duty upfront. </w:t>
      </w:r>
      <w:r w:rsidR="00A40F2E" w:rsidRPr="00C10557">
        <w:t>Over the four years to 202</w:t>
      </w:r>
      <w:r w:rsidR="00A40F2E">
        <w:t>5</w:t>
      </w:r>
      <w:r w:rsidR="00A40F2E" w:rsidRPr="00C10557">
        <w:t>-2</w:t>
      </w:r>
      <w:r w:rsidR="00A40F2E">
        <w:t>6</w:t>
      </w:r>
      <w:r w:rsidR="00A40F2E" w:rsidRPr="00C10557">
        <w:t xml:space="preserve">, this measure </w:t>
      </w:r>
      <w:r w:rsidR="00044FFC">
        <w:t xml:space="preserve">is estimated to </w:t>
      </w:r>
      <w:r w:rsidR="00C65725">
        <w:t xml:space="preserve">reduce revenue by $663.6 million. This consists of </w:t>
      </w:r>
      <w:r w:rsidR="00D413DC">
        <w:t>lower</w:t>
      </w:r>
      <w:r w:rsidR="004F3337">
        <w:t xml:space="preserve"> </w:t>
      </w:r>
      <w:r w:rsidR="00A40F2E" w:rsidRPr="00C10557">
        <w:t xml:space="preserve">transfer duty revenue </w:t>
      </w:r>
      <w:r w:rsidR="00D00BF6">
        <w:t>of</w:t>
      </w:r>
      <w:r w:rsidR="00D00BF6" w:rsidRPr="00C10557">
        <w:t xml:space="preserve"> </w:t>
      </w:r>
      <w:r w:rsidR="00A40F2E" w:rsidRPr="002603BD">
        <w:t>$751.8 million and rais</w:t>
      </w:r>
      <w:r w:rsidR="007E791D">
        <w:t>ing</w:t>
      </w:r>
      <w:r w:rsidR="00A40F2E" w:rsidRPr="002603BD">
        <w:t xml:space="preserve"> $88.2 million of property tax revenue.</w:t>
      </w:r>
      <w:r w:rsidR="00A40F2E" w:rsidRPr="00C10557">
        <w:t xml:space="preserve"> For more information see</w:t>
      </w:r>
      <w:r w:rsidRPr="00C10557">
        <w:t xml:space="preserve"> Box </w:t>
      </w:r>
      <w:r>
        <w:t>4.4</w:t>
      </w:r>
      <w:r w:rsidRPr="00C10557">
        <w:t>.</w:t>
      </w:r>
    </w:p>
    <w:p w14:paraId="7AF53388" w14:textId="71BE6970" w:rsidR="003F5E61" w:rsidRPr="007B1147" w:rsidRDefault="003F5E61" w:rsidP="00044B6E">
      <w:pPr>
        <w:pStyle w:val="Heading4"/>
      </w:pPr>
      <w:r>
        <w:t>Reduction in the discount available for early payment of land tax</w:t>
      </w:r>
    </w:p>
    <w:p w14:paraId="2BC6D6DA" w14:textId="5117D8B7" w:rsidR="003F5E61" w:rsidRPr="007B1147" w:rsidRDefault="003F5E61" w:rsidP="003426A4">
      <w:pPr>
        <w:pStyle w:val="BodyText"/>
      </w:pPr>
      <w:r w:rsidRPr="007B1147">
        <w:t xml:space="preserve">Land tax is payable annually (on a calendar year basis) either </w:t>
      </w:r>
      <w:r w:rsidR="00102F47">
        <w:t>up</w:t>
      </w:r>
      <w:r w:rsidR="00CD4C9C">
        <w:t xml:space="preserve"> </w:t>
      </w:r>
      <w:r w:rsidR="00102F47">
        <w:t xml:space="preserve">front </w:t>
      </w:r>
      <w:r w:rsidRPr="007B1147">
        <w:t xml:space="preserve">in full or over instalments. A discount of 1.5 per cent is available to taxpayers who pay their land tax in full within 30 days after their assessment has been issued. The land tax early payment discount will be lowered to 0.5 per cent from 1 January </w:t>
      </w:r>
      <w:r w:rsidR="006F3697" w:rsidRPr="007B1147">
        <w:t>202</w:t>
      </w:r>
      <w:r w:rsidR="006F3697">
        <w:t>3</w:t>
      </w:r>
      <w:r w:rsidRPr="007B1147">
        <w:t>. This will generate additional revenue of $34</w:t>
      </w:r>
      <w:r w:rsidR="00881EC6">
        <w:t>.0</w:t>
      </w:r>
      <w:r w:rsidRPr="007B1147">
        <w:t xml:space="preserve"> million in 2022</w:t>
      </w:r>
      <w:r w:rsidR="00D86F0E">
        <w:noBreakHyphen/>
      </w:r>
      <w:r w:rsidRPr="007B1147">
        <w:t>23, with a total budget impact of $146</w:t>
      </w:r>
      <w:r w:rsidR="00881EC6">
        <w:t>.0</w:t>
      </w:r>
      <w:r w:rsidRPr="007B1147">
        <w:t xml:space="preserve"> million over the four years to 2025-26. </w:t>
      </w:r>
    </w:p>
    <w:p w14:paraId="0FF61304" w14:textId="6F96C1E0" w:rsidR="003F5E61" w:rsidRPr="007B1147" w:rsidRDefault="003F5E61" w:rsidP="00044B6E">
      <w:pPr>
        <w:pStyle w:val="Heading4"/>
      </w:pPr>
      <w:r w:rsidRPr="007B1147">
        <w:t xml:space="preserve">Increase to the </w:t>
      </w:r>
      <w:r w:rsidR="00881EC6" w:rsidRPr="00881EC6">
        <w:t>foreign investor</w:t>
      </w:r>
      <w:r w:rsidR="00881EC6">
        <w:t xml:space="preserve"> surcharge</w:t>
      </w:r>
      <w:r w:rsidR="00881EC6" w:rsidRPr="00881EC6">
        <w:t xml:space="preserve"> land tax </w:t>
      </w:r>
      <w:r w:rsidRPr="007B1147">
        <w:t xml:space="preserve"> </w:t>
      </w:r>
    </w:p>
    <w:p w14:paraId="4A803803" w14:textId="49BF5FEE" w:rsidR="003F5E61" w:rsidRPr="007B1147" w:rsidRDefault="00B37B5E" w:rsidP="003426A4">
      <w:pPr>
        <w:pStyle w:val="BodyText"/>
      </w:pPr>
      <w:r w:rsidRPr="00B37B5E">
        <w:t>The foreign investor land tax surcharge of 2.0 per cent will increase to 4</w:t>
      </w:r>
      <w:r w:rsidR="00881EC6">
        <w:t>.0</w:t>
      </w:r>
      <w:r w:rsidRPr="00B37B5E">
        <w:t xml:space="preserve"> per cent per annum from the 2023 land tax year, generating additional revenue of $294.0 million over the four years to 2025-26.</w:t>
      </w:r>
    </w:p>
    <w:p w14:paraId="33F19B57" w14:textId="5938D67A" w:rsidR="003F5E61" w:rsidRPr="007B1147" w:rsidRDefault="003F5E61" w:rsidP="00044B6E">
      <w:pPr>
        <w:pStyle w:val="Heading4"/>
      </w:pPr>
      <w:r>
        <w:t xml:space="preserve">Payroll tax exemptions under </w:t>
      </w:r>
      <w:r w:rsidR="00A971B8" w:rsidRPr="00A971B8">
        <w:t xml:space="preserve">a </w:t>
      </w:r>
      <w:r w:rsidR="001762C9" w:rsidRPr="001762C9">
        <w:t>subprogram of</w:t>
      </w:r>
      <w:r w:rsidR="00A971B8" w:rsidRPr="00A971B8">
        <w:t xml:space="preserve"> the Future Economy Fund</w:t>
      </w:r>
    </w:p>
    <w:p w14:paraId="56E120AF" w14:textId="36D781A3" w:rsidR="003F5E61" w:rsidRPr="007B1147" w:rsidRDefault="001762C9" w:rsidP="003426A4">
      <w:pPr>
        <w:pStyle w:val="BodyText"/>
      </w:pPr>
      <w:r w:rsidRPr="001762C9">
        <w:t xml:space="preserve">A subprogram of </w:t>
      </w:r>
      <w:r w:rsidR="00A971B8" w:rsidRPr="00A971B8">
        <w:t>the Future Economy Fund</w:t>
      </w:r>
      <w:r w:rsidR="00A971B8">
        <w:t xml:space="preserve"> </w:t>
      </w:r>
      <w:r w:rsidR="003F5E61" w:rsidRPr="007B1147">
        <w:t xml:space="preserve">will offer grant payments and payroll tax exemptions to encourage businesses of future industries to establish or expand in </w:t>
      </w:r>
      <w:r w:rsidR="005369F1" w:rsidRPr="007B1147">
        <w:t>N</w:t>
      </w:r>
      <w:r w:rsidR="005369F1">
        <w:t>ew South Wales</w:t>
      </w:r>
      <w:r w:rsidR="003F5E61" w:rsidRPr="007B1147">
        <w:t xml:space="preserve">. Payroll tax exemptions under the </w:t>
      </w:r>
      <w:r w:rsidR="000F17C4" w:rsidRPr="000F17C4">
        <w:t>subprogram</w:t>
      </w:r>
      <w:r w:rsidR="003F5E61" w:rsidRPr="007B1147">
        <w:t xml:space="preserve"> are estimated to reduce revenue by $</w:t>
      </w:r>
      <w:r w:rsidR="005A1815">
        <w:t>51</w:t>
      </w:r>
      <w:r w:rsidR="00C14FB9">
        <w:t>.</w:t>
      </w:r>
      <w:r w:rsidR="005A1815">
        <w:t>0</w:t>
      </w:r>
      <w:r w:rsidR="003F5E61" w:rsidRPr="007B1147">
        <w:t xml:space="preserve"> million over the </w:t>
      </w:r>
      <w:r w:rsidR="00C52DC3">
        <w:t>five</w:t>
      </w:r>
      <w:r w:rsidR="003F5E61" w:rsidRPr="007B1147">
        <w:t xml:space="preserve"> years to 202</w:t>
      </w:r>
      <w:r w:rsidR="00C52DC3">
        <w:t>6</w:t>
      </w:r>
      <w:r w:rsidR="003F5E61" w:rsidRPr="007B1147">
        <w:t>-2</w:t>
      </w:r>
      <w:r w:rsidR="00C52DC3">
        <w:t>7</w:t>
      </w:r>
      <w:r w:rsidR="003F5E61" w:rsidRPr="007B1147">
        <w:t xml:space="preserve">. </w:t>
      </w:r>
    </w:p>
    <w:p w14:paraId="14C14A4C" w14:textId="6AD25AEF" w:rsidR="003F5E61" w:rsidRPr="007B1147" w:rsidRDefault="003F5E61" w:rsidP="00044B6E">
      <w:pPr>
        <w:pStyle w:val="Heading4"/>
      </w:pPr>
      <w:r>
        <w:t>Additional compliance investment for land tax and transfer duty</w:t>
      </w:r>
    </w:p>
    <w:p w14:paraId="550CAE1D" w14:textId="771E3304" w:rsidR="008F61B6" w:rsidRPr="007B1147" w:rsidRDefault="003F5E61" w:rsidP="003426A4">
      <w:pPr>
        <w:pStyle w:val="BodyText"/>
      </w:pPr>
      <w:r w:rsidRPr="007B1147">
        <w:t xml:space="preserve">Building on previous investments in system upgrades and improved data management at Revenue NSW, additional compliance investments </w:t>
      </w:r>
      <w:r w:rsidR="0050620F" w:rsidRPr="0050620F">
        <w:t>of $60.0 million</w:t>
      </w:r>
      <w:r w:rsidR="0050620F">
        <w:t xml:space="preserve"> </w:t>
      </w:r>
      <w:r w:rsidRPr="007B1147">
        <w:t>will increase land tax revenue by $368.0</w:t>
      </w:r>
      <w:r w:rsidR="007B1147">
        <w:t> </w:t>
      </w:r>
      <w:r w:rsidRPr="007B1147">
        <w:t xml:space="preserve">million and transfer duty revenue by $200.0 </w:t>
      </w:r>
      <w:r w:rsidR="007B1147">
        <w:t xml:space="preserve">million </w:t>
      </w:r>
      <w:r w:rsidRPr="007B1147">
        <w:t>over the four years to 2025-26.</w:t>
      </w:r>
    </w:p>
    <w:p w14:paraId="39AA0B8C" w14:textId="77777777" w:rsidR="0012085F" w:rsidRDefault="0012085F">
      <w:pPr>
        <w:spacing w:after="200" w:line="276" w:lineRule="auto"/>
        <w:rPr>
          <w:rFonts w:ascii="Arial" w:hAnsi="Arial"/>
          <w:b/>
          <w:kern w:val="28"/>
          <w:sz w:val="25"/>
          <w:szCs w:val="36"/>
        </w:rPr>
      </w:pPr>
      <w:r>
        <w:rPr>
          <w:b/>
          <w:kern w:val="28"/>
          <w:sz w:val="25"/>
          <w:szCs w:val="36"/>
        </w:rPr>
        <w:br w:type="page"/>
      </w:r>
    </w:p>
    <w:p w14:paraId="23FA01F3" w14:textId="4FB3A411" w:rsidR="00A229D1" w:rsidRPr="000A00BC" w:rsidRDefault="00A229D1" w:rsidP="003426A4">
      <w:pPr>
        <w:pStyle w:val="BodyText"/>
        <w:rPr>
          <w:rFonts w:cs="Times New Roman"/>
          <w:b/>
          <w:kern w:val="28"/>
          <w:sz w:val="25"/>
          <w:szCs w:val="36"/>
        </w:rPr>
      </w:pPr>
      <w:r w:rsidRPr="000A00BC">
        <w:rPr>
          <w:rFonts w:cs="Times New Roman"/>
          <w:b/>
          <w:kern w:val="28"/>
          <w:sz w:val="25"/>
          <w:szCs w:val="36"/>
        </w:rPr>
        <w:t>Removal of tolling relief rebate for motor vehicle registrations</w:t>
      </w:r>
    </w:p>
    <w:p w14:paraId="0469068B" w14:textId="39B5AE74" w:rsidR="009F08C2" w:rsidRPr="003A01B1" w:rsidRDefault="009F08C2" w:rsidP="003426A4">
      <w:pPr>
        <w:pStyle w:val="BodyText"/>
      </w:pPr>
      <w:bookmarkStart w:id="5" w:name="_Hlk105503421"/>
      <w:r w:rsidRPr="003A01B1">
        <w:t>The NSW Government has introduced a new broad-based Toll Rebate Scheme which will ultimately replace the existing Registration Relief Scheme and provide a more generous toll relief to a greater portion of NSW motorists (</w:t>
      </w:r>
      <w:r w:rsidR="00BD30EA">
        <w:t>f</w:t>
      </w:r>
      <w:r w:rsidR="00BD30EA" w:rsidRPr="003A01B1">
        <w:t>or</w:t>
      </w:r>
      <w:r w:rsidRPr="003A01B1">
        <w:t xml:space="preserve"> more information on the new Toll Rebate Scheme see </w:t>
      </w:r>
      <w:r w:rsidRPr="000A00BC">
        <w:t xml:space="preserve">Chapter </w:t>
      </w:r>
      <w:r w:rsidR="006304C7">
        <w:t>1</w:t>
      </w:r>
      <w:r w:rsidR="00DB4739">
        <w:t xml:space="preserve"> Budget Overview</w:t>
      </w:r>
      <w:r w:rsidRPr="003A01B1">
        <w:t>)</w:t>
      </w:r>
      <w:r w:rsidR="00120D33" w:rsidRPr="003A01B1">
        <w:t>.</w:t>
      </w:r>
      <w:r w:rsidRPr="003A01B1">
        <w:t xml:space="preserve"> </w:t>
      </w:r>
    </w:p>
    <w:p w14:paraId="4C2CA75C" w14:textId="09F27C8C" w:rsidR="009F08C2" w:rsidRPr="003A01B1" w:rsidRDefault="009F08C2" w:rsidP="003426A4">
      <w:pPr>
        <w:pStyle w:val="BodyText"/>
      </w:pPr>
      <w:r w:rsidRPr="003A01B1">
        <w:t>The increase in N</w:t>
      </w:r>
      <w:r w:rsidR="00936E41">
        <w:t xml:space="preserve">ew </w:t>
      </w:r>
      <w:r w:rsidRPr="003A01B1">
        <w:t>S</w:t>
      </w:r>
      <w:r w:rsidR="00936E41">
        <w:t xml:space="preserve">outh </w:t>
      </w:r>
      <w:proofErr w:type="spellStart"/>
      <w:r w:rsidRPr="003A01B1">
        <w:t>W</w:t>
      </w:r>
      <w:r w:rsidR="00936E41">
        <w:t>ales</w:t>
      </w:r>
      <w:r w:rsidRPr="003A01B1">
        <w:t>’</w:t>
      </w:r>
      <w:proofErr w:type="spellEnd"/>
      <w:r w:rsidRPr="003A01B1">
        <w:t xml:space="preserve"> revenue position from phasing out the Registration Relief Scheme ($390.7 million over the four years to 2025-26) will be more than offset by the cost of the new Toll Rebate Scheme ($520.0 million over </w:t>
      </w:r>
      <w:r w:rsidR="00936E41">
        <w:t>the two</w:t>
      </w:r>
      <w:r w:rsidRPr="003A01B1">
        <w:t xml:space="preserve"> years to 2024-25).</w:t>
      </w:r>
    </w:p>
    <w:p w14:paraId="3806864D" w14:textId="3270A82F" w:rsidR="001C1EFB" w:rsidRDefault="001C1EFB" w:rsidP="001C1EFB">
      <w:pPr>
        <w:pStyle w:val="Heading4"/>
      </w:pPr>
      <w:r>
        <w:t>NSW driver license for overseas visitors</w:t>
      </w:r>
    </w:p>
    <w:p w14:paraId="6D5B187A" w14:textId="3198AE3B" w:rsidR="001C1EFB" w:rsidRDefault="001C1EFB" w:rsidP="003426A4">
      <w:pPr>
        <w:pStyle w:val="BodyText"/>
      </w:pPr>
      <w:r>
        <w:t>Temporary overseas visitors with a valid driver license in their country of origin can currently drive comparable vehicles in N</w:t>
      </w:r>
      <w:r w:rsidR="00E46599">
        <w:t xml:space="preserve">ew </w:t>
      </w:r>
      <w:r>
        <w:t>S</w:t>
      </w:r>
      <w:r w:rsidR="00E46599">
        <w:t xml:space="preserve">outh </w:t>
      </w:r>
      <w:r>
        <w:t>W</w:t>
      </w:r>
      <w:r w:rsidR="00E46599">
        <w:t>ales</w:t>
      </w:r>
      <w:r>
        <w:t xml:space="preserve">. Traffic infringements incurred by these drivers cannot be recorded against their driving record. From November 2022, drivers using an overseas driver license will need to pass a NSW driver license test to continue driving after </w:t>
      </w:r>
      <w:r w:rsidR="00920B90">
        <w:t>three</w:t>
      </w:r>
      <w:r>
        <w:t xml:space="preserve"> months. This measure is expected to generate $7</w:t>
      </w:r>
      <w:r w:rsidR="005D38CA">
        <w:t>1.0</w:t>
      </w:r>
      <w:r>
        <w:t xml:space="preserve"> million over the two years to 2023</w:t>
      </w:r>
      <w:r w:rsidR="00660B6A">
        <w:noBreakHyphen/>
      </w:r>
      <w:r>
        <w:t>24.  </w:t>
      </w:r>
    </w:p>
    <w:bookmarkEnd w:id="5"/>
    <w:p w14:paraId="2BB5A3CA" w14:textId="59337A68" w:rsidR="00573578" w:rsidRPr="0070352B" w:rsidRDefault="004437CD" w:rsidP="007F3ADD">
      <w:pPr>
        <w:pStyle w:val="Table4X"/>
        <w:keepNext/>
      </w:pPr>
      <w:r w:rsidRPr="0070352B">
        <w:t>New revenue measures</w:t>
      </w:r>
      <w:r w:rsidR="0070352B">
        <w:t xml:space="preserve"> </w:t>
      </w:r>
    </w:p>
    <w:tbl>
      <w:tblPr>
        <w:tblW w:w="9660" w:type="dxa"/>
        <w:tblLook w:val="04A0" w:firstRow="1" w:lastRow="0" w:firstColumn="1" w:lastColumn="0" w:noHBand="0" w:noVBand="1"/>
        <w:tblCaption w:val="Table 4.3: New revenue measures "/>
        <w:tblDescription w:val="Table 4.3: New revenue measures "/>
      </w:tblPr>
      <w:tblGrid>
        <w:gridCol w:w="5120"/>
        <w:gridCol w:w="876"/>
        <w:gridCol w:w="876"/>
        <w:gridCol w:w="876"/>
        <w:gridCol w:w="876"/>
        <w:gridCol w:w="1036"/>
      </w:tblGrid>
      <w:tr w:rsidR="005D38CA" w:rsidRPr="005D38CA" w14:paraId="3643BA78" w14:textId="77777777" w:rsidTr="005D38CA">
        <w:trPr>
          <w:trHeight w:val="250"/>
        </w:trPr>
        <w:tc>
          <w:tcPr>
            <w:tcW w:w="5120" w:type="dxa"/>
            <w:tcBorders>
              <w:top w:val="nil"/>
              <w:left w:val="nil"/>
              <w:bottom w:val="nil"/>
              <w:right w:val="nil"/>
            </w:tcBorders>
            <w:shd w:val="clear" w:color="000000" w:fill="008EBA"/>
            <w:vAlign w:val="center"/>
            <w:hideMark/>
          </w:tcPr>
          <w:p w14:paraId="299B5498" w14:textId="77777777" w:rsidR="005D38CA" w:rsidRPr="005D38CA" w:rsidRDefault="005D38CA" w:rsidP="005D38CA">
            <w:pPr>
              <w:jc w:val="center"/>
              <w:rPr>
                <w:rFonts w:ascii="Arial" w:hAnsi="Arial" w:cs="Arial"/>
                <w:color w:val="FFFFFF"/>
                <w:sz w:val="16"/>
                <w:szCs w:val="16"/>
                <w:lang w:eastAsia="en-AU"/>
              </w:rPr>
            </w:pPr>
            <w:bookmarkStart w:id="6" w:name="_Ref74729394"/>
            <w:bookmarkStart w:id="7" w:name="_Hlk53124265"/>
            <w:r w:rsidRPr="005D38CA">
              <w:rPr>
                <w:rFonts w:ascii="Arial" w:hAnsi="Arial" w:cs="Arial"/>
                <w:color w:val="FFFFFF"/>
                <w:sz w:val="16"/>
                <w:szCs w:val="16"/>
                <w:lang w:eastAsia="en-AU"/>
              </w:rPr>
              <w:t> </w:t>
            </w:r>
          </w:p>
        </w:tc>
        <w:tc>
          <w:tcPr>
            <w:tcW w:w="876" w:type="dxa"/>
            <w:tcBorders>
              <w:top w:val="nil"/>
              <w:left w:val="nil"/>
              <w:bottom w:val="nil"/>
              <w:right w:val="nil"/>
            </w:tcBorders>
            <w:shd w:val="clear" w:color="000000" w:fill="008EBA"/>
            <w:noWrap/>
            <w:vAlign w:val="bottom"/>
            <w:hideMark/>
          </w:tcPr>
          <w:p w14:paraId="4709055D" w14:textId="77777777" w:rsidR="005D38CA" w:rsidRPr="005D38CA" w:rsidRDefault="005D38CA" w:rsidP="005D38CA">
            <w:pPr>
              <w:jc w:val="center"/>
              <w:rPr>
                <w:rFonts w:ascii="Arial" w:hAnsi="Arial" w:cs="Arial"/>
                <w:color w:val="FFFFFF"/>
                <w:sz w:val="16"/>
                <w:szCs w:val="16"/>
                <w:lang w:eastAsia="en-AU"/>
              </w:rPr>
            </w:pPr>
            <w:r w:rsidRPr="005D38CA">
              <w:rPr>
                <w:rFonts w:ascii="Arial" w:hAnsi="Arial" w:cs="Arial"/>
                <w:color w:val="FFFFFF"/>
                <w:sz w:val="16"/>
                <w:szCs w:val="16"/>
                <w:lang w:eastAsia="en-AU"/>
              </w:rPr>
              <w:t> </w:t>
            </w:r>
          </w:p>
        </w:tc>
        <w:tc>
          <w:tcPr>
            <w:tcW w:w="876" w:type="dxa"/>
            <w:tcBorders>
              <w:top w:val="nil"/>
              <w:left w:val="nil"/>
              <w:bottom w:val="nil"/>
              <w:right w:val="nil"/>
            </w:tcBorders>
            <w:shd w:val="clear" w:color="000000" w:fill="008EBA"/>
            <w:noWrap/>
            <w:vAlign w:val="bottom"/>
            <w:hideMark/>
          </w:tcPr>
          <w:p w14:paraId="401F98D4" w14:textId="77777777" w:rsidR="005D38CA" w:rsidRPr="005D38CA" w:rsidRDefault="005D38CA" w:rsidP="005D38CA">
            <w:pPr>
              <w:jc w:val="center"/>
              <w:rPr>
                <w:rFonts w:ascii="Arial" w:hAnsi="Arial" w:cs="Arial"/>
                <w:color w:val="FFFFFF"/>
                <w:sz w:val="16"/>
                <w:szCs w:val="16"/>
                <w:lang w:eastAsia="en-AU"/>
              </w:rPr>
            </w:pPr>
            <w:r w:rsidRPr="005D38CA">
              <w:rPr>
                <w:rFonts w:ascii="Arial" w:hAnsi="Arial" w:cs="Arial"/>
                <w:color w:val="FFFFFF"/>
                <w:sz w:val="16"/>
                <w:szCs w:val="16"/>
                <w:lang w:eastAsia="en-AU"/>
              </w:rPr>
              <w:t> </w:t>
            </w:r>
          </w:p>
        </w:tc>
        <w:tc>
          <w:tcPr>
            <w:tcW w:w="876" w:type="dxa"/>
            <w:tcBorders>
              <w:top w:val="nil"/>
              <w:left w:val="nil"/>
              <w:bottom w:val="nil"/>
              <w:right w:val="nil"/>
            </w:tcBorders>
            <w:shd w:val="clear" w:color="000000" w:fill="008EBA"/>
            <w:noWrap/>
            <w:vAlign w:val="bottom"/>
            <w:hideMark/>
          </w:tcPr>
          <w:p w14:paraId="1736C0E7" w14:textId="77777777" w:rsidR="005D38CA" w:rsidRPr="005D38CA" w:rsidRDefault="005D38CA" w:rsidP="005D38CA">
            <w:pPr>
              <w:jc w:val="center"/>
              <w:rPr>
                <w:rFonts w:ascii="Arial" w:hAnsi="Arial" w:cs="Arial"/>
                <w:color w:val="FFFFFF"/>
                <w:sz w:val="16"/>
                <w:szCs w:val="16"/>
                <w:lang w:eastAsia="en-AU"/>
              </w:rPr>
            </w:pPr>
            <w:r w:rsidRPr="005D38CA">
              <w:rPr>
                <w:rFonts w:ascii="Arial" w:hAnsi="Arial" w:cs="Arial"/>
                <w:color w:val="FFFFFF"/>
                <w:sz w:val="16"/>
                <w:szCs w:val="16"/>
                <w:lang w:eastAsia="en-AU"/>
              </w:rPr>
              <w:t> </w:t>
            </w:r>
          </w:p>
        </w:tc>
        <w:tc>
          <w:tcPr>
            <w:tcW w:w="876" w:type="dxa"/>
            <w:tcBorders>
              <w:top w:val="nil"/>
              <w:left w:val="nil"/>
              <w:bottom w:val="nil"/>
              <w:right w:val="nil"/>
            </w:tcBorders>
            <w:shd w:val="clear" w:color="000000" w:fill="008EBA"/>
            <w:noWrap/>
            <w:vAlign w:val="bottom"/>
            <w:hideMark/>
          </w:tcPr>
          <w:p w14:paraId="2A932720" w14:textId="77777777" w:rsidR="005D38CA" w:rsidRPr="005D38CA" w:rsidRDefault="005D38CA" w:rsidP="005D38CA">
            <w:pPr>
              <w:jc w:val="center"/>
              <w:rPr>
                <w:rFonts w:ascii="Arial" w:hAnsi="Arial" w:cs="Arial"/>
                <w:color w:val="FFFFFF"/>
                <w:sz w:val="16"/>
                <w:szCs w:val="16"/>
                <w:lang w:eastAsia="en-AU"/>
              </w:rPr>
            </w:pPr>
            <w:r w:rsidRPr="005D38CA">
              <w:rPr>
                <w:rFonts w:ascii="Arial" w:hAnsi="Arial" w:cs="Arial"/>
                <w:color w:val="FFFFFF"/>
                <w:sz w:val="16"/>
                <w:szCs w:val="16"/>
                <w:lang w:eastAsia="en-AU"/>
              </w:rPr>
              <w:t> </w:t>
            </w:r>
          </w:p>
        </w:tc>
        <w:tc>
          <w:tcPr>
            <w:tcW w:w="1036" w:type="dxa"/>
            <w:tcBorders>
              <w:top w:val="nil"/>
              <w:left w:val="nil"/>
              <w:bottom w:val="nil"/>
              <w:right w:val="nil"/>
            </w:tcBorders>
            <w:shd w:val="clear" w:color="000000" w:fill="008EBA"/>
            <w:noWrap/>
            <w:vAlign w:val="bottom"/>
            <w:hideMark/>
          </w:tcPr>
          <w:p w14:paraId="6A50BBDB" w14:textId="77777777" w:rsidR="005D38CA" w:rsidRPr="005D38CA" w:rsidRDefault="005D38CA" w:rsidP="005D38CA">
            <w:pPr>
              <w:jc w:val="center"/>
              <w:rPr>
                <w:rFonts w:ascii="Arial" w:hAnsi="Arial" w:cs="Arial"/>
                <w:color w:val="FFFFFF"/>
                <w:sz w:val="16"/>
                <w:szCs w:val="16"/>
                <w:lang w:eastAsia="en-AU"/>
              </w:rPr>
            </w:pPr>
            <w:r w:rsidRPr="005D38CA">
              <w:rPr>
                <w:rFonts w:ascii="Arial" w:hAnsi="Arial" w:cs="Arial"/>
                <w:color w:val="FFFFFF"/>
                <w:sz w:val="16"/>
                <w:szCs w:val="16"/>
                <w:lang w:eastAsia="en-AU"/>
              </w:rPr>
              <w:t>Four years</w:t>
            </w:r>
          </w:p>
        </w:tc>
      </w:tr>
      <w:tr w:rsidR="005D38CA" w:rsidRPr="005D38CA" w14:paraId="31566CDD" w14:textId="77777777" w:rsidTr="005D38CA">
        <w:trPr>
          <w:trHeight w:val="250"/>
        </w:trPr>
        <w:tc>
          <w:tcPr>
            <w:tcW w:w="5120" w:type="dxa"/>
            <w:tcBorders>
              <w:top w:val="nil"/>
              <w:left w:val="nil"/>
              <w:bottom w:val="nil"/>
              <w:right w:val="nil"/>
            </w:tcBorders>
            <w:shd w:val="clear" w:color="000000" w:fill="008EBA"/>
            <w:vAlign w:val="center"/>
            <w:hideMark/>
          </w:tcPr>
          <w:p w14:paraId="5F555560" w14:textId="77777777" w:rsidR="005D38CA" w:rsidRPr="005D38CA" w:rsidRDefault="005D38CA" w:rsidP="005D38CA">
            <w:pPr>
              <w:jc w:val="center"/>
              <w:rPr>
                <w:rFonts w:ascii="Arial" w:hAnsi="Arial" w:cs="Arial"/>
                <w:color w:val="FFFFFF"/>
                <w:sz w:val="16"/>
                <w:szCs w:val="16"/>
                <w:lang w:eastAsia="en-AU"/>
              </w:rPr>
            </w:pPr>
            <w:r w:rsidRPr="005D38CA">
              <w:rPr>
                <w:rFonts w:ascii="Arial" w:hAnsi="Arial" w:cs="Arial"/>
                <w:color w:val="FFFFFF"/>
                <w:sz w:val="16"/>
                <w:szCs w:val="16"/>
                <w:lang w:eastAsia="en-AU"/>
              </w:rPr>
              <w:t> </w:t>
            </w:r>
          </w:p>
        </w:tc>
        <w:tc>
          <w:tcPr>
            <w:tcW w:w="876" w:type="dxa"/>
            <w:tcBorders>
              <w:top w:val="nil"/>
              <w:left w:val="nil"/>
              <w:bottom w:val="nil"/>
              <w:right w:val="nil"/>
            </w:tcBorders>
            <w:shd w:val="clear" w:color="000000" w:fill="008EBA"/>
            <w:noWrap/>
            <w:vAlign w:val="bottom"/>
            <w:hideMark/>
          </w:tcPr>
          <w:p w14:paraId="67B91E29" w14:textId="77777777" w:rsidR="005D38CA" w:rsidRPr="005D38CA" w:rsidRDefault="005D38CA" w:rsidP="005D38CA">
            <w:pPr>
              <w:jc w:val="center"/>
              <w:rPr>
                <w:rFonts w:ascii="Arial" w:hAnsi="Arial" w:cs="Arial"/>
                <w:color w:val="FFFFFF"/>
                <w:sz w:val="16"/>
                <w:szCs w:val="16"/>
                <w:lang w:eastAsia="en-AU"/>
              </w:rPr>
            </w:pPr>
            <w:r w:rsidRPr="005D38CA">
              <w:rPr>
                <w:rFonts w:ascii="Arial" w:hAnsi="Arial" w:cs="Arial"/>
                <w:color w:val="FFFFFF"/>
                <w:sz w:val="16"/>
                <w:szCs w:val="16"/>
                <w:lang w:eastAsia="en-AU"/>
              </w:rPr>
              <w:t>2022-23</w:t>
            </w:r>
          </w:p>
        </w:tc>
        <w:tc>
          <w:tcPr>
            <w:tcW w:w="876" w:type="dxa"/>
            <w:tcBorders>
              <w:top w:val="nil"/>
              <w:left w:val="nil"/>
              <w:bottom w:val="nil"/>
              <w:right w:val="nil"/>
            </w:tcBorders>
            <w:shd w:val="clear" w:color="000000" w:fill="008EBA"/>
            <w:noWrap/>
            <w:vAlign w:val="bottom"/>
            <w:hideMark/>
          </w:tcPr>
          <w:p w14:paraId="43C70660" w14:textId="77777777" w:rsidR="005D38CA" w:rsidRPr="005D38CA" w:rsidRDefault="005D38CA" w:rsidP="005D38CA">
            <w:pPr>
              <w:jc w:val="center"/>
              <w:rPr>
                <w:rFonts w:ascii="Arial" w:hAnsi="Arial" w:cs="Arial"/>
                <w:color w:val="FFFFFF"/>
                <w:sz w:val="16"/>
                <w:szCs w:val="16"/>
                <w:lang w:eastAsia="en-AU"/>
              </w:rPr>
            </w:pPr>
            <w:r w:rsidRPr="005D38CA">
              <w:rPr>
                <w:rFonts w:ascii="Arial" w:hAnsi="Arial" w:cs="Arial"/>
                <w:color w:val="FFFFFF"/>
                <w:sz w:val="16"/>
                <w:szCs w:val="16"/>
                <w:lang w:eastAsia="en-AU"/>
              </w:rPr>
              <w:t>2023-24</w:t>
            </w:r>
          </w:p>
        </w:tc>
        <w:tc>
          <w:tcPr>
            <w:tcW w:w="876" w:type="dxa"/>
            <w:tcBorders>
              <w:top w:val="nil"/>
              <w:left w:val="nil"/>
              <w:bottom w:val="nil"/>
              <w:right w:val="nil"/>
            </w:tcBorders>
            <w:shd w:val="clear" w:color="000000" w:fill="008EBA"/>
            <w:noWrap/>
            <w:vAlign w:val="bottom"/>
            <w:hideMark/>
          </w:tcPr>
          <w:p w14:paraId="454C77E7" w14:textId="77777777" w:rsidR="005D38CA" w:rsidRPr="005D38CA" w:rsidRDefault="005D38CA" w:rsidP="005D38CA">
            <w:pPr>
              <w:jc w:val="center"/>
              <w:rPr>
                <w:rFonts w:ascii="Arial" w:hAnsi="Arial" w:cs="Arial"/>
                <w:color w:val="FFFFFF"/>
                <w:sz w:val="16"/>
                <w:szCs w:val="16"/>
                <w:lang w:eastAsia="en-AU"/>
              </w:rPr>
            </w:pPr>
            <w:r w:rsidRPr="005D38CA">
              <w:rPr>
                <w:rFonts w:ascii="Arial" w:hAnsi="Arial" w:cs="Arial"/>
                <w:color w:val="FFFFFF"/>
                <w:sz w:val="16"/>
                <w:szCs w:val="16"/>
                <w:lang w:eastAsia="en-AU"/>
              </w:rPr>
              <w:t>2024-25</w:t>
            </w:r>
          </w:p>
        </w:tc>
        <w:tc>
          <w:tcPr>
            <w:tcW w:w="876" w:type="dxa"/>
            <w:tcBorders>
              <w:top w:val="nil"/>
              <w:left w:val="nil"/>
              <w:bottom w:val="nil"/>
              <w:right w:val="nil"/>
            </w:tcBorders>
            <w:shd w:val="clear" w:color="000000" w:fill="008EBA"/>
            <w:noWrap/>
            <w:vAlign w:val="bottom"/>
            <w:hideMark/>
          </w:tcPr>
          <w:p w14:paraId="21A0A965" w14:textId="77777777" w:rsidR="005D38CA" w:rsidRPr="005D38CA" w:rsidRDefault="005D38CA" w:rsidP="005D38CA">
            <w:pPr>
              <w:jc w:val="center"/>
              <w:rPr>
                <w:rFonts w:ascii="Arial" w:hAnsi="Arial" w:cs="Arial"/>
                <w:color w:val="FFFFFF"/>
                <w:sz w:val="16"/>
                <w:szCs w:val="16"/>
                <w:lang w:eastAsia="en-AU"/>
              </w:rPr>
            </w:pPr>
            <w:r w:rsidRPr="005D38CA">
              <w:rPr>
                <w:rFonts w:ascii="Arial" w:hAnsi="Arial" w:cs="Arial"/>
                <w:color w:val="FFFFFF"/>
                <w:sz w:val="16"/>
                <w:szCs w:val="16"/>
                <w:lang w:eastAsia="en-AU"/>
              </w:rPr>
              <w:t>2025-26</w:t>
            </w:r>
          </w:p>
        </w:tc>
        <w:tc>
          <w:tcPr>
            <w:tcW w:w="1036" w:type="dxa"/>
            <w:tcBorders>
              <w:top w:val="nil"/>
              <w:left w:val="nil"/>
              <w:bottom w:val="nil"/>
              <w:right w:val="nil"/>
            </w:tcBorders>
            <w:shd w:val="clear" w:color="CCFFFF" w:fill="008EBA"/>
            <w:vAlign w:val="center"/>
            <w:hideMark/>
          </w:tcPr>
          <w:p w14:paraId="2B8F3E51" w14:textId="77777777" w:rsidR="005D38CA" w:rsidRPr="005D38CA" w:rsidRDefault="005D38CA" w:rsidP="005D38CA">
            <w:pPr>
              <w:jc w:val="center"/>
              <w:rPr>
                <w:rFonts w:ascii="Arial" w:hAnsi="Arial" w:cs="Arial"/>
                <w:color w:val="FFFFFF"/>
                <w:sz w:val="16"/>
                <w:szCs w:val="16"/>
                <w:lang w:eastAsia="en-AU"/>
              </w:rPr>
            </w:pPr>
            <w:r w:rsidRPr="005D38CA">
              <w:rPr>
                <w:rFonts w:ascii="Arial" w:hAnsi="Arial" w:cs="Arial"/>
                <w:color w:val="FFFFFF"/>
                <w:sz w:val="16"/>
                <w:szCs w:val="16"/>
                <w:lang w:eastAsia="en-AU"/>
              </w:rPr>
              <w:t>to 2025-26</w:t>
            </w:r>
          </w:p>
        </w:tc>
      </w:tr>
      <w:tr w:rsidR="005D38CA" w:rsidRPr="005D38CA" w14:paraId="733BF620" w14:textId="77777777" w:rsidTr="005D38CA">
        <w:trPr>
          <w:trHeight w:val="250"/>
        </w:trPr>
        <w:tc>
          <w:tcPr>
            <w:tcW w:w="5120" w:type="dxa"/>
            <w:tcBorders>
              <w:top w:val="nil"/>
              <w:left w:val="nil"/>
              <w:bottom w:val="nil"/>
              <w:right w:val="nil"/>
            </w:tcBorders>
            <w:shd w:val="clear" w:color="000000" w:fill="00426F"/>
            <w:hideMark/>
          </w:tcPr>
          <w:p w14:paraId="5B9B200B" w14:textId="77777777" w:rsidR="005D38CA" w:rsidRPr="005D38CA" w:rsidRDefault="005D38CA" w:rsidP="005D38CA">
            <w:pPr>
              <w:jc w:val="center"/>
              <w:rPr>
                <w:rFonts w:ascii="Arial" w:hAnsi="Arial" w:cs="Arial"/>
                <w:color w:val="FFFFFF"/>
                <w:sz w:val="16"/>
                <w:szCs w:val="16"/>
                <w:lang w:eastAsia="en-AU"/>
              </w:rPr>
            </w:pPr>
            <w:r w:rsidRPr="005D38CA">
              <w:rPr>
                <w:rFonts w:ascii="Arial" w:hAnsi="Arial" w:cs="Arial"/>
                <w:color w:val="FFFFFF"/>
                <w:sz w:val="16"/>
                <w:szCs w:val="16"/>
                <w:lang w:eastAsia="en-AU"/>
              </w:rPr>
              <w:t> </w:t>
            </w:r>
          </w:p>
        </w:tc>
        <w:tc>
          <w:tcPr>
            <w:tcW w:w="876" w:type="dxa"/>
            <w:tcBorders>
              <w:top w:val="nil"/>
              <w:left w:val="nil"/>
              <w:bottom w:val="nil"/>
              <w:right w:val="nil"/>
            </w:tcBorders>
            <w:shd w:val="clear" w:color="000000" w:fill="00426F"/>
            <w:hideMark/>
          </w:tcPr>
          <w:p w14:paraId="692923F4" w14:textId="77777777" w:rsidR="005D38CA" w:rsidRPr="005D38CA" w:rsidRDefault="005D38CA" w:rsidP="005D38CA">
            <w:pPr>
              <w:jc w:val="center"/>
              <w:rPr>
                <w:rFonts w:ascii="Arial" w:hAnsi="Arial" w:cs="Arial"/>
                <w:color w:val="FFFFFF"/>
                <w:sz w:val="16"/>
                <w:szCs w:val="16"/>
                <w:lang w:eastAsia="en-AU"/>
              </w:rPr>
            </w:pPr>
            <w:r w:rsidRPr="005D38CA">
              <w:rPr>
                <w:rFonts w:ascii="Arial" w:hAnsi="Arial" w:cs="Arial"/>
                <w:color w:val="FFFFFF"/>
                <w:sz w:val="16"/>
                <w:szCs w:val="16"/>
                <w:lang w:eastAsia="en-AU"/>
              </w:rPr>
              <w:t>$m</w:t>
            </w:r>
          </w:p>
        </w:tc>
        <w:tc>
          <w:tcPr>
            <w:tcW w:w="876" w:type="dxa"/>
            <w:tcBorders>
              <w:top w:val="nil"/>
              <w:left w:val="nil"/>
              <w:bottom w:val="nil"/>
              <w:right w:val="nil"/>
            </w:tcBorders>
            <w:shd w:val="clear" w:color="000000" w:fill="00426F"/>
            <w:hideMark/>
          </w:tcPr>
          <w:p w14:paraId="6A553F4D" w14:textId="77777777" w:rsidR="005D38CA" w:rsidRPr="005D38CA" w:rsidRDefault="005D38CA" w:rsidP="005D38CA">
            <w:pPr>
              <w:jc w:val="center"/>
              <w:rPr>
                <w:rFonts w:ascii="Arial" w:hAnsi="Arial" w:cs="Arial"/>
                <w:color w:val="FFFFFF"/>
                <w:sz w:val="16"/>
                <w:szCs w:val="16"/>
                <w:lang w:eastAsia="en-AU"/>
              </w:rPr>
            </w:pPr>
            <w:r w:rsidRPr="005D38CA">
              <w:rPr>
                <w:rFonts w:ascii="Arial" w:hAnsi="Arial" w:cs="Arial"/>
                <w:color w:val="FFFFFF"/>
                <w:sz w:val="16"/>
                <w:szCs w:val="16"/>
                <w:lang w:eastAsia="en-AU"/>
              </w:rPr>
              <w:t>$m</w:t>
            </w:r>
          </w:p>
        </w:tc>
        <w:tc>
          <w:tcPr>
            <w:tcW w:w="876" w:type="dxa"/>
            <w:tcBorders>
              <w:top w:val="nil"/>
              <w:left w:val="nil"/>
              <w:bottom w:val="nil"/>
              <w:right w:val="nil"/>
            </w:tcBorders>
            <w:shd w:val="clear" w:color="000000" w:fill="00426F"/>
            <w:hideMark/>
          </w:tcPr>
          <w:p w14:paraId="636A49E2" w14:textId="77777777" w:rsidR="005D38CA" w:rsidRPr="005D38CA" w:rsidRDefault="005D38CA" w:rsidP="005D38CA">
            <w:pPr>
              <w:jc w:val="center"/>
              <w:rPr>
                <w:rFonts w:ascii="Arial" w:hAnsi="Arial" w:cs="Arial"/>
                <w:color w:val="FFFFFF"/>
                <w:sz w:val="16"/>
                <w:szCs w:val="16"/>
                <w:lang w:eastAsia="en-AU"/>
              </w:rPr>
            </w:pPr>
            <w:r w:rsidRPr="005D38CA">
              <w:rPr>
                <w:rFonts w:ascii="Arial" w:hAnsi="Arial" w:cs="Arial"/>
                <w:color w:val="FFFFFF"/>
                <w:sz w:val="16"/>
                <w:szCs w:val="16"/>
                <w:lang w:eastAsia="en-AU"/>
              </w:rPr>
              <w:t>$m</w:t>
            </w:r>
          </w:p>
        </w:tc>
        <w:tc>
          <w:tcPr>
            <w:tcW w:w="876" w:type="dxa"/>
            <w:tcBorders>
              <w:top w:val="nil"/>
              <w:left w:val="nil"/>
              <w:bottom w:val="nil"/>
              <w:right w:val="nil"/>
            </w:tcBorders>
            <w:shd w:val="clear" w:color="000000" w:fill="00426F"/>
            <w:hideMark/>
          </w:tcPr>
          <w:p w14:paraId="7FA145EE" w14:textId="77777777" w:rsidR="005D38CA" w:rsidRPr="005D38CA" w:rsidRDefault="005D38CA" w:rsidP="005D38CA">
            <w:pPr>
              <w:jc w:val="center"/>
              <w:rPr>
                <w:rFonts w:ascii="Arial" w:hAnsi="Arial" w:cs="Arial"/>
                <w:color w:val="FFFFFF"/>
                <w:sz w:val="16"/>
                <w:szCs w:val="16"/>
                <w:lang w:eastAsia="en-AU"/>
              </w:rPr>
            </w:pPr>
            <w:r w:rsidRPr="005D38CA">
              <w:rPr>
                <w:rFonts w:ascii="Arial" w:hAnsi="Arial" w:cs="Arial"/>
                <w:color w:val="FFFFFF"/>
                <w:sz w:val="16"/>
                <w:szCs w:val="16"/>
                <w:lang w:eastAsia="en-AU"/>
              </w:rPr>
              <w:t>$m</w:t>
            </w:r>
          </w:p>
        </w:tc>
        <w:tc>
          <w:tcPr>
            <w:tcW w:w="1036" w:type="dxa"/>
            <w:tcBorders>
              <w:top w:val="nil"/>
              <w:left w:val="nil"/>
              <w:bottom w:val="nil"/>
              <w:right w:val="nil"/>
            </w:tcBorders>
            <w:shd w:val="clear" w:color="000000" w:fill="00426F"/>
            <w:hideMark/>
          </w:tcPr>
          <w:p w14:paraId="6904ABB4" w14:textId="77777777" w:rsidR="005D38CA" w:rsidRPr="005D38CA" w:rsidRDefault="005D38CA" w:rsidP="005D38CA">
            <w:pPr>
              <w:jc w:val="center"/>
              <w:rPr>
                <w:rFonts w:ascii="Arial" w:hAnsi="Arial" w:cs="Arial"/>
                <w:color w:val="FFFFFF"/>
                <w:sz w:val="16"/>
                <w:szCs w:val="16"/>
                <w:lang w:eastAsia="en-AU"/>
              </w:rPr>
            </w:pPr>
            <w:r w:rsidRPr="005D38CA">
              <w:rPr>
                <w:rFonts w:ascii="Arial" w:hAnsi="Arial" w:cs="Arial"/>
                <w:color w:val="FFFFFF"/>
                <w:sz w:val="16"/>
                <w:szCs w:val="16"/>
                <w:lang w:eastAsia="en-AU"/>
              </w:rPr>
              <w:t>$m</w:t>
            </w:r>
          </w:p>
        </w:tc>
      </w:tr>
      <w:tr w:rsidR="005D38CA" w:rsidRPr="005D38CA" w14:paraId="318C3F4E" w14:textId="77777777" w:rsidTr="005D38CA">
        <w:trPr>
          <w:trHeight w:val="250"/>
        </w:trPr>
        <w:tc>
          <w:tcPr>
            <w:tcW w:w="5120" w:type="dxa"/>
            <w:tcBorders>
              <w:top w:val="nil"/>
              <w:left w:val="nil"/>
              <w:bottom w:val="nil"/>
              <w:right w:val="nil"/>
            </w:tcBorders>
            <w:shd w:val="clear" w:color="000000" w:fill="FFFFFF"/>
            <w:vAlign w:val="center"/>
            <w:hideMark/>
          </w:tcPr>
          <w:p w14:paraId="5E5E0C61" w14:textId="77777777" w:rsidR="005D38CA" w:rsidRPr="005D38CA" w:rsidRDefault="005D38CA" w:rsidP="005D38CA">
            <w:pPr>
              <w:rPr>
                <w:rFonts w:ascii="Arial" w:hAnsi="Arial" w:cs="Arial"/>
                <w:sz w:val="16"/>
                <w:szCs w:val="16"/>
                <w:lang w:eastAsia="en-AU"/>
              </w:rPr>
            </w:pPr>
            <w:r w:rsidRPr="005D38CA">
              <w:rPr>
                <w:rFonts w:ascii="Arial" w:hAnsi="Arial" w:cs="Arial"/>
                <w:sz w:val="16"/>
                <w:szCs w:val="16"/>
                <w:lang w:eastAsia="en-AU"/>
              </w:rPr>
              <w:t>Increase to the point of consumption tax</w:t>
            </w:r>
          </w:p>
        </w:tc>
        <w:tc>
          <w:tcPr>
            <w:tcW w:w="876" w:type="dxa"/>
            <w:tcBorders>
              <w:top w:val="nil"/>
              <w:left w:val="nil"/>
              <w:bottom w:val="nil"/>
              <w:right w:val="nil"/>
            </w:tcBorders>
            <w:shd w:val="clear" w:color="000000" w:fill="F2F2F2"/>
            <w:noWrap/>
            <w:vAlign w:val="center"/>
            <w:hideMark/>
          </w:tcPr>
          <w:p w14:paraId="590DCEA9" w14:textId="77777777" w:rsidR="005D38CA" w:rsidRPr="005D38CA" w:rsidRDefault="005D38CA" w:rsidP="005D38CA">
            <w:pPr>
              <w:jc w:val="center"/>
              <w:rPr>
                <w:rFonts w:ascii="Arial" w:hAnsi="Arial" w:cs="Arial"/>
                <w:sz w:val="16"/>
                <w:szCs w:val="16"/>
                <w:lang w:eastAsia="en-AU"/>
              </w:rPr>
            </w:pPr>
            <w:r w:rsidRPr="005D38CA">
              <w:rPr>
                <w:rFonts w:ascii="Arial" w:hAnsi="Arial" w:cs="Arial"/>
                <w:sz w:val="16"/>
                <w:szCs w:val="16"/>
                <w:lang w:eastAsia="en-AU"/>
              </w:rPr>
              <w:t xml:space="preserve">156.0 </w:t>
            </w:r>
          </w:p>
        </w:tc>
        <w:tc>
          <w:tcPr>
            <w:tcW w:w="876" w:type="dxa"/>
            <w:tcBorders>
              <w:top w:val="nil"/>
              <w:left w:val="nil"/>
              <w:bottom w:val="nil"/>
              <w:right w:val="nil"/>
            </w:tcBorders>
            <w:shd w:val="clear" w:color="000000" w:fill="F2F2F2"/>
            <w:noWrap/>
            <w:vAlign w:val="center"/>
            <w:hideMark/>
          </w:tcPr>
          <w:p w14:paraId="01BE190B" w14:textId="77777777" w:rsidR="005D38CA" w:rsidRPr="005D38CA" w:rsidRDefault="005D38CA" w:rsidP="005D38CA">
            <w:pPr>
              <w:jc w:val="center"/>
              <w:rPr>
                <w:rFonts w:ascii="Arial" w:hAnsi="Arial" w:cs="Arial"/>
                <w:sz w:val="16"/>
                <w:szCs w:val="16"/>
                <w:lang w:eastAsia="en-AU"/>
              </w:rPr>
            </w:pPr>
            <w:r w:rsidRPr="005D38CA">
              <w:rPr>
                <w:rFonts w:ascii="Arial" w:hAnsi="Arial" w:cs="Arial"/>
                <w:sz w:val="16"/>
                <w:szCs w:val="16"/>
                <w:lang w:eastAsia="en-AU"/>
              </w:rPr>
              <w:t xml:space="preserve">177.0 </w:t>
            </w:r>
          </w:p>
        </w:tc>
        <w:tc>
          <w:tcPr>
            <w:tcW w:w="876" w:type="dxa"/>
            <w:tcBorders>
              <w:top w:val="nil"/>
              <w:left w:val="nil"/>
              <w:bottom w:val="nil"/>
              <w:right w:val="nil"/>
            </w:tcBorders>
            <w:shd w:val="clear" w:color="000000" w:fill="F2F2F2"/>
            <w:noWrap/>
            <w:vAlign w:val="center"/>
            <w:hideMark/>
          </w:tcPr>
          <w:p w14:paraId="74D360D5" w14:textId="77777777" w:rsidR="005D38CA" w:rsidRPr="005D38CA" w:rsidRDefault="005D38CA" w:rsidP="005D38CA">
            <w:pPr>
              <w:jc w:val="center"/>
              <w:rPr>
                <w:rFonts w:ascii="Arial" w:hAnsi="Arial" w:cs="Arial"/>
                <w:sz w:val="16"/>
                <w:szCs w:val="16"/>
                <w:lang w:eastAsia="en-AU"/>
              </w:rPr>
            </w:pPr>
            <w:r w:rsidRPr="005D38CA">
              <w:rPr>
                <w:rFonts w:ascii="Arial" w:hAnsi="Arial" w:cs="Arial"/>
                <w:sz w:val="16"/>
                <w:szCs w:val="16"/>
                <w:lang w:eastAsia="en-AU"/>
              </w:rPr>
              <w:t xml:space="preserve">195.0 </w:t>
            </w:r>
          </w:p>
        </w:tc>
        <w:tc>
          <w:tcPr>
            <w:tcW w:w="876" w:type="dxa"/>
            <w:tcBorders>
              <w:top w:val="nil"/>
              <w:left w:val="nil"/>
              <w:bottom w:val="nil"/>
              <w:right w:val="nil"/>
            </w:tcBorders>
            <w:shd w:val="clear" w:color="000000" w:fill="F2F2F2"/>
            <w:noWrap/>
            <w:vAlign w:val="center"/>
            <w:hideMark/>
          </w:tcPr>
          <w:p w14:paraId="6C36C12B" w14:textId="77777777" w:rsidR="005D38CA" w:rsidRPr="005D38CA" w:rsidRDefault="005D38CA" w:rsidP="005D38CA">
            <w:pPr>
              <w:jc w:val="center"/>
              <w:rPr>
                <w:rFonts w:ascii="Arial" w:hAnsi="Arial" w:cs="Arial"/>
                <w:sz w:val="16"/>
                <w:szCs w:val="16"/>
                <w:lang w:eastAsia="en-AU"/>
              </w:rPr>
            </w:pPr>
            <w:r w:rsidRPr="005D38CA">
              <w:rPr>
                <w:rFonts w:ascii="Arial" w:hAnsi="Arial" w:cs="Arial"/>
                <w:sz w:val="16"/>
                <w:szCs w:val="16"/>
                <w:lang w:eastAsia="en-AU"/>
              </w:rPr>
              <w:t xml:space="preserve">212.0 </w:t>
            </w:r>
          </w:p>
        </w:tc>
        <w:tc>
          <w:tcPr>
            <w:tcW w:w="1036" w:type="dxa"/>
            <w:tcBorders>
              <w:top w:val="nil"/>
              <w:left w:val="nil"/>
              <w:bottom w:val="nil"/>
              <w:right w:val="nil"/>
            </w:tcBorders>
            <w:shd w:val="clear" w:color="000000" w:fill="FFFFFF"/>
            <w:noWrap/>
            <w:vAlign w:val="center"/>
            <w:hideMark/>
          </w:tcPr>
          <w:p w14:paraId="0B9D6DDC" w14:textId="77777777" w:rsidR="005D38CA" w:rsidRPr="005D38CA" w:rsidRDefault="005D38CA" w:rsidP="005D38CA">
            <w:pPr>
              <w:jc w:val="center"/>
              <w:rPr>
                <w:rFonts w:ascii="Arial" w:hAnsi="Arial" w:cs="Arial"/>
                <w:b/>
                <w:bCs/>
                <w:color w:val="0579B9"/>
                <w:sz w:val="16"/>
                <w:szCs w:val="16"/>
                <w:lang w:eastAsia="en-AU"/>
              </w:rPr>
            </w:pPr>
            <w:r w:rsidRPr="005D38CA">
              <w:rPr>
                <w:rFonts w:ascii="Arial" w:hAnsi="Arial" w:cs="Arial"/>
                <w:b/>
                <w:bCs/>
                <w:color w:val="0579B9"/>
                <w:sz w:val="16"/>
                <w:szCs w:val="16"/>
                <w:lang w:eastAsia="en-AU"/>
              </w:rPr>
              <w:t xml:space="preserve">740.0 </w:t>
            </w:r>
          </w:p>
        </w:tc>
      </w:tr>
      <w:tr w:rsidR="005D38CA" w:rsidRPr="005D38CA" w14:paraId="53042C5F" w14:textId="77777777" w:rsidTr="005D38CA">
        <w:trPr>
          <w:trHeight w:val="400"/>
        </w:trPr>
        <w:tc>
          <w:tcPr>
            <w:tcW w:w="5120" w:type="dxa"/>
            <w:tcBorders>
              <w:top w:val="nil"/>
              <w:left w:val="nil"/>
              <w:bottom w:val="nil"/>
              <w:right w:val="nil"/>
            </w:tcBorders>
            <w:shd w:val="clear" w:color="000000" w:fill="FFFFFF"/>
            <w:vAlign w:val="center"/>
            <w:hideMark/>
          </w:tcPr>
          <w:p w14:paraId="6C655785" w14:textId="31659289" w:rsidR="005D38CA" w:rsidRPr="005D38CA" w:rsidRDefault="001458E3" w:rsidP="005D38CA">
            <w:pPr>
              <w:rPr>
                <w:rFonts w:ascii="Arial" w:hAnsi="Arial" w:cs="Arial"/>
                <w:sz w:val="16"/>
                <w:szCs w:val="16"/>
                <w:lang w:eastAsia="en-AU"/>
              </w:rPr>
            </w:pPr>
            <w:r w:rsidRPr="001458E3">
              <w:rPr>
                <w:rFonts w:ascii="Arial" w:hAnsi="Arial" w:cs="Arial"/>
                <w:sz w:val="16"/>
                <w:szCs w:val="16"/>
                <w:lang w:eastAsia="en-AU"/>
              </w:rPr>
              <w:t>Introduce the First Home Buyer Property Tax Option</w:t>
            </w:r>
          </w:p>
        </w:tc>
        <w:tc>
          <w:tcPr>
            <w:tcW w:w="876" w:type="dxa"/>
            <w:tcBorders>
              <w:top w:val="nil"/>
              <w:left w:val="nil"/>
              <w:bottom w:val="nil"/>
              <w:right w:val="nil"/>
            </w:tcBorders>
            <w:shd w:val="clear" w:color="000000" w:fill="F2F2F2"/>
            <w:noWrap/>
            <w:vAlign w:val="center"/>
            <w:hideMark/>
          </w:tcPr>
          <w:p w14:paraId="06DB6E66" w14:textId="77777777" w:rsidR="005D38CA" w:rsidRPr="005D38CA" w:rsidRDefault="005D38CA" w:rsidP="005D38CA">
            <w:pPr>
              <w:jc w:val="center"/>
              <w:rPr>
                <w:rFonts w:ascii="Arial" w:hAnsi="Arial" w:cs="Arial"/>
                <w:sz w:val="16"/>
                <w:szCs w:val="16"/>
                <w:lang w:eastAsia="en-AU"/>
              </w:rPr>
            </w:pPr>
            <w:r w:rsidRPr="005D38CA">
              <w:rPr>
                <w:rFonts w:ascii="Arial" w:hAnsi="Arial" w:cs="Arial"/>
                <w:sz w:val="16"/>
                <w:szCs w:val="16"/>
                <w:lang w:eastAsia="en-AU"/>
              </w:rPr>
              <w:t xml:space="preserve">(158.2) </w:t>
            </w:r>
          </w:p>
        </w:tc>
        <w:tc>
          <w:tcPr>
            <w:tcW w:w="876" w:type="dxa"/>
            <w:tcBorders>
              <w:top w:val="nil"/>
              <w:left w:val="nil"/>
              <w:bottom w:val="nil"/>
              <w:right w:val="nil"/>
            </w:tcBorders>
            <w:shd w:val="clear" w:color="000000" w:fill="F2F2F2"/>
            <w:noWrap/>
            <w:vAlign w:val="center"/>
            <w:hideMark/>
          </w:tcPr>
          <w:p w14:paraId="2B26F3E1" w14:textId="77777777" w:rsidR="005D38CA" w:rsidRPr="005D38CA" w:rsidRDefault="005D38CA" w:rsidP="005D38CA">
            <w:pPr>
              <w:jc w:val="center"/>
              <w:rPr>
                <w:rFonts w:ascii="Arial" w:hAnsi="Arial" w:cs="Arial"/>
                <w:sz w:val="16"/>
                <w:szCs w:val="16"/>
                <w:lang w:eastAsia="en-AU"/>
              </w:rPr>
            </w:pPr>
            <w:r w:rsidRPr="005D38CA">
              <w:rPr>
                <w:rFonts w:ascii="Arial" w:hAnsi="Arial" w:cs="Arial"/>
                <w:sz w:val="16"/>
                <w:szCs w:val="16"/>
                <w:lang w:eastAsia="en-AU"/>
              </w:rPr>
              <w:t xml:space="preserve">(164.1) </w:t>
            </w:r>
          </w:p>
        </w:tc>
        <w:tc>
          <w:tcPr>
            <w:tcW w:w="876" w:type="dxa"/>
            <w:tcBorders>
              <w:top w:val="nil"/>
              <w:left w:val="nil"/>
              <w:bottom w:val="nil"/>
              <w:right w:val="nil"/>
            </w:tcBorders>
            <w:shd w:val="clear" w:color="000000" w:fill="F2F2F2"/>
            <w:noWrap/>
            <w:vAlign w:val="center"/>
            <w:hideMark/>
          </w:tcPr>
          <w:p w14:paraId="1066DAC1" w14:textId="77777777" w:rsidR="005D38CA" w:rsidRPr="005D38CA" w:rsidRDefault="005D38CA" w:rsidP="005D38CA">
            <w:pPr>
              <w:jc w:val="center"/>
              <w:rPr>
                <w:rFonts w:ascii="Arial" w:hAnsi="Arial" w:cs="Arial"/>
                <w:sz w:val="16"/>
                <w:szCs w:val="16"/>
                <w:lang w:eastAsia="en-AU"/>
              </w:rPr>
            </w:pPr>
            <w:r w:rsidRPr="005D38CA">
              <w:rPr>
                <w:rFonts w:ascii="Arial" w:hAnsi="Arial" w:cs="Arial"/>
                <w:sz w:val="16"/>
                <w:szCs w:val="16"/>
                <w:lang w:eastAsia="en-AU"/>
              </w:rPr>
              <w:t xml:space="preserve">(160.3) </w:t>
            </w:r>
          </w:p>
        </w:tc>
        <w:tc>
          <w:tcPr>
            <w:tcW w:w="876" w:type="dxa"/>
            <w:tcBorders>
              <w:top w:val="nil"/>
              <w:left w:val="nil"/>
              <w:bottom w:val="nil"/>
              <w:right w:val="nil"/>
            </w:tcBorders>
            <w:shd w:val="clear" w:color="000000" w:fill="F2F2F2"/>
            <w:noWrap/>
            <w:vAlign w:val="center"/>
            <w:hideMark/>
          </w:tcPr>
          <w:p w14:paraId="54E2D3B0" w14:textId="77777777" w:rsidR="005D38CA" w:rsidRPr="005D38CA" w:rsidRDefault="005D38CA" w:rsidP="005D38CA">
            <w:pPr>
              <w:jc w:val="center"/>
              <w:rPr>
                <w:rFonts w:ascii="Arial" w:hAnsi="Arial" w:cs="Arial"/>
                <w:sz w:val="16"/>
                <w:szCs w:val="16"/>
                <w:lang w:eastAsia="en-AU"/>
              </w:rPr>
            </w:pPr>
            <w:r w:rsidRPr="005D38CA">
              <w:rPr>
                <w:rFonts w:ascii="Arial" w:hAnsi="Arial" w:cs="Arial"/>
                <w:sz w:val="16"/>
                <w:szCs w:val="16"/>
                <w:lang w:eastAsia="en-AU"/>
              </w:rPr>
              <w:t xml:space="preserve">(181.1) </w:t>
            </w:r>
          </w:p>
        </w:tc>
        <w:tc>
          <w:tcPr>
            <w:tcW w:w="1036" w:type="dxa"/>
            <w:tcBorders>
              <w:top w:val="nil"/>
              <w:left w:val="nil"/>
              <w:bottom w:val="nil"/>
              <w:right w:val="nil"/>
            </w:tcBorders>
            <w:shd w:val="clear" w:color="000000" w:fill="FFFFFF"/>
            <w:noWrap/>
            <w:vAlign w:val="center"/>
            <w:hideMark/>
          </w:tcPr>
          <w:p w14:paraId="1CDFDBE9" w14:textId="77777777" w:rsidR="005D38CA" w:rsidRPr="005D38CA" w:rsidRDefault="005D38CA" w:rsidP="005D38CA">
            <w:pPr>
              <w:jc w:val="center"/>
              <w:rPr>
                <w:rFonts w:ascii="Arial" w:hAnsi="Arial" w:cs="Arial"/>
                <w:b/>
                <w:bCs/>
                <w:color w:val="0579B9"/>
                <w:sz w:val="16"/>
                <w:szCs w:val="16"/>
                <w:lang w:eastAsia="en-AU"/>
              </w:rPr>
            </w:pPr>
            <w:r w:rsidRPr="005D38CA">
              <w:rPr>
                <w:rFonts w:ascii="Arial" w:hAnsi="Arial" w:cs="Arial"/>
                <w:b/>
                <w:bCs/>
                <w:color w:val="0579B9"/>
                <w:sz w:val="16"/>
                <w:szCs w:val="16"/>
                <w:lang w:eastAsia="en-AU"/>
              </w:rPr>
              <w:t xml:space="preserve">(663.6) </w:t>
            </w:r>
          </w:p>
        </w:tc>
      </w:tr>
      <w:tr w:rsidR="005D38CA" w:rsidRPr="005D38CA" w14:paraId="0B17B0CC" w14:textId="77777777" w:rsidTr="005D38CA">
        <w:trPr>
          <w:trHeight w:val="255"/>
        </w:trPr>
        <w:tc>
          <w:tcPr>
            <w:tcW w:w="5120" w:type="dxa"/>
            <w:tcBorders>
              <w:top w:val="nil"/>
              <w:left w:val="nil"/>
              <w:bottom w:val="nil"/>
              <w:right w:val="nil"/>
            </w:tcBorders>
            <w:shd w:val="clear" w:color="000000" w:fill="FFFFFF"/>
            <w:vAlign w:val="center"/>
            <w:hideMark/>
          </w:tcPr>
          <w:p w14:paraId="6227113A" w14:textId="77777777" w:rsidR="005D38CA" w:rsidRPr="005D38CA" w:rsidRDefault="005D38CA" w:rsidP="005D38CA">
            <w:pPr>
              <w:rPr>
                <w:rFonts w:ascii="Arial" w:hAnsi="Arial" w:cs="Arial"/>
                <w:sz w:val="16"/>
                <w:szCs w:val="16"/>
                <w:lang w:eastAsia="en-AU"/>
              </w:rPr>
            </w:pPr>
            <w:r w:rsidRPr="005D38CA">
              <w:rPr>
                <w:rFonts w:ascii="Arial" w:hAnsi="Arial" w:cs="Arial"/>
                <w:sz w:val="16"/>
                <w:szCs w:val="16"/>
                <w:lang w:eastAsia="en-AU"/>
              </w:rPr>
              <w:t>Reduction in the discount available for early payment of land tax</w:t>
            </w:r>
          </w:p>
        </w:tc>
        <w:tc>
          <w:tcPr>
            <w:tcW w:w="876" w:type="dxa"/>
            <w:tcBorders>
              <w:top w:val="nil"/>
              <w:left w:val="nil"/>
              <w:bottom w:val="nil"/>
              <w:right w:val="nil"/>
            </w:tcBorders>
            <w:shd w:val="clear" w:color="000000" w:fill="F2F2F2"/>
            <w:noWrap/>
            <w:vAlign w:val="center"/>
            <w:hideMark/>
          </w:tcPr>
          <w:p w14:paraId="0FCCBA4F" w14:textId="77777777" w:rsidR="005D38CA" w:rsidRPr="005D38CA" w:rsidRDefault="005D38CA" w:rsidP="005D38CA">
            <w:pPr>
              <w:jc w:val="center"/>
              <w:rPr>
                <w:rFonts w:ascii="Arial" w:hAnsi="Arial" w:cs="Arial"/>
                <w:sz w:val="16"/>
                <w:szCs w:val="16"/>
                <w:lang w:eastAsia="en-AU"/>
              </w:rPr>
            </w:pPr>
            <w:r w:rsidRPr="005D38CA">
              <w:rPr>
                <w:rFonts w:ascii="Arial" w:hAnsi="Arial" w:cs="Arial"/>
                <w:sz w:val="16"/>
                <w:szCs w:val="16"/>
                <w:lang w:eastAsia="en-AU"/>
              </w:rPr>
              <w:t xml:space="preserve">34.0 </w:t>
            </w:r>
          </w:p>
        </w:tc>
        <w:tc>
          <w:tcPr>
            <w:tcW w:w="876" w:type="dxa"/>
            <w:tcBorders>
              <w:top w:val="nil"/>
              <w:left w:val="nil"/>
              <w:bottom w:val="nil"/>
              <w:right w:val="nil"/>
            </w:tcBorders>
            <w:shd w:val="clear" w:color="000000" w:fill="F2F2F2"/>
            <w:noWrap/>
            <w:vAlign w:val="center"/>
            <w:hideMark/>
          </w:tcPr>
          <w:p w14:paraId="3C14332E" w14:textId="77777777" w:rsidR="005D38CA" w:rsidRPr="005D38CA" w:rsidRDefault="005D38CA" w:rsidP="005D38CA">
            <w:pPr>
              <w:jc w:val="center"/>
              <w:rPr>
                <w:rFonts w:ascii="Arial" w:hAnsi="Arial" w:cs="Arial"/>
                <w:sz w:val="16"/>
                <w:szCs w:val="16"/>
                <w:lang w:eastAsia="en-AU"/>
              </w:rPr>
            </w:pPr>
            <w:r w:rsidRPr="005D38CA">
              <w:rPr>
                <w:rFonts w:ascii="Arial" w:hAnsi="Arial" w:cs="Arial"/>
                <w:sz w:val="16"/>
                <w:szCs w:val="16"/>
                <w:lang w:eastAsia="en-AU"/>
              </w:rPr>
              <w:t xml:space="preserve">37.0 </w:t>
            </w:r>
          </w:p>
        </w:tc>
        <w:tc>
          <w:tcPr>
            <w:tcW w:w="876" w:type="dxa"/>
            <w:tcBorders>
              <w:top w:val="nil"/>
              <w:left w:val="nil"/>
              <w:bottom w:val="nil"/>
              <w:right w:val="nil"/>
            </w:tcBorders>
            <w:shd w:val="clear" w:color="000000" w:fill="F2F2F2"/>
            <w:noWrap/>
            <w:vAlign w:val="center"/>
            <w:hideMark/>
          </w:tcPr>
          <w:p w14:paraId="6DFC3450" w14:textId="77777777" w:rsidR="005D38CA" w:rsidRPr="005D38CA" w:rsidRDefault="005D38CA" w:rsidP="005D38CA">
            <w:pPr>
              <w:jc w:val="center"/>
              <w:rPr>
                <w:rFonts w:ascii="Arial" w:hAnsi="Arial" w:cs="Arial"/>
                <w:sz w:val="16"/>
                <w:szCs w:val="16"/>
                <w:lang w:eastAsia="en-AU"/>
              </w:rPr>
            </w:pPr>
            <w:r w:rsidRPr="005D38CA">
              <w:rPr>
                <w:rFonts w:ascii="Arial" w:hAnsi="Arial" w:cs="Arial"/>
                <w:sz w:val="16"/>
                <w:szCs w:val="16"/>
                <w:lang w:eastAsia="en-AU"/>
              </w:rPr>
              <w:t xml:space="preserve">38.0 </w:t>
            </w:r>
          </w:p>
        </w:tc>
        <w:tc>
          <w:tcPr>
            <w:tcW w:w="876" w:type="dxa"/>
            <w:tcBorders>
              <w:top w:val="nil"/>
              <w:left w:val="nil"/>
              <w:bottom w:val="nil"/>
              <w:right w:val="nil"/>
            </w:tcBorders>
            <w:shd w:val="clear" w:color="000000" w:fill="F2F2F2"/>
            <w:noWrap/>
            <w:vAlign w:val="center"/>
            <w:hideMark/>
          </w:tcPr>
          <w:p w14:paraId="7F6FE1A3" w14:textId="77777777" w:rsidR="005D38CA" w:rsidRPr="005D38CA" w:rsidRDefault="005D38CA" w:rsidP="005D38CA">
            <w:pPr>
              <w:jc w:val="center"/>
              <w:rPr>
                <w:rFonts w:ascii="Arial" w:hAnsi="Arial" w:cs="Arial"/>
                <w:sz w:val="16"/>
                <w:szCs w:val="16"/>
                <w:lang w:eastAsia="en-AU"/>
              </w:rPr>
            </w:pPr>
            <w:r w:rsidRPr="005D38CA">
              <w:rPr>
                <w:rFonts w:ascii="Arial" w:hAnsi="Arial" w:cs="Arial"/>
                <w:sz w:val="16"/>
                <w:szCs w:val="16"/>
                <w:lang w:eastAsia="en-AU"/>
              </w:rPr>
              <w:t xml:space="preserve">37.0 </w:t>
            </w:r>
          </w:p>
        </w:tc>
        <w:tc>
          <w:tcPr>
            <w:tcW w:w="1036" w:type="dxa"/>
            <w:tcBorders>
              <w:top w:val="nil"/>
              <w:left w:val="nil"/>
              <w:bottom w:val="nil"/>
              <w:right w:val="nil"/>
            </w:tcBorders>
            <w:shd w:val="clear" w:color="000000" w:fill="FFFFFF"/>
            <w:noWrap/>
            <w:vAlign w:val="center"/>
            <w:hideMark/>
          </w:tcPr>
          <w:p w14:paraId="02301EBC" w14:textId="77777777" w:rsidR="005D38CA" w:rsidRPr="005D38CA" w:rsidRDefault="005D38CA" w:rsidP="005D38CA">
            <w:pPr>
              <w:jc w:val="center"/>
              <w:rPr>
                <w:rFonts w:ascii="Arial" w:hAnsi="Arial" w:cs="Arial"/>
                <w:b/>
                <w:bCs/>
                <w:color w:val="0579B9"/>
                <w:sz w:val="16"/>
                <w:szCs w:val="16"/>
                <w:lang w:eastAsia="en-AU"/>
              </w:rPr>
            </w:pPr>
            <w:r w:rsidRPr="005D38CA">
              <w:rPr>
                <w:rFonts w:ascii="Arial" w:hAnsi="Arial" w:cs="Arial"/>
                <w:b/>
                <w:bCs/>
                <w:color w:val="0579B9"/>
                <w:sz w:val="16"/>
                <w:szCs w:val="16"/>
                <w:lang w:eastAsia="en-AU"/>
              </w:rPr>
              <w:t xml:space="preserve">146.0 </w:t>
            </w:r>
          </w:p>
        </w:tc>
      </w:tr>
      <w:tr w:rsidR="005D38CA" w:rsidRPr="005D38CA" w14:paraId="6189C4E9" w14:textId="77777777" w:rsidTr="005D38CA">
        <w:trPr>
          <w:trHeight w:val="255"/>
        </w:trPr>
        <w:tc>
          <w:tcPr>
            <w:tcW w:w="5120" w:type="dxa"/>
            <w:tcBorders>
              <w:top w:val="nil"/>
              <w:left w:val="nil"/>
              <w:bottom w:val="nil"/>
              <w:right w:val="nil"/>
            </w:tcBorders>
            <w:shd w:val="clear" w:color="000000" w:fill="FFFFFF"/>
            <w:vAlign w:val="center"/>
            <w:hideMark/>
          </w:tcPr>
          <w:p w14:paraId="26E632D1" w14:textId="77777777" w:rsidR="005D38CA" w:rsidRPr="005D38CA" w:rsidRDefault="005D38CA" w:rsidP="005D38CA">
            <w:pPr>
              <w:rPr>
                <w:rFonts w:ascii="Arial" w:hAnsi="Arial" w:cs="Arial"/>
                <w:sz w:val="16"/>
                <w:szCs w:val="16"/>
                <w:lang w:eastAsia="en-AU"/>
              </w:rPr>
            </w:pPr>
            <w:r w:rsidRPr="005D38CA">
              <w:rPr>
                <w:rFonts w:ascii="Arial" w:hAnsi="Arial" w:cs="Arial"/>
                <w:sz w:val="16"/>
                <w:szCs w:val="16"/>
                <w:lang w:eastAsia="en-AU"/>
              </w:rPr>
              <w:t>Increase to the foreign investor surcharge land tax</w:t>
            </w:r>
          </w:p>
        </w:tc>
        <w:tc>
          <w:tcPr>
            <w:tcW w:w="876" w:type="dxa"/>
            <w:tcBorders>
              <w:top w:val="nil"/>
              <w:left w:val="nil"/>
              <w:bottom w:val="nil"/>
              <w:right w:val="nil"/>
            </w:tcBorders>
            <w:shd w:val="clear" w:color="000000" w:fill="F2F2F2"/>
            <w:noWrap/>
            <w:vAlign w:val="center"/>
            <w:hideMark/>
          </w:tcPr>
          <w:p w14:paraId="683848F1" w14:textId="77777777" w:rsidR="005D38CA" w:rsidRPr="005D38CA" w:rsidRDefault="005D38CA" w:rsidP="005D38CA">
            <w:pPr>
              <w:jc w:val="center"/>
              <w:rPr>
                <w:rFonts w:ascii="Arial" w:hAnsi="Arial" w:cs="Arial"/>
                <w:sz w:val="16"/>
                <w:szCs w:val="16"/>
                <w:lang w:eastAsia="en-AU"/>
              </w:rPr>
            </w:pPr>
            <w:r w:rsidRPr="005D38CA">
              <w:rPr>
                <w:rFonts w:ascii="Arial" w:hAnsi="Arial" w:cs="Arial"/>
                <w:sz w:val="16"/>
                <w:szCs w:val="16"/>
                <w:lang w:eastAsia="en-AU"/>
              </w:rPr>
              <w:t xml:space="preserve">74.0 </w:t>
            </w:r>
          </w:p>
        </w:tc>
        <w:tc>
          <w:tcPr>
            <w:tcW w:w="876" w:type="dxa"/>
            <w:tcBorders>
              <w:top w:val="nil"/>
              <w:left w:val="nil"/>
              <w:bottom w:val="nil"/>
              <w:right w:val="nil"/>
            </w:tcBorders>
            <w:shd w:val="clear" w:color="000000" w:fill="F2F2F2"/>
            <w:noWrap/>
            <w:vAlign w:val="center"/>
            <w:hideMark/>
          </w:tcPr>
          <w:p w14:paraId="52532C04" w14:textId="77777777" w:rsidR="005D38CA" w:rsidRPr="005D38CA" w:rsidRDefault="005D38CA" w:rsidP="005D38CA">
            <w:pPr>
              <w:jc w:val="center"/>
              <w:rPr>
                <w:rFonts w:ascii="Arial" w:hAnsi="Arial" w:cs="Arial"/>
                <w:sz w:val="16"/>
                <w:szCs w:val="16"/>
                <w:lang w:eastAsia="en-AU"/>
              </w:rPr>
            </w:pPr>
            <w:r w:rsidRPr="005D38CA">
              <w:rPr>
                <w:rFonts w:ascii="Arial" w:hAnsi="Arial" w:cs="Arial"/>
                <w:sz w:val="16"/>
                <w:szCs w:val="16"/>
                <w:lang w:eastAsia="en-AU"/>
              </w:rPr>
              <w:t xml:space="preserve">88.0 </w:t>
            </w:r>
          </w:p>
        </w:tc>
        <w:tc>
          <w:tcPr>
            <w:tcW w:w="876" w:type="dxa"/>
            <w:tcBorders>
              <w:top w:val="nil"/>
              <w:left w:val="nil"/>
              <w:bottom w:val="nil"/>
              <w:right w:val="nil"/>
            </w:tcBorders>
            <w:shd w:val="clear" w:color="000000" w:fill="F2F2F2"/>
            <w:noWrap/>
            <w:vAlign w:val="center"/>
            <w:hideMark/>
          </w:tcPr>
          <w:p w14:paraId="5BCC6B2B" w14:textId="77777777" w:rsidR="005D38CA" w:rsidRPr="005D38CA" w:rsidRDefault="005D38CA" w:rsidP="005D38CA">
            <w:pPr>
              <w:jc w:val="center"/>
              <w:rPr>
                <w:rFonts w:ascii="Arial" w:hAnsi="Arial" w:cs="Arial"/>
                <w:sz w:val="16"/>
                <w:szCs w:val="16"/>
                <w:lang w:eastAsia="en-AU"/>
              </w:rPr>
            </w:pPr>
            <w:r w:rsidRPr="005D38CA">
              <w:rPr>
                <w:rFonts w:ascii="Arial" w:hAnsi="Arial" w:cs="Arial"/>
                <w:sz w:val="16"/>
                <w:szCs w:val="16"/>
                <w:lang w:eastAsia="en-AU"/>
              </w:rPr>
              <w:t xml:space="preserve">75.0 </w:t>
            </w:r>
          </w:p>
        </w:tc>
        <w:tc>
          <w:tcPr>
            <w:tcW w:w="876" w:type="dxa"/>
            <w:tcBorders>
              <w:top w:val="nil"/>
              <w:left w:val="nil"/>
              <w:bottom w:val="nil"/>
              <w:right w:val="nil"/>
            </w:tcBorders>
            <w:shd w:val="clear" w:color="000000" w:fill="F2F2F2"/>
            <w:noWrap/>
            <w:vAlign w:val="center"/>
            <w:hideMark/>
          </w:tcPr>
          <w:p w14:paraId="4C384908" w14:textId="77777777" w:rsidR="005D38CA" w:rsidRPr="005D38CA" w:rsidRDefault="005D38CA" w:rsidP="005D38CA">
            <w:pPr>
              <w:jc w:val="center"/>
              <w:rPr>
                <w:rFonts w:ascii="Arial" w:hAnsi="Arial" w:cs="Arial"/>
                <w:sz w:val="16"/>
                <w:szCs w:val="16"/>
                <w:lang w:eastAsia="en-AU"/>
              </w:rPr>
            </w:pPr>
            <w:r w:rsidRPr="005D38CA">
              <w:rPr>
                <w:rFonts w:ascii="Arial" w:hAnsi="Arial" w:cs="Arial"/>
                <w:sz w:val="16"/>
                <w:szCs w:val="16"/>
                <w:lang w:eastAsia="en-AU"/>
              </w:rPr>
              <w:t xml:space="preserve">57.0 </w:t>
            </w:r>
          </w:p>
        </w:tc>
        <w:tc>
          <w:tcPr>
            <w:tcW w:w="1036" w:type="dxa"/>
            <w:tcBorders>
              <w:top w:val="nil"/>
              <w:left w:val="nil"/>
              <w:bottom w:val="nil"/>
              <w:right w:val="nil"/>
            </w:tcBorders>
            <w:shd w:val="clear" w:color="000000" w:fill="FFFFFF"/>
            <w:noWrap/>
            <w:vAlign w:val="center"/>
            <w:hideMark/>
          </w:tcPr>
          <w:p w14:paraId="26568DC7" w14:textId="77777777" w:rsidR="005D38CA" w:rsidRPr="005D38CA" w:rsidRDefault="005D38CA" w:rsidP="005D38CA">
            <w:pPr>
              <w:jc w:val="center"/>
              <w:rPr>
                <w:rFonts w:ascii="Arial" w:hAnsi="Arial" w:cs="Arial"/>
                <w:b/>
                <w:bCs/>
                <w:color w:val="0579B9"/>
                <w:sz w:val="16"/>
                <w:szCs w:val="16"/>
                <w:lang w:eastAsia="en-AU"/>
              </w:rPr>
            </w:pPr>
            <w:r w:rsidRPr="005D38CA">
              <w:rPr>
                <w:rFonts w:ascii="Arial" w:hAnsi="Arial" w:cs="Arial"/>
                <w:b/>
                <w:bCs/>
                <w:color w:val="0579B9"/>
                <w:sz w:val="16"/>
                <w:szCs w:val="16"/>
                <w:lang w:eastAsia="en-AU"/>
              </w:rPr>
              <w:t xml:space="preserve">294.0 </w:t>
            </w:r>
          </w:p>
        </w:tc>
      </w:tr>
      <w:tr w:rsidR="005D38CA" w:rsidRPr="005D38CA" w14:paraId="5D41E804" w14:textId="77777777" w:rsidTr="005D38CA">
        <w:trPr>
          <w:trHeight w:val="255"/>
        </w:trPr>
        <w:tc>
          <w:tcPr>
            <w:tcW w:w="5120" w:type="dxa"/>
            <w:tcBorders>
              <w:top w:val="nil"/>
              <w:left w:val="nil"/>
              <w:bottom w:val="nil"/>
              <w:right w:val="nil"/>
            </w:tcBorders>
            <w:shd w:val="clear" w:color="000000" w:fill="FFFFFF"/>
            <w:vAlign w:val="center"/>
            <w:hideMark/>
          </w:tcPr>
          <w:p w14:paraId="7D5412A1" w14:textId="3A00BCD0" w:rsidR="005D38CA" w:rsidRPr="005D38CA" w:rsidRDefault="005D38CA" w:rsidP="005D38CA">
            <w:pPr>
              <w:rPr>
                <w:rFonts w:ascii="Arial" w:hAnsi="Arial" w:cs="Arial"/>
                <w:sz w:val="16"/>
                <w:szCs w:val="16"/>
                <w:lang w:eastAsia="en-AU"/>
              </w:rPr>
            </w:pPr>
            <w:r w:rsidRPr="005D38CA">
              <w:rPr>
                <w:rFonts w:ascii="Arial" w:hAnsi="Arial" w:cs="Arial"/>
                <w:sz w:val="16"/>
                <w:szCs w:val="16"/>
                <w:lang w:eastAsia="en-AU"/>
              </w:rPr>
              <w:t xml:space="preserve">Payroll tax exemptions under </w:t>
            </w:r>
            <w:r w:rsidR="000F17C4" w:rsidRPr="000F17C4">
              <w:rPr>
                <w:rFonts w:ascii="Arial" w:hAnsi="Arial" w:cs="Arial"/>
                <w:sz w:val="16"/>
                <w:szCs w:val="16"/>
                <w:lang w:eastAsia="en-AU"/>
              </w:rPr>
              <w:t xml:space="preserve">a subprogram of </w:t>
            </w:r>
            <w:r w:rsidRPr="005D38CA">
              <w:rPr>
                <w:rFonts w:ascii="Arial" w:hAnsi="Arial" w:cs="Arial"/>
                <w:sz w:val="16"/>
                <w:szCs w:val="16"/>
                <w:lang w:eastAsia="en-AU"/>
              </w:rPr>
              <w:t xml:space="preserve">the </w:t>
            </w:r>
            <w:r w:rsidR="000F17C4" w:rsidRPr="000F17C4">
              <w:rPr>
                <w:rFonts w:ascii="Arial" w:hAnsi="Arial" w:cs="Arial"/>
                <w:sz w:val="16"/>
                <w:szCs w:val="16"/>
                <w:lang w:eastAsia="en-AU"/>
              </w:rPr>
              <w:t>Future Economy Fund</w:t>
            </w:r>
          </w:p>
        </w:tc>
        <w:tc>
          <w:tcPr>
            <w:tcW w:w="876" w:type="dxa"/>
            <w:tcBorders>
              <w:top w:val="nil"/>
              <w:left w:val="nil"/>
              <w:bottom w:val="nil"/>
              <w:right w:val="nil"/>
            </w:tcBorders>
            <w:shd w:val="clear" w:color="000000" w:fill="F2F2F2"/>
            <w:noWrap/>
            <w:vAlign w:val="center"/>
            <w:hideMark/>
          </w:tcPr>
          <w:p w14:paraId="1D5BB196" w14:textId="77777777" w:rsidR="005D38CA" w:rsidRPr="005D38CA" w:rsidRDefault="005D38CA" w:rsidP="005D38CA">
            <w:pPr>
              <w:jc w:val="center"/>
              <w:rPr>
                <w:rFonts w:ascii="Arial" w:hAnsi="Arial" w:cs="Arial"/>
                <w:sz w:val="16"/>
                <w:szCs w:val="16"/>
                <w:lang w:eastAsia="en-AU"/>
              </w:rPr>
            </w:pPr>
            <w:r w:rsidRPr="005D38CA">
              <w:rPr>
                <w:rFonts w:ascii="Arial" w:hAnsi="Arial" w:cs="Arial"/>
                <w:sz w:val="16"/>
                <w:szCs w:val="16"/>
                <w:lang w:eastAsia="en-AU"/>
              </w:rPr>
              <w:t xml:space="preserve">(0.7) </w:t>
            </w:r>
          </w:p>
        </w:tc>
        <w:tc>
          <w:tcPr>
            <w:tcW w:w="876" w:type="dxa"/>
            <w:tcBorders>
              <w:top w:val="nil"/>
              <w:left w:val="nil"/>
              <w:bottom w:val="nil"/>
              <w:right w:val="nil"/>
            </w:tcBorders>
            <w:shd w:val="clear" w:color="000000" w:fill="F2F2F2"/>
            <w:noWrap/>
            <w:vAlign w:val="center"/>
            <w:hideMark/>
          </w:tcPr>
          <w:p w14:paraId="61B88E26" w14:textId="77777777" w:rsidR="005D38CA" w:rsidRPr="005D38CA" w:rsidRDefault="005D38CA" w:rsidP="005D38CA">
            <w:pPr>
              <w:jc w:val="center"/>
              <w:rPr>
                <w:rFonts w:ascii="Arial" w:hAnsi="Arial" w:cs="Arial"/>
                <w:sz w:val="16"/>
                <w:szCs w:val="16"/>
                <w:lang w:eastAsia="en-AU"/>
              </w:rPr>
            </w:pPr>
            <w:r w:rsidRPr="005D38CA">
              <w:rPr>
                <w:rFonts w:ascii="Arial" w:hAnsi="Arial" w:cs="Arial"/>
                <w:sz w:val="16"/>
                <w:szCs w:val="16"/>
                <w:lang w:eastAsia="en-AU"/>
              </w:rPr>
              <w:t xml:space="preserve">(5.3) </w:t>
            </w:r>
          </w:p>
        </w:tc>
        <w:tc>
          <w:tcPr>
            <w:tcW w:w="876" w:type="dxa"/>
            <w:tcBorders>
              <w:top w:val="nil"/>
              <w:left w:val="nil"/>
              <w:bottom w:val="nil"/>
              <w:right w:val="nil"/>
            </w:tcBorders>
            <w:shd w:val="clear" w:color="000000" w:fill="F2F2F2"/>
            <w:noWrap/>
            <w:vAlign w:val="center"/>
            <w:hideMark/>
          </w:tcPr>
          <w:p w14:paraId="00322CAA" w14:textId="77777777" w:rsidR="005D38CA" w:rsidRPr="005D38CA" w:rsidRDefault="005D38CA" w:rsidP="005D38CA">
            <w:pPr>
              <w:jc w:val="center"/>
              <w:rPr>
                <w:rFonts w:ascii="Arial" w:hAnsi="Arial" w:cs="Arial"/>
                <w:sz w:val="16"/>
                <w:szCs w:val="16"/>
                <w:lang w:eastAsia="en-AU"/>
              </w:rPr>
            </w:pPr>
            <w:r w:rsidRPr="005D38CA">
              <w:rPr>
                <w:rFonts w:ascii="Arial" w:hAnsi="Arial" w:cs="Arial"/>
                <w:sz w:val="16"/>
                <w:szCs w:val="16"/>
                <w:lang w:eastAsia="en-AU"/>
              </w:rPr>
              <w:t xml:space="preserve">(10.6) </w:t>
            </w:r>
          </w:p>
        </w:tc>
        <w:tc>
          <w:tcPr>
            <w:tcW w:w="876" w:type="dxa"/>
            <w:tcBorders>
              <w:top w:val="nil"/>
              <w:left w:val="nil"/>
              <w:bottom w:val="nil"/>
              <w:right w:val="nil"/>
            </w:tcBorders>
            <w:shd w:val="clear" w:color="000000" w:fill="F2F2F2"/>
            <w:noWrap/>
            <w:vAlign w:val="center"/>
            <w:hideMark/>
          </w:tcPr>
          <w:p w14:paraId="1FE8159B" w14:textId="77777777" w:rsidR="005D38CA" w:rsidRPr="005D38CA" w:rsidRDefault="005D38CA" w:rsidP="005D38CA">
            <w:pPr>
              <w:jc w:val="center"/>
              <w:rPr>
                <w:rFonts w:ascii="Arial" w:hAnsi="Arial" w:cs="Arial"/>
                <w:sz w:val="16"/>
                <w:szCs w:val="16"/>
                <w:lang w:eastAsia="en-AU"/>
              </w:rPr>
            </w:pPr>
            <w:r w:rsidRPr="005D38CA">
              <w:rPr>
                <w:rFonts w:ascii="Arial" w:hAnsi="Arial" w:cs="Arial"/>
                <w:sz w:val="16"/>
                <w:szCs w:val="16"/>
                <w:lang w:eastAsia="en-AU"/>
              </w:rPr>
              <w:t xml:space="preserve">(15.8) </w:t>
            </w:r>
          </w:p>
        </w:tc>
        <w:tc>
          <w:tcPr>
            <w:tcW w:w="1036" w:type="dxa"/>
            <w:tcBorders>
              <w:top w:val="nil"/>
              <w:left w:val="nil"/>
              <w:bottom w:val="nil"/>
              <w:right w:val="nil"/>
            </w:tcBorders>
            <w:shd w:val="clear" w:color="000000" w:fill="FFFFFF"/>
            <w:noWrap/>
            <w:vAlign w:val="center"/>
            <w:hideMark/>
          </w:tcPr>
          <w:p w14:paraId="2591965B" w14:textId="77777777" w:rsidR="005D38CA" w:rsidRPr="005D38CA" w:rsidRDefault="005D38CA" w:rsidP="005D38CA">
            <w:pPr>
              <w:jc w:val="center"/>
              <w:rPr>
                <w:rFonts w:ascii="Arial" w:hAnsi="Arial" w:cs="Arial"/>
                <w:b/>
                <w:bCs/>
                <w:color w:val="0579B9"/>
                <w:sz w:val="16"/>
                <w:szCs w:val="16"/>
                <w:lang w:eastAsia="en-AU"/>
              </w:rPr>
            </w:pPr>
            <w:r w:rsidRPr="005D38CA">
              <w:rPr>
                <w:rFonts w:ascii="Arial" w:hAnsi="Arial" w:cs="Arial"/>
                <w:b/>
                <w:bCs/>
                <w:color w:val="0579B9"/>
                <w:sz w:val="16"/>
                <w:szCs w:val="16"/>
                <w:lang w:eastAsia="en-AU"/>
              </w:rPr>
              <w:t xml:space="preserve">(32.4) </w:t>
            </w:r>
          </w:p>
        </w:tc>
      </w:tr>
      <w:tr w:rsidR="005D38CA" w:rsidRPr="005D38CA" w14:paraId="425883A7" w14:textId="77777777" w:rsidTr="005D38CA">
        <w:trPr>
          <w:trHeight w:val="255"/>
        </w:trPr>
        <w:tc>
          <w:tcPr>
            <w:tcW w:w="5120" w:type="dxa"/>
            <w:tcBorders>
              <w:top w:val="nil"/>
              <w:left w:val="nil"/>
              <w:bottom w:val="nil"/>
              <w:right w:val="nil"/>
            </w:tcBorders>
            <w:shd w:val="clear" w:color="000000" w:fill="FFFFFF"/>
            <w:vAlign w:val="center"/>
            <w:hideMark/>
          </w:tcPr>
          <w:p w14:paraId="446EBBD1" w14:textId="77777777" w:rsidR="005D38CA" w:rsidRPr="005D38CA" w:rsidRDefault="005D38CA" w:rsidP="005D38CA">
            <w:pPr>
              <w:rPr>
                <w:rFonts w:ascii="Arial" w:hAnsi="Arial" w:cs="Arial"/>
                <w:sz w:val="16"/>
                <w:szCs w:val="16"/>
                <w:lang w:eastAsia="en-AU"/>
              </w:rPr>
            </w:pPr>
            <w:r w:rsidRPr="005D38CA">
              <w:rPr>
                <w:rFonts w:ascii="Arial" w:hAnsi="Arial" w:cs="Arial"/>
                <w:sz w:val="16"/>
                <w:szCs w:val="16"/>
                <w:lang w:eastAsia="en-AU"/>
              </w:rPr>
              <w:t>Additional compliance investment for land tax and transfer duty</w:t>
            </w:r>
          </w:p>
        </w:tc>
        <w:tc>
          <w:tcPr>
            <w:tcW w:w="876" w:type="dxa"/>
            <w:tcBorders>
              <w:top w:val="nil"/>
              <w:left w:val="nil"/>
              <w:bottom w:val="nil"/>
              <w:right w:val="nil"/>
            </w:tcBorders>
            <w:shd w:val="clear" w:color="000000" w:fill="F2F2F2"/>
            <w:noWrap/>
            <w:vAlign w:val="center"/>
            <w:hideMark/>
          </w:tcPr>
          <w:p w14:paraId="67281D03" w14:textId="77777777" w:rsidR="005D38CA" w:rsidRPr="005D38CA" w:rsidRDefault="005D38CA" w:rsidP="005D38CA">
            <w:pPr>
              <w:jc w:val="center"/>
              <w:rPr>
                <w:rFonts w:ascii="Arial" w:hAnsi="Arial" w:cs="Arial"/>
                <w:sz w:val="16"/>
                <w:szCs w:val="16"/>
                <w:lang w:eastAsia="en-AU"/>
              </w:rPr>
            </w:pPr>
            <w:r w:rsidRPr="005D38CA">
              <w:rPr>
                <w:rFonts w:ascii="Arial" w:hAnsi="Arial" w:cs="Arial"/>
                <w:sz w:val="16"/>
                <w:szCs w:val="16"/>
                <w:lang w:eastAsia="en-AU"/>
              </w:rPr>
              <w:t xml:space="preserve">100.0 </w:t>
            </w:r>
          </w:p>
        </w:tc>
        <w:tc>
          <w:tcPr>
            <w:tcW w:w="876" w:type="dxa"/>
            <w:tcBorders>
              <w:top w:val="nil"/>
              <w:left w:val="nil"/>
              <w:bottom w:val="nil"/>
              <w:right w:val="nil"/>
            </w:tcBorders>
            <w:shd w:val="clear" w:color="000000" w:fill="F2F2F2"/>
            <w:noWrap/>
            <w:vAlign w:val="center"/>
            <w:hideMark/>
          </w:tcPr>
          <w:p w14:paraId="08EDDF00" w14:textId="77777777" w:rsidR="005D38CA" w:rsidRPr="005D38CA" w:rsidRDefault="005D38CA" w:rsidP="005D38CA">
            <w:pPr>
              <w:jc w:val="center"/>
              <w:rPr>
                <w:rFonts w:ascii="Arial" w:hAnsi="Arial" w:cs="Arial"/>
                <w:sz w:val="16"/>
                <w:szCs w:val="16"/>
                <w:lang w:eastAsia="en-AU"/>
              </w:rPr>
            </w:pPr>
            <w:r w:rsidRPr="005D38CA">
              <w:rPr>
                <w:rFonts w:ascii="Arial" w:hAnsi="Arial" w:cs="Arial"/>
                <w:sz w:val="16"/>
                <w:szCs w:val="16"/>
                <w:lang w:eastAsia="en-AU"/>
              </w:rPr>
              <w:t xml:space="preserve">125.0 </w:t>
            </w:r>
          </w:p>
        </w:tc>
        <w:tc>
          <w:tcPr>
            <w:tcW w:w="876" w:type="dxa"/>
            <w:tcBorders>
              <w:top w:val="nil"/>
              <w:left w:val="nil"/>
              <w:bottom w:val="nil"/>
              <w:right w:val="nil"/>
            </w:tcBorders>
            <w:shd w:val="clear" w:color="000000" w:fill="F2F2F2"/>
            <w:noWrap/>
            <w:vAlign w:val="center"/>
            <w:hideMark/>
          </w:tcPr>
          <w:p w14:paraId="2890AD7C" w14:textId="77777777" w:rsidR="005D38CA" w:rsidRPr="005D38CA" w:rsidRDefault="005D38CA" w:rsidP="005D38CA">
            <w:pPr>
              <w:jc w:val="center"/>
              <w:rPr>
                <w:rFonts w:ascii="Arial" w:hAnsi="Arial" w:cs="Arial"/>
                <w:sz w:val="16"/>
                <w:szCs w:val="16"/>
                <w:lang w:eastAsia="en-AU"/>
              </w:rPr>
            </w:pPr>
            <w:r w:rsidRPr="005D38CA">
              <w:rPr>
                <w:rFonts w:ascii="Arial" w:hAnsi="Arial" w:cs="Arial"/>
                <w:sz w:val="16"/>
                <w:szCs w:val="16"/>
                <w:lang w:eastAsia="en-AU"/>
              </w:rPr>
              <w:t xml:space="preserve">170.0 </w:t>
            </w:r>
          </w:p>
        </w:tc>
        <w:tc>
          <w:tcPr>
            <w:tcW w:w="876" w:type="dxa"/>
            <w:tcBorders>
              <w:top w:val="nil"/>
              <w:left w:val="nil"/>
              <w:bottom w:val="nil"/>
              <w:right w:val="nil"/>
            </w:tcBorders>
            <w:shd w:val="clear" w:color="000000" w:fill="F2F2F2"/>
            <w:noWrap/>
            <w:vAlign w:val="center"/>
            <w:hideMark/>
          </w:tcPr>
          <w:p w14:paraId="515C4783" w14:textId="77777777" w:rsidR="005D38CA" w:rsidRPr="005D38CA" w:rsidRDefault="005D38CA" w:rsidP="005D38CA">
            <w:pPr>
              <w:jc w:val="center"/>
              <w:rPr>
                <w:rFonts w:ascii="Arial" w:hAnsi="Arial" w:cs="Arial"/>
                <w:sz w:val="16"/>
                <w:szCs w:val="16"/>
                <w:lang w:eastAsia="en-AU"/>
              </w:rPr>
            </w:pPr>
            <w:r w:rsidRPr="005D38CA">
              <w:rPr>
                <w:rFonts w:ascii="Arial" w:hAnsi="Arial" w:cs="Arial"/>
                <w:sz w:val="16"/>
                <w:szCs w:val="16"/>
                <w:lang w:eastAsia="en-AU"/>
              </w:rPr>
              <w:t xml:space="preserve">173.0 </w:t>
            </w:r>
          </w:p>
        </w:tc>
        <w:tc>
          <w:tcPr>
            <w:tcW w:w="1036" w:type="dxa"/>
            <w:tcBorders>
              <w:top w:val="nil"/>
              <w:left w:val="nil"/>
              <w:bottom w:val="nil"/>
              <w:right w:val="nil"/>
            </w:tcBorders>
            <w:shd w:val="clear" w:color="000000" w:fill="FFFFFF"/>
            <w:noWrap/>
            <w:vAlign w:val="center"/>
            <w:hideMark/>
          </w:tcPr>
          <w:p w14:paraId="5C3041C8" w14:textId="77777777" w:rsidR="005D38CA" w:rsidRPr="005D38CA" w:rsidRDefault="005D38CA" w:rsidP="005D38CA">
            <w:pPr>
              <w:jc w:val="center"/>
              <w:rPr>
                <w:rFonts w:ascii="Arial" w:hAnsi="Arial" w:cs="Arial"/>
                <w:b/>
                <w:bCs/>
                <w:color w:val="0579B9"/>
                <w:sz w:val="16"/>
                <w:szCs w:val="16"/>
                <w:lang w:eastAsia="en-AU"/>
              </w:rPr>
            </w:pPr>
            <w:r w:rsidRPr="005D38CA">
              <w:rPr>
                <w:rFonts w:ascii="Arial" w:hAnsi="Arial" w:cs="Arial"/>
                <w:b/>
                <w:bCs/>
                <w:color w:val="0579B9"/>
                <w:sz w:val="16"/>
                <w:szCs w:val="16"/>
                <w:lang w:eastAsia="en-AU"/>
              </w:rPr>
              <w:t xml:space="preserve">568.0 </w:t>
            </w:r>
          </w:p>
        </w:tc>
      </w:tr>
      <w:tr w:rsidR="005D38CA" w:rsidRPr="005D38CA" w14:paraId="0B951803" w14:textId="77777777" w:rsidTr="005D38CA">
        <w:trPr>
          <w:trHeight w:val="255"/>
        </w:trPr>
        <w:tc>
          <w:tcPr>
            <w:tcW w:w="5120" w:type="dxa"/>
            <w:tcBorders>
              <w:top w:val="nil"/>
              <w:left w:val="nil"/>
              <w:bottom w:val="nil"/>
              <w:right w:val="nil"/>
            </w:tcBorders>
            <w:shd w:val="clear" w:color="000000" w:fill="FFFFFF"/>
            <w:vAlign w:val="center"/>
            <w:hideMark/>
          </w:tcPr>
          <w:p w14:paraId="58BF6A05" w14:textId="77777777" w:rsidR="005D38CA" w:rsidRPr="005D38CA" w:rsidRDefault="005D38CA" w:rsidP="005D38CA">
            <w:pPr>
              <w:rPr>
                <w:rFonts w:ascii="Arial" w:hAnsi="Arial" w:cs="Arial"/>
                <w:sz w:val="16"/>
                <w:szCs w:val="16"/>
                <w:lang w:eastAsia="en-AU"/>
              </w:rPr>
            </w:pPr>
            <w:r w:rsidRPr="005D38CA">
              <w:rPr>
                <w:rFonts w:ascii="Arial" w:hAnsi="Arial" w:cs="Arial"/>
                <w:sz w:val="16"/>
                <w:szCs w:val="16"/>
                <w:lang w:eastAsia="en-AU"/>
              </w:rPr>
              <w:t>Removal of tolling relief rebate for motor vehicle registrations</w:t>
            </w:r>
          </w:p>
        </w:tc>
        <w:tc>
          <w:tcPr>
            <w:tcW w:w="876" w:type="dxa"/>
            <w:tcBorders>
              <w:top w:val="nil"/>
              <w:left w:val="nil"/>
              <w:bottom w:val="nil"/>
              <w:right w:val="nil"/>
            </w:tcBorders>
            <w:shd w:val="clear" w:color="000000" w:fill="F2F2F2"/>
            <w:noWrap/>
            <w:vAlign w:val="center"/>
            <w:hideMark/>
          </w:tcPr>
          <w:p w14:paraId="42531F2D" w14:textId="77777777" w:rsidR="005D38CA" w:rsidRPr="005D38CA" w:rsidRDefault="005D38CA" w:rsidP="005D38CA">
            <w:pPr>
              <w:jc w:val="center"/>
              <w:rPr>
                <w:rFonts w:ascii="Arial" w:hAnsi="Arial" w:cs="Arial"/>
                <w:sz w:val="16"/>
                <w:szCs w:val="16"/>
                <w:lang w:eastAsia="en-AU"/>
              </w:rPr>
            </w:pPr>
            <w:r w:rsidRPr="005D38CA">
              <w:rPr>
                <w:rFonts w:ascii="Arial" w:hAnsi="Arial" w:cs="Arial"/>
                <w:sz w:val="16"/>
                <w:szCs w:val="16"/>
                <w:lang w:eastAsia="en-AU"/>
              </w:rPr>
              <w:t xml:space="preserve">... </w:t>
            </w:r>
          </w:p>
        </w:tc>
        <w:tc>
          <w:tcPr>
            <w:tcW w:w="876" w:type="dxa"/>
            <w:tcBorders>
              <w:top w:val="nil"/>
              <w:left w:val="nil"/>
              <w:bottom w:val="nil"/>
              <w:right w:val="nil"/>
            </w:tcBorders>
            <w:shd w:val="clear" w:color="000000" w:fill="F2F2F2"/>
            <w:noWrap/>
            <w:vAlign w:val="center"/>
            <w:hideMark/>
          </w:tcPr>
          <w:p w14:paraId="09DFE7A1" w14:textId="77777777" w:rsidR="005D38CA" w:rsidRPr="005D38CA" w:rsidRDefault="005D38CA" w:rsidP="005D38CA">
            <w:pPr>
              <w:jc w:val="center"/>
              <w:rPr>
                <w:rFonts w:ascii="Arial" w:hAnsi="Arial" w:cs="Arial"/>
                <w:sz w:val="16"/>
                <w:szCs w:val="16"/>
                <w:lang w:eastAsia="en-AU"/>
              </w:rPr>
            </w:pPr>
            <w:r w:rsidRPr="005D38CA">
              <w:rPr>
                <w:rFonts w:ascii="Arial" w:hAnsi="Arial" w:cs="Arial"/>
                <w:sz w:val="16"/>
                <w:szCs w:val="16"/>
                <w:lang w:eastAsia="en-AU"/>
              </w:rPr>
              <w:t xml:space="preserve">120.0 </w:t>
            </w:r>
          </w:p>
        </w:tc>
        <w:tc>
          <w:tcPr>
            <w:tcW w:w="876" w:type="dxa"/>
            <w:tcBorders>
              <w:top w:val="nil"/>
              <w:left w:val="nil"/>
              <w:bottom w:val="nil"/>
              <w:right w:val="nil"/>
            </w:tcBorders>
            <w:shd w:val="clear" w:color="000000" w:fill="F2F2F2"/>
            <w:noWrap/>
            <w:vAlign w:val="center"/>
            <w:hideMark/>
          </w:tcPr>
          <w:p w14:paraId="6DC5BCA4" w14:textId="77777777" w:rsidR="005D38CA" w:rsidRPr="005D38CA" w:rsidRDefault="005D38CA" w:rsidP="005D38CA">
            <w:pPr>
              <w:jc w:val="center"/>
              <w:rPr>
                <w:rFonts w:ascii="Arial" w:hAnsi="Arial" w:cs="Arial"/>
                <w:sz w:val="16"/>
                <w:szCs w:val="16"/>
                <w:lang w:eastAsia="en-AU"/>
              </w:rPr>
            </w:pPr>
            <w:r w:rsidRPr="005D38CA">
              <w:rPr>
                <w:rFonts w:ascii="Arial" w:hAnsi="Arial" w:cs="Arial"/>
                <w:sz w:val="16"/>
                <w:szCs w:val="16"/>
                <w:lang w:eastAsia="en-AU"/>
              </w:rPr>
              <w:t xml:space="preserve">129.9 </w:t>
            </w:r>
          </w:p>
        </w:tc>
        <w:tc>
          <w:tcPr>
            <w:tcW w:w="876" w:type="dxa"/>
            <w:tcBorders>
              <w:top w:val="nil"/>
              <w:left w:val="nil"/>
              <w:bottom w:val="nil"/>
              <w:right w:val="nil"/>
            </w:tcBorders>
            <w:shd w:val="clear" w:color="000000" w:fill="F2F2F2"/>
            <w:noWrap/>
            <w:vAlign w:val="center"/>
            <w:hideMark/>
          </w:tcPr>
          <w:p w14:paraId="55E2BF69" w14:textId="77777777" w:rsidR="005D38CA" w:rsidRPr="005D38CA" w:rsidRDefault="005D38CA" w:rsidP="005D38CA">
            <w:pPr>
              <w:jc w:val="center"/>
              <w:rPr>
                <w:rFonts w:ascii="Arial" w:hAnsi="Arial" w:cs="Arial"/>
                <w:sz w:val="16"/>
                <w:szCs w:val="16"/>
                <w:lang w:eastAsia="en-AU"/>
              </w:rPr>
            </w:pPr>
            <w:r w:rsidRPr="005D38CA">
              <w:rPr>
                <w:rFonts w:ascii="Arial" w:hAnsi="Arial" w:cs="Arial"/>
                <w:sz w:val="16"/>
                <w:szCs w:val="16"/>
                <w:lang w:eastAsia="en-AU"/>
              </w:rPr>
              <w:t xml:space="preserve">140.8 </w:t>
            </w:r>
          </w:p>
        </w:tc>
        <w:tc>
          <w:tcPr>
            <w:tcW w:w="1036" w:type="dxa"/>
            <w:tcBorders>
              <w:top w:val="nil"/>
              <w:left w:val="nil"/>
              <w:bottom w:val="nil"/>
              <w:right w:val="nil"/>
            </w:tcBorders>
            <w:shd w:val="clear" w:color="000000" w:fill="FFFFFF"/>
            <w:noWrap/>
            <w:vAlign w:val="center"/>
            <w:hideMark/>
          </w:tcPr>
          <w:p w14:paraId="76D60545" w14:textId="77777777" w:rsidR="005D38CA" w:rsidRPr="005D38CA" w:rsidRDefault="005D38CA" w:rsidP="005D38CA">
            <w:pPr>
              <w:jc w:val="center"/>
              <w:rPr>
                <w:rFonts w:ascii="Arial" w:hAnsi="Arial" w:cs="Arial"/>
                <w:b/>
                <w:bCs/>
                <w:color w:val="0579B9"/>
                <w:sz w:val="16"/>
                <w:szCs w:val="16"/>
                <w:lang w:eastAsia="en-AU"/>
              </w:rPr>
            </w:pPr>
            <w:r w:rsidRPr="005D38CA">
              <w:rPr>
                <w:rFonts w:ascii="Arial" w:hAnsi="Arial" w:cs="Arial"/>
                <w:b/>
                <w:bCs/>
                <w:color w:val="0579B9"/>
                <w:sz w:val="16"/>
                <w:szCs w:val="16"/>
                <w:lang w:eastAsia="en-AU"/>
              </w:rPr>
              <w:t xml:space="preserve">390.7 </w:t>
            </w:r>
          </w:p>
        </w:tc>
      </w:tr>
      <w:tr w:rsidR="005D38CA" w:rsidRPr="005D38CA" w14:paraId="6A87B100" w14:textId="77777777" w:rsidTr="005D38CA">
        <w:trPr>
          <w:trHeight w:val="433"/>
        </w:trPr>
        <w:tc>
          <w:tcPr>
            <w:tcW w:w="5120" w:type="dxa"/>
            <w:tcBorders>
              <w:top w:val="nil"/>
              <w:left w:val="nil"/>
              <w:bottom w:val="nil"/>
              <w:right w:val="nil"/>
            </w:tcBorders>
            <w:shd w:val="clear" w:color="000000" w:fill="FFFFFF"/>
            <w:vAlign w:val="center"/>
            <w:hideMark/>
          </w:tcPr>
          <w:p w14:paraId="71C6ECF3" w14:textId="77777777" w:rsidR="005D38CA" w:rsidRPr="005D38CA" w:rsidRDefault="005D38CA" w:rsidP="005D38CA">
            <w:pPr>
              <w:rPr>
                <w:rFonts w:ascii="Arial" w:hAnsi="Arial" w:cs="Arial"/>
                <w:sz w:val="16"/>
                <w:szCs w:val="16"/>
                <w:lang w:eastAsia="en-AU"/>
              </w:rPr>
            </w:pPr>
            <w:r w:rsidRPr="005D38CA">
              <w:rPr>
                <w:rFonts w:ascii="Arial" w:hAnsi="Arial" w:cs="Arial"/>
                <w:sz w:val="16"/>
                <w:szCs w:val="16"/>
                <w:lang w:eastAsia="en-AU"/>
              </w:rPr>
              <w:t>Removal of the exemption allowing temporary visa holders to use overseas licences</w:t>
            </w:r>
          </w:p>
        </w:tc>
        <w:tc>
          <w:tcPr>
            <w:tcW w:w="876" w:type="dxa"/>
            <w:tcBorders>
              <w:top w:val="nil"/>
              <w:left w:val="nil"/>
              <w:bottom w:val="nil"/>
              <w:right w:val="nil"/>
            </w:tcBorders>
            <w:shd w:val="clear" w:color="000000" w:fill="F2F2F2"/>
            <w:noWrap/>
            <w:vAlign w:val="center"/>
            <w:hideMark/>
          </w:tcPr>
          <w:p w14:paraId="777D1984" w14:textId="77777777" w:rsidR="005D38CA" w:rsidRPr="005D38CA" w:rsidRDefault="005D38CA" w:rsidP="005D38CA">
            <w:pPr>
              <w:jc w:val="center"/>
              <w:rPr>
                <w:rFonts w:ascii="Arial" w:hAnsi="Arial" w:cs="Arial"/>
                <w:sz w:val="16"/>
                <w:szCs w:val="16"/>
                <w:lang w:eastAsia="en-AU"/>
              </w:rPr>
            </w:pPr>
            <w:r w:rsidRPr="005D38CA">
              <w:rPr>
                <w:rFonts w:ascii="Arial" w:hAnsi="Arial" w:cs="Arial"/>
                <w:sz w:val="16"/>
                <w:szCs w:val="16"/>
                <w:lang w:eastAsia="en-AU"/>
              </w:rPr>
              <w:t xml:space="preserve">53.5 </w:t>
            </w:r>
          </w:p>
        </w:tc>
        <w:tc>
          <w:tcPr>
            <w:tcW w:w="876" w:type="dxa"/>
            <w:tcBorders>
              <w:top w:val="nil"/>
              <w:left w:val="nil"/>
              <w:bottom w:val="nil"/>
              <w:right w:val="nil"/>
            </w:tcBorders>
            <w:shd w:val="clear" w:color="000000" w:fill="F2F2F2"/>
            <w:noWrap/>
            <w:vAlign w:val="center"/>
            <w:hideMark/>
          </w:tcPr>
          <w:p w14:paraId="1548C4E2" w14:textId="77777777" w:rsidR="005D38CA" w:rsidRPr="005D38CA" w:rsidRDefault="005D38CA" w:rsidP="005D38CA">
            <w:pPr>
              <w:jc w:val="center"/>
              <w:rPr>
                <w:rFonts w:ascii="Arial" w:hAnsi="Arial" w:cs="Arial"/>
                <w:sz w:val="16"/>
                <w:szCs w:val="16"/>
                <w:lang w:eastAsia="en-AU"/>
              </w:rPr>
            </w:pPr>
            <w:r w:rsidRPr="005D38CA">
              <w:rPr>
                <w:rFonts w:ascii="Arial" w:hAnsi="Arial" w:cs="Arial"/>
                <w:sz w:val="16"/>
                <w:szCs w:val="16"/>
                <w:lang w:eastAsia="en-AU"/>
              </w:rPr>
              <w:t xml:space="preserve">17.5 </w:t>
            </w:r>
          </w:p>
        </w:tc>
        <w:tc>
          <w:tcPr>
            <w:tcW w:w="876" w:type="dxa"/>
            <w:tcBorders>
              <w:top w:val="nil"/>
              <w:left w:val="nil"/>
              <w:bottom w:val="nil"/>
              <w:right w:val="nil"/>
            </w:tcBorders>
            <w:shd w:val="clear" w:color="000000" w:fill="F2F2F2"/>
            <w:noWrap/>
            <w:vAlign w:val="center"/>
            <w:hideMark/>
          </w:tcPr>
          <w:p w14:paraId="23B5C32F" w14:textId="77777777" w:rsidR="005D38CA" w:rsidRPr="005D38CA" w:rsidRDefault="005D38CA" w:rsidP="005D38CA">
            <w:pPr>
              <w:jc w:val="center"/>
              <w:rPr>
                <w:rFonts w:ascii="Arial" w:hAnsi="Arial" w:cs="Arial"/>
                <w:sz w:val="16"/>
                <w:szCs w:val="16"/>
                <w:lang w:eastAsia="en-AU"/>
              </w:rPr>
            </w:pPr>
            <w:r w:rsidRPr="005D38CA">
              <w:rPr>
                <w:rFonts w:ascii="Arial" w:hAnsi="Arial" w:cs="Arial"/>
                <w:sz w:val="16"/>
                <w:szCs w:val="16"/>
                <w:lang w:eastAsia="en-AU"/>
              </w:rPr>
              <w:t xml:space="preserve">... </w:t>
            </w:r>
          </w:p>
        </w:tc>
        <w:tc>
          <w:tcPr>
            <w:tcW w:w="876" w:type="dxa"/>
            <w:tcBorders>
              <w:top w:val="nil"/>
              <w:left w:val="nil"/>
              <w:bottom w:val="nil"/>
              <w:right w:val="nil"/>
            </w:tcBorders>
            <w:shd w:val="clear" w:color="000000" w:fill="F2F2F2"/>
            <w:noWrap/>
            <w:vAlign w:val="center"/>
            <w:hideMark/>
          </w:tcPr>
          <w:p w14:paraId="0F0D9494" w14:textId="77777777" w:rsidR="005D38CA" w:rsidRPr="005D38CA" w:rsidRDefault="005D38CA" w:rsidP="005D38CA">
            <w:pPr>
              <w:jc w:val="center"/>
              <w:rPr>
                <w:rFonts w:ascii="Arial" w:hAnsi="Arial" w:cs="Arial"/>
                <w:sz w:val="16"/>
                <w:szCs w:val="16"/>
                <w:lang w:eastAsia="en-AU"/>
              </w:rPr>
            </w:pPr>
            <w:r w:rsidRPr="005D38CA">
              <w:rPr>
                <w:rFonts w:ascii="Arial" w:hAnsi="Arial" w:cs="Arial"/>
                <w:sz w:val="16"/>
                <w:szCs w:val="16"/>
                <w:lang w:eastAsia="en-AU"/>
              </w:rPr>
              <w:t xml:space="preserve">... </w:t>
            </w:r>
          </w:p>
        </w:tc>
        <w:tc>
          <w:tcPr>
            <w:tcW w:w="1036" w:type="dxa"/>
            <w:tcBorders>
              <w:top w:val="nil"/>
              <w:left w:val="nil"/>
              <w:bottom w:val="nil"/>
              <w:right w:val="nil"/>
            </w:tcBorders>
            <w:shd w:val="clear" w:color="000000" w:fill="FFFFFF"/>
            <w:noWrap/>
            <w:vAlign w:val="center"/>
            <w:hideMark/>
          </w:tcPr>
          <w:p w14:paraId="1709B594" w14:textId="77777777" w:rsidR="005D38CA" w:rsidRPr="005D38CA" w:rsidRDefault="005D38CA" w:rsidP="005D38CA">
            <w:pPr>
              <w:jc w:val="center"/>
              <w:rPr>
                <w:rFonts w:ascii="Arial" w:hAnsi="Arial" w:cs="Arial"/>
                <w:b/>
                <w:bCs/>
                <w:color w:val="0579B9"/>
                <w:sz w:val="16"/>
                <w:szCs w:val="16"/>
                <w:lang w:eastAsia="en-AU"/>
              </w:rPr>
            </w:pPr>
            <w:r w:rsidRPr="005D38CA">
              <w:rPr>
                <w:rFonts w:ascii="Arial" w:hAnsi="Arial" w:cs="Arial"/>
                <w:b/>
                <w:bCs/>
                <w:color w:val="0579B9"/>
                <w:sz w:val="16"/>
                <w:szCs w:val="16"/>
                <w:lang w:eastAsia="en-AU"/>
              </w:rPr>
              <w:t xml:space="preserve">71.0 </w:t>
            </w:r>
          </w:p>
        </w:tc>
      </w:tr>
      <w:tr w:rsidR="005D38CA" w:rsidRPr="005D38CA" w14:paraId="4F763EF4" w14:textId="77777777" w:rsidTr="0012085F">
        <w:trPr>
          <w:trHeight w:val="283"/>
        </w:trPr>
        <w:tc>
          <w:tcPr>
            <w:tcW w:w="5120" w:type="dxa"/>
            <w:tcBorders>
              <w:top w:val="single" w:sz="4" w:space="0" w:color="auto"/>
              <w:left w:val="nil"/>
              <w:bottom w:val="single" w:sz="4" w:space="0" w:color="auto"/>
              <w:right w:val="nil"/>
            </w:tcBorders>
            <w:shd w:val="clear" w:color="000000" w:fill="FFFFFF"/>
            <w:vAlign w:val="center"/>
            <w:hideMark/>
          </w:tcPr>
          <w:p w14:paraId="729E3CB7" w14:textId="77777777" w:rsidR="005D38CA" w:rsidRPr="005D38CA" w:rsidRDefault="005D38CA" w:rsidP="005D38CA">
            <w:pPr>
              <w:rPr>
                <w:rFonts w:ascii="Arial" w:hAnsi="Arial" w:cs="Arial"/>
                <w:b/>
                <w:bCs/>
                <w:color w:val="0579B9"/>
                <w:sz w:val="16"/>
                <w:szCs w:val="16"/>
                <w:lang w:eastAsia="en-AU"/>
              </w:rPr>
            </w:pPr>
            <w:r w:rsidRPr="005D38CA">
              <w:rPr>
                <w:rFonts w:ascii="Arial" w:hAnsi="Arial" w:cs="Arial"/>
                <w:b/>
                <w:bCs/>
                <w:color w:val="0579B9"/>
                <w:sz w:val="16"/>
                <w:szCs w:val="16"/>
                <w:lang w:eastAsia="en-AU"/>
              </w:rPr>
              <w:t>Total - Revenue measures</w:t>
            </w:r>
          </w:p>
        </w:tc>
        <w:tc>
          <w:tcPr>
            <w:tcW w:w="876" w:type="dxa"/>
            <w:tcBorders>
              <w:top w:val="single" w:sz="4" w:space="0" w:color="auto"/>
              <w:left w:val="nil"/>
              <w:bottom w:val="single" w:sz="4" w:space="0" w:color="auto"/>
              <w:right w:val="nil"/>
            </w:tcBorders>
            <w:shd w:val="clear" w:color="000000" w:fill="F2F2F2"/>
            <w:noWrap/>
            <w:vAlign w:val="center"/>
            <w:hideMark/>
          </w:tcPr>
          <w:p w14:paraId="3B8C3204" w14:textId="77777777" w:rsidR="005D38CA" w:rsidRPr="005D38CA" w:rsidRDefault="005D38CA" w:rsidP="005D38CA">
            <w:pPr>
              <w:jc w:val="center"/>
              <w:rPr>
                <w:rFonts w:ascii="Arial" w:hAnsi="Arial" w:cs="Arial"/>
                <w:b/>
                <w:bCs/>
                <w:color w:val="0579B9"/>
                <w:sz w:val="16"/>
                <w:szCs w:val="16"/>
                <w:lang w:eastAsia="en-AU"/>
              </w:rPr>
            </w:pPr>
            <w:r w:rsidRPr="005D38CA">
              <w:rPr>
                <w:rFonts w:ascii="Arial" w:hAnsi="Arial" w:cs="Arial"/>
                <w:b/>
                <w:bCs/>
                <w:color w:val="0579B9"/>
                <w:sz w:val="16"/>
                <w:szCs w:val="16"/>
                <w:lang w:eastAsia="en-AU"/>
              </w:rPr>
              <w:t xml:space="preserve">258.7 </w:t>
            </w:r>
          </w:p>
        </w:tc>
        <w:tc>
          <w:tcPr>
            <w:tcW w:w="876" w:type="dxa"/>
            <w:tcBorders>
              <w:top w:val="single" w:sz="4" w:space="0" w:color="auto"/>
              <w:left w:val="nil"/>
              <w:bottom w:val="single" w:sz="4" w:space="0" w:color="auto"/>
              <w:right w:val="nil"/>
            </w:tcBorders>
            <w:shd w:val="clear" w:color="000000" w:fill="F2F2F2"/>
            <w:noWrap/>
            <w:vAlign w:val="center"/>
            <w:hideMark/>
          </w:tcPr>
          <w:p w14:paraId="0C678EE9" w14:textId="77777777" w:rsidR="005D38CA" w:rsidRPr="005D38CA" w:rsidRDefault="005D38CA" w:rsidP="005D38CA">
            <w:pPr>
              <w:jc w:val="center"/>
              <w:rPr>
                <w:rFonts w:ascii="Arial" w:hAnsi="Arial" w:cs="Arial"/>
                <w:b/>
                <w:bCs/>
                <w:color w:val="0579B9"/>
                <w:sz w:val="16"/>
                <w:szCs w:val="16"/>
                <w:lang w:eastAsia="en-AU"/>
              </w:rPr>
            </w:pPr>
            <w:r w:rsidRPr="005D38CA">
              <w:rPr>
                <w:rFonts w:ascii="Arial" w:hAnsi="Arial" w:cs="Arial"/>
                <w:b/>
                <w:bCs/>
                <w:color w:val="0579B9"/>
                <w:sz w:val="16"/>
                <w:szCs w:val="16"/>
                <w:lang w:eastAsia="en-AU"/>
              </w:rPr>
              <w:t xml:space="preserve">395.1 </w:t>
            </w:r>
          </w:p>
        </w:tc>
        <w:tc>
          <w:tcPr>
            <w:tcW w:w="876" w:type="dxa"/>
            <w:tcBorders>
              <w:top w:val="single" w:sz="4" w:space="0" w:color="auto"/>
              <w:left w:val="nil"/>
              <w:bottom w:val="single" w:sz="4" w:space="0" w:color="auto"/>
              <w:right w:val="nil"/>
            </w:tcBorders>
            <w:shd w:val="clear" w:color="000000" w:fill="F2F2F2"/>
            <w:noWrap/>
            <w:vAlign w:val="center"/>
            <w:hideMark/>
          </w:tcPr>
          <w:p w14:paraId="7BE230BF" w14:textId="77777777" w:rsidR="005D38CA" w:rsidRPr="005D38CA" w:rsidRDefault="005D38CA" w:rsidP="005D38CA">
            <w:pPr>
              <w:jc w:val="center"/>
              <w:rPr>
                <w:rFonts w:ascii="Arial" w:hAnsi="Arial" w:cs="Arial"/>
                <w:b/>
                <w:bCs/>
                <w:color w:val="0579B9"/>
                <w:sz w:val="16"/>
                <w:szCs w:val="16"/>
                <w:lang w:eastAsia="en-AU"/>
              </w:rPr>
            </w:pPr>
            <w:r w:rsidRPr="005D38CA">
              <w:rPr>
                <w:rFonts w:ascii="Arial" w:hAnsi="Arial" w:cs="Arial"/>
                <w:b/>
                <w:bCs/>
                <w:color w:val="0579B9"/>
                <w:sz w:val="16"/>
                <w:szCs w:val="16"/>
                <w:lang w:eastAsia="en-AU"/>
              </w:rPr>
              <w:t xml:space="preserve">437.0 </w:t>
            </w:r>
          </w:p>
        </w:tc>
        <w:tc>
          <w:tcPr>
            <w:tcW w:w="876" w:type="dxa"/>
            <w:tcBorders>
              <w:top w:val="single" w:sz="4" w:space="0" w:color="auto"/>
              <w:left w:val="nil"/>
              <w:bottom w:val="single" w:sz="4" w:space="0" w:color="auto"/>
              <w:right w:val="nil"/>
            </w:tcBorders>
            <w:shd w:val="clear" w:color="000000" w:fill="F2F2F2"/>
            <w:noWrap/>
            <w:vAlign w:val="center"/>
            <w:hideMark/>
          </w:tcPr>
          <w:p w14:paraId="2F7500C1" w14:textId="77777777" w:rsidR="005D38CA" w:rsidRPr="005D38CA" w:rsidRDefault="005D38CA" w:rsidP="005D38CA">
            <w:pPr>
              <w:jc w:val="center"/>
              <w:rPr>
                <w:rFonts w:ascii="Arial" w:hAnsi="Arial" w:cs="Arial"/>
                <w:b/>
                <w:bCs/>
                <w:color w:val="0579B9"/>
                <w:sz w:val="16"/>
                <w:szCs w:val="16"/>
                <w:lang w:eastAsia="en-AU"/>
              </w:rPr>
            </w:pPr>
            <w:r w:rsidRPr="005D38CA">
              <w:rPr>
                <w:rFonts w:ascii="Arial" w:hAnsi="Arial" w:cs="Arial"/>
                <w:b/>
                <w:bCs/>
                <w:color w:val="0579B9"/>
                <w:sz w:val="16"/>
                <w:szCs w:val="16"/>
                <w:lang w:eastAsia="en-AU"/>
              </w:rPr>
              <w:t xml:space="preserve">422.9 </w:t>
            </w:r>
          </w:p>
        </w:tc>
        <w:tc>
          <w:tcPr>
            <w:tcW w:w="1036" w:type="dxa"/>
            <w:tcBorders>
              <w:top w:val="single" w:sz="4" w:space="0" w:color="auto"/>
              <w:left w:val="nil"/>
              <w:bottom w:val="single" w:sz="4" w:space="0" w:color="auto"/>
              <w:right w:val="nil"/>
            </w:tcBorders>
            <w:shd w:val="clear" w:color="000000" w:fill="F2F2F2"/>
            <w:noWrap/>
            <w:vAlign w:val="center"/>
            <w:hideMark/>
          </w:tcPr>
          <w:p w14:paraId="36AABF36" w14:textId="77777777" w:rsidR="005D38CA" w:rsidRPr="005D38CA" w:rsidRDefault="005D38CA" w:rsidP="005D38CA">
            <w:pPr>
              <w:jc w:val="center"/>
              <w:rPr>
                <w:rFonts w:ascii="Arial" w:hAnsi="Arial" w:cs="Arial"/>
                <w:b/>
                <w:bCs/>
                <w:color w:val="0579B9"/>
                <w:sz w:val="16"/>
                <w:szCs w:val="16"/>
                <w:lang w:eastAsia="en-AU"/>
              </w:rPr>
            </w:pPr>
            <w:r w:rsidRPr="005D38CA">
              <w:rPr>
                <w:rFonts w:ascii="Arial" w:hAnsi="Arial" w:cs="Arial"/>
                <w:b/>
                <w:bCs/>
                <w:color w:val="0579B9"/>
                <w:sz w:val="16"/>
                <w:szCs w:val="16"/>
                <w:lang w:eastAsia="en-AU"/>
              </w:rPr>
              <w:t xml:space="preserve">1,513.7 </w:t>
            </w:r>
          </w:p>
        </w:tc>
      </w:tr>
    </w:tbl>
    <w:p w14:paraId="6E96A40B" w14:textId="77777777" w:rsidR="005445BA" w:rsidRDefault="005445BA" w:rsidP="0012085F"/>
    <w:p w14:paraId="3789CD8A" w14:textId="257C96E2" w:rsidR="00CF0FC6" w:rsidRPr="0070352B" w:rsidRDefault="00CF0FC6" w:rsidP="003426A4">
      <w:pPr>
        <w:pStyle w:val="BodyText"/>
        <w:rPr>
          <w:i/>
        </w:rPr>
      </w:pPr>
      <w:r w:rsidRPr="0070352B">
        <w:t xml:space="preserve">The </w:t>
      </w:r>
      <w:r w:rsidR="002073FA">
        <w:t>remain</w:t>
      </w:r>
      <w:r w:rsidR="002073FA" w:rsidRPr="0070352B">
        <w:t xml:space="preserve">ing </w:t>
      </w:r>
      <w:r w:rsidRPr="0070352B">
        <w:t xml:space="preserve">sections of this Chapter provide a breakdown of </w:t>
      </w:r>
      <w:r w:rsidR="00405A51">
        <w:t>the</w:t>
      </w:r>
      <w:r w:rsidR="006B0E62">
        <w:t xml:space="preserve"> </w:t>
      </w:r>
      <w:r w:rsidR="003D1068">
        <w:t>S</w:t>
      </w:r>
      <w:r w:rsidR="003D1068" w:rsidRPr="0070352B">
        <w:t>tate</w:t>
      </w:r>
      <w:r w:rsidR="00405A51">
        <w:t>’s</w:t>
      </w:r>
      <w:r w:rsidR="003D1068" w:rsidRPr="0070352B">
        <w:t xml:space="preserve"> </w:t>
      </w:r>
      <w:r w:rsidR="00D973FD">
        <w:t xml:space="preserve">forecast </w:t>
      </w:r>
      <w:r w:rsidRPr="0070352B">
        <w:t>revenue over the next four years</w:t>
      </w:r>
      <w:r w:rsidR="00D973FD">
        <w:t>, ordered by the following</w:t>
      </w:r>
      <w:r w:rsidRPr="0070352B">
        <w:t xml:space="preserve"> three categories of </w:t>
      </w:r>
      <w:r w:rsidR="006B0E62">
        <w:t>s</w:t>
      </w:r>
      <w:r w:rsidR="003D1068" w:rsidRPr="0070352B">
        <w:t xml:space="preserve">tate </w:t>
      </w:r>
      <w:r w:rsidR="00167542">
        <w:t>r</w:t>
      </w:r>
      <w:r w:rsidRPr="0070352B">
        <w:t xml:space="preserve">evenue: </w:t>
      </w:r>
    </w:p>
    <w:p w14:paraId="3C9F041F" w14:textId="0B8F1662" w:rsidR="00CF0FC6" w:rsidRPr="0070352B" w:rsidRDefault="002B072C" w:rsidP="001321A1">
      <w:pPr>
        <w:pStyle w:val="Bullet1"/>
      </w:pPr>
      <w:r>
        <w:t>S</w:t>
      </w:r>
      <w:r w:rsidR="003D1068" w:rsidRPr="0070352B">
        <w:t xml:space="preserve">tate </w:t>
      </w:r>
      <w:r w:rsidR="00CF0FC6" w:rsidRPr="0070352B">
        <w:t>taxation (</w:t>
      </w:r>
      <w:r w:rsidR="000A732A" w:rsidRPr="005C0504">
        <w:t>3</w:t>
      </w:r>
      <w:r w:rsidR="003B0E2E">
        <w:t>8</w:t>
      </w:r>
      <w:r w:rsidR="000A732A" w:rsidRPr="005C0504">
        <w:t>.</w:t>
      </w:r>
      <w:r w:rsidR="003B0E2E">
        <w:t>0</w:t>
      </w:r>
      <w:r w:rsidR="00CF0FC6" w:rsidRPr="005C0504">
        <w:t xml:space="preserve"> per cent</w:t>
      </w:r>
      <w:r w:rsidR="00CF0FC6" w:rsidRPr="0070352B">
        <w:t xml:space="preserve"> of total </w:t>
      </w:r>
      <w:r>
        <w:t>S</w:t>
      </w:r>
      <w:r w:rsidR="00CF0FC6" w:rsidRPr="0070352B">
        <w:t>tate revenue over the four years to 202</w:t>
      </w:r>
      <w:r w:rsidR="0070352B">
        <w:t>5</w:t>
      </w:r>
      <w:r w:rsidR="00CF0FC6" w:rsidRPr="0070352B">
        <w:t>-2</w:t>
      </w:r>
      <w:r w:rsidR="0070352B">
        <w:t>6</w:t>
      </w:r>
      <w:r w:rsidR="00CF0FC6" w:rsidRPr="0070352B">
        <w:t>)</w:t>
      </w:r>
    </w:p>
    <w:p w14:paraId="3B6DDCB3" w14:textId="7B6B066B" w:rsidR="00CF0FC6" w:rsidRPr="0070352B" w:rsidRDefault="00CF0FC6" w:rsidP="001321A1">
      <w:pPr>
        <w:pStyle w:val="Bullet1"/>
      </w:pPr>
      <w:r w:rsidRPr="0070352B">
        <w:t>grant revenue (</w:t>
      </w:r>
      <w:r w:rsidR="000A732A" w:rsidRPr="005C0504">
        <w:t>4</w:t>
      </w:r>
      <w:r w:rsidR="003B0E2E">
        <w:t>2</w:t>
      </w:r>
      <w:r w:rsidR="000A732A" w:rsidRPr="005C0504">
        <w:t>.</w:t>
      </w:r>
      <w:r w:rsidR="003B0E2E">
        <w:t>8</w:t>
      </w:r>
      <w:r w:rsidRPr="005C0504">
        <w:t xml:space="preserve"> per cent</w:t>
      </w:r>
      <w:r w:rsidRPr="0070352B">
        <w:t xml:space="preserve"> of total </w:t>
      </w:r>
      <w:r w:rsidR="00F85855">
        <w:t>S</w:t>
      </w:r>
      <w:r w:rsidRPr="0070352B">
        <w:t>tate revenue over the four years to 202</w:t>
      </w:r>
      <w:r w:rsidR="0070352B">
        <w:t>5</w:t>
      </w:r>
      <w:r w:rsidRPr="0070352B">
        <w:t>-2</w:t>
      </w:r>
      <w:r w:rsidR="0070352B">
        <w:t>6</w:t>
      </w:r>
      <w:r w:rsidRPr="0070352B">
        <w:t>) – these are payments made to New South Wales, primarily from the Commonwealth Government</w:t>
      </w:r>
    </w:p>
    <w:p w14:paraId="00B884CA" w14:textId="6FCF485D" w:rsidR="00CF0FC6" w:rsidRPr="0070352B" w:rsidRDefault="00CF0FC6" w:rsidP="001321A1">
      <w:pPr>
        <w:pStyle w:val="Bullet1"/>
      </w:pPr>
      <w:r w:rsidRPr="0070352B">
        <w:t>non-taxation revenue (</w:t>
      </w:r>
      <w:r w:rsidR="000A732A" w:rsidRPr="005C0504">
        <w:t>1</w:t>
      </w:r>
      <w:r w:rsidR="00FF4C1D" w:rsidRPr="005C0504">
        <w:t>9</w:t>
      </w:r>
      <w:r w:rsidR="000A732A" w:rsidRPr="005C0504">
        <w:t>.</w:t>
      </w:r>
      <w:r w:rsidR="005C0504" w:rsidRPr="005C0504">
        <w:t>2</w:t>
      </w:r>
      <w:r w:rsidRPr="005C0504">
        <w:t xml:space="preserve"> per cent</w:t>
      </w:r>
      <w:r w:rsidRPr="0070352B">
        <w:t xml:space="preserve"> of total </w:t>
      </w:r>
      <w:r w:rsidR="000E186E">
        <w:t>S</w:t>
      </w:r>
      <w:r w:rsidRPr="0070352B">
        <w:t>tate revenue over the four years to 202</w:t>
      </w:r>
      <w:r w:rsidR="0070352B">
        <w:t>5</w:t>
      </w:r>
      <w:r w:rsidRPr="0070352B">
        <w:t>-2</w:t>
      </w:r>
      <w:r w:rsidR="0070352B">
        <w:t>6</w:t>
      </w:r>
      <w:r w:rsidRPr="0070352B">
        <w:t>) – this is revenue the State raises through other means, for example mineral royalties.</w:t>
      </w:r>
    </w:p>
    <w:tbl>
      <w:tblPr>
        <w:tblW w:w="9615" w:type="dxa"/>
        <w:shd w:val="pct5" w:color="auto" w:fill="FFFFFF" w:themeFill="background1"/>
        <w:tblLook w:val="04A0" w:firstRow="1" w:lastRow="0" w:firstColumn="1" w:lastColumn="0" w:noHBand="0" w:noVBand="1"/>
        <w:tblCaption w:val="Box 4.3: Tax reform and support to online gambling harm minimisation"/>
        <w:tblDescription w:val="Box 4.3: Tax reform and support to online gambling harm minimisation"/>
      </w:tblPr>
      <w:tblGrid>
        <w:gridCol w:w="9615"/>
      </w:tblGrid>
      <w:tr w:rsidR="00A6317B" w:rsidRPr="008F0B8B" w14:paraId="767902C8" w14:textId="77777777" w:rsidTr="00DE48A3">
        <w:trPr>
          <w:trHeight w:val="12333"/>
        </w:trPr>
        <w:tc>
          <w:tcPr>
            <w:tcW w:w="9615" w:type="dxa"/>
            <w:shd w:val="pct5" w:color="auto" w:fill="FFFFFF" w:themeFill="background1"/>
          </w:tcPr>
          <w:p w14:paraId="6844B471" w14:textId="5302914C" w:rsidR="00C40467" w:rsidRPr="00E079C6" w:rsidRDefault="00C40467" w:rsidP="00C40467">
            <w:pPr>
              <w:pStyle w:val="Box41BoxHeading"/>
            </w:pPr>
            <w:r>
              <w:t>Box 4.</w:t>
            </w:r>
            <w:r w:rsidR="00C10557">
              <w:t>3</w:t>
            </w:r>
            <w:r w:rsidR="002D1792">
              <w:t>:</w:t>
            </w:r>
            <w:r>
              <w:tab/>
            </w:r>
            <w:r w:rsidRPr="00C40467">
              <w:t>Tax reform and support to online gambling harm minimisation</w:t>
            </w:r>
          </w:p>
          <w:p w14:paraId="5CA36909" w14:textId="4D573C97" w:rsidR="00C40467" w:rsidRDefault="00C40467" w:rsidP="009437D2">
            <w:pPr>
              <w:pStyle w:val="BodyTextBox"/>
              <w:framePr w:wrap="around"/>
            </w:pPr>
            <w:r w:rsidRPr="00C40467">
              <w:t>This Budget announces reform</w:t>
            </w:r>
            <w:r w:rsidR="000D08CF">
              <w:t>s</w:t>
            </w:r>
            <w:r w:rsidRPr="00C40467">
              <w:t xml:space="preserve"> to betting taxes to achieve </w:t>
            </w:r>
            <w:r w:rsidR="00CB1099" w:rsidRPr="00CB1099">
              <w:t>competitively neutral tax rates</w:t>
            </w:r>
            <w:r w:rsidRPr="00C40467">
              <w:t xml:space="preserve"> across online and offline betting products, support a sustainable racing industry and enhance the funding of </w:t>
            </w:r>
            <w:r w:rsidR="00C45F4C">
              <w:t>harm minimisation programs</w:t>
            </w:r>
            <w:r w:rsidRPr="00C40467">
              <w:t xml:space="preserve"> associated with online gambling activity. </w:t>
            </w:r>
            <w:r w:rsidR="00505EE6" w:rsidRPr="00C40467">
              <w:t xml:space="preserve">The reform is estimated to raise revenues by $740.0 million over </w:t>
            </w:r>
            <w:r w:rsidR="00426541">
              <w:t>the</w:t>
            </w:r>
            <w:r w:rsidR="00426541" w:rsidRPr="00832DA8">
              <w:t xml:space="preserve"> </w:t>
            </w:r>
            <w:r w:rsidR="00426541">
              <w:t>four</w:t>
            </w:r>
            <w:r w:rsidR="00426541" w:rsidRPr="00832DA8">
              <w:t xml:space="preserve"> years</w:t>
            </w:r>
            <w:r w:rsidR="00426541">
              <w:t xml:space="preserve"> to 2025-26</w:t>
            </w:r>
            <w:r w:rsidR="00505EE6" w:rsidRPr="00C40467">
              <w:t>.</w:t>
            </w:r>
            <w:r w:rsidR="00534163">
              <w:t xml:space="preserve"> </w:t>
            </w:r>
            <w:r w:rsidRPr="00C40467">
              <w:t xml:space="preserve">These changes will align the tax rates for </w:t>
            </w:r>
            <w:r w:rsidR="00C14FB9">
              <w:t>p</w:t>
            </w:r>
            <w:r w:rsidRPr="00C40467">
              <w:t xml:space="preserve">oint of </w:t>
            </w:r>
            <w:r w:rsidR="00C14FB9">
              <w:t>c</w:t>
            </w:r>
            <w:r w:rsidRPr="00C40467">
              <w:t>onsumption (PoC) tax and betting tax</w:t>
            </w:r>
            <w:r w:rsidR="00E324DA">
              <w:t>es (</w:t>
            </w:r>
            <w:r w:rsidR="00A87466">
              <w:t xml:space="preserve">including the </w:t>
            </w:r>
            <w:r w:rsidR="00E324DA">
              <w:t xml:space="preserve">totalizator and fixed odds under the </w:t>
            </w:r>
            <w:r w:rsidR="00E324DA" w:rsidRPr="004F6015">
              <w:rPr>
                <w:i/>
              </w:rPr>
              <w:t>Betting Tax Act 2001</w:t>
            </w:r>
            <w:r w:rsidR="00E324DA">
              <w:t>)</w:t>
            </w:r>
            <w:r w:rsidRPr="00C40467">
              <w:t xml:space="preserve"> at </w:t>
            </w:r>
            <w:r w:rsidR="00011F0A" w:rsidRPr="00C40467">
              <w:t>15</w:t>
            </w:r>
            <w:r w:rsidR="00011F0A">
              <w:t> </w:t>
            </w:r>
            <w:r w:rsidR="00483CAA">
              <w:t>per cent</w:t>
            </w:r>
            <w:r w:rsidRPr="00C40467">
              <w:t xml:space="preserve">, </w:t>
            </w:r>
            <w:r w:rsidR="00F6600F">
              <w:t>alter the basis of</w:t>
            </w:r>
            <w:r w:rsidR="00F6600F" w:rsidRPr="00C40467">
              <w:t xml:space="preserve"> </w:t>
            </w:r>
            <w:r w:rsidRPr="00C40467">
              <w:t xml:space="preserve">racing industry support </w:t>
            </w:r>
            <w:r w:rsidR="00F6600F">
              <w:t>to</w:t>
            </w:r>
            <w:r w:rsidR="00F6600F" w:rsidRPr="00C40467">
              <w:t xml:space="preserve"> </w:t>
            </w:r>
            <w:r w:rsidRPr="00C40467">
              <w:t>33</w:t>
            </w:r>
            <w:r w:rsidR="00483CAA">
              <w:t xml:space="preserve"> per cent</w:t>
            </w:r>
            <w:r w:rsidRPr="00C40467">
              <w:t xml:space="preserve"> of PoC tax collections and provide ongoing funding to the Responsible Gambling Fund</w:t>
            </w:r>
            <w:r w:rsidR="00034AC5">
              <w:t xml:space="preserve"> </w:t>
            </w:r>
            <w:r w:rsidRPr="00C40467">
              <w:t xml:space="preserve">to extend harm minimisation and counselling services. </w:t>
            </w:r>
          </w:p>
          <w:p w14:paraId="5DC9B079" w14:textId="4A4AA3CF" w:rsidR="00C40467" w:rsidRDefault="00C40467" w:rsidP="009437D2">
            <w:pPr>
              <w:pStyle w:val="BodyTextBox"/>
              <w:framePr w:wrap="around"/>
            </w:pPr>
            <w:r w:rsidRPr="00C40467">
              <w:t xml:space="preserve">On 1 January 2019, the NSW Government introduced the PoC tax — a 10 per cent tax on all wagers placed by NSW residents, regardless of the </w:t>
            </w:r>
            <w:r w:rsidR="00FE05E0">
              <w:t xml:space="preserve">licence registration </w:t>
            </w:r>
            <w:r w:rsidRPr="00C40467">
              <w:t>location of the wagering operator. This tax closed a loophole in wagering laws where most online bets were not taxed.</w:t>
            </w:r>
          </w:p>
          <w:p w14:paraId="7B96EC0E" w14:textId="26BC59CE" w:rsidR="00C40467" w:rsidRDefault="00C40467" w:rsidP="009437D2">
            <w:pPr>
              <w:pStyle w:val="BodyTextBox"/>
              <w:framePr w:wrap="around"/>
            </w:pPr>
            <w:r w:rsidRPr="00C40467">
              <w:t xml:space="preserve">The Review of the </w:t>
            </w:r>
            <w:r w:rsidR="00437ED6">
              <w:t>PoC</w:t>
            </w:r>
            <w:r w:rsidRPr="00C40467">
              <w:t xml:space="preserve"> Tax concluded that the tax has achieved its intent by </w:t>
            </w:r>
            <w:r w:rsidR="00FE05E0">
              <w:t>increasing</w:t>
            </w:r>
            <w:r w:rsidR="00FE05E0" w:rsidRPr="00C40467">
              <w:t xml:space="preserve"> </w:t>
            </w:r>
            <w:r w:rsidRPr="00C40467">
              <w:t>the integrity of the wagering tax base. The tax has effectively closed a loophole in wagering tax laws by capturing tax on online bets placed in N</w:t>
            </w:r>
            <w:r w:rsidR="00B4048A">
              <w:t xml:space="preserve">ew </w:t>
            </w:r>
            <w:r w:rsidRPr="00C40467">
              <w:t>S</w:t>
            </w:r>
            <w:r w:rsidR="00B4048A">
              <w:t xml:space="preserve">outh </w:t>
            </w:r>
            <w:r w:rsidRPr="00C40467">
              <w:t>W</w:t>
            </w:r>
            <w:r w:rsidR="00B4048A">
              <w:t>ales</w:t>
            </w:r>
            <w:r w:rsidRPr="00C40467">
              <w:t>. It also ensures that operators pay taxes on gambling activity where the associated harms occur.</w:t>
            </w:r>
          </w:p>
          <w:p w14:paraId="15200AB0" w14:textId="22CDEB5C" w:rsidR="00C40467" w:rsidRPr="00044B6E" w:rsidRDefault="00C40467" w:rsidP="00044B6E">
            <w:pPr>
              <w:spacing w:before="200" w:after="120"/>
              <w:rPr>
                <w:b/>
                <w:bCs/>
                <w:szCs w:val="23"/>
              </w:rPr>
            </w:pPr>
            <w:r w:rsidRPr="00044B6E">
              <w:rPr>
                <w:rFonts w:ascii="Arial" w:hAnsi="Arial" w:cs="Arial"/>
                <w:b/>
                <w:bCs/>
                <w:color w:val="008EBA"/>
                <w:sz w:val="23"/>
                <w:szCs w:val="23"/>
              </w:rPr>
              <w:t xml:space="preserve">Equalising effective PoC and betting tax rates at 15 per cent will provide </w:t>
            </w:r>
            <w:r w:rsidR="0049051A" w:rsidRPr="0049051A">
              <w:rPr>
                <w:rFonts w:ascii="Arial" w:hAnsi="Arial" w:cs="Arial"/>
                <w:b/>
                <w:bCs/>
                <w:color w:val="008EBA"/>
                <w:sz w:val="23"/>
                <w:szCs w:val="23"/>
              </w:rPr>
              <w:t>competitively neutral tax rates</w:t>
            </w:r>
            <w:r w:rsidRPr="00044B6E">
              <w:rPr>
                <w:rFonts w:ascii="Arial" w:hAnsi="Arial" w:cs="Arial"/>
                <w:b/>
                <w:bCs/>
                <w:color w:val="008EBA"/>
                <w:sz w:val="23"/>
                <w:szCs w:val="23"/>
              </w:rPr>
              <w:t xml:space="preserve"> between betting products and operators</w:t>
            </w:r>
          </w:p>
          <w:p w14:paraId="730D75A7" w14:textId="14CF90C9" w:rsidR="00C40467" w:rsidRDefault="00C40467" w:rsidP="009437D2">
            <w:pPr>
              <w:pStyle w:val="BodyTextBox"/>
              <w:framePr w:wrap="around"/>
            </w:pPr>
            <w:r w:rsidRPr="00C40467">
              <w:t xml:space="preserve">Online gambling has experienced rapid growth in both Australia and </w:t>
            </w:r>
            <w:r w:rsidR="00B4048A" w:rsidRPr="00C40467">
              <w:t>N</w:t>
            </w:r>
            <w:r w:rsidR="00B4048A">
              <w:t xml:space="preserve">ew </w:t>
            </w:r>
            <w:r w:rsidR="00B4048A" w:rsidRPr="00C40467">
              <w:t>S</w:t>
            </w:r>
            <w:r w:rsidR="00B4048A">
              <w:t xml:space="preserve">outh </w:t>
            </w:r>
            <w:r w:rsidR="00B4048A" w:rsidRPr="00C40467">
              <w:t>W</w:t>
            </w:r>
            <w:r w:rsidR="00B4048A">
              <w:t>ales</w:t>
            </w:r>
            <w:r w:rsidRPr="00C40467">
              <w:t xml:space="preserve"> and has continued to grow strongly since the introduction of the PoC tax, particularly during the COVID-19 pandemic. Since 2019, the </w:t>
            </w:r>
            <w:r w:rsidR="00845603">
              <w:t>proportion of wagers being placed online</w:t>
            </w:r>
            <w:r w:rsidRPr="00C40467">
              <w:t xml:space="preserve"> grew from 43.6 per cent of the market to 73.7 per cent in 2021. PoC annual player</w:t>
            </w:r>
            <w:r w:rsidR="005F0F40">
              <w:t xml:space="preserve"> </w:t>
            </w:r>
            <w:r w:rsidRPr="00C40467">
              <w:t>loss has increased 123.3 per cent from 2019 to 2021.</w:t>
            </w:r>
          </w:p>
          <w:p w14:paraId="52FA1DC9" w14:textId="40D30745" w:rsidR="00C40467" w:rsidRDefault="00C40467" w:rsidP="009437D2">
            <w:pPr>
              <w:pStyle w:val="BodyTextBox"/>
              <w:framePr w:wrap="around"/>
            </w:pPr>
            <w:r w:rsidRPr="00C40467">
              <w:t>Aligning the PoC tax and the</w:t>
            </w:r>
            <w:r w:rsidR="00A87466">
              <w:t xml:space="preserve"> betting tax (including</w:t>
            </w:r>
            <w:r w:rsidRPr="00C40467">
              <w:t xml:space="preserve"> </w:t>
            </w:r>
            <w:r w:rsidR="00197E97">
              <w:t>effective</w:t>
            </w:r>
            <w:r w:rsidR="00A87466">
              <w:t xml:space="preserve"> </w:t>
            </w:r>
            <w:r w:rsidRPr="00C40467">
              <w:t>fixed odds betting tax and totalizator betting tax</w:t>
            </w:r>
            <w:r w:rsidR="00A87466">
              <w:t>)</w:t>
            </w:r>
            <w:r w:rsidRPr="00C40467">
              <w:t xml:space="preserve"> at 15</w:t>
            </w:r>
            <w:r w:rsidR="00D350AC">
              <w:t> </w:t>
            </w:r>
            <w:r w:rsidRPr="00C40467">
              <w:t xml:space="preserve">per cent will provide </w:t>
            </w:r>
            <w:r w:rsidR="00845603" w:rsidRPr="00845603">
              <w:t>competitively neutral tax rates</w:t>
            </w:r>
            <w:r w:rsidRPr="00C40467">
              <w:t xml:space="preserve"> between betting products, regardless of the gambling operators or whether the betting activity is online or in person.</w:t>
            </w:r>
          </w:p>
          <w:p w14:paraId="7015223C" w14:textId="4E698706" w:rsidR="00C40467" w:rsidRPr="00880D16" w:rsidRDefault="00C40467" w:rsidP="00044B6E">
            <w:pPr>
              <w:spacing w:before="200" w:after="120"/>
              <w:rPr>
                <w:b/>
                <w:bCs/>
                <w:szCs w:val="23"/>
              </w:rPr>
            </w:pPr>
            <w:r w:rsidRPr="00044B6E">
              <w:rPr>
                <w:rFonts w:ascii="Arial" w:hAnsi="Arial" w:cs="Arial"/>
                <w:b/>
                <w:bCs/>
                <w:color w:val="008EBA"/>
                <w:sz w:val="23"/>
                <w:szCs w:val="23"/>
              </w:rPr>
              <w:t xml:space="preserve">Allocating ongoing funding to the </w:t>
            </w:r>
            <w:r w:rsidR="007964D8" w:rsidRPr="007964D8">
              <w:rPr>
                <w:rFonts w:ascii="Arial" w:hAnsi="Arial" w:cs="Arial"/>
                <w:b/>
                <w:bCs/>
                <w:color w:val="008EBA"/>
                <w:sz w:val="23"/>
                <w:szCs w:val="23"/>
              </w:rPr>
              <w:t>Responsible Gambling Fund</w:t>
            </w:r>
            <w:r w:rsidRPr="00044B6E">
              <w:rPr>
                <w:rFonts w:ascii="Arial" w:hAnsi="Arial" w:cs="Arial"/>
                <w:b/>
                <w:bCs/>
                <w:color w:val="008EBA"/>
                <w:sz w:val="23"/>
                <w:szCs w:val="23"/>
              </w:rPr>
              <w:t xml:space="preserve"> will reduce gambling harm associated with online betting</w:t>
            </w:r>
          </w:p>
          <w:p w14:paraId="223F7A22" w14:textId="416DBFEE" w:rsidR="00C40467" w:rsidRDefault="00C40467" w:rsidP="009437D2">
            <w:pPr>
              <w:pStyle w:val="BodyTextBox"/>
              <w:framePr w:wrap="around"/>
            </w:pPr>
            <w:r w:rsidRPr="00C40467">
              <w:t xml:space="preserve">With the introduction of the PoC tax, the NSW Government committed to provide $5 million per annum from the PoC tax revenues to the </w:t>
            </w:r>
            <w:r w:rsidR="007964D8" w:rsidRPr="007964D8">
              <w:t>Responsible Gambling Fund</w:t>
            </w:r>
            <w:r w:rsidRPr="00C40467">
              <w:t>. This funding was committed for a period of five years to support programs and activities that seek to prevent and minimise the ha</w:t>
            </w:r>
            <w:r w:rsidR="00B21586">
              <w:t>r</w:t>
            </w:r>
            <w:r w:rsidRPr="00C40467">
              <w:t>m arising from online betting.</w:t>
            </w:r>
          </w:p>
          <w:p w14:paraId="53A18505" w14:textId="6C801D6A" w:rsidR="00A6317B" w:rsidRPr="00DE48A3" w:rsidRDefault="00C40467" w:rsidP="009437D2">
            <w:pPr>
              <w:pStyle w:val="BodyTextBox"/>
              <w:framePr w:wrap="around"/>
            </w:pPr>
            <w:r w:rsidRPr="00C40467">
              <w:t xml:space="preserve">Online gambling has experienced rapid growth in </w:t>
            </w:r>
            <w:r w:rsidR="00CE2E62" w:rsidRPr="00C40467">
              <w:t>N</w:t>
            </w:r>
            <w:r w:rsidR="00CE2E62">
              <w:t xml:space="preserve">ew </w:t>
            </w:r>
            <w:r w:rsidR="00CE2E62" w:rsidRPr="00C40467">
              <w:t>S</w:t>
            </w:r>
            <w:r w:rsidR="00CE2E62">
              <w:t xml:space="preserve">outh </w:t>
            </w:r>
            <w:r w:rsidR="00CE2E62" w:rsidRPr="00C40467">
              <w:t>W</w:t>
            </w:r>
            <w:r w:rsidR="00CE2E62">
              <w:t>ales</w:t>
            </w:r>
            <w:r w:rsidR="00CE2E62" w:rsidRPr="00C40467">
              <w:t xml:space="preserve"> </w:t>
            </w:r>
            <w:r w:rsidRPr="00C40467">
              <w:t xml:space="preserve">and a higher proportion of those who gamble online are reported to be problem gamblers than those who bet offline. Ongoing funding to the </w:t>
            </w:r>
            <w:r w:rsidR="007964D8" w:rsidRPr="007964D8">
              <w:t>Responsible Gambling Fund</w:t>
            </w:r>
            <w:r w:rsidRPr="00C40467">
              <w:t xml:space="preserve"> of $5</w:t>
            </w:r>
            <w:r w:rsidR="00C3377A">
              <w:t xml:space="preserve"> </w:t>
            </w:r>
            <w:r w:rsidRPr="00C40467">
              <w:t>m</w:t>
            </w:r>
            <w:r w:rsidR="00C3377A">
              <w:t>illion</w:t>
            </w:r>
            <w:r w:rsidRPr="00C40467">
              <w:t xml:space="preserve"> per year (increasing with inflation) will support the continued provision of support programs to reduce associated harm experienced by NSW residents.</w:t>
            </w:r>
            <w:bookmarkEnd w:id="6"/>
          </w:p>
        </w:tc>
      </w:tr>
      <w:bookmarkEnd w:id="7"/>
    </w:tbl>
    <w:p w14:paraId="711DACD0" w14:textId="77777777" w:rsidR="00A938C8" w:rsidRDefault="00A938C8">
      <w:r>
        <w:br w:type="page"/>
      </w:r>
    </w:p>
    <w:tbl>
      <w:tblPr>
        <w:tblW w:w="9615" w:type="dxa"/>
        <w:shd w:val="pct5" w:color="auto" w:fill="FFFFFF" w:themeFill="background1"/>
        <w:tblLook w:val="04A0" w:firstRow="1" w:lastRow="0" w:firstColumn="1" w:lastColumn="0" w:noHBand="0" w:noVBand="1"/>
        <w:tblCaption w:val="Box 4.2: Tax reform and incentives to support the shift to electric vehicles "/>
        <w:tblDescription w:val="Box 4.2: Tax reform and incentives to support the shift to electric vehicles "/>
      </w:tblPr>
      <w:tblGrid>
        <w:gridCol w:w="9615"/>
      </w:tblGrid>
      <w:tr w:rsidR="00A938C8" w:rsidRPr="008F0B8B" w14:paraId="03547645" w14:textId="77777777" w:rsidTr="00DE48A3">
        <w:trPr>
          <w:trHeight w:val="5531"/>
        </w:trPr>
        <w:tc>
          <w:tcPr>
            <w:tcW w:w="9615" w:type="dxa"/>
            <w:shd w:val="pct5" w:color="auto" w:fill="FFFFFF" w:themeFill="background1"/>
          </w:tcPr>
          <w:p w14:paraId="3B8EFC48" w14:textId="1DCA3345" w:rsidR="00A938C8" w:rsidRPr="00880D16" w:rsidRDefault="00A938C8" w:rsidP="00A938C8">
            <w:pPr>
              <w:spacing w:before="200" w:after="120"/>
              <w:rPr>
                <w:b/>
                <w:bCs/>
                <w:szCs w:val="23"/>
              </w:rPr>
            </w:pPr>
            <w:r w:rsidRPr="00044B6E">
              <w:rPr>
                <w:rFonts w:ascii="Arial" w:hAnsi="Arial" w:cs="Arial"/>
                <w:b/>
                <w:bCs/>
                <w:color w:val="008EBA"/>
                <w:sz w:val="23"/>
                <w:szCs w:val="23"/>
              </w:rPr>
              <w:t xml:space="preserve">Racing industry funding as </w:t>
            </w:r>
            <w:r>
              <w:rPr>
                <w:rFonts w:ascii="Arial" w:hAnsi="Arial" w:cs="Arial"/>
                <w:b/>
                <w:bCs/>
                <w:color w:val="008EBA"/>
                <w:sz w:val="23"/>
                <w:szCs w:val="23"/>
              </w:rPr>
              <w:t xml:space="preserve">a </w:t>
            </w:r>
            <w:r w:rsidRPr="00044B6E">
              <w:rPr>
                <w:rFonts w:ascii="Arial" w:hAnsi="Arial" w:cs="Arial"/>
                <w:b/>
                <w:bCs/>
                <w:color w:val="008EBA"/>
                <w:sz w:val="23"/>
                <w:szCs w:val="23"/>
              </w:rPr>
              <w:t>share of revenue collected from the PoC tax maintains the proportion of funding over time</w:t>
            </w:r>
          </w:p>
          <w:p w14:paraId="777138E9" w14:textId="77777777" w:rsidR="00A938C8" w:rsidRDefault="00A938C8" w:rsidP="00A938C8">
            <w:pPr>
              <w:pStyle w:val="BodyTextBox"/>
              <w:framePr w:wrap="around"/>
            </w:pPr>
            <w:r w:rsidRPr="00C40467">
              <w:t>When the P</w:t>
            </w:r>
            <w:r>
              <w:t>o</w:t>
            </w:r>
            <w:r w:rsidRPr="00C40467">
              <w:t>C tax was introduced, the NSW Government agreed to provide additional support to the racing industry to ensure that they were not negatively impacted by the introduction of the tax. This funding was set at 2 per cent of taxable NSW net wagering revenue from all Australian licensed wagering operators (including TAB).</w:t>
            </w:r>
          </w:p>
          <w:p w14:paraId="4DA12BEB" w14:textId="77777777" w:rsidR="00A938C8" w:rsidRDefault="00A938C8" w:rsidP="00A938C8">
            <w:pPr>
              <w:pStyle w:val="BodyTextBox"/>
              <w:framePr w:wrap="around"/>
            </w:pPr>
            <w:r>
              <w:t>In 2020-21, 2 per cent of net wagering revenue</w:t>
            </w:r>
            <w:r w:rsidRPr="00C40467">
              <w:t xml:space="preserve"> </w:t>
            </w:r>
            <w:r>
              <w:t>wa</w:t>
            </w:r>
            <w:r w:rsidRPr="00C40467">
              <w:t>s the equivalent of 33 per cent of PoC tax revenues collected by New South Wales.</w:t>
            </w:r>
          </w:p>
          <w:p w14:paraId="3B1EB827" w14:textId="77777777" w:rsidR="00A938C8" w:rsidRDefault="00A938C8" w:rsidP="00A938C8">
            <w:pPr>
              <w:pStyle w:val="BodyTextBox"/>
              <w:framePr w:wrap="around"/>
            </w:pPr>
            <w:r w:rsidRPr="008774F5">
              <w:t>Changing the racing industry funding from being 2 per cent of net wagering revenue to 33</w:t>
            </w:r>
            <w:r>
              <w:t> </w:t>
            </w:r>
            <w:r w:rsidRPr="008774F5">
              <w:t>per cent of collected PoC tax revenue maintains the proportion of funding to the racing industry over time.</w:t>
            </w:r>
          </w:p>
          <w:p w14:paraId="248B8B95" w14:textId="77777777" w:rsidR="00A938C8" w:rsidRPr="00880D16" w:rsidRDefault="00A938C8" w:rsidP="00A938C8">
            <w:pPr>
              <w:spacing w:before="200" w:after="120"/>
              <w:rPr>
                <w:b/>
                <w:bCs/>
                <w:szCs w:val="23"/>
              </w:rPr>
            </w:pPr>
            <w:r w:rsidRPr="00534163">
              <w:rPr>
                <w:rFonts w:ascii="Arial" w:hAnsi="Arial" w:cs="Arial"/>
                <w:b/>
                <w:bCs/>
                <w:color w:val="008EBA"/>
                <w:sz w:val="23"/>
                <w:szCs w:val="23"/>
              </w:rPr>
              <w:t>Supporting the transition and reviewing the wagering tax regime, regulation and industry funding in the coming years</w:t>
            </w:r>
          </w:p>
          <w:p w14:paraId="7F1C7F81" w14:textId="3BBCF2A8" w:rsidR="00A938C8" w:rsidRDefault="00A938C8" w:rsidP="00DE48A3">
            <w:pPr>
              <w:pStyle w:val="BodyTextBox"/>
              <w:framePr w:wrap="around"/>
            </w:pPr>
            <w:r w:rsidRPr="00534163">
              <w:t>To assist the transition to the new taxation arrangements, the Government will provide no worse off payments to Tabcorp.</w:t>
            </w:r>
            <w:r>
              <w:t xml:space="preserve"> </w:t>
            </w:r>
            <w:r w:rsidRPr="00534163">
              <w:t>The payments to Tabcorp will assist over a</w:t>
            </w:r>
            <w:r>
              <w:t>n</w:t>
            </w:r>
            <w:r w:rsidRPr="00534163">
              <w:t xml:space="preserve"> 18</w:t>
            </w:r>
            <w:r>
              <w:t>-</w:t>
            </w:r>
            <w:r w:rsidRPr="00534163">
              <w:t>month period and will be up to $22 million in 2022-23 and $8 million in 2023-24.</w:t>
            </w:r>
          </w:p>
        </w:tc>
      </w:tr>
    </w:tbl>
    <w:p w14:paraId="438DD840" w14:textId="3BE428B5" w:rsidR="00C852A5" w:rsidRDefault="00C852A5" w:rsidP="00C852A5">
      <w:pPr>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ox 4.4: Introducing the First Home Buyer Property Tax option "/>
        <w:tblDescription w:val="Box 4.4: Introducing the First Home Buyer Property Tax option "/>
      </w:tblPr>
      <w:tblGrid>
        <w:gridCol w:w="9629"/>
      </w:tblGrid>
      <w:tr w:rsidR="008F3F85" w14:paraId="5AAE97FE" w14:textId="77777777" w:rsidTr="008F3F85">
        <w:tc>
          <w:tcPr>
            <w:tcW w:w="9629" w:type="dxa"/>
            <w:shd w:val="clear" w:color="auto" w:fill="F2F2F2" w:themeFill="background1" w:themeFillShade="F2"/>
          </w:tcPr>
          <w:p w14:paraId="23A9D9FB" w14:textId="248D001B" w:rsidR="00832DA8" w:rsidRPr="00E079C6" w:rsidRDefault="00832DA8" w:rsidP="00832DA8">
            <w:pPr>
              <w:pStyle w:val="Box41BoxHeading"/>
            </w:pPr>
            <w:r>
              <w:t>Box 4.</w:t>
            </w:r>
            <w:r w:rsidR="00C10557">
              <w:t>4</w:t>
            </w:r>
            <w:r w:rsidR="002D1792">
              <w:t>:</w:t>
            </w:r>
            <w:r>
              <w:tab/>
            </w:r>
            <w:r w:rsidR="00861E80" w:rsidRPr="00861E80">
              <w:t xml:space="preserve">Introducing the First Home Buyer Property Tax </w:t>
            </w:r>
            <w:r w:rsidR="000301E9">
              <w:t>o</w:t>
            </w:r>
            <w:r w:rsidR="00861E80" w:rsidRPr="00861E80">
              <w:t>ption</w:t>
            </w:r>
            <w:r w:rsidRPr="00832DA8">
              <w:t xml:space="preserve"> </w:t>
            </w:r>
          </w:p>
          <w:p w14:paraId="461C3445" w14:textId="1F9712C1" w:rsidR="00832DA8" w:rsidRDefault="00832DA8" w:rsidP="009437D2">
            <w:pPr>
              <w:pStyle w:val="BodyTextBox"/>
              <w:framePr w:wrap="around"/>
            </w:pPr>
            <w:r w:rsidRPr="00832DA8">
              <w:t>This Budget announce</w:t>
            </w:r>
            <w:r>
              <w:t>s</w:t>
            </w:r>
            <w:r w:rsidRPr="00832DA8">
              <w:t xml:space="preserve"> the introduction of an option for eligible first home buyers to </w:t>
            </w:r>
            <w:r w:rsidR="0049686A">
              <w:t>either pay the existing</w:t>
            </w:r>
            <w:r w:rsidRPr="00832DA8">
              <w:t xml:space="preserve"> transfer duty or an annual property tax when purchasing their home. First home buyers purchasing a property up to $1.5 million will be able to opt</w:t>
            </w:r>
            <w:r w:rsidR="001A2C0F">
              <w:t xml:space="preserve"> </w:t>
            </w:r>
            <w:r w:rsidRPr="00832DA8">
              <w:t>in to the property tax. This option would lower the up</w:t>
            </w:r>
            <w:r w:rsidR="001A2C0F">
              <w:t>-</w:t>
            </w:r>
            <w:r w:rsidRPr="00832DA8">
              <w:t xml:space="preserve">front burden of paying transfer duty and enable these home buyers to enter their first home sooner. The </w:t>
            </w:r>
            <w:r w:rsidR="00A520D9">
              <w:t>revenue reduction from</w:t>
            </w:r>
            <w:r w:rsidRPr="00832DA8">
              <w:t xml:space="preserve"> </w:t>
            </w:r>
            <w:r w:rsidR="00A520D9" w:rsidRPr="00832DA8">
              <w:t>th</w:t>
            </w:r>
            <w:r w:rsidR="00A520D9">
              <w:t>is</w:t>
            </w:r>
            <w:r w:rsidR="00A520D9" w:rsidRPr="00832DA8">
              <w:t xml:space="preserve"> </w:t>
            </w:r>
            <w:r w:rsidRPr="00832DA8">
              <w:t>measure is</w:t>
            </w:r>
            <w:r w:rsidR="00D002A4">
              <w:t xml:space="preserve"> estimated to be</w:t>
            </w:r>
            <w:r w:rsidRPr="00832DA8">
              <w:t xml:space="preserve"> $</w:t>
            </w:r>
            <w:r w:rsidR="004B3CD8" w:rsidRPr="000A00BC">
              <w:t>663.6</w:t>
            </w:r>
            <w:r w:rsidRPr="00832DA8">
              <w:t xml:space="preserve"> million over</w:t>
            </w:r>
            <w:r w:rsidR="00C10557">
              <w:t xml:space="preserve"> the</w:t>
            </w:r>
            <w:r w:rsidRPr="00832DA8">
              <w:t xml:space="preserve"> </w:t>
            </w:r>
            <w:r>
              <w:t>four</w:t>
            </w:r>
            <w:r w:rsidRPr="00832DA8">
              <w:t xml:space="preserve"> years</w:t>
            </w:r>
            <w:r w:rsidR="00C10557">
              <w:t xml:space="preserve"> to 2025-26</w:t>
            </w:r>
            <w:r w:rsidRPr="00832DA8">
              <w:t>.</w:t>
            </w:r>
          </w:p>
          <w:p w14:paraId="41FAA932" w14:textId="6F6961FC" w:rsidR="00832DA8" w:rsidRDefault="00832DA8" w:rsidP="009437D2">
            <w:pPr>
              <w:pStyle w:val="BodyTextBox"/>
              <w:framePr w:wrap="around"/>
            </w:pPr>
            <w:r w:rsidRPr="00832DA8">
              <w:t xml:space="preserve">Over the </w:t>
            </w:r>
            <w:r w:rsidR="00582C48">
              <w:t>p</w:t>
            </w:r>
            <w:r w:rsidR="00582C48" w:rsidRPr="00832DA8">
              <w:t xml:space="preserve">ast </w:t>
            </w:r>
            <w:r w:rsidR="004B303B">
              <w:t>two</w:t>
            </w:r>
            <w:r w:rsidRPr="00832DA8">
              <w:t xml:space="preserve"> years, the Government has consulted </w:t>
            </w:r>
            <w:r w:rsidR="00582C48" w:rsidRPr="00832DA8">
              <w:t xml:space="preserve">extensively </w:t>
            </w:r>
            <w:r w:rsidRPr="00832DA8">
              <w:t>on the Property Tax Proposal which received broad community support and resonated well with first home buyers. Key elements from the 2021 Property Tax Proposal have been incorporated into this measure – including ‘choice’, the property tax rates, indexation of tax rates and deferral in cases of hardship.</w:t>
            </w:r>
          </w:p>
          <w:p w14:paraId="392628E1" w14:textId="4098DB82" w:rsidR="00832DA8" w:rsidRPr="00FC5B46" w:rsidRDefault="00832DA8" w:rsidP="00FC5B46">
            <w:pPr>
              <w:spacing w:before="200" w:after="120"/>
              <w:rPr>
                <w:b/>
                <w:bCs/>
                <w:szCs w:val="23"/>
                <w:lang w:eastAsia="en-US"/>
              </w:rPr>
            </w:pPr>
            <w:r w:rsidRPr="00FC5B46">
              <w:rPr>
                <w:rFonts w:ascii="Arial" w:hAnsi="Arial" w:cs="Arial"/>
                <w:b/>
                <w:bCs/>
                <w:color w:val="008EBA"/>
                <w:sz w:val="23"/>
                <w:szCs w:val="23"/>
              </w:rPr>
              <w:t>Features of the First Home Buyer Property Tax Option</w:t>
            </w:r>
          </w:p>
          <w:p w14:paraId="4329D2D5" w14:textId="541640EB" w:rsidR="00832DA8" w:rsidRDefault="00832DA8" w:rsidP="009437D2">
            <w:pPr>
              <w:pStyle w:val="BodyTextBox"/>
              <w:framePr w:wrap="around"/>
            </w:pPr>
            <w:r w:rsidRPr="00832DA8">
              <w:t>Key features of the first home buyer property tax option are that:</w:t>
            </w:r>
          </w:p>
          <w:p w14:paraId="74895302" w14:textId="1806B630" w:rsidR="00832DA8" w:rsidRDefault="00832DA8" w:rsidP="001321A1">
            <w:pPr>
              <w:pStyle w:val="Bullet1inabox"/>
            </w:pPr>
            <w:r>
              <w:t xml:space="preserve">Eligible </w:t>
            </w:r>
            <w:r w:rsidRPr="006602D3">
              <w:t>first home buyers</w:t>
            </w:r>
            <w:r>
              <w:t xml:space="preserve"> purchasing a property </w:t>
            </w:r>
            <w:r w:rsidR="0049686A">
              <w:t xml:space="preserve">for </w:t>
            </w:r>
            <w:r>
              <w:t>up to $1.5 million</w:t>
            </w:r>
            <w:r w:rsidRPr="006602D3">
              <w:t xml:space="preserve"> </w:t>
            </w:r>
            <w:r w:rsidR="00FD020F">
              <w:t>will</w:t>
            </w:r>
            <w:r w:rsidR="00FD020F" w:rsidRPr="006602D3">
              <w:t xml:space="preserve"> </w:t>
            </w:r>
            <w:r w:rsidRPr="006602D3">
              <w:t>be given the</w:t>
            </w:r>
            <w:r>
              <w:t xml:space="preserve"> </w:t>
            </w:r>
            <w:r w:rsidR="0049686A">
              <w:t xml:space="preserve">option to pay an </w:t>
            </w:r>
            <w:r>
              <w:t>annual</w:t>
            </w:r>
            <w:r w:rsidRPr="006602D3">
              <w:t xml:space="preserve"> property tax </w:t>
            </w:r>
            <w:r w:rsidR="0049686A">
              <w:t xml:space="preserve">instead of </w:t>
            </w:r>
            <w:r w:rsidRPr="006602D3">
              <w:t xml:space="preserve">transfer duty </w:t>
            </w:r>
            <w:r>
              <w:t>up</w:t>
            </w:r>
            <w:r w:rsidR="00BF0F9C">
              <w:t xml:space="preserve"> </w:t>
            </w:r>
            <w:r>
              <w:t>front.</w:t>
            </w:r>
          </w:p>
          <w:p w14:paraId="53427367" w14:textId="54881C3D" w:rsidR="00832DA8" w:rsidRDefault="00832DA8" w:rsidP="001321A1">
            <w:pPr>
              <w:pStyle w:val="Bullet1inabox"/>
            </w:pPr>
            <w:r w:rsidRPr="00AA0669">
              <w:t xml:space="preserve">The property tax </w:t>
            </w:r>
            <w:r w:rsidR="00F12603">
              <w:t>will</w:t>
            </w:r>
            <w:r w:rsidR="00F12603" w:rsidRPr="00AA0669">
              <w:t xml:space="preserve"> </w:t>
            </w:r>
            <w:r w:rsidRPr="00AA0669">
              <w:t>be based on the property’s unimproved land value.</w:t>
            </w:r>
          </w:p>
          <w:p w14:paraId="3752240A" w14:textId="765367A4" w:rsidR="00832DA8" w:rsidRDefault="00832DA8" w:rsidP="001321A1">
            <w:pPr>
              <w:pStyle w:val="Bullet1inabox"/>
            </w:pPr>
            <w:r>
              <w:t xml:space="preserve">Annual </w:t>
            </w:r>
            <w:r w:rsidR="0049686A">
              <w:t xml:space="preserve">owner-occupier </w:t>
            </w:r>
            <w:r>
              <w:t xml:space="preserve">property tax rates </w:t>
            </w:r>
            <w:r w:rsidR="00F12603">
              <w:t xml:space="preserve">will </w:t>
            </w:r>
            <w:r>
              <w:t>be set at $400 plus 0.3 per cent of the property’s unimproved land value</w:t>
            </w:r>
            <w:r w:rsidR="0049686A">
              <w:t xml:space="preserve"> in 2022-23. These rates apply</w:t>
            </w:r>
            <w:r>
              <w:t xml:space="preserve"> as long as the first home buyer remains an owner-occupier.</w:t>
            </w:r>
          </w:p>
          <w:p w14:paraId="653D6381" w14:textId="4900D8F5" w:rsidR="00832DA8" w:rsidRDefault="00832DA8" w:rsidP="001321A1">
            <w:pPr>
              <w:pStyle w:val="Bullet1inabox"/>
            </w:pPr>
            <w:r>
              <w:t xml:space="preserve">First home buyers </w:t>
            </w:r>
            <w:r w:rsidR="00F12603">
              <w:t xml:space="preserve">will </w:t>
            </w:r>
            <w:r>
              <w:t xml:space="preserve">be allowed to change </w:t>
            </w:r>
            <w:r w:rsidR="0049686A">
              <w:t xml:space="preserve">the </w:t>
            </w:r>
            <w:r>
              <w:t xml:space="preserve">status </w:t>
            </w:r>
            <w:r w:rsidR="0049686A">
              <w:t xml:space="preserve">of property </w:t>
            </w:r>
            <w:r>
              <w:t>from owner</w:t>
            </w:r>
            <w:r w:rsidR="000350A0">
              <w:noBreakHyphen/>
            </w:r>
            <w:r w:rsidR="0049686A">
              <w:t xml:space="preserve">occupied </w:t>
            </w:r>
            <w:r>
              <w:t xml:space="preserve">to residential investment </w:t>
            </w:r>
            <w:r w:rsidR="0049686A">
              <w:t>property.</w:t>
            </w:r>
            <w:r w:rsidR="0049686A" w:rsidDel="0049686A">
              <w:t xml:space="preserve"> </w:t>
            </w:r>
            <w:r w:rsidR="0049686A">
              <w:t>A</w:t>
            </w:r>
            <w:r>
              <w:t>nnual residential investor property tax rates</w:t>
            </w:r>
            <w:r w:rsidR="0049686A">
              <w:t xml:space="preserve"> will be</w:t>
            </w:r>
            <w:r>
              <w:t xml:space="preserve"> set at $1,500 plus 1.1 per cent of the property’s unimproved value</w:t>
            </w:r>
            <w:r w:rsidR="0049686A">
              <w:t xml:space="preserve"> in 2022-23</w:t>
            </w:r>
            <w:r>
              <w:t>.</w:t>
            </w:r>
          </w:p>
          <w:p w14:paraId="7F1F3DD3" w14:textId="408FFB0E" w:rsidR="00832DA8" w:rsidRPr="00C22494" w:rsidRDefault="00832DA8" w:rsidP="001321A1">
            <w:pPr>
              <w:pStyle w:val="Bullet1inabox"/>
            </w:pPr>
            <w:r w:rsidRPr="00C22494">
              <w:t xml:space="preserve">Affordability of the property tax </w:t>
            </w:r>
            <w:r w:rsidR="00F12603">
              <w:t>will</w:t>
            </w:r>
            <w:r w:rsidR="00F12603" w:rsidRPr="00C22494">
              <w:t xml:space="preserve"> </w:t>
            </w:r>
            <w:r w:rsidRPr="00C22494">
              <w:t>be preserved over time</w:t>
            </w:r>
            <w:r>
              <w:t>. P</w:t>
            </w:r>
            <w:r w:rsidRPr="00C22494">
              <w:t xml:space="preserve">roperty tax rates, both owner-occupier and investor rates, </w:t>
            </w:r>
            <w:r>
              <w:t xml:space="preserve">will </w:t>
            </w:r>
            <w:r w:rsidRPr="00C22494">
              <w:t xml:space="preserve">be indexed </w:t>
            </w:r>
            <w:r w:rsidR="0049686A">
              <w:t>by Gross State Product per capita</w:t>
            </w:r>
            <w:r w:rsidR="0049686A" w:rsidRPr="00C22494">
              <w:t xml:space="preserve"> </w:t>
            </w:r>
            <w:r w:rsidRPr="00C22494">
              <w:t>to ensur</w:t>
            </w:r>
            <w:r>
              <w:t>e</w:t>
            </w:r>
            <w:r w:rsidRPr="00C22494">
              <w:t xml:space="preserve"> that average property tax payments grow in line with average incomes, rather than in line with land values.</w:t>
            </w:r>
          </w:p>
          <w:p w14:paraId="6C93D26B" w14:textId="51986761" w:rsidR="00832DA8" w:rsidRDefault="00832DA8" w:rsidP="001321A1">
            <w:pPr>
              <w:pStyle w:val="Bullet1inabox"/>
            </w:pPr>
            <w:r w:rsidRPr="004A33FC">
              <w:t xml:space="preserve">Properties </w:t>
            </w:r>
            <w:r w:rsidR="00D26007">
              <w:t>will</w:t>
            </w:r>
            <w:r w:rsidR="00D26007" w:rsidRPr="004A33FC">
              <w:t xml:space="preserve"> </w:t>
            </w:r>
            <w:r w:rsidRPr="004A33FC">
              <w:t>not be locked into the property tax</w:t>
            </w:r>
            <w:r>
              <w:t xml:space="preserve"> for subsequent purchases.</w:t>
            </w:r>
            <w:r w:rsidRPr="004A33FC">
              <w:t xml:space="preserve"> </w:t>
            </w:r>
            <w:r>
              <w:t xml:space="preserve">Transfer </w:t>
            </w:r>
            <w:r w:rsidRPr="0072206E">
              <w:t>duty</w:t>
            </w:r>
            <w:r>
              <w:t xml:space="preserve"> </w:t>
            </w:r>
            <w:r w:rsidR="00D26007">
              <w:t>will</w:t>
            </w:r>
            <w:r w:rsidR="00D26007" w:rsidRPr="0072206E">
              <w:t xml:space="preserve"> </w:t>
            </w:r>
            <w:r w:rsidR="0049686A">
              <w:t>apply to a subsequent purchase</w:t>
            </w:r>
            <w:r w:rsidRPr="0072206E">
              <w:t>, unless the purchaser is a first home buyer who opt</w:t>
            </w:r>
            <w:r w:rsidR="00136BA5">
              <w:t>s</w:t>
            </w:r>
            <w:r w:rsidRPr="0072206E">
              <w:t xml:space="preserve"> into the property tax. Non-first home buyers </w:t>
            </w:r>
            <w:r w:rsidR="00D26007">
              <w:t>will</w:t>
            </w:r>
            <w:r w:rsidR="00D26007" w:rsidRPr="0072206E">
              <w:t xml:space="preserve"> </w:t>
            </w:r>
            <w:r w:rsidRPr="0072206E">
              <w:t xml:space="preserve">remain liable to transfer duty and </w:t>
            </w:r>
            <w:r w:rsidR="00D26007">
              <w:t>will</w:t>
            </w:r>
            <w:r w:rsidR="00D26007" w:rsidRPr="0072206E">
              <w:t xml:space="preserve"> </w:t>
            </w:r>
            <w:r w:rsidRPr="0072206E">
              <w:t>not be given the choice to opt into the property tax.</w:t>
            </w:r>
          </w:p>
          <w:p w14:paraId="7DFC3BFE" w14:textId="5EC2C2E9" w:rsidR="00832DA8" w:rsidRPr="00D10308" w:rsidRDefault="00832DA8" w:rsidP="001321A1">
            <w:pPr>
              <w:pStyle w:val="Bullet1inabox"/>
            </w:pPr>
            <w:r w:rsidRPr="00EF2F3E">
              <w:t xml:space="preserve">A deferral scheme </w:t>
            </w:r>
            <w:r>
              <w:t xml:space="preserve">will be in place to </w:t>
            </w:r>
            <w:r w:rsidRPr="00EF2F3E">
              <w:t xml:space="preserve">recognise that taxpayers’ financial situations can change over time and ensure that no one facing hardship </w:t>
            </w:r>
            <w:r w:rsidR="0049686A">
              <w:t>will be required</w:t>
            </w:r>
            <w:r w:rsidR="0049686A" w:rsidRPr="00EF2F3E">
              <w:t xml:space="preserve"> </w:t>
            </w:r>
            <w:r w:rsidRPr="00EF2F3E">
              <w:t>to sell their home to meet property tax liabilities.</w:t>
            </w:r>
          </w:p>
          <w:p w14:paraId="004723DE" w14:textId="652A25DE" w:rsidR="00832DA8" w:rsidRDefault="0049686A" w:rsidP="009437D2">
            <w:pPr>
              <w:pStyle w:val="BodyTextBox"/>
              <w:framePr w:wrap="around"/>
            </w:pPr>
            <w:r w:rsidRPr="00832DA8">
              <w:t xml:space="preserve">The First Home Buyer Assistance Scheme remains in place. </w:t>
            </w:r>
            <w:r>
              <w:t xml:space="preserve">This scheme provides duty exemptions to first home buyers purchasing properties up to $650,000 and concessional rates of duty for first home buyers purchasing properties between $650,000 and </w:t>
            </w:r>
            <w:r w:rsidRPr="00832DA8">
              <w:t>$800,000</w:t>
            </w:r>
            <w:r>
              <w:t xml:space="preserve">. </w:t>
            </w:r>
            <w:r w:rsidR="00706891">
              <w:t>A</w:t>
            </w:r>
            <w:r>
              <w:t>ll eligible first home buyers purchasing properties up to $1.5 million will now have access to the property tax option</w:t>
            </w:r>
            <w:r w:rsidR="00706891">
              <w:t>, in addition to the scheme</w:t>
            </w:r>
            <w:r>
              <w:t xml:space="preserve">. Around </w:t>
            </w:r>
            <w:r w:rsidRPr="00832DA8">
              <w:t>97 per cent of first home buyers in N</w:t>
            </w:r>
            <w:r w:rsidR="00A3183F">
              <w:t xml:space="preserve">ew </w:t>
            </w:r>
            <w:r w:rsidRPr="00832DA8">
              <w:t>S</w:t>
            </w:r>
            <w:r w:rsidR="00A3183F">
              <w:t>outh</w:t>
            </w:r>
            <w:r w:rsidR="008774AD">
              <w:t xml:space="preserve"> </w:t>
            </w:r>
            <w:r w:rsidRPr="00832DA8">
              <w:t>W</w:t>
            </w:r>
            <w:r w:rsidR="008774AD">
              <w:t>ales</w:t>
            </w:r>
            <w:r>
              <w:t xml:space="preserve"> are expected to be eligible for benefits under the new property tax option or the First Home Buyer Assistance Scheme</w:t>
            </w:r>
            <w:r w:rsidRPr="00832DA8">
              <w:t>.</w:t>
            </w:r>
          </w:p>
          <w:p w14:paraId="69D843C0" w14:textId="16649118" w:rsidR="00832DA8" w:rsidRPr="00FC5B46" w:rsidRDefault="00832DA8" w:rsidP="00FC5B46">
            <w:pPr>
              <w:spacing w:before="200" w:after="120"/>
              <w:rPr>
                <w:b/>
                <w:bCs/>
                <w:szCs w:val="23"/>
                <w:lang w:eastAsia="en-US"/>
              </w:rPr>
            </w:pPr>
            <w:r w:rsidRPr="00FC5B46">
              <w:rPr>
                <w:rFonts w:ascii="Arial" w:hAnsi="Arial" w:cs="Arial"/>
                <w:b/>
                <w:bCs/>
                <w:color w:val="008EBA"/>
                <w:sz w:val="23"/>
                <w:szCs w:val="23"/>
              </w:rPr>
              <w:t>Timeline for implementation</w:t>
            </w:r>
          </w:p>
          <w:p w14:paraId="614978DD" w14:textId="4C499154" w:rsidR="008F3F85" w:rsidRDefault="00832DA8" w:rsidP="00DE48A3">
            <w:pPr>
              <w:pStyle w:val="BodyTextBox"/>
              <w:framePr w:wrap="around"/>
              <w:rPr>
                <w:highlight w:val="yellow"/>
              </w:rPr>
            </w:pPr>
            <w:r w:rsidRPr="00832DA8">
              <w:t>From 1</w:t>
            </w:r>
            <w:r w:rsidR="0049686A">
              <w:t>6</w:t>
            </w:r>
            <w:r w:rsidRPr="00832DA8">
              <w:t xml:space="preserve"> January 2023, eligible first home buyers will be able</w:t>
            </w:r>
            <w:r w:rsidR="00B436CE">
              <w:t xml:space="preserve"> to</w:t>
            </w:r>
            <w:r w:rsidRPr="00832DA8">
              <w:t xml:space="preserve"> opt</w:t>
            </w:r>
            <w:r w:rsidR="009437D2">
              <w:t xml:space="preserve"> </w:t>
            </w:r>
            <w:r w:rsidRPr="00832DA8">
              <w:t xml:space="preserve">in and not pay transfer duty. For contracts exchanged in the period between </w:t>
            </w:r>
            <w:r w:rsidR="00131B0A" w:rsidRPr="00131B0A">
              <w:t xml:space="preserve">the enactment of </w:t>
            </w:r>
            <w:r w:rsidRPr="00832DA8">
              <w:t xml:space="preserve">legislation </w:t>
            </w:r>
            <w:r w:rsidR="009437D2">
              <w:t>and</w:t>
            </w:r>
            <w:r w:rsidRPr="00832DA8">
              <w:t xml:space="preserve"> </w:t>
            </w:r>
            <w:r w:rsidR="0004635F">
              <w:t>15 January 2023</w:t>
            </w:r>
            <w:r w:rsidRPr="00832DA8">
              <w:t>, eligible first home buyers will be able to apply to opt</w:t>
            </w:r>
            <w:r w:rsidR="009437D2">
              <w:t xml:space="preserve"> </w:t>
            </w:r>
            <w:r w:rsidRPr="00832DA8">
              <w:t>in and receive a refund of transfer duty paid</w:t>
            </w:r>
            <w:r w:rsidR="00773C88">
              <w:t xml:space="preserve"> </w:t>
            </w:r>
            <w:r w:rsidR="00773C88" w:rsidRPr="00773C88">
              <w:t>from 16 January 2023</w:t>
            </w:r>
            <w:r w:rsidRPr="00832DA8">
              <w:t>. The property tax will apply from the date of</w:t>
            </w:r>
            <w:r w:rsidR="0004635F">
              <w:t xml:space="preserve"> completion, also known as</w:t>
            </w:r>
            <w:r w:rsidRPr="00832DA8">
              <w:t xml:space="preserve"> settlement.</w:t>
            </w:r>
          </w:p>
        </w:tc>
      </w:tr>
    </w:tbl>
    <w:p w14:paraId="28DD7871" w14:textId="6AE8BD94" w:rsidR="004171EC" w:rsidRPr="00A85CB8" w:rsidRDefault="00140E0C" w:rsidP="002C1EF5">
      <w:pPr>
        <w:pStyle w:val="41Heading2"/>
      </w:pPr>
      <w:bookmarkStart w:id="8" w:name="_Ref72482584"/>
      <w:r w:rsidRPr="00A85CB8">
        <w:t xml:space="preserve">Taxation </w:t>
      </w:r>
      <w:r w:rsidR="00524454" w:rsidRPr="00A85CB8">
        <w:t>revenue</w:t>
      </w:r>
      <w:bookmarkEnd w:id="8"/>
    </w:p>
    <w:p w14:paraId="6E75D249" w14:textId="1CE02EEA" w:rsidR="00894437" w:rsidRPr="00A85CB8" w:rsidRDefault="714D059D" w:rsidP="003426A4">
      <w:pPr>
        <w:pStyle w:val="BodyText"/>
        <w:rPr>
          <w:i/>
        </w:rPr>
      </w:pPr>
      <w:bookmarkStart w:id="9" w:name="_Hlk516069312"/>
      <w:r w:rsidRPr="00A85CB8">
        <w:t>Taxation revenue</w:t>
      </w:r>
      <w:r w:rsidR="000F0573" w:rsidRPr="00A85CB8">
        <w:t xml:space="preserve"> is expected to be </w:t>
      </w:r>
      <w:r w:rsidR="000F0573" w:rsidRPr="00590FFD">
        <w:t>$</w:t>
      </w:r>
      <w:r w:rsidR="00590FFD" w:rsidRPr="00590FFD">
        <w:t>3</w:t>
      </w:r>
      <w:r w:rsidR="002E2228">
        <w:t>9</w:t>
      </w:r>
      <w:r w:rsidR="001E6322" w:rsidRPr="00590FFD">
        <w:t>.</w:t>
      </w:r>
      <w:r w:rsidR="002E2228">
        <w:t>6</w:t>
      </w:r>
      <w:r w:rsidR="000F0573" w:rsidRPr="00590FFD">
        <w:t xml:space="preserve"> billion</w:t>
      </w:r>
      <w:r w:rsidR="000F0573" w:rsidRPr="00A85CB8">
        <w:t xml:space="preserve"> in 202</w:t>
      </w:r>
      <w:r w:rsidR="00A85CB8">
        <w:t>2</w:t>
      </w:r>
      <w:r w:rsidR="000F0573" w:rsidRPr="00A85CB8">
        <w:t>-</w:t>
      </w:r>
      <w:r w:rsidR="0089738F" w:rsidRPr="00A85CB8">
        <w:t>2</w:t>
      </w:r>
      <w:r w:rsidR="00A85CB8">
        <w:t>3</w:t>
      </w:r>
      <w:r w:rsidR="000F0573" w:rsidRPr="00A85CB8">
        <w:t xml:space="preserve"> (see </w:t>
      </w:r>
      <w:r w:rsidR="00EF74C4">
        <w:t>Table 4.4</w:t>
      </w:r>
      <w:r w:rsidR="000F0573" w:rsidRPr="00A85CB8">
        <w:t xml:space="preserve">), </w:t>
      </w:r>
      <w:r w:rsidR="00321710" w:rsidRPr="00A85CB8">
        <w:t xml:space="preserve">which is </w:t>
      </w:r>
      <w:r w:rsidR="000F0573" w:rsidRPr="00590FFD">
        <w:t>$</w:t>
      </w:r>
      <w:r w:rsidR="00590FFD" w:rsidRPr="00590FFD">
        <w:t>69</w:t>
      </w:r>
      <w:r w:rsidR="00F35C38">
        <w:t>3</w:t>
      </w:r>
      <w:r w:rsidR="00590FFD" w:rsidRPr="00590FFD">
        <w:t>.</w:t>
      </w:r>
      <w:r w:rsidR="00F35C38">
        <w:t>2</w:t>
      </w:r>
      <w:r w:rsidR="00F60E8D" w:rsidRPr="00590FFD">
        <w:t> </w:t>
      </w:r>
      <w:r w:rsidR="00590FFD" w:rsidRPr="00590FFD">
        <w:t>m</w:t>
      </w:r>
      <w:r w:rsidR="000F0573" w:rsidRPr="00590FFD">
        <w:t>illion</w:t>
      </w:r>
      <w:r w:rsidR="00B21A6B" w:rsidRPr="00590FFD">
        <w:t xml:space="preserve"> </w:t>
      </w:r>
      <w:r w:rsidR="00B21A6B" w:rsidRPr="00590FFD">
        <w:rPr>
          <w:rFonts w:eastAsiaTheme="minorEastAsia"/>
        </w:rPr>
        <w:t>(</w:t>
      </w:r>
      <w:r w:rsidR="00590FFD" w:rsidRPr="00590FFD">
        <w:rPr>
          <w:rFonts w:eastAsiaTheme="minorEastAsia"/>
        </w:rPr>
        <w:t>1</w:t>
      </w:r>
      <w:r w:rsidR="00D503D1" w:rsidRPr="00590FFD">
        <w:rPr>
          <w:rFonts w:eastAsiaTheme="minorEastAsia"/>
        </w:rPr>
        <w:t>.</w:t>
      </w:r>
      <w:r w:rsidR="00590FFD" w:rsidRPr="00590FFD">
        <w:rPr>
          <w:rFonts w:eastAsiaTheme="minorEastAsia"/>
        </w:rPr>
        <w:t>8</w:t>
      </w:r>
      <w:r w:rsidR="00AE1743" w:rsidRPr="00590FFD">
        <w:rPr>
          <w:rFonts w:eastAsiaTheme="minorEastAsia"/>
        </w:rPr>
        <w:t> </w:t>
      </w:r>
      <w:r w:rsidR="00B21A6B" w:rsidRPr="00590FFD">
        <w:rPr>
          <w:rFonts w:eastAsiaTheme="minorEastAsia"/>
        </w:rPr>
        <w:t>per cent</w:t>
      </w:r>
      <w:r w:rsidR="00B21A6B" w:rsidRPr="00A85CB8">
        <w:rPr>
          <w:rFonts w:eastAsiaTheme="minorEastAsia"/>
        </w:rPr>
        <w:t xml:space="preserve">) </w:t>
      </w:r>
      <w:r w:rsidR="002F3BE0" w:rsidRPr="00A85CB8">
        <w:t>higher</w:t>
      </w:r>
      <w:r w:rsidR="000F0573" w:rsidRPr="00A85CB8">
        <w:t xml:space="preserve"> than forecast at the 20</w:t>
      </w:r>
      <w:r w:rsidR="001335BB" w:rsidRPr="00A85CB8">
        <w:t>2</w:t>
      </w:r>
      <w:r w:rsidR="00A85CB8">
        <w:t>1</w:t>
      </w:r>
      <w:r w:rsidR="001335BB" w:rsidRPr="00A85CB8">
        <w:t>-2</w:t>
      </w:r>
      <w:r w:rsidR="00A85CB8">
        <w:t>2</w:t>
      </w:r>
      <w:r w:rsidR="000F0573" w:rsidRPr="00A85CB8">
        <w:t xml:space="preserve"> Half</w:t>
      </w:r>
      <w:r w:rsidR="0032CCEB" w:rsidRPr="00A85CB8">
        <w:t>-</w:t>
      </w:r>
      <w:r w:rsidR="000F0573" w:rsidRPr="00A85CB8">
        <w:t>Year</w:t>
      </w:r>
      <w:r w:rsidR="00624559" w:rsidRPr="00A85CB8">
        <w:t>ly</w:t>
      </w:r>
      <w:r w:rsidR="000F0573" w:rsidRPr="00A85CB8">
        <w:t xml:space="preserve"> Review.</w:t>
      </w:r>
      <w:r w:rsidR="002F3BE0" w:rsidRPr="00A85CB8">
        <w:t xml:space="preserve"> Over the four</w:t>
      </w:r>
      <w:r w:rsidR="5CB322A0" w:rsidRPr="00A85CB8">
        <w:t xml:space="preserve"> </w:t>
      </w:r>
      <w:r w:rsidR="000B4B77" w:rsidRPr="00A85CB8">
        <w:t>years</w:t>
      </w:r>
      <w:r w:rsidR="002F3BE0" w:rsidRPr="00A85CB8">
        <w:t xml:space="preserve"> to 202</w:t>
      </w:r>
      <w:r w:rsidR="00A85CB8">
        <w:t>5</w:t>
      </w:r>
      <w:r w:rsidR="002F3BE0" w:rsidRPr="00A85CB8">
        <w:t>-2</w:t>
      </w:r>
      <w:r w:rsidR="00A85CB8">
        <w:t>6</w:t>
      </w:r>
      <w:r w:rsidR="002F3BE0" w:rsidRPr="00A85CB8">
        <w:t xml:space="preserve">, taxation revenue </w:t>
      </w:r>
      <w:r w:rsidR="00F3643D" w:rsidRPr="00A85CB8">
        <w:t>has been revised upward</w:t>
      </w:r>
      <w:r w:rsidR="007B0993" w:rsidRPr="00A85CB8">
        <w:t>s</w:t>
      </w:r>
      <w:r w:rsidR="00F3643D" w:rsidRPr="00A85CB8">
        <w:t xml:space="preserve"> by </w:t>
      </w:r>
      <w:r w:rsidR="006B5B4E" w:rsidRPr="00590FFD">
        <w:t>$</w:t>
      </w:r>
      <w:r w:rsidR="00590FFD" w:rsidRPr="00590FFD">
        <w:t>5</w:t>
      </w:r>
      <w:r w:rsidR="001E6322" w:rsidRPr="00590FFD">
        <w:t>.</w:t>
      </w:r>
      <w:r w:rsidR="00590FFD" w:rsidRPr="00590FFD">
        <w:t>8</w:t>
      </w:r>
      <w:r w:rsidR="006B5B4E" w:rsidRPr="00590FFD">
        <w:t xml:space="preserve"> billion</w:t>
      </w:r>
      <w:r w:rsidR="00B21A6B" w:rsidRPr="00A85CB8">
        <w:t xml:space="preserve"> </w:t>
      </w:r>
      <w:r w:rsidR="00B21A6B" w:rsidRPr="00A85CB8">
        <w:rPr>
          <w:rFonts w:eastAsiaTheme="minorEastAsia"/>
        </w:rPr>
        <w:t>(</w:t>
      </w:r>
      <w:r w:rsidR="001E6322" w:rsidRPr="00590FFD">
        <w:rPr>
          <w:rFonts w:eastAsiaTheme="minorEastAsia"/>
        </w:rPr>
        <w:t>3.</w:t>
      </w:r>
      <w:r w:rsidR="00D22233">
        <w:rPr>
          <w:rFonts w:eastAsiaTheme="minorEastAsia"/>
        </w:rPr>
        <w:t>6</w:t>
      </w:r>
      <w:r w:rsidR="00D22233" w:rsidRPr="00590FFD">
        <w:rPr>
          <w:rFonts w:eastAsiaTheme="minorEastAsia"/>
        </w:rPr>
        <w:t> </w:t>
      </w:r>
      <w:r w:rsidR="00B21A6B" w:rsidRPr="00590FFD">
        <w:rPr>
          <w:rFonts w:eastAsiaTheme="minorEastAsia"/>
        </w:rPr>
        <w:t>per</w:t>
      </w:r>
      <w:r w:rsidR="00A166C5" w:rsidRPr="00590FFD">
        <w:rPr>
          <w:rFonts w:eastAsiaTheme="minorEastAsia"/>
        </w:rPr>
        <w:t> </w:t>
      </w:r>
      <w:r w:rsidR="00B21A6B" w:rsidRPr="00590FFD">
        <w:rPr>
          <w:rFonts w:eastAsiaTheme="minorEastAsia"/>
        </w:rPr>
        <w:t>cent</w:t>
      </w:r>
      <w:r w:rsidR="00B21A6B" w:rsidRPr="00A85CB8">
        <w:rPr>
          <w:rFonts w:eastAsiaTheme="minorEastAsia"/>
        </w:rPr>
        <w:t>)</w:t>
      </w:r>
      <w:r w:rsidR="006B5B4E" w:rsidRPr="00A85CB8">
        <w:t>.</w:t>
      </w:r>
    </w:p>
    <w:p w14:paraId="54CCD61E" w14:textId="5F749827" w:rsidR="00382204" w:rsidRDefault="00B61553" w:rsidP="003426A4">
      <w:pPr>
        <w:pStyle w:val="BodyText"/>
      </w:pPr>
      <w:r>
        <w:t>Payroll tax is expected to overtake transfer</w:t>
      </w:r>
      <w:r w:rsidR="00382204" w:rsidRPr="00A85CB8">
        <w:t xml:space="preserve"> duty</w:t>
      </w:r>
      <w:r w:rsidR="00382204">
        <w:t xml:space="preserve"> </w:t>
      </w:r>
      <w:r>
        <w:t>as</w:t>
      </w:r>
      <w:r w:rsidR="00382204">
        <w:t xml:space="preserve"> the largest source of taxation revenue</w:t>
      </w:r>
      <w:r>
        <w:t xml:space="preserve"> from 2022-23 due to the weakness</w:t>
      </w:r>
      <w:r w:rsidRPr="00B61553">
        <w:t xml:space="preserve"> in the residential property market</w:t>
      </w:r>
      <w:r>
        <w:t>. Payroll tax is expected to account for 2</w:t>
      </w:r>
      <w:r w:rsidR="0020705B">
        <w:t>7</w:t>
      </w:r>
      <w:r>
        <w:t>.</w:t>
      </w:r>
      <w:r w:rsidR="0020705B">
        <w:t>9</w:t>
      </w:r>
      <w:r w:rsidR="00382204">
        <w:t xml:space="preserve"> per cent </w:t>
      </w:r>
      <w:r>
        <w:t>of taxation revenue in 202</w:t>
      </w:r>
      <w:r w:rsidR="00144400">
        <w:t>2</w:t>
      </w:r>
      <w:r>
        <w:t>-2</w:t>
      </w:r>
      <w:r w:rsidR="00144400">
        <w:t>3</w:t>
      </w:r>
      <w:r>
        <w:t>, while transfer duty is expected</w:t>
      </w:r>
      <w:r w:rsidR="00382204" w:rsidRPr="00382204">
        <w:t xml:space="preserve"> to account for </w:t>
      </w:r>
      <w:r>
        <w:t>27.</w:t>
      </w:r>
      <w:r w:rsidR="002C21A5">
        <w:t>3</w:t>
      </w:r>
      <w:r w:rsidR="00382204">
        <w:t xml:space="preserve"> per cent</w:t>
      </w:r>
      <w:r w:rsidR="00DE7F5E">
        <w:t xml:space="preserve">. </w:t>
      </w:r>
      <w:r>
        <w:t xml:space="preserve"> </w:t>
      </w:r>
    </w:p>
    <w:p w14:paraId="324D829D" w14:textId="07757272" w:rsidR="009B01AA" w:rsidRPr="00A85CB8" w:rsidRDefault="00DD4064" w:rsidP="002C1EF5">
      <w:pPr>
        <w:pStyle w:val="Table4X"/>
      </w:pPr>
      <w:r w:rsidRPr="00A85CB8">
        <w:t>General government sector – summary of taxation revenue</w:t>
      </w:r>
      <w:r w:rsidR="000653F6">
        <w:t xml:space="preserve"> </w:t>
      </w:r>
    </w:p>
    <w:tbl>
      <w:tblPr>
        <w:tblW w:w="9800" w:type="dxa"/>
        <w:tblLook w:val="04A0" w:firstRow="1" w:lastRow="0" w:firstColumn="1" w:lastColumn="0" w:noHBand="0" w:noVBand="1"/>
        <w:tblCaption w:val="Table 4.4: General government sector – summary of taxation revenue "/>
        <w:tblDescription w:val="Table 4.4: General government sector – summary of taxation revenue "/>
      </w:tblPr>
      <w:tblGrid>
        <w:gridCol w:w="3301"/>
        <w:gridCol w:w="896"/>
        <w:gridCol w:w="896"/>
        <w:gridCol w:w="896"/>
        <w:gridCol w:w="896"/>
        <w:gridCol w:w="896"/>
        <w:gridCol w:w="896"/>
        <w:gridCol w:w="1123"/>
      </w:tblGrid>
      <w:tr w:rsidR="00894EC0" w:rsidRPr="00181B97" w14:paraId="76CF413C" w14:textId="77777777" w:rsidTr="0064217C">
        <w:trPr>
          <w:trHeight w:val="360"/>
        </w:trPr>
        <w:tc>
          <w:tcPr>
            <w:tcW w:w="3301" w:type="dxa"/>
            <w:tcBorders>
              <w:top w:val="nil"/>
              <w:left w:val="nil"/>
              <w:bottom w:val="nil"/>
              <w:right w:val="nil"/>
            </w:tcBorders>
            <w:shd w:val="clear" w:color="000000" w:fill="008EBA"/>
            <w:vAlign w:val="center"/>
            <w:hideMark/>
          </w:tcPr>
          <w:p w14:paraId="3FF59A77" w14:textId="77777777" w:rsidR="00894EC0" w:rsidRPr="00181B97" w:rsidRDefault="00894EC0" w:rsidP="0064217C">
            <w:pPr>
              <w:jc w:val="center"/>
              <w:rPr>
                <w:rFonts w:ascii="Arial" w:hAnsi="Arial" w:cs="Arial"/>
                <w:i/>
                <w:iCs/>
                <w:color w:val="FFFFFF"/>
                <w:sz w:val="16"/>
                <w:szCs w:val="16"/>
                <w:lang w:eastAsia="en-AU"/>
              </w:rPr>
            </w:pPr>
            <w:r w:rsidRPr="00181B97">
              <w:rPr>
                <w:rFonts w:ascii="Arial" w:hAnsi="Arial" w:cs="Arial"/>
                <w:i/>
                <w:iCs/>
                <w:color w:val="FFFFFF"/>
                <w:sz w:val="16"/>
                <w:szCs w:val="16"/>
                <w:lang w:eastAsia="en-AU"/>
              </w:rPr>
              <w:t> </w:t>
            </w:r>
          </w:p>
        </w:tc>
        <w:tc>
          <w:tcPr>
            <w:tcW w:w="896" w:type="dxa"/>
            <w:tcBorders>
              <w:top w:val="nil"/>
              <w:left w:val="nil"/>
              <w:bottom w:val="nil"/>
              <w:right w:val="nil"/>
            </w:tcBorders>
            <w:shd w:val="clear" w:color="000000" w:fill="008EBA"/>
            <w:noWrap/>
            <w:vAlign w:val="bottom"/>
            <w:hideMark/>
          </w:tcPr>
          <w:p w14:paraId="4C33A93C" w14:textId="77777777" w:rsidR="00894EC0" w:rsidRPr="00181B97" w:rsidRDefault="00894EC0" w:rsidP="0064217C">
            <w:pPr>
              <w:jc w:val="center"/>
              <w:rPr>
                <w:rFonts w:ascii="Arial" w:hAnsi="Arial" w:cs="Arial"/>
                <w:color w:val="FFFFFF"/>
                <w:sz w:val="16"/>
                <w:szCs w:val="16"/>
                <w:lang w:eastAsia="en-AU"/>
              </w:rPr>
            </w:pPr>
            <w:r w:rsidRPr="00181B97">
              <w:rPr>
                <w:rFonts w:ascii="Arial" w:hAnsi="Arial" w:cs="Arial"/>
                <w:color w:val="FFFFFF"/>
                <w:sz w:val="16"/>
                <w:szCs w:val="16"/>
                <w:lang w:eastAsia="en-AU"/>
              </w:rPr>
              <w:t>2020-21</w:t>
            </w:r>
          </w:p>
        </w:tc>
        <w:tc>
          <w:tcPr>
            <w:tcW w:w="896" w:type="dxa"/>
            <w:tcBorders>
              <w:top w:val="nil"/>
              <w:left w:val="nil"/>
              <w:bottom w:val="nil"/>
              <w:right w:val="nil"/>
            </w:tcBorders>
            <w:shd w:val="clear" w:color="000000" w:fill="008EBA"/>
            <w:noWrap/>
            <w:vAlign w:val="bottom"/>
            <w:hideMark/>
          </w:tcPr>
          <w:p w14:paraId="74F0531D" w14:textId="77777777" w:rsidR="00894EC0" w:rsidRPr="00181B97" w:rsidRDefault="00894EC0" w:rsidP="0064217C">
            <w:pPr>
              <w:jc w:val="center"/>
              <w:rPr>
                <w:rFonts w:ascii="Arial" w:hAnsi="Arial" w:cs="Arial"/>
                <w:color w:val="FFFFFF"/>
                <w:sz w:val="16"/>
                <w:szCs w:val="16"/>
                <w:lang w:eastAsia="en-AU"/>
              </w:rPr>
            </w:pPr>
            <w:r w:rsidRPr="00181B97">
              <w:rPr>
                <w:rFonts w:ascii="Arial" w:hAnsi="Arial" w:cs="Arial"/>
                <w:color w:val="FFFFFF"/>
                <w:sz w:val="16"/>
                <w:szCs w:val="16"/>
                <w:lang w:eastAsia="en-AU"/>
              </w:rPr>
              <w:t>2021-22</w:t>
            </w:r>
          </w:p>
        </w:tc>
        <w:tc>
          <w:tcPr>
            <w:tcW w:w="896" w:type="dxa"/>
            <w:tcBorders>
              <w:top w:val="nil"/>
              <w:left w:val="nil"/>
              <w:bottom w:val="nil"/>
              <w:right w:val="nil"/>
            </w:tcBorders>
            <w:shd w:val="clear" w:color="000000" w:fill="008EBA"/>
            <w:noWrap/>
            <w:vAlign w:val="bottom"/>
            <w:hideMark/>
          </w:tcPr>
          <w:p w14:paraId="42B16417" w14:textId="77777777" w:rsidR="00894EC0" w:rsidRPr="00181B97" w:rsidRDefault="00894EC0" w:rsidP="0064217C">
            <w:pPr>
              <w:jc w:val="center"/>
              <w:rPr>
                <w:rFonts w:ascii="Arial" w:hAnsi="Arial" w:cs="Arial"/>
                <w:color w:val="FFFFFF"/>
                <w:sz w:val="16"/>
                <w:szCs w:val="16"/>
                <w:lang w:eastAsia="en-AU"/>
              </w:rPr>
            </w:pPr>
            <w:r w:rsidRPr="00181B97">
              <w:rPr>
                <w:rFonts w:ascii="Arial" w:hAnsi="Arial" w:cs="Arial"/>
                <w:color w:val="FFFFFF"/>
                <w:sz w:val="16"/>
                <w:szCs w:val="16"/>
                <w:lang w:eastAsia="en-AU"/>
              </w:rPr>
              <w:t>2022-23</w:t>
            </w:r>
          </w:p>
        </w:tc>
        <w:tc>
          <w:tcPr>
            <w:tcW w:w="896" w:type="dxa"/>
            <w:tcBorders>
              <w:top w:val="nil"/>
              <w:left w:val="nil"/>
              <w:bottom w:val="nil"/>
              <w:right w:val="nil"/>
            </w:tcBorders>
            <w:shd w:val="clear" w:color="000000" w:fill="008EBA"/>
            <w:noWrap/>
            <w:vAlign w:val="bottom"/>
            <w:hideMark/>
          </w:tcPr>
          <w:p w14:paraId="2A599734" w14:textId="77777777" w:rsidR="00894EC0" w:rsidRPr="00181B97" w:rsidRDefault="00894EC0" w:rsidP="0064217C">
            <w:pPr>
              <w:jc w:val="center"/>
              <w:rPr>
                <w:rFonts w:ascii="Arial" w:hAnsi="Arial" w:cs="Arial"/>
                <w:color w:val="FFFFFF"/>
                <w:sz w:val="16"/>
                <w:szCs w:val="16"/>
                <w:lang w:eastAsia="en-AU"/>
              </w:rPr>
            </w:pPr>
            <w:r w:rsidRPr="00181B97">
              <w:rPr>
                <w:rFonts w:ascii="Arial" w:hAnsi="Arial" w:cs="Arial"/>
                <w:color w:val="FFFFFF"/>
                <w:sz w:val="16"/>
                <w:szCs w:val="16"/>
                <w:lang w:eastAsia="en-AU"/>
              </w:rPr>
              <w:t>2023-24</w:t>
            </w:r>
          </w:p>
        </w:tc>
        <w:tc>
          <w:tcPr>
            <w:tcW w:w="896" w:type="dxa"/>
            <w:tcBorders>
              <w:top w:val="nil"/>
              <w:left w:val="nil"/>
              <w:bottom w:val="nil"/>
              <w:right w:val="nil"/>
            </w:tcBorders>
            <w:shd w:val="clear" w:color="000000" w:fill="008EBA"/>
            <w:noWrap/>
            <w:vAlign w:val="bottom"/>
            <w:hideMark/>
          </w:tcPr>
          <w:p w14:paraId="4A0A7F5B" w14:textId="77777777" w:rsidR="00894EC0" w:rsidRPr="00181B97" w:rsidRDefault="00894EC0" w:rsidP="0064217C">
            <w:pPr>
              <w:jc w:val="center"/>
              <w:rPr>
                <w:rFonts w:ascii="Arial" w:hAnsi="Arial" w:cs="Arial"/>
                <w:color w:val="FFFFFF"/>
                <w:sz w:val="16"/>
                <w:szCs w:val="16"/>
                <w:lang w:eastAsia="en-AU"/>
              </w:rPr>
            </w:pPr>
            <w:r w:rsidRPr="00181B97">
              <w:rPr>
                <w:rFonts w:ascii="Arial" w:hAnsi="Arial" w:cs="Arial"/>
                <w:color w:val="FFFFFF"/>
                <w:sz w:val="16"/>
                <w:szCs w:val="16"/>
                <w:lang w:eastAsia="en-AU"/>
              </w:rPr>
              <w:t>2024-25</w:t>
            </w:r>
          </w:p>
        </w:tc>
        <w:tc>
          <w:tcPr>
            <w:tcW w:w="896" w:type="dxa"/>
            <w:tcBorders>
              <w:top w:val="nil"/>
              <w:left w:val="nil"/>
              <w:bottom w:val="nil"/>
              <w:right w:val="nil"/>
            </w:tcBorders>
            <w:shd w:val="clear" w:color="000000" w:fill="008EBA"/>
            <w:noWrap/>
            <w:vAlign w:val="bottom"/>
            <w:hideMark/>
          </w:tcPr>
          <w:p w14:paraId="0FC49B41" w14:textId="77777777" w:rsidR="00894EC0" w:rsidRPr="00181B97" w:rsidRDefault="00894EC0" w:rsidP="0064217C">
            <w:pPr>
              <w:jc w:val="center"/>
              <w:rPr>
                <w:rFonts w:ascii="Arial" w:hAnsi="Arial" w:cs="Arial"/>
                <w:color w:val="FFFFFF"/>
                <w:sz w:val="16"/>
                <w:szCs w:val="16"/>
                <w:lang w:eastAsia="en-AU"/>
              </w:rPr>
            </w:pPr>
            <w:r w:rsidRPr="00181B97">
              <w:rPr>
                <w:rFonts w:ascii="Arial" w:hAnsi="Arial" w:cs="Arial"/>
                <w:color w:val="FFFFFF"/>
                <w:sz w:val="16"/>
                <w:szCs w:val="16"/>
                <w:lang w:eastAsia="en-AU"/>
              </w:rPr>
              <w:t>2025-26</w:t>
            </w:r>
          </w:p>
        </w:tc>
        <w:tc>
          <w:tcPr>
            <w:tcW w:w="1123" w:type="dxa"/>
            <w:vMerge w:val="restart"/>
            <w:tcBorders>
              <w:top w:val="nil"/>
              <w:left w:val="nil"/>
              <w:bottom w:val="nil"/>
              <w:right w:val="nil"/>
            </w:tcBorders>
            <w:shd w:val="clear" w:color="000000" w:fill="4F4F4F"/>
            <w:vAlign w:val="center"/>
            <w:hideMark/>
          </w:tcPr>
          <w:p w14:paraId="0484D440" w14:textId="77777777" w:rsidR="00894EC0" w:rsidRPr="00181B97" w:rsidRDefault="00894EC0" w:rsidP="0064217C">
            <w:pPr>
              <w:jc w:val="center"/>
              <w:rPr>
                <w:rFonts w:ascii="Arial" w:hAnsi="Arial" w:cs="Arial"/>
                <w:color w:val="FFFFFF"/>
                <w:sz w:val="16"/>
                <w:szCs w:val="16"/>
                <w:lang w:eastAsia="en-AU"/>
              </w:rPr>
            </w:pPr>
            <w:r w:rsidRPr="00181B97">
              <w:rPr>
                <w:rFonts w:ascii="Arial" w:hAnsi="Arial" w:cs="Arial"/>
                <w:color w:val="FFFFFF"/>
                <w:sz w:val="16"/>
                <w:szCs w:val="16"/>
                <w:lang w:eastAsia="en-AU"/>
              </w:rPr>
              <w:t>% Average growth p.a. 2021-22 to 2025-26</w:t>
            </w:r>
          </w:p>
        </w:tc>
      </w:tr>
      <w:tr w:rsidR="00894EC0" w:rsidRPr="00181B97" w14:paraId="6B194196" w14:textId="77777777" w:rsidTr="0064217C">
        <w:trPr>
          <w:trHeight w:val="315"/>
        </w:trPr>
        <w:tc>
          <w:tcPr>
            <w:tcW w:w="3301" w:type="dxa"/>
            <w:tcBorders>
              <w:top w:val="nil"/>
              <w:left w:val="nil"/>
              <w:bottom w:val="nil"/>
              <w:right w:val="nil"/>
            </w:tcBorders>
            <w:shd w:val="clear" w:color="000000" w:fill="008EBA"/>
            <w:vAlign w:val="bottom"/>
            <w:hideMark/>
          </w:tcPr>
          <w:p w14:paraId="08069E86" w14:textId="77777777" w:rsidR="00894EC0" w:rsidRPr="00181B97" w:rsidRDefault="00894EC0" w:rsidP="0064217C">
            <w:pPr>
              <w:jc w:val="center"/>
              <w:rPr>
                <w:rFonts w:ascii="Arial" w:hAnsi="Arial" w:cs="Arial"/>
                <w:i/>
                <w:iCs/>
                <w:color w:val="FFFFFF"/>
                <w:sz w:val="16"/>
                <w:szCs w:val="16"/>
                <w:lang w:eastAsia="en-AU"/>
              </w:rPr>
            </w:pPr>
            <w:r w:rsidRPr="00181B97">
              <w:rPr>
                <w:rFonts w:ascii="Arial" w:hAnsi="Arial" w:cs="Arial"/>
                <w:i/>
                <w:iCs/>
                <w:color w:val="FFFFFF"/>
                <w:sz w:val="16"/>
                <w:szCs w:val="16"/>
                <w:lang w:eastAsia="en-AU"/>
              </w:rPr>
              <w:t> </w:t>
            </w:r>
          </w:p>
        </w:tc>
        <w:tc>
          <w:tcPr>
            <w:tcW w:w="896" w:type="dxa"/>
            <w:tcBorders>
              <w:top w:val="nil"/>
              <w:left w:val="nil"/>
              <w:bottom w:val="nil"/>
              <w:right w:val="nil"/>
            </w:tcBorders>
            <w:shd w:val="clear" w:color="000000" w:fill="008EBA"/>
            <w:vAlign w:val="center"/>
            <w:hideMark/>
          </w:tcPr>
          <w:p w14:paraId="00FC3ABF" w14:textId="77777777" w:rsidR="00894EC0" w:rsidRPr="00181B97" w:rsidRDefault="00894EC0" w:rsidP="0064217C">
            <w:pPr>
              <w:jc w:val="center"/>
              <w:rPr>
                <w:rFonts w:ascii="Arial" w:hAnsi="Arial" w:cs="Arial"/>
                <w:color w:val="FFFFFF"/>
                <w:sz w:val="16"/>
                <w:szCs w:val="16"/>
                <w:lang w:eastAsia="en-AU"/>
              </w:rPr>
            </w:pPr>
            <w:r w:rsidRPr="00181B97">
              <w:rPr>
                <w:rFonts w:ascii="Arial" w:hAnsi="Arial" w:cs="Arial"/>
                <w:color w:val="FFFFFF"/>
                <w:sz w:val="16"/>
                <w:szCs w:val="16"/>
                <w:lang w:eastAsia="en-AU"/>
              </w:rPr>
              <w:t>Actual</w:t>
            </w:r>
          </w:p>
        </w:tc>
        <w:tc>
          <w:tcPr>
            <w:tcW w:w="896" w:type="dxa"/>
            <w:tcBorders>
              <w:top w:val="nil"/>
              <w:left w:val="nil"/>
              <w:bottom w:val="nil"/>
              <w:right w:val="nil"/>
            </w:tcBorders>
            <w:shd w:val="clear" w:color="000000" w:fill="008EBA"/>
            <w:vAlign w:val="center"/>
            <w:hideMark/>
          </w:tcPr>
          <w:p w14:paraId="67667079" w14:textId="77777777" w:rsidR="00894EC0" w:rsidRPr="00181B97" w:rsidRDefault="00894EC0" w:rsidP="0064217C">
            <w:pPr>
              <w:jc w:val="center"/>
              <w:rPr>
                <w:rFonts w:ascii="Arial" w:hAnsi="Arial" w:cs="Arial"/>
                <w:color w:val="FFFFFF"/>
                <w:sz w:val="16"/>
                <w:szCs w:val="16"/>
                <w:lang w:eastAsia="en-AU"/>
              </w:rPr>
            </w:pPr>
            <w:r w:rsidRPr="00181B97">
              <w:rPr>
                <w:rFonts w:ascii="Arial" w:hAnsi="Arial" w:cs="Arial"/>
                <w:color w:val="FFFFFF"/>
                <w:sz w:val="16"/>
                <w:szCs w:val="16"/>
                <w:lang w:eastAsia="en-AU"/>
              </w:rPr>
              <w:t>Revised</w:t>
            </w:r>
          </w:p>
        </w:tc>
        <w:tc>
          <w:tcPr>
            <w:tcW w:w="896" w:type="dxa"/>
            <w:tcBorders>
              <w:top w:val="nil"/>
              <w:left w:val="nil"/>
              <w:bottom w:val="nil"/>
              <w:right w:val="nil"/>
            </w:tcBorders>
            <w:shd w:val="clear" w:color="000000" w:fill="008EBA"/>
            <w:vAlign w:val="center"/>
            <w:hideMark/>
          </w:tcPr>
          <w:p w14:paraId="5FF5CFE9" w14:textId="77777777" w:rsidR="00894EC0" w:rsidRPr="00181B97" w:rsidRDefault="00894EC0" w:rsidP="0064217C">
            <w:pPr>
              <w:jc w:val="center"/>
              <w:rPr>
                <w:rFonts w:ascii="Arial" w:hAnsi="Arial" w:cs="Arial"/>
                <w:color w:val="FFFFFF"/>
                <w:sz w:val="16"/>
                <w:szCs w:val="16"/>
                <w:lang w:eastAsia="en-AU"/>
              </w:rPr>
            </w:pPr>
            <w:r w:rsidRPr="00181B97">
              <w:rPr>
                <w:rFonts w:ascii="Arial" w:hAnsi="Arial" w:cs="Arial"/>
                <w:color w:val="FFFFFF"/>
                <w:sz w:val="16"/>
                <w:szCs w:val="16"/>
                <w:lang w:eastAsia="en-AU"/>
              </w:rPr>
              <w:t>Budget</w:t>
            </w:r>
          </w:p>
        </w:tc>
        <w:tc>
          <w:tcPr>
            <w:tcW w:w="2688" w:type="dxa"/>
            <w:gridSpan w:val="3"/>
            <w:tcBorders>
              <w:top w:val="nil"/>
              <w:left w:val="nil"/>
              <w:bottom w:val="nil"/>
              <w:right w:val="nil"/>
            </w:tcBorders>
            <w:shd w:val="clear" w:color="000000" w:fill="008EBA"/>
            <w:vAlign w:val="center"/>
            <w:hideMark/>
          </w:tcPr>
          <w:p w14:paraId="74360FE8" w14:textId="77777777" w:rsidR="00894EC0" w:rsidRPr="00181B97" w:rsidRDefault="00894EC0" w:rsidP="0064217C">
            <w:pPr>
              <w:jc w:val="center"/>
              <w:rPr>
                <w:rFonts w:ascii="Arial" w:hAnsi="Arial" w:cs="Arial"/>
                <w:color w:val="FFFFFF"/>
                <w:sz w:val="16"/>
                <w:szCs w:val="16"/>
                <w:lang w:eastAsia="en-AU"/>
              </w:rPr>
            </w:pPr>
            <w:r w:rsidRPr="00181B97">
              <w:rPr>
                <w:rFonts w:ascii="Arial" w:hAnsi="Arial" w:cs="Arial"/>
                <w:color w:val="FFFFFF"/>
                <w:sz w:val="16"/>
                <w:szCs w:val="16"/>
                <w:lang w:eastAsia="en-AU"/>
              </w:rPr>
              <w:t>Forward Estimates</w:t>
            </w:r>
          </w:p>
        </w:tc>
        <w:tc>
          <w:tcPr>
            <w:tcW w:w="1123" w:type="dxa"/>
            <w:vMerge/>
            <w:tcBorders>
              <w:top w:val="nil"/>
              <w:left w:val="nil"/>
              <w:bottom w:val="nil"/>
              <w:right w:val="nil"/>
            </w:tcBorders>
            <w:vAlign w:val="center"/>
            <w:hideMark/>
          </w:tcPr>
          <w:p w14:paraId="590D378F" w14:textId="77777777" w:rsidR="00894EC0" w:rsidRPr="00181B97" w:rsidRDefault="00894EC0" w:rsidP="0064217C">
            <w:pPr>
              <w:rPr>
                <w:rFonts w:ascii="Arial" w:hAnsi="Arial" w:cs="Arial"/>
                <w:color w:val="FFFFFF"/>
                <w:sz w:val="16"/>
                <w:szCs w:val="16"/>
                <w:lang w:eastAsia="en-AU"/>
              </w:rPr>
            </w:pPr>
          </w:p>
        </w:tc>
      </w:tr>
      <w:tr w:rsidR="00894EC0" w:rsidRPr="00181B97" w14:paraId="5919D0BB" w14:textId="77777777" w:rsidTr="0064217C">
        <w:trPr>
          <w:trHeight w:val="323"/>
        </w:trPr>
        <w:tc>
          <w:tcPr>
            <w:tcW w:w="3301" w:type="dxa"/>
            <w:tcBorders>
              <w:top w:val="nil"/>
              <w:left w:val="nil"/>
              <w:bottom w:val="nil"/>
              <w:right w:val="nil"/>
            </w:tcBorders>
            <w:shd w:val="clear" w:color="000000" w:fill="00426F"/>
            <w:hideMark/>
          </w:tcPr>
          <w:p w14:paraId="42F61320" w14:textId="77777777" w:rsidR="00894EC0" w:rsidRPr="00181B97" w:rsidRDefault="00894EC0" w:rsidP="0064217C">
            <w:pPr>
              <w:jc w:val="center"/>
              <w:rPr>
                <w:rFonts w:ascii="Arial" w:hAnsi="Arial" w:cs="Arial"/>
                <w:color w:val="FFFFFF"/>
                <w:sz w:val="16"/>
                <w:szCs w:val="16"/>
                <w:lang w:eastAsia="en-AU"/>
              </w:rPr>
            </w:pPr>
            <w:r w:rsidRPr="00181B97">
              <w:rPr>
                <w:rFonts w:ascii="Arial" w:hAnsi="Arial" w:cs="Arial"/>
                <w:color w:val="FFFFFF"/>
                <w:sz w:val="16"/>
                <w:szCs w:val="16"/>
                <w:lang w:eastAsia="en-AU"/>
              </w:rPr>
              <w:t> </w:t>
            </w:r>
          </w:p>
        </w:tc>
        <w:tc>
          <w:tcPr>
            <w:tcW w:w="896" w:type="dxa"/>
            <w:tcBorders>
              <w:top w:val="nil"/>
              <w:left w:val="nil"/>
              <w:bottom w:val="nil"/>
              <w:right w:val="nil"/>
            </w:tcBorders>
            <w:shd w:val="clear" w:color="000000" w:fill="00426F"/>
            <w:hideMark/>
          </w:tcPr>
          <w:p w14:paraId="7548815F" w14:textId="77777777" w:rsidR="00894EC0" w:rsidRPr="00181B97" w:rsidRDefault="00894EC0" w:rsidP="0064217C">
            <w:pPr>
              <w:jc w:val="center"/>
              <w:rPr>
                <w:rFonts w:ascii="Arial" w:hAnsi="Arial" w:cs="Arial"/>
                <w:color w:val="FFFFFF"/>
                <w:sz w:val="16"/>
                <w:szCs w:val="16"/>
                <w:lang w:eastAsia="en-AU"/>
              </w:rPr>
            </w:pPr>
            <w:r w:rsidRPr="00181B97">
              <w:rPr>
                <w:rFonts w:ascii="Arial" w:hAnsi="Arial" w:cs="Arial"/>
                <w:color w:val="FFFFFF"/>
                <w:sz w:val="16"/>
                <w:szCs w:val="16"/>
                <w:lang w:eastAsia="en-AU"/>
              </w:rPr>
              <w:t>$m</w:t>
            </w:r>
          </w:p>
        </w:tc>
        <w:tc>
          <w:tcPr>
            <w:tcW w:w="896" w:type="dxa"/>
            <w:tcBorders>
              <w:top w:val="nil"/>
              <w:left w:val="nil"/>
              <w:bottom w:val="single" w:sz="4" w:space="0" w:color="0579B5"/>
              <w:right w:val="nil"/>
            </w:tcBorders>
            <w:shd w:val="clear" w:color="000000" w:fill="00426F"/>
            <w:hideMark/>
          </w:tcPr>
          <w:p w14:paraId="7998160A" w14:textId="77777777" w:rsidR="00894EC0" w:rsidRPr="00181B97" w:rsidRDefault="00894EC0" w:rsidP="0064217C">
            <w:pPr>
              <w:jc w:val="center"/>
              <w:rPr>
                <w:rFonts w:ascii="Arial" w:hAnsi="Arial" w:cs="Arial"/>
                <w:color w:val="FFFFFF"/>
                <w:sz w:val="16"/>
                <w:szCs w:val="16"/>
                <w:lang w:eastAsia="en-AU"/>
              </w:rPr>
            </w:pPr>
            <w:r w:rsidRPr="00181B97">
              <w:rPr>
                <w:rFonts w:ascii="Arial" w:hAnsi="Arial" w:cs="Arial"/>
                <w:color w:val="FFFFFF"/>
                <w:sz w:val="16"/>
                <w:szCs w:val="16"/>
                <w:lang w:eastAsia="en-AU"/>
              </w:rPr>
              <w:t>$m</w:t>
            </w:r>
          </w:p>
        </w:tc>
        <w:tc>
          <w:tcPr>
            <w:tcW w:w="896" w:type="dxa"/>
            <w:tcBorders>
              <w:top w:val="nil"/>
              <w:left w:val="nil"/>
              <w:bottom w:val="single" w:sz="4" w:space="0" w:color="0579B5"/>
              <w:right w:val="nil"/>
            </w:tcBorders>
            <w:shd w:val="clear" w:color="000000" w:fill="00426F"/>
            <w:hideMark/>
          </w:tcPr>
          <w:p w14:paraId="5A9279A3" w14:textId="77777777" w:rsidR="00894EC0" w:rsidRPr="00181B97" w:rsidRDefault="00894EC0" w:rsidP="0064217C">
            <w:pPr>
              <w:jc w:val="center"/>
              <w:rPr>
                <w:rFonts w:ascii="Arial" w:hAnsi="Arial" w:cs="Arial"/>
                <w:color w:val="FFFFFF"/>
                <w:sz w:val="16"/>
                <w:szCs w:val="16"/>
                <w:lang w:eastAsia="en-AU"/>
              </w:rPr>
            </w:pPr>
            <w:r w:rsidRPr="00181B97">
              <w:rPr>
                <w:rFonts w:ascii="Arial" w:hAnsi="Arial" w:cs="Arial"/>
                <w:color w:val="FFFFFF"/>
                <w:sz w:val="16"/>
                <w:szCs w:val="16"/>
                <w:lang w:eastAsia="en-AU"/>
              </w:rPr>
              <w:t>$m</w:t>
            </w:r>
          </w:p>
        </w:tc>
        <w:tc>
          <w:tcPr>
            <w:tcW w:w="896" w:type="dxa"/>
            <w:tcBorders>
              <w:top w:val="nil"/>
              <w:left w:val="nil"/>
              <w:bottom w:val="single" w:sz="4" w:space="0" w:color="0579B5"/>
              <w:right w:val="nil"/>
            </w:tcBorders>
            <w:shd w:val="clear" w:color="000000" w:fill="00426F"/>
            <w:hideMark/>
          </w:tcPr>
          <w:p w14:paraId="405153BB" w14:textId="77777777" w:rsidR="00894EC0" w:rsidRPr="00181B97" w:rsidRDefault="00894EC0" w:rsidP="0064217C">
            <w:pPr>
              <w:jc w:val="center"/>
              <w:rPr>
                <w:rFonts w:ascii="Arial" w:hAnsi="Arial" w:cs="Arial"/>
                <w:color w:val="FFFFFF"/>
                <w:sz w:val="16"/>
                <w:szCs w:val="16"/>
                <w:lang w:eastAsia="en-AU"/>
              </w:rPr>
            </w:pPr>
            <w:r w:rsidRPr="00181B97">
              <w:rPr>
                <w:rFonts w:ascii="Arial" w:hAnsi="Arial" w:cs="Arial"/>
                <w:color w:val="FFFFFF"/>
                <w:sz w:val="16"/>
                <w:szCs w:val="16"/>
                <w:lang w:eastAsia="en-AU"/>
              </w:rPr>
              <w:t>$m</w:t>
            </w:r>
          </w:p>
        </w:tc>
        <w:tc>
          <w:tcPr>
            <w:tcW w:w="896" w:type="dxa"/>
            <w:tcBorders>
              <w:top w:val="nil"/>
              <w:left w:val="nil"/>
              <w:bottom w:val="single" w:sz="4" w:space="0" w:color="0579B5"/>
              <w:right w:val="nil"/>
            </w:tcBorders>
            <w:shd w:val="clear" w:color="000000" w:fill="00426F"/>
            <w:hideMark/>
          </w:tcPr>
          <w:p w14:paraId="0B060DE5" w14:textId="77777777" w:rsidR="00894EC0" w:rsidRPr="00181B97" w:rsidRDefault="00894EC0" w:rsidP="0064217C">
            <w:pPr>
              <w:jc w:val="center"/>
              <w:rPr>
                <w:rFonts w:ascii="Arial" w:hAnsi="Arial" w:cs="Arial"/>
                <w:color w:val="FFFFFF"/>
                <w:sz w:val="16"/>
                <w:szCs w:val="16"/>
                <w:lang w:eastAsia="en-AU"/>
              </w:rPr>
            </w:pPr>
            <w:r w:rsidRPr="00181B97">
              <w:rPr>
                <w:rFonts w:ascii="Arial" w:hAnsi="Arial" w:cs="Arial"/>
                <w:color w:val="FFFFFF"/>
                <w:sz w:val="16"/>
                <w:szCs w:val="16"/>
                <w:lang w:eastAsia="en-AU"/>
              </w:rPr>
              <w:t>$m</w:t>
            </w:r>
          </w:p>
        </w:tc>
        <w:tc>
          <w:tcPr>
            <w:tcW w:w="896" w:type="dxa"/>
            <w:tcBorders>
              <w:top w:val="nil"/>
              <w:left w:val="nil"/>
              <w:bottom w:val="single" w:sz="4" w:space="0" w:color="0579B5"/>
              <w:right w:val="nil"/>
            </w:tcBorders>
            <w:shd w:val="clear" w:color="000000" w:fill="00426F"/>
            <w:hideMark/>
          </w:tcPr>
          <w:p w14:paraId="024FBF52" w14:textId="77777777" w:rsidR="00894EC0" w:rsidRPr="00181B97" w:rsidRDefault="00894EC0" w:rsidP="0064217C">
            <w:pPr>
              <w:jc w:val="center"/>
              <w:rPr>
                <w:rFonts w:ascii="Arial" w:hAnsi="Arial" w:cs="Arial"/>
                <w:color w:val="FFFFFF"/>
                <w:sz w:val="16"/>
                <w:szCs w:val="16"/>
                <w:lang w:eastAsia="en-AU"/>
              </w:rPr>
            </w:pPr>
            <w:r w:rsidRPr="00181B97">
              <w:rPr>
                <w:rFonts w:ascii="Arial" w:hAnsi="Arial" w:cs="Arial"/>
                <w:color w:val="FFFFFF"/>
                <w:sz w:val="16"/>
                <w:szCs w:val="16"/>
                <w:lang w:eastAsia="en-AU"/>
              </w:rPr>
              <w:t>$m</w:t>
            </w:r>
          </w:p>
        </w:tc>
        <w:tc>
          <w:tcPr>
            <w:tcW w:w="1123" w:type="dxa"/>
            <w:vMerge/>
            <w:tcBorders>
              <w:top w:val="nil"/>
              <w:left w:val="nil"/>
              <w:bottom w:val="nil"/>
              <w:right w:val="nil"/>
            </w:tcBorders>
            <w:vAlign w:val="center"/>
            <w:hideMark/>
          </w:tcPr>
          <w:p w14:paraId="486B57F3" w14:textId="77777777" w:rsidR="00894EC0" w:rsidRPr="00181B97" w:rsidRDefault="00894EC0" w:rsidP="0064217C">
            <w:pPr>
              <w:rPr>
                <w:rFonts w:ascii="Arial" w:hAnsi="Arial" w:cs="Arial"/>
                <w:color w:val="FFFFFF"/>
                <w:sz w:val="16"/>
                <w:szCs w:val="16"/>
                <w:lang w:eastAsia="en-AU"/>
              </w:rPr>
            </w:pPr>
          </w:p>
        </w:tc>
      </w:tr>
      <w:tr w:rsidR="00894EC0" w:rsidRPr="00181B97" w14:paraId="79924EFA" w14:textId="77777777" w:rsidTr="0064217C">
        <w:trPr>
          <w:trHeight w:val="199"/>
        </w:trPr>
        <w:tc>
          <w:tcPr>
            <w:tcW w:w="3301" w:type="dxa"/>
            <w:tcBorders>
              <w:top w:val="nil"/>
              <w:left w:val="nil"/>
              <w:bottom w:val="nil"/>
              <w:right w:val="nil"/>
            </w:tcBorders>
            <w:shd w:val="clear" w:color="000000" w:fill="FFFFFF"/>
            <w:vAlign w:val="bottom"/>
            <w:hideMark/>
          </w:tcPr>
          <w:p w14:paraId="4E698367" w14:textId="77777777" w:rsidR="00894EC0" w:rsidRPr="00181B97" w:rsidRDefault="00894EC0" w:rsidP="0064217C">
            <w:pPr>
              <w:rPr>
                <w:rFonts w:ascii="Arial" w:hAnsi="Arial" w:cs="Arial"/>
                <w:b/>
                <w:bCs/>
                <w:sz w:val="16"/>
                <w:szCs w:val="16"/>
                <w:lang w:eastAsia="en-AU"/>
              </w:rPr>
            </w:pPr>
            <w:r w:rsidRPr="00181B97">
              <w:rPr>
                <w:rFonts w:ascii="Arial" w:hAnsi="Arial" w:cs="Arial"/>
                <w:b/>
                <w:bCs/>
                <w:sz w:val="16"/>
                <w:szCs w:val="16"/>
                <w:lang w:eastAsia="en-AU"/>
              </w:rPr>
              <w:t xml:space="preserve">Stamp duties </w:t>
            </w:r>
          </w:p>
        </w:tc>
        <w:tc>
          <w:tcPr>
            <w:tcW w:w="896" w:type="dxa"/>
            <w:tcBorders>
              <w:top w:val="nil"/>
              <w:left w:val="nil"/>
              <w:bottom w:val="nil"/>
              <w:right w:val="nil"/>
            </w:tcBorders>
            <w:shd w:val="clear" w:color="000000" w:fill="FFFFFF"/>
            <w:vAlign w:val="bottom"/>
            <w:hideMark/>
          </w:tcPr>
          <w:p w14:paraId="40E2EEB8" w14:textId="77777777" w:rsidR="00894EC0" w:rsidRPr="00181B97" w:rsidRDefault="00894EC0" w:rsidP="0064217C">
            <w:pPr>
              <w:rPr>
                <w:rFonts w:ascii="Arial" w:hAnsi="Arial" w:cs="Arial"/>
                <w:b/>
                <w:bCs/>
                <w:sz w:val="16"/>
                <w:szCs w:val="16"/>
                <w:lang w:eastAsia="en-AU"/>
              </w:rPr>
            </w:pPr>
            <w:r w:rsidRPr="00181B97">
              <w:rPr>
                <w:rFonts w:ascii="Arial" w:hAnsi="Arial" w:cs="Arial"/>
                <w:b/>
                <w:bCs/>
                <w:sz w:val="16"/>
                <w:szCs w:val="16"/>
                <w:lang w:eastAsia="en-AU"/>
              </w:rPr>
              <w:t> </w:t>
            </w:r>
          </w:p>
        </w:tc>
        <w:tc>
          <w:tcPr>
            <w:tcW w:w="896" w:type="dxa"/>
            <w:tcBorders>
              <w:top w:val="nil"/>
              <w:left w:val="nil"/>
              <w:bottom w:val="nil"/>
              <w:right w:val="nil"/>
            </w:tcBorders>
            <w:shd w:val="clear" w:color="000000" w:fill="FFFFFF"/>
            <w:vAlign w:val="bottom"/>
            <w:hideMark/>
          </w:tcPr>
          <w:p w14:paraId="5CECDCB0" w14:textId="77777777" w:rsidR="00894EC0" w:rsidRPr="00181B97" w:rsidRDefault="00894EC0" w:rsidP="0064217C">
            <w:pPr>
              <w:rPr>
                <w:rFonts w:ascii="Arial" w:hAnsi="Arial" w:cs="Arial"/>
                <w:b/>
                <w:bCs/>
                <w:sz w:val="16"/>
                <w:szCs w:val="16"/>
                <w:lang w:eastAsia="en-AU"/>
              </w:rPr>
            </w:pPr>
            <w:r w:rsidRPr="00181B97">
              <w:rPr>
                <w:rFonts w:ascii="Arial" w:hAnsi="Arial" w:cs="Arial"/>
                <w:b/>
                <w:bCs/>
                <w:sz w:val="16"/>
                <w:szCs w:val="16"/>
                <w:lang w:eastAsia="en-AU"/>
              </w:rPr>
              <w:t> </w:t>
            </w:r>
          </w:p>
        </w:tc>
        <w:tc>
          <w:tcPr>
            <w:tcW w:w="896" w:type="dxa"/>
            <w:tcBorders>
              <w:top w:val="nil"/>
              <w:left w:val="nil"/>
              <w:bottom w:val="nil"/>
              <w:right w:val="nil"/>
            </w:tcBorders>
            <w:shd w:val="clear" w:color="000000" w:fill="F2F2F2"/>
            <w:vAlign w:val="bottom"/>
            <w:hideMark/>
          </w:tcPr>
          <w:p w14:paraId="05DB2F99" w14:textId="77777777" w:rsidR="00894EC0" w:rsidRPr="00181B97" w:rsidRDefault="00894EC0" w:rsidP="0064217C">
            <w:pPr>
              <w:rPr>
                <w:rFonts w:ascii="Arial" w:hAnsi="Arial" w:cs="Arial"/>
                <w:b/>
                <w:bCs/>
                <w:sz w:val="16"/>
                <w:szCs w:val="16"/>
                <w:lang w:eastAsia="en-AU"/>
              </w:rPr>
            </w:pPr>
            <w:r w:rsidRPr="00181B97">
              <w:rPr>
                <w:rFonts w:ascii="Arial" w:hAnsi="Arial" w:cs="Arial"/>
                <w:b/>
                <w:bCs/>
                <w:sz w:val="16"/>
                <w:szCs w:val="16"/>
                <w:lang w:eastAsia="en-AU"/>
              </w:rPr>
              <w:t> </w:t>
            </w:r>
          </w:p>
        </w:tc>
        <w:tc>
          <w:tcPr>
            <w:tcW w:w="896" w:type="dxa"/>
            <w:tcBorders>
              <w:top w:val="nil"/>
              <w:left w:val="nil"/>
              <w:bottom w:val="nil"/>
              <w:right w:val="nil"/>
            </w:tcBorders>
            <w:shd w:val="clear" w:color="000000" w:fill="F2F2F2"/>
            <w:vAlign w:val="bottom"/>
            <w:hideMark/>
          </w:tcPr>
          <w:p w14:paraId="44BDA406" w14:textId="77777777" w:rsidR="00894EC0" w:rsidRPr="00181B97" w:rsidRDefault="00894EC0" w:rsidP="0064217C">
            <w:pPr>
              <w:rPr>
                <w:rFonts w:ascii="Arial" w:hAnsi="Arial" w:cs="Arial"/>
                <w:b/>
                <w:bCs/>
                <w:sz w:val="16"/>
                <w:szCs w:val="16"/>
                <w:lang w:eastAsia="en-AU"/>
              </w:rPr>
            </w:pPr>
            <w:r w:rsidRPr="00181B97">
              <w:rPr>
                <w:rFonts w:ascii="Arial" w:hAnsi="Arial" w:cs="Arial"/>
                <w:b/>
                <w:bCs/>
                <w:sz w:val="16"/>
                <w:szCs w:val="16"/>
                <w:lang w:eastAsia="en-AU"/>
              </w:rPr>
              <w:t> </w:t>
            </w:r>
          </w:p>
        </w:tc>
        <w:tc>
          <w:tcPr>
            <w:tcW w:w="896" w:type="dxa"/>
            <w:tcBorders>
              <w:top w:val="nil"/>
              <w:left w:val="nil"/>
              <w:bottom w:val="nil"/>
              <w:right w:val="nil"/>
            </w:tcBorders>
            <w:shd w:val="clear" w:color="000000" w:fill="F2F2F2"/>
            <w:vAlign w:val="bottom"/>
            <w:hideMark/>
          </w:tcPr>
          <w:p w14:paraId="3A4A50CC" w14:textId="77777777" w:rsidR="00894EC0" w:rsidRPr="00181B97" w:rsidRDefault="00894EC0" w:rsidP="0064217C">
            <w:pPr>
              <w:rPr>
                <w:rFonts w:ascii="Arial" w:hAnsi="Arial" w:cs="Arial"/>
                <w:b/>
                <w:bCs/>
                <w:sz w:val="16"/>
                <w:szCs w:val="16"/>
                <w:lang w:eastAsia="en-AU"/>
              </w:rPr>
            </w:pPr>
            <w:r w:rsidRPr="00181B97">
              <w:rPr>
                <w:rFonts w:ascii="Arial" w:hAnsi="Arial" w:cs="Arial"/>
                <w:b/>
                <w:bCs/>
                <w:sz w:val="16"/>
                <w:szCs w:val="16"/>
                <w:lang w:eastAsia="en-AU"/>
              </w:rPr>
              <w:t> </w:t>
            </w:r>
          </w:p>
        </w:tc>
        <w:tc>
          <w:tcPr>
            <w:tcW w:w="896" w:type="dxa"/>
            <w:tcBorders>
              <w:top w:val="nil"/>
              <w:left w:val="nil"/>
              <w:bottom w:val="nil"/>
              <w:right w:val="nil"/>
            </w:tcBorders>
            <w:shd w:val="clear" w:color="000000" w:fill="F2F2F2"/>
            <w:vAlign w:val="bottom"/>
            <w:hideMark/>
          </w:tcPr>
          <w:p w14:paraId="500A7B0C" w14:textId="77777777" w:rsidR="00894EC0" w:rsidRPr="00181B97" w:rsidRDefault="00894EC0" w:rsidP="0064217C">
            <w:pPr>
              <w:rPr>
                <w:rFonts w:ascii="Arial" w:hAnsi="Arial" w:cs="Arial"/>
                <w:b/>
                <w:bCs/>
                <w:sz w:val="16"/>
                <w:szCs w:val="16"/>
                <w:lang w:eastAsia="en-AU"/>
              </w:rPr>
            </w:pPr>
            <w:r w:rsidRPr="00181B97">
              <w:rPr>
                <w:rFonts w:ascii="Arial" w:hAnsi="Arial" w:cs="Arial"/>
                <w:b/>
                <w:bCs/>
                <w:sz w:val="16"/>
                <w:szCs w:val="16"/>
                <w:lang w:eastAsia="en-AU"/>
              </w:rPr>
              <w:t> </w:t>
            </w:r>
          </w:p>
        </w:tc>
        <w:tc>
          <w:tcPr>
            <w:tcW w:w="1123" w:type="dxa"/>
            <w:tcBorders>
              <w:top w:val="nil"/>
              <w:left w:val="nil"/>
              <w:bottom w:val="nil"/>
              <w:right w:val="nil"/>
            </w:tcBorders>
            <w:shd w:val="clear" w:color="000000" w:fill="FFFFFF"/>
            <w:vAlign w:val="bottom"/>
            <w:hideMark/>
          </w:tcPr>
          <w:p w14:paraId="3D1F6C80" w14:textId="77777777" w:rsidR="00894EC0" w:rsidRPr="00181B97" w:rsidRDefault="00894EC0" w:rsidP="0064217C">
            <w:pPr>
              <w:rPr>
                <w:rFonts w:ascii="Arial" w:hAnsi="Arial" w:cs="Arial"/>
                <w:b/>
                <w:bCs/>
                <w:sz w:val="16"/>
                <w:szCs w:val="16"/>
                <w:lang w:eastAsia="en-AU"/>
              </w:rPr>
            </w:pPr>
            <w:r w:rsidRPr="00181B97">
              <w:rPr>
                <w:rFonts w:ascii="Arial" w:hAnsi="Arial" w:cs="Arial"/>
                <w:b/>
                <w:bCs/>
                <w:sz w:val="16"/>
                <w:szCs w:val="16"/>
                <w:lang w:eastAsia="en-AU"/>
              </w:rPr>
              <w:t> </w:t>
            </w:r>
          </w:p>
        </w:tc>
      </w:tr>
      <w:tr w:rsidR="00894EC0" w:rsidRPr="00181B97" w14:paraId="521A9248" w14:textId="77777777" w:rsidTr="0064217C">
        <w:trPr>
          <w:trHeight w:val="199"/>
        </w:trPr>
        <w:tc>
          <w:tcPr>
            <w:tcW w:w="3301" w:type="dxa"/>
            <w:tcBorders>
              <w:top w:val="nil"/>
              <w:left w:val="nil"/>
              <w:bottom w:val="nil"/>
              <w:right w:val="nil"/>
            </w:tcBorders>
            <w:shd w:val="clear" w:color="000000" w:fill="FFFFFF"/>
            <w:noWrap/>
            <w:vAlign w:val="center"/>
            <w:hideMark/>
          </w:tcPr>
          <w:p w14:paraId="7CECBCE9" w14:textId="77777777" w:rsidR="00894EC0" w:rsidRPr="00181B97" w:rsidRDefault="00894EC0" w:rsidP="0064217C">
            <w:pPr>
              <w:rPr>
                <w:rFonts w:ascii="Arial" w:hAnsi="Arial" w:cs="Arial"/>
                <w:sz w:val="16"/>
                <w:szCs w:val="16"/>
                <w:lang w:eastAsia="en-AU"/>
              </w:rPr>
            </w:pPr>
            <w:r w:rsidRPr="00181B97">
              <w:rPr>
                <w:rFonts w:ascii="Arial" w:hAnsi="Arial" w:cs="Arial"/>
                <w:sz w:val="16"/>
                <w:szCs w:val="16"/>
                <w:lang w:eastAsia="en-AU"/>
              </w:rPr>
              <w:t>Transfer duty</w:t>
            </w:r>
          </w:p>
        </w:tc>
        <w:tc>
          <w:tcPr>
            <w:tcW w:w="896" w:type="dxa"/>
            <w:tcBorders>
              <w:top w:val="nil"/>
              <w:left w:val="nil"/>
              <w:bottom w:val="nil"/>
              <w:right w:val="nil"/>
            </w:tcBorders>
            <w:shd w:val="clear" w:color="000000" w:fill="FFFFFF"/>
            <w:noWrap/>
            <w:vAlign w:val="center"/>
            <w:hideMark/>
          </w:tcPr>
          <w:p w14:paraId="21182CA9"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9,608 </w:t>
            </w:r>
          </w:p>
        </w:tc>
        <w:tc>
          <w:tcPr>
            <w:tcW w:w="896" w:type="dxa"/>
            <w:tcBorders>
              <w:top w:val="nil"/>
              <w:left w:val="nil"/>
              <w:bottom w:val="nil"/>
              <w:right w:val="nil"/>
            </w:tcBorders>
            <w:shd w:val="clear" w:color="000000" w:fill="FFFFFF"/>
            <w:noWrap/>
            <w:vAlign w:val="center"/>
            <w:hideMark/>
          </w:tcPr>
          <w:p w14:paraId="3776062B"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14,624 </w:t>
            </w:r>
          </w:p>
        </w:tc>
        <w:tc>
          <w:tcPr>
            <w:tcW w:w="896" w:type="dxa"/>
            <w:tcBorders>
              <w:top w:val="nil"/>
              <w:left w:val="nil"/>
              <w:bottom w:val="nil"/>
              <w:right w:val="nil"/>
            </w:tcBorders>
            <w:shd w:val="clear" w:color="000000" w:fill="F2F2F2"/>
            <w:noWrap/>
            <w:vAlign w:val="center"/>
            <w:hideMark/>
          </w:tcPr>
          <w:p w14:paraId="45D770FE"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10,825 </w:t>
            </w:r>
          </w:p>
        </w:tc>
        <w:tc>
          <w:tcPr>
            <w:tcW w:w="896" w:type="dxa"/>
            <w:tcBorders>
              <w:top w:val="nil"/>
              <w:left w:val="nil"/>
              <w:bottom w:val="nil"/>
              <w:right w:val="nil"/>
            </w:tcBorders>
            <w:shd w:val="clear" w:color="000000" w:fill="F2F2F2"/>
            <w:noWrap/>
            <w:vAlign w:val="center"/>
            <w:hideMark/>
          </w:tcPr>
          <w:p w14:paraId="7516A426"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8,969 </w:t>
            </w:r>
          </w:p>
        </w:tc>
        <w:tc>
          <w:tcPr>
            <w:tcW w:w="896" w:type="dxa"/>
            <w:tcBorders>
              <w:top w:val="nil"/>
              <w:left w:val="nil"/>
              <w:bottom w:val="nil"/>
              <w:right w:val="nil"/>
            </w:tcBorders>
            <w:shd w:val="clear" w:color="000000" w:fill="F2F2F2"/>
            <w:noWrap/>
            <w:vAlign w:val="center"/>
            <w:hideMark/>
          </w:tcPr>
          <w:p w14:paraId="00A44AE2"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9,925 </w:t>
            </w:r>
          </w:p>
        </w:tc>
        <w:tc>
          <w:tcPr>
            <w:tcW w:w="896" w:type="dxa"/>
            <w:tcBorders>
              <w:top w:val="nil"/>
              <w:left w:val="nil"/>
              <w:bottom w:val="nil"/>
              <w:right w:val="nil"/>
            </w:tcBorders>
            <w:shd w:val="clear" w:color="000000" w:fill="F2F2F2"/>
            <w:noWrap/>
            <w:vAlign w:val="center"/>
            <w:hideMark/>
          </w:tcPr>
          <w:p w14:paraId="39D963FE"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10,917 </w:t>
            </w:r>
          </w:p>
        </w:tc>
        <w:tc>
          <w:tcPr>
            <w:tcW w:w="1123" w:type="dxa"/>
            <w:tcBorders>
              <w:top w:val="nil"/>
              <w:left w:val="nil"/>
              <w:bottom w:val="nil"/>
              <w:right w:val="nil"/>
            </w:tcBorders>
            <w:shd w:val="clear" w:color="000000" w:fill="FFFFFF"/>
            <w:noWrap/>
            <w:vAlign w:val="center"/>
            <w:hideMark/>
          </w:tcPr>
          <w:p w14:paraId="63DDE156"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(7.0)</w:t>
            </w:r>
          </w:p>
        </w:tc>
      </w:tr>
      <w:tr w:rsidR="00894EC0" w:rsidRPr="00181B97" w14:paraId="74C7B3B0" w14:textId="77777777" w:rsidTr="0064217C">
        <w:trPr>
          <w:trHeight w:val="199"/>
        </w:trPr>
        <w:tc>
          <w:tcPr>
            <w:tcW w:w="3301" w:type="dxa"/>
            <w:tcBorders>
              <w:top w:val="nil"/>
              <w:left w:val="nil"/>
              <w:bottom w:val="nil"/>
              <w:right w:val="nil"/>
            </w:tcBorders>
            <w:shd w:val="clear" w:color="000000" w:fill="FFFFFF"/>
            <w:noWrap/>
            <w:vAlign w:val="center"/>
            <w:hideMark/>
          </w:tcPr>
          <w:p w14:paraId="606ABF87" w14:textId="77777777" w:rsidR="00894EC0" w:rsidRPr="00181B97" w:rsidRDefault="00894EC0" w:rsidP="0064217C">
            <w:pPr>
              <w:rPr>
                <w:rFonts w:ascii="Arial" w:hAnsi="Arial" w:cs="Arial"/>
                <w:sz w:val="16"/>
                <w:szCs w:val="16"/>
                <w:lang w:eastAsia="en-AU"/>
              </w:rPr>
            </w:pPr>
            <w:r w:rsidRPr="00181B97">
              <w:rPr>
                <w:rFonts w:ascii="Arial" w:hAnsi="Arial" w:cs="Arial"/>
                <w:sz w:val="16"/>
                <w:szCs w:val="16"/>
                <w:lang w:eastAsia="en-AU"/>
              </w:rPr>
              <w:t>Insurance</w:t>
            </w:r>
          </w:p>
        </w:tc>
        <w:tc>
          <w:tcPr>
            <w:tcW w:w="896" w:type="dxa"/>
            <w:tcBorders>
              <w:top w:val="nil"/>
              <w:left w:val="nil"/>
              <w:bottom w:val="nil"/>
              <w:right w:val="nil"/>
            </w:tcBorders>
            <w:shd w:val="clear" w:color="000000" w:fill="FFFFFF"/>
            <w:noWrap/>
            <w:vAlign w:val="center"/>
            <w:hideMark/>
          </w:tcPr>
          <w:p w14:paraId="7A42830B"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1,167 </w:t>
            </w:r>
          </w:p>
        </w:tc>
        <w:tc>
          <w:tcPr>
            <w:tcW w:w="896" w:type="dxa"/>
            <w:tcBorders>
              <w:top w:val="nil"/>
              <w:left w:val="nil"/>
              <w:bottom w:val="nil"/>
              <w:right w:val="nil"/>
            </w:tcBorders>
            <w:shd w:val="clear" w:color="000000" w:fill="FFFFFF"/>
            <w:noWrap/>
            <w:vAlign w:val="center"/>
            <w:hideMark/>
          </w:tcPr>
          <w:p w14:paraId="64AA3780"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1,299 </w:t>
            </w:r>
          </w:p>
        </w:tc>
        <w:tc>
          <w:tcPr>
            <w:tcW w:w="896" w:type="dxa"/>
            <w:tcBorders>
              <w:top w:val="nil"/>
              <w:left w:val="nil"/>
              <w:bottom w:val="nil"/>
              <w:right w:val="nil"/>
            </w:tcBorders>
            <w:shd w:val="clear" w:color="000000" w:fill="F2F2F2"/>
            <w:noWrap/>
            <w:vAlign w:val="center"/>
            <w:hideMark/>
          </w:tcPr>
          <w:p w14:paraId="7120291A"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1,375 </w:t>
            </w:r>
          </w:p>
        </w:tc>
        <w:tc>
          <w:tcPr>
            <w:tcW w:w="896" w:type="dxa"/>
            <w:tcBorders>
              <w:top w:val="nil"/>
              <w:left w:val="nil"/>
              <w:bottom w:val="nil"/>
              <w:right w:val="nil"/>
            </w:tcBorders>
            <w:shd w:val="clear" w:color="000000" w:fill="F2F2F2"/>
            <w:noWrap/>
            <w:vAlign w:val="center"/>
            <w:hideMark/>
          </w:tcPr>
          <w:p w14:paraId="79D5B118"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1,453 </w:t>
            </w:r>
          </w:p>
        </w:tc>
        <w:tc>
          <w:tcPr>
            <w:tcW w:w="896" w:type="dxa"/>
            <w:tcBorders>
              <w:top w:val="nil"/>
              <w:left w:val="nil"/>
              <w:bottom w:val="nil"/>
              <w:right w:val="nil"/>
            </w:tcBorders>
            <w:shd w:val="clear" w:color="000000" w:fill="F2F2F2"/>
            <w:noWrap/>
            <w:vAlign w:val="center"/>
            <w:hideMark/>
          </w:tcPr>
          <w:p w14:paraId="15F7E03B"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1,535 </w:t>
            </w:r>
          </w:p>
        </w:tc>
        <w:tc>
          <w:tcPr>
            <w:tcW w:w="896" w:type="dxa"/>
            <w:tcBorders>
              <w:top w:val="nil"/>
              <w:left w:val="nil"/>
              <w:bottom w:val="nil"/>
              <w:right w:val="nil"/>
            </w:tcBorders>
            <w:shd w:val="clear" w:color="000000" w:fill="F2F2F2"/>
            <w:noWrap/>
            <w:vAlign w:val="center"/>
            <w:hideMark/>
          </w:tcPr>
          <w:p w14:paraId="6161EA4F"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1,622 </w:t>
            </w:r>
          </w:p>
        </w:tc>
        <w:tc>
          <w:tcPr>
            <w:tcW w:w="1123" w:type="dxa"/>
            <w:tcBorders>
              <w:top w:val="nil"/>
              <w:left w:val="nil"/>
              <w:bottom w:val="nil"/>
              <w:right w:val="nil"/>
            </w:tcBorders>
            <w:shd w:val="clear" w:color="000000" w:fill="FFFFFF"/>
            <w:noWrap/>
            <w:vAlign w:val="center"/>
            <w:hideMark/>
          </w:tcPr>
          <w:p w14:paraId="0466BF5B"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5.7</w:t>
            </w:r>
          </w:p>
        </w:tc>
      </w:tr>
      <w:tr w:rsidR="00894EC0" w:rsidRPr="00181B97" w14:paraId="71722873" w14:textId="77777777" w:rsidTr="0064217C">
        <w:trPr>
          <w:trHeight w:val="199"/>
        </w:trPr>
        <w:tc>
          <w:tcPr>
            <w:tcW w:w="3301" w:type="dxa"/>
            <w:tcBorders>
              <w:top w:val="nil"/>
              <w:left w:val="nil"/>
              <w:bottom w:val="nil"/>
              <w:right w:val="nil"/>
            </w:tcBorders>
            <w:shd w:val="clear" w:color="000000" w:fill="FFFFFF"/>
            <w:noWrap/>
            <w:vAlign w:val="center"/>
            <w:hideMark/>
          </w:tcPr>
          <w:p w14:paraId="2C455888" w14:textId="77777777" w:rsidR="00894EC0" w:rsidRPr="00181B97" w:rsidRDefault="00894EC0" w:rsidP="0064217C">
            <w:pPr>
              <w:rPr>
                <w:rFonts w:ascii="Arial" w:hAnsi="Arial" w:cs="Arial"/>
                <w:sz w:val="16"/>
                <w:szCs w:val="16"/>
                <w:lang w:eastAsia="en-AU"/>
              </w:rPr>
            </w:pPr>
            <w:r w:rsidRPr="00181B97">
              <w:rPr>
                <w:rFonts w:ascii="Arial" w:hAnsi="Arial" w:cs="Arial"/>
                <w:sz w:val="16"/>
                <w:szCs w:val="16"/>
                <w:lang w:eastAsia="en-AU"/>
              </w:rPr>
              <w:t xml:space="preserve">Motor vehicles </w:t>
            </w:r>
          </w:p>
        </w:tc>
        <w:tc>
          <w:tcPr>
            <w:tcW w:w="896" w:type="dxa"/>
            <w:tcBorders>
              <w:top w:val="nil"/>
              <w:left w:val="nil"/>
              <w:bottom w:val="nil"/>
              <w:right w:val="nil"/>
            </w:tcBorders>
            <w:shd w:val="clear" w:color="000000" w:fill="FFFFFF"/>
            <w:noWrap/>
            <w:vAlign w:val="center"/>
            <w:hideMark/>
          </w:tcPr>
          <w:p w14:paraId="7B621AF7"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969 </w:t>
            </w:r>
          </w:p>
        </w:tc>
        <w:tc>
          <w:tcPr>
            <w:tcW w:w="896" w:type="dxa"/>
            <w:tcBorders>
              <w:top w:val="nil"/>
              <w:left w:val="nil"/>
              <w:bottom w:val="nil"/>
              <w:right w:val="nil"/>
            </w:tcBorders>
            <w:shd w:val="clear" w:color="000000" w:fill="FFFFFF"/>
            <w:noWrap/>
            <w:vAlign w:val="center"/>
            <w:hideMark/>
          </w:tcPr>
          <w:p w14:paraId="7DB17375"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934 </w:t>
            </w:r>
          </w:p>
        </w:tc>
        <w:tc>
          <w:tcPr>
            <w:tcW w:w="896" w:type="dxa"/>
            <w:tcBorders>
              <w:top w:val="nil"/>
              <w:left w:val="nil"/>
              <w:bottom w:val="nil"/>
              <w:right w:val="nil"/>
            </w:tcBorders>
            <w:shd w:val="clear" w:color="000000" w:fill="F2F2F2"/>
            <w:noWrap/>
            <w:vAlign w:val="center"/>
            <w:hideMark/>
          </w:tcPr>
          <w:p w14:paraId="1BA747EB"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938 </w:t>
            </w:r>
          </w:p>
        </w:tc>
        <w:tc>
          <w:tcPr>
            <w:tcW w:w="896" w:type="dxa"/>
            <w:tcBorders>
              <w:top w:val="nil"/>
              <w:left w:val="nil"/>
              <w:bottom w:val="nil"/>
              <w:right w:val="nil"/>
            </w:tcBorders>
            <w:shd w:val="clear" w:color="000000" w:fill="F2F2F2"/>
            <w:noWrap/>
            <w:vAlign w:val="center"/>
            <w:hideMark/>
          </w:tcPr>
          <w:p w14:paraId="7B7EB1F2"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935 </w:t>
            </w:r>
          </w:p>
        </w:tc>
        <w:tc>
          <w:tcPr>
            <w:tcW w:w="896" w:type="dxa"/>
            <w:tcBorders>
              <w:top w:val="nil"/>
              <w:left w:val="nil"/>
              <w:bottom w:val="nil"/>
              <w:right w:val="nil"/>
            </w:tcBorders>
            <w:shd w:val="clear" w:color="000000" w:fill="F2F2F2"/>
            <w:noWrap/>
            <w:vAlign w:val="center"/>
            <w:hideMark/>
          </w:tcPr>
          <w:p w14:paraId="467D9E3B"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939 </w:t>
            </w:r>
          </w:p>
        </w:tc>
        <w:tc>
          <w:tcPr>
            <w:tcW w:w="896" w:type="dxa"/>
            <w:tcBorders>
              <w:top w:val="nil"/>
              <w:left w:val="nil"/>
              <w:bottom w:val="nil"/>
              <w:right w:val="nil"/>
            </w:tcBorders>
            <w:shd w:val="clear" w:color="000000" w:fill="F2F2F2"/>
            <w:noWrap/>
            <w:vAlign w:val="center"/>
            <w:hideMark/>
          </w:tcPr>
          <w:p w14:paraId="5C2C0716"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980 </w:t>
            </w:r>
          </w:p>
        </w:tc>
        <w:tc>
          <w:tcPr>
            <w:tcW w:w="1123" w:type="dxa"/>
            <w:tcBorders>
              <w:top w:val="nil"/>
              <w:left w:val="nil"/>
              <w:bottom w:val="nil"/>
              <w:right w:val="nil"/>
            </w:tcBorders>
            <w:shd w:val="clear" w:color="000000" w:fill="FFFFFF"/>
            <w:noWrap/>
            <w:vAlign w:val="center"/>
            <w:hideMark/>
          </w:tcPr>
          <w:p w14:paraId="2018C60A"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1.2</w:t>
            </w:r>
          </w:p>
        </w:tc>
      </w:tr>
      <w:tr w:rsidR="00894EC0" w:rsidRPr="00181B97" w14:paraId="0DD965F1" w14:textId="77777777" w:rsidTr="0064217C">
        <w:trPr>
          <w:trHeight w:val="199"/>
        </w:trPr>
        <w:tc>
          <w:tcPr>
            <w:tcW w:w="3301" w:type="dxa"/>
            <w:tcBorders>
              <w:top w:val="nil"/>
              <w:left w:val="nil"/>
              <w:bottom w:val="nil"/>
              <w:right w:val="nil"/>
            </w:tcBorders>
            <w:shd w:val="clear" w:color="000000" w:fill="FFFFFF"/>
            <w:noWrap/>
            <w:vAlign w:val="center"/>
            <w:hideMark/>
          </w:tcPr>
          <w:p w14:paraId="4386B42B" w14:textId="77777777" w:rsidR="00894EC0" w:rsidRPr="00181B97" w:rsidRDefault="00894EC0" w:rsidP="0064217C">
            <w:pPr>
              <w:rPr>
                <w:rFonts w:ascii="Arial" w:hAnsi="Arial" w:cs="Arial"/>
                <w:sz w:val="16"/>
                <w:szCs w:val="16"/>
                <w:lang w:eastAsia="en-AU"/>
              </w:rPr>
            </w:pPr>
            <w:r w:rsidRPr="00181B97">
              <w:rPr>
                <w:rFonts w:ascii="Arial" w:hAnsi="Arial" w:cs="Arial"/>
                <w:sz w:val="16"/>
                <w:szCs w:val="16"/>
                <w:lang w:eastAsia="en-AU"/>
              </w:rPr>
              <w:t>Other</w:t>
            </w:r>
          </w:p>
        </w:tc>
        <w:tc>
          <w:tcPr>
            <w:tcW w:w="896" w:type="dxa"/>
            <w:tcBorders>
              <w:top w:val="nil"/>
              <w:left w:val="nil"/>
              <w:bottom w:val="nil"/>
              <w:right w:val="nil"/>
            </w:tcBorders>
            <w:shd w:val="clear" w:color="000000" w:fill="FFFFFF"/>
            <w:noWrap/>
            <w:vAlign w:val="center"/>
            <w:hideMark/>
          </w:tcPr>
          <w:p w14:paraId="21BAC125"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2 </w:t>
            </w:r>
          </w:p>
        </w:tc>
        <w:tc>
          <w:tcPr>
            <w:tcW w:w="896" w:type="dxa"/>
            <w:tcBorders>
              <w:top w:val="nil"/>
              <w:left w:val="nil"/>
              <w:bottom w:val="nil"/>
              <w:right w:val="nil"/>
            </w:tcBorders>
            <w:shd w:val="clear" w:color="000000" w:fill="FFFFFF"/>
            <w:noWrap/>
            <w:vAlign w:val="center"/>
            <w:hideMark/>
          </w:tcPr>
          <w:p w14:paraId="14907505"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0 </w:t>
            </w:r>
          </w:p>
        </w:tc>
        <w:tc>
          <w:tcPr>
            <w:tcW w:w="896" w:type="dxa"/>
            <w:tcBorders>
              <w:top w:val="nil"/>
              <w:left w:val="nil"/>
              <w:bottom w:val="nil"/>
              <w:right w:val="nil"/>
            </w:tcBorders>
            <w:shd w:val="clear" w:color="000000" w:fill="F2F2F2"/>
            <w:noWrap/>
            <w:vAlign w:val="center"/>
            <w:hideMark/>
          </w:tcPr>
          <w:p w14:paraId="04E60CB9"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0 </w:t>
            </w:r>
          </w:p>
        </w:tc>
        <w:tc>
          <w:tcPr>
            <w:tcW w:w="896" w:type="dxa"/>
            <w:tcBorders>
              <w:top w:val="nil"/>
              <w:left w:val="nil"/>
              <w:bottom w:val="nil"/>
              <w:right w:val="nil"/>
            </w:tcBorders>
            <w:shd w:val="clear" w:color="000000" w:fill="F2F2F2"/>
            <w:noWrap/>
            <w:vAlign w:val="center"/>
            <w:hideMark/>
          </w:tcPr>
          <w:p w14:paraId="0882C8C3"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0 </w:t>
            </w:r>
          </w:p>
        </w:tc>
        <w:tc>
          <w:tcPr>
            <w:tcW w:w="896" w:type="dxa"/>
            <w:tcBorders>
              <w:top w:val="nil"/>
              <w:left w:val="nil"/>
              <w:bottom w:val="nil"/>
              <w:right w:val="nil"/>
            </w:tcBorders>
            <w:shd w:val="clear" w:color="000000" w:fill="F2F2F2"/>
            <w:noWrap/>
            <w:vAlign w:val="center"/>
            <w:hideMark/>
          </w:tcPr>
          <w:p w14:paraId="1C5C931F"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0 </w:t>
            </w:r>
          </w:p>
        </w:tc>
        <w:tc>
          <w:tcPr>
            <w:tcW w:w="896" w:type="dxa"/>
            <w:tcBorders>
              <w:top w:val="nil"/>
              <w:left w:val="nil"/>
              <w:bottom w:val="nil"/>
              <w:right w:val="nil"/>
            </w:tcBorders>
            <w:shd w:val="clear" w:color="000000" w:fill="F2F2F2"/>
            <w:noWrap/>
            <w:vAlign w:val="center"/>
            <w:hideMark/>
          </w:tcPr>
          <w:p w14:paraId="2684BB2B"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0 </w:t>
            </w:r>
          </w:p>
        </w:tc>
        <w:tc>
          <w:tcPr>
            <w:tcW w:w="1123" w:type="dxa"/>
            <w:tcBorders>
              <w:top w:val="nil"/>
              <w:left w:val="nil"/>
              <w:bottom w:val="nil"/>
              <w:right w:val="nil"/>
            </w:tcBorders>
            <w:shd w:val="clear" w:color="000000" w:fill="FFFFFF"/>
            <w:noWrap/>
            <w:vAlign w:val="center"/>
            <w:hideMark/>
          </w:tcPr>
          <w:p w14:paraId="4D0D2F38"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41.9</w:t>
            </w:r>
          </w:p>
        </w:tc>
      </w:tr>
      <w:tr w:rsidR="00894EC0" w:rsidRPr="00181B97" w14:paraId="65EE6338" w14:textId="77777777" w:rsidTr="0064217C">
        <w:trPr>
          <w:trHeight w:val="199"/>
        </w:trPr>
        <w:tc>
          <w:tcPr>
            <w:tcW w:w="3301" w:type="dxa"/>
            <w:tcBorders>
              <w:top w:val="nil"/>
              <w:left w:val="nil"/>
              <w:bottom w:val="nil"/>
              <w:right w:val="nil"/>
            </w:tcBorders>
            <w:shd w:val="clear" w:color="000000" w:fill="FFFFFF"/>
            <w:noWrap/>
            <w:vAlign w:val="center"/>
            <w:hideMark/>
          </w:tcPr>
          <w:p w14:paraId="682885EC" w14:textId="77777777" w:rsidR="00894EC0" w:rsidRPr="00181B97" w:rsidRDefault="00894EC0" w:rsidP="0064217C">
            <w:pPr>
              <w:rPr>
                <w:rFonts w:ascii="Arial" w:hAnsi="Arial" w:cs="Arial"/>
                <w:b/>
                <w:bCs/>
                <w:color w:val="00ABE6"/>
                <w:sz w:val="16"/>
                <w:szCs w:val="16"/>
                <w:lang w:eastAsia="en-AU"/>
              </w:rPr>
            </w:pPr>
            <w:r w:rsidRPr="00181B97">
              <w:rPr>
                <w:rFonts w:ascii="Arial" w:hAnsi="Arial" w:cs="Arial"/>
                <w:b/>
                <w:bCs/>
                <w:color w:val="00ABE6"/>
                <w:sz w:val="16"/>
                <w:szCs w:val="16"/>
                <w:lang w:eastAsia="en-AU"/>
              </w:rPr>
              <w:t> </w:t>
            </w:r>
          </w:p>
        </w:tc>
        <w:tc>
          <w:tcPr>
            <w:tcW w:w="896" w:type="dxa"/>
            <w:tcBorders>
              <w:top w:val="single" w:sz="4" w:space="0" w:color="auto"/>
              <w:left w:val="nil"/>
              <w:bottom w:val="single" w:sz="4" w:space="0" w:color="auto"/>
              <w:right w:val="nil"/>
            </w:tcBorders>
            <w:shd w:val="clear" w:color="000000" w:fill="FFFFFF"/>
            <w:noWrap/>
            <w:vAlign w:val="center"/>
            <w:hideMark/>
          </w:tcPr>
          <w:p w14:paraId="75A6917D"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11,742</w:t>
            </w:r>
          </w:p>
        </w:tc>
        <w:tc>
          <w:tcPr>
            <w:tcW w:w="896" w:type="dxa"/>
            <w:tcBorders>
              <w:top w:val="single" w:sz="4" w:space="0" w:color="auto"/>
              <w:left w:val="nil"/>
              <w:bottom w:val="single" w:sz="4" w:space="0" w:color="auto"/>
              <w:right w:val="nil"/>
            </w:tcBorders>
            <w:shd w:val="clear" w:color="000000" w:fill="FFFFFF"/>
            <w:noWrap/>
            <w:vAlign w:val="center"/>
            <w:hideMark/>
          </w:tcPr>
          <w:p w14:paraId="122851B0"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16,857</w:t>
            </w:r>
          </w:p>
        </w:tc>
        <w:tc>
          <w:tcPr>
            <w:tcW w:w="896" w:type="dxa"/>
            <w:tcBorders>
              <w:top w:val="single" w:sz="4" w:space="0" w:color="auto"/>
              <w:left w:val="nil"/>
              <w:bottom w:val="single" w:sz="4" w:space="0" w:color="auto"/>
              <w:right w:val="nil"/>
            </w:tcBorders>
            <w:shd w:val="clear" w:color="000000" w:fill="F2F2F2"/>
            <w:noWrap/>
            <w:vAlign w:val="center"/>
            <w:hideMark/>
          </w:tcPr>
          <w:p w14:paraId="2FD2885B"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13,138</w:t>
            </w:r>
          </w:p>
        </w:tc>
        <w:tc>
          <w:tcPr>
            <w:tcW w:w="896" w:type="dxa"/>
            <w:tcBorders>
              <w:top w:val="single" w:sz="4" w:space="0" w:color="auto"/>
              <w:left w:val="nil"/>
              <w:bottom w:val="single" w:sz="4" w:space="0" w:color="auto"/>
              <w:right w:val="nil"/>
            </w:tcBorders>
            <w:shd w:val="clear" w:color="000000" w:fill="F2F2F2"/>
            <w:noWrap/>
            <w:vAlign w:val="center"/>
            <w:hideMark/>
          </w:tcPr>
          <w:p w14:paraId="3AC5E679"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11,357</w:t>
            </w:r>
          </w:p>
        </w:tc>
        <w:tc>
          <w:tcPr>
            <w:tcW w:w="896" w:type="dxa"/>
            <w:tcBorders>
              <w:top w:val="single" w:sz="4" w:space="0" w:color="auto"/>
              <w:left w:val="nil"/>
              <w:bottom w:val="single" w:sz="4" w:space="0" w:color="auto"/>
              <w:right w:val="nil"/>
            </w:tcBorders>
            <w:shd w:val="clear" w:color="000000" w:fill="F2F2F2"/>
            <w:noWrap/>
            <w:vAlign w:val="center"/>
            <w:hideMark/>
          </w:tcPr>
          <w:p w14:paraId="55277A82"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12,399</w:t>
            </w:r>
          </w:p>
        </w:tc>
        <w:tc>
          <w:tcPr>
            <w:tcW w:w="896" w:type="dxa"/>
            <w:tcBorders>
              <w:top w:val="single" w:sz="4" w:space="0" w:color="auto"/>
              <w:left w:val="nil"/>
              <w:bottom w:val="single" w:sz="4" w:space="0" w:color="auto"/>
              <w:right w:val="nil"/>
            </w:tcBorders>
            <w:shd w:val="clear" w:color="000000" w:fill="F2F2F2"/>
            <w:noWrap/>
            <w:vAlign w:val="center"/>
            <w:hideMark/>
          </w:tcPr>
          <w:p w14:paraId="6693C329"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13,520</w:t>
            </w:r>
          </w:p>
        </w:tc>
        <w:tc>
          <w:tcPr>
            <w:tcW w:w="1123" w:type="dxa"/>
            <w:tcBorders>
              <w:top w:val="single" w:sz="4" w:space="0" w:color="auto"/>
              <w:left w:val="nil"/>
              <w:bottom w:val="single" w:sz="4" w:space="0" w:color="auto"/>
              <w:right w:val="nil"/>
            </w:tcBorders>
            <w:shd w:val="clear" w:color="auto" w:fill="auto"/>
            <w:noWrap/>
            <w:vAlign w:val="center"/>
            <w:hideMark/>
          </w:tcPr>
          <w:p w14:paraId="4DB2F85A"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(5.4)</w:t>
            </w:r>
          </w:p>
        </w:tc>
      </w:tr>
      <w:tr w:rsidR="00894EC0" w:rsidRPr="00181B97" w14:paraId="4E8F4CB0" w14:textId="77777777" w:rsidTr="0064217C">
        <w:trPr>
          <w:trHeight w:val="102"/>
        </w:trPr>
        <w:tc>
          <w:tcPr>
            <w:tcW w:w="3301" w:type="dxa"/>
            <w:tcBorders>
              <w:top w:val="nil"/>
              <w:left w:val="nil"/>
              <w:bottom w:val="nil"/>
              <w:right w:val="nil"/>
            </w:tcBorders>
            <w:shd w:val="clear" w:color="000000" w:fill="FFFFFF"/>
            <w:noWrap/>
            <w:vAlign w:val="bottom"/>
            <w:hideMark/>
          </w:tcPr>
          <w:p w14:paraId="056142F9" w14:textId="77777777" w:rsidR="00894EC0" w:rsidRPr="00181B97" w:rsidRDefault="00894EC0" w:rsidP="0064217C">
            <w:pPr>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FFFFF"/>
            <w:noWrap/>
            <w:vAlign w:val="center"/>
            <w:hideMark/>
          </w:tcPr>
          <w:p w14:paraId="7F5305F2"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FFFFF"/>
            <w:noWrap/>
            <w:vAlign w:val="center"/>
            <w:hideMark/>
          </w:tcPr>
          <w:p w14:paraId="2F181DA9"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2F2F2"/>
            <w:noWrap/>
            <w:vAlign w:val="center"/>
            <w:hideMark/>
          </w:tcPr>
          <w:p w14:paraId="4B36A2E7"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2F2F2"/>
            <w:noWrap/>
            <w:vAlign w:val="center"/>
            <w:hideMark/>
          </w:tcPr>
          <w:p w14:paraId="0A144ED7"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2F2F2"/>
            <w:noWrap/>
            <w:vAlign w:val="center"/>
            <w:hideMark/>
          </w:tcPr>
          <w:p w14:paraId="48213631"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2F2F2"/>
            <w:noWrap/>
            <w:vAlign w:val="center"/>
            <w:hideMark/>
          </w:tcPr>
          <w:p w14:paraId="3D28D675"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1123" w:type="dxa"/>
            <w:tcBorders>
              <w:top w:val="nil"/>
              <w:left w:val="nil"/>
              <w:bottom w:val="nil"/>
              <w:right w:val="nil"/>
            </w:tcBorders>
            <w:shd w:val="clear" w:color="000000" w:fill="FFFFFF"/>
            <w:noWrap/>
            <w:vAlign w:val="center"/>
            <w:hideMark/>
          </w:tcPr>
          <w:p w14:paraId="62B82C7B"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r>
      <w:tr w:rsidR="00894EC0" w:rsidRPr="00181B97" w14:paraId="5AA46412" w14:textId="77777777" w:rsidTr="0064217C">
        <w:trPr>
          <w:trHeight w:val="199"/>
        </w:trPr>
        <w:tc>
          <w:tcPr>
            <w:tcW w:w="3301" w:type="dxa"/>
            <w:tcBorders>
              <w:top w:val="nil"/>
              <w:left w:val="nil"/>
              <w:bottom w:val="nil"/>
              <w:right w:val="nil"/>
            </w:tcBorders>
            <w:shd w:val="clear" w:color="000000" w:fill="FFFFFF"/>
            <w:noWrap/>
            <w:vAlign w:val="bottom"/>
            <w:hideMark/>
          </w:tcPr>
          <w:p w14:paraId="6A7DEC41" w14:textId="77777777" w:rsidR="00894EC0" w:rsidRPr="00181B97" w:rsidRDefault="00894EC0" w:rsidP="0064217C">
            <w:pPr>
              <w:rPr>
                <w:rFonts w:ascii="Arial" w:hAnsi="Arial" w:cs="Arial"/>
                <w:b/>
                <w:bCs/>
                <w:sz w:val="16"/>
                <w:szCs w:val="16"/>
                <w:lang w:eastAsia="en-AU"/>
              </w:rPr>
            </w:pPr>
            <w:r w:rsidRPr="00181B97">
              <w:rPr>
                <w:rFonts w:ascii="Arial" w:hAnsi="Arial" w:cs="Arial"/>
                <w:b/>
                <w:bCs/>
                <w:sz w:val="16"/>
                <w:szCs w:val="16"/>
                <w:lang w:eastAsia="en-AU"/>
              </w:rPr>
              <w:t>Payroll tax</w:t>
            </w:r>
          </w:p>
        </w:tc>
        <w:tc>
          <w:tcPr>
            <w:tcW w:w="896" w:type="dxa"/>
            <w:tcBorders>
              <w:top w:val="nil"/>
              <w:left w:val="nil"/>
              <w:bottom w:val="nil"/>
              <w:right w:val="nil"/>
            </w:tcBorders>
            <w:shd w:val="clear" w:color="000000" w:fill="FFFFFF"/>
            <w:noWrap/>
            <w:vAlign w:val="center"/>
            <w:hideMark/>
          </w:tcPr>
          <w:p w14:paraId="7BDD5E2A"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8,926 </w:t>
            </w:r>
          </w:p>
        </w:tc>
        <w:tc>
          <w:tcPr>
            <w:tcW w:w="896" w:type="dxa"/>
            <w:tcBorders>
              <w:top w:val="nil"/>
              <w:left w:val="nil"/>
              <w:bottom w:val="nil"/>
              <w:right w:val="nil"/>
            </w:tcBorders>
            <w:shd w:val="clear" w:color="000000" w:fill="FFFFFF"/>
            <w:noWrap/>
            <w:vAlign w:val="center"/>
            <w:hideMark/>
          </w:tcPr>
          <w:p w14:paraId="76726851"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8,958 </w:t>
            </w:r>
          </w:p>
        </w:tc>
        <w:tc>
          <w:tcPr>
            <w:tcW w:w="896" w:type="dxa"/>
            <w:tcBorders>
              <w:top w:val="nil"/>
              <w:left w:val="nil"/>
              <w:bottom w:val="nil"/>
              <w:right w:val="nil"/>
            </w:tcBorders>
            <w:shd w:val="clear" w:color="000000" w:fill="F2F2F2"/>
            <w:noWrap/>
            <w:vAlign w:val="center"/>
            <w:hideMark/>
          </w:tcPr>
          <w:p w14:paraId="1E18DD65"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11,054 </w:t>
            </w:r>
          </w:p>
        </w:tc>
        <w:tc>
          <w:tcPr>
            <w:tcW w:w="896" w:type="dxa"/>
            <w:tcBorders>
              <w:top w:val="nil"/>
              <w:left w:val="nil"/>
              <w:bottom w:val="nil"/>
              <w:right w:val="nil"/>
            </w:tcBorders>
            <w:shd w:val="clear" w:color="000000" w:fill="F2F2F2"/>
            <w:noWrap/>
            <w:vAlign w:val="center"/>
            <w:hideMark/>
          </w:tcPr>
          <w:p w14:paraId="3AF229CF"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11,595 </w:t>
            </w:r>
          </w:p>
        </w:tc>
        <w:tc>
          <w:tcPr>
            <w:tcW w:w="896" w:type="dxa"/>
            <w:tcBorders>
              <w:top w:val="nil"/>
              <w:left w:val="nil"/>
              <w:bottom w:val="nil"/>
              <w:right w:val="nil"/>
            </w:tcBorders>
            <w:shd w:val="clear" w:color="000000" w:fill="F2F2F2"/>
            <w:noWrap/>
            <w:vAlign w:val="center"/>
            <w:hideMark/>
          </w:tcPr>
          <w:p w14:paraId="773AB3ED"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12,194 </w:t>
            </w:r>
          </w:p>
        </w:tc>
        <w:tc>
          <w:tcPr>
            <w:tcW w:w="896" w:type="dxa"/>
            <w:tcBorders>
              <w:top w:val="nil"/>
              <w:left w:val="nil"/>
              <w:bottom w:val="nil"/>
              <w:right w:val="nil"/>
            </w:tcBorders>
            <w:shd w:val="clear" w:color="000000" w:fill="F2F2F2"/>
            <w:noWrap/>
            <w:vAlign w:val="center"/>
            <w:hideMark/>
          </w:tcPr>
          <w:p w14:paraId="2215811D"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12,795 </w:t>
            </w:r>
          </w:p>
        </w:tc>
        <w:tc>
          <w:tcPr>
            <w:tcW w:w="1123" w:type="dxa"/>
            <w:tcBorders>
              <w:top w:val="nil"/>
              <w:left w:val="nil"/>
              <w:bottom w:val="nil"/>
              <w:right w:val="nil"/>
            </w:tcBorders>
            <w:shd w:val="clear" w:color="000000" w:fill="FFFFFF"/>
            <w:noWrap/>
            <w:vAlign w:val="center"/>
            <w:hideMark/>
          </w:tcPr>
          <w:p w14:paraId="2E06EC4F"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9.3</w:t>
            </w:r>
          </w:p>
        </w:tc>
      </w:tr>
      <w:tr w:rsidR="00894EC0" w:rsidRPr="00181B97" w14:paraId="08420257" w14:textId="77777777" w:rsidTr="0064217C">
        <w:trPr>
          <w:trHeight w:val="102"/>
        </w:trPr>
        <w:tc>
          <w:tcPr>
            <w:tcW w:w="3301" w:type="dxa"/>
            <w:tcBorders>
              <w:top w:val="nil"/>
              <w:left w:val="nil"/>
              <w:bottom w:val="nil"/>
              <w:right w:val="nil"/>
            </w:tcBorders>
            <w:shd w:val="clear" w:color="000000" w:fill="FFFFFF"/>
            <w:noWrap/>
            <w:vAlign w:val="bottom"/>
            <w:hideMark/>
          </w:tcPr>
          <w:p w14:paraId="6F9FEA6A" w14:textId="77777777" w:rsidR="00894EC0" w:rsidRPr="00181B97" w:rsidRDefault="00894EC0" w:rsidP="0064217C">
            <w:pPr>
              <w:rPr>
                <w:rFonts w:ascii="Arial" w:hAnsi="Arial" w:cs="Arial"/>
                <w:b/>
                <w:bCs/>
                <w:sz w:val="16"/>
                <w:szCs w:val="16"/>
                <w:lang w:eastAsia="en-AU"/>
              </w:rPr>
            </w:pPr>
            <w:r w:rsidRPr="00181B97">
              <w:rPr>
                <w:rFonts w:ascii="Arial" w:hAnsi="Arial" w:cs="Arial"/>
                <w:b/>
                <w:bCs/>
                <w:sz w:val="16"/>
                <w:szCs w:val="16"/>
                <w:lang w:eastAsia="en-AU"/>
              </w:rPr>
              <w:t> </w:t>
            </w:r>
          </w:p>
        </w:tc>
        <w:tc>
          <w:tcPr>
            <w:tcW w:w="896" w:type="dxa"/>
            <w:tcBorders>
              <w:top w:val="nil"/>
              <w:left w:val="nil"/>
              <w:bottom w:val="nil"/>
              <w:right w:val="nil"/>
            </w:tcBorders>
            <w:shd w:val="clear" w:color="000000" w:fill="FFFFFF"/>
            <w:noWrap/>
            <w:vAlign w:val="center"/>
            <w:hideMark/>
          </w:tcPr>
          <w:p w14:paraId="64F0E994"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FFFFF"/>
            <w:noWrap/>
            <w:vAlign w:val="center"/>
            <w:hideMark/>
          </w:tcPr>
          <w:p w14:paraId="093DC363"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2F2F2"/>
            <w:noWrap/>
            <w:vAlign w:val="center"/>
            <w:hideMark/>
          </w:tcPr>
          <w:p w14:paraId="217D60AB"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2F2F2"/>
            <w:noWrap/>
            <w:vAlign w:val="center"/>
            <w:hideMark/>
          </w:tcPr>
          <w:p w14:paraId="61F24055"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2F2F2"/>
            <w:noWrap/>
            <w:vAlign w:val="center"/>
            <w:hideMark/>
          </w:tcPr>
          <w:p w14:paraId="259AF045"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2F2F2"/>
            <w:noWrap/>
            <w:vAlign w:val="center"/>
            <w:hideMark/>
          </w:tcPr>
          <w:p w14:paraId="4400566A"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1123" w:type="dxa"/>
            <w:tcBorders>
              <w:top w:val="nil"/>
              <w:left w:val="nil"/>
              <w:bottom w:val="nil"/>
              <w:right w:val="nil"/>
            </w:tcBorders>
            <w:shd w:val="clear" w:color="000000" w:fill="FFFFFF"/>
            <w:noWrap/>
            <w:vAlign w:val="center"/>
            <w:hideMark/>
          </w:tcPr>
          <w:p w14:paraId="5C00080F"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r>
      <w:tr w:rsidR="00894EC0" w:rsidRPr="00181B97" w14:paraId="6D9C9A46" w14:textId="77777777" w:rsidTr="0064217C">
        <w:trPr>
          <w:trHeight w:val="199"/>
        </w:trPr>
        <w:tc>
          <w:tcPr>
            <w:tcW w:w="3301" w:type="dxa"/>
            <w:tcBorders>
              <w:top w:val="nil"/>
              <w:left w:val="nil"/>
              <w:bottom w:val="nil"/>
              <w:right w:val="nil"/>
            </w:tcBorders>
            <w:shd w:val="clear" w:color="000000" w:fill="FFFFFF"/>
            <w:noWrap/>
            <w:vAlign w:val="bottom"/>
            <w:hideMark/>
          </w:tcPr>
          <w:p w14:paraId="676083BE" w14:textId="77777777" w:rsidR="00894EC0" w:rsidRPr="00181B97" w:rsidRDefault="00894EC0" w:rsidP="0064217C">
            <w:pPr>
              <w:rPr>
                <w:rFonts w:ascii="Arial" w:hAnsi="Arial" w:cs="Arial"/>
                <w:b/>
                <w:bCs/>
                <w:sz w:val="16"/>
                <w:szCs w:val="16"/>
                <w:lang w:eastAsia="en-AU"/>
              </w:rPr>
            </w:pPr>
            <w:r w:rsidRPr="00181B97">
              <w:rPr>
                <w:rFonts w:ascii="Arial" w:hAnsi="Arial" w:cs="Arial"/>
                <w:b/>
                <w:bCs/>
                <w:sz w:val="16"/>
                <w:szCs w:val="16"/>
                <w:lang w:eastAsia="en-AU"/>
              </w:rPr>
              <w:t>Taxes on land</w:t>
            </w:r>
          </w:p>
        </w:tc>
        <w:tc>
          <w:tcPr>
            <w:tcW w:w="896" w:type="dxa"/>
            <w:tcBorders>
              <w:top w:val="nil"/>
              <w:left w:val="nil"/>
              <w:bottom w:val="nil"/>
              <w:right w:val="nil"/>
            </w:tcBorders>
            <w:shd w:val="clear" w:color="000000" w:fill="FFFFFF"/>
            <w:noWrap/>
            <w:vAlign w:val="center"/>
            <w:hideMark/>
          </w:tcPr>
          <w:p w14:paraId="7CAAFC71"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FFFFF"/>
            <w:noWrap/>
            <w:vAlign w:val="center"/>
            <w:hideMark/>
          </w:tcPr>
          <w:p w14:paraId="46A374E2"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2F2F2"/>
            <w:noWrap/>
            <w:vAlign w:val="center"/>
            <w:hideMark/>
          </w:tcPr>
          <w:p w14:paraId="07C7E96E"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2F2F2"/>
            <w:noWrap/>
            <w:vAlign w:val="center"/>
            <w:hideMark/>
          </w:tcPr>
          <w:p w14:paraId="1B52E6F2"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2F2F2"/>
            <w:noWrap/>
            <w:vAlign w:val="center"/>
            <w:hideMark/>
          </w:tcPr>
          <w:p w14:paraId="56729E6A"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2F2F2"/>
            <w:noWrap/>
            <w:vAlign w:val="center"/>
            <w:hideMark/>
          </w:tcPr>
          <w:p w14:paraId="063433CF"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1123" w:type="dxa"/>
            <w:tcBorders>
              <w:top w:val="nil"/>
              <w:left w:val="nil"/>
              <w:bottom w:val="nil"/>
              <w:right w:val="nil"/>
            </w:tcBorders>
            <w:shd w:val="clear" w:color="000000" w:fill="FFFFFF"/>
            <w:noWrap/>
            <w:vAlign w:val="center"/>
            <w:hideMark/>
          </w:tcPr>
          <w:p w14:paraId="1BB443E0"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r>
      <w:tr w:rsidR="00894EC0" w:rsidRPr="00181B97" w14:paraId="1CE80B58" w14:textId="77777777" w:rsidTr="0064217C">
        <w:trPr>
          <w:trHeight w:val="199"/>
        </w:trPr>
        <w:tc>
          <w:tcPr>
            <w:tcW w:w="3301" w:type="dxa"/>
            <w:tcBorders>
              <w:top w:val="nil"/>
              <w:left w:val="nil"/>
              <w:bottom w:val="nil"/>
              <w:right w:val="nil"/>
            </w:tcBorders>
            <w:shd w:val="clear" w:color="000000" w:fill="FFFFFF"/>
            <w:noWrap/>
            <w:vAlign w:val="center"/>
            <w:hideMark/>
          </w:tcPr>
          <w:p w14:paraId="2BD76E96" w14:textId="77777777" w:rsidR="00894EC0" w:rsidRPr="00181B97" w:rsidRDefault="00894EC0" w:rsidP="0064217C">
            <w:pPr>
              <w:rPr>
                <w:rFonts w:ascii="Arial" w:hAnsi="Arial" w:cs="Arial"/>
                <w:sz w:val="16"/>
                <w:szCs w:val="16"/>
                <w:lang w:eastAsia="en-AU"/>
              </w:rPr>
            </w:pPr>
            <w:r w:rsidRPr="00181B97">
              <w:rPr>
                <w:rFonts w:ascii="Arial" w:hAnsi="Arial" w:cs="Arial"/>
                <w:sz w:val="16"/>
                <w:szCs w:val="16"/>
                <w:lang w:eastAsia="en-AU"/>
              </w:rPr>
              <w:t>Land tax</w:t>
            </w:r>
          </w:p>
        </w:tc>
        <w:tc>
          <w:tcPr>
            <w:tcW w:w="896" w:type="dxa"/>
            <w:tcBorders>
              <w:top w:val="nil"/>
              <w:left w:val="nil"/>
              <w:bottom w:val="nil"/>
              <w:right w:val="nil"/>
            </w:tcBorders>
            <w:shd w:val="clear" w:color="000000" w:fill="FFFFFF"/>
            <w:noWrap/>
            <w:vAlign w:val="center"/>
            <w:hideMark/>
          </w:tcPr>
          <w:p w14:paraId="02BA2D6A"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4,875 </w:t>
            </w:r>
          </w:p>
        </w:tc>
        <w:tc>
          <w:tcPr>
            <w:tcW w:w="896" w:type="dxa"/>
            <w:tcBorders>
              <w:top w:val="nil"/>
              <w:left w:val="nil"/>
              <w:bottom w:val="nil"/>
              <w:right w:val="nil"/>
            </w:tcBorders>
            <w:shd w:val="clear" w:color="000000" w:fill="FFFFFF"/>
            <w:noWrap/>
            <w:vAlign w:val="center"/>
            <w:hideMark/>
          </w:tcPr>
          <w:p w14:paraId="3B6CE279"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4,850 </w:t>
            </w:r>
          </w:p>
        </w:tc>
        <w:tc>
          <w:tcPr>
            <w:tcW w:w="896" w:type="dxa"/>
            <w:tcBorders>
              <w:top w:val="nil"/>
              <w:left w:val="nil"/>
              <w:bottom w:val="nil"/>
              <w:right w:val="nil"/>
            </w:tcBorders>
            <w:shd w:val="clear" w:color="000000" w:fill="F2F2F2"/>
            <w:noWrap/>
            <w:vAlign w:val="center"/>
            <w:hideMark/>
          </w:tcPr>
          <w:p w14:paraId="5B3900D1"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5,657 </w:t>
            </w:r>
          </w:p>
        </w:tc>
        <w:tc>
          <w:tcPr>
            <w:tcW w:w="896" w:type="dxa"/>
            <w:tcBorders>
              <w:top w:val="nil"/>
              <w:left w:val="nil"/>
              <w:bottom w:val="nil"/>
              <w:right w:val="nil"/>
            </w:tcBorders>
            <w:shd w:val="clear" w:color="000000" w:fill="F2F2F2"/>
            <w:noWrap/>
            <w:vAlign w:val="center"/>
            <w:hideMark/>
          </w:tcPr>
          <w:p w14:paraId="34E13FFF"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6,146 </w:t>
            </w:r>
          </w:p>
        </w:tc>
        <w:tc>
          <w:tcPr>
            <w:tcW w:w="896" w:type="dxa"/>
            <w:tcBorders>
              <w:top w:val="nil"/>
              <w:left w:val="nil"/>
              <w:bottom w:val="nil"/>
              <w:right w:val="nil"/>
            </w:tcBorders>
            <w:shd w:val="clear" w:color="000000" w:fill="F2F2F2"/>
            <w:noWrap/>
            <w:vAlign w:val="center"/>
            <w:hideMark/>
          </w:tcPr>
          <w:p w14:paraId="4060ECF5"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6,350 </w:t>
            </w:r>
          </w:p>
        </w:tc>
        <w:tc>
          <w:tcPr>
            <w:tcW w:w="896" w:type="dxa"/>
            <w:tcBorders>
              <w:top w:val="nil"/>
              <w:left w:val="nil"/>
              <w:bottom w:val="nil"/>
              <w:right w:val="nil"/>
            </w:tcBorders>
            <w:shd w:val="clear" w:color="000000" w:fill="F2F2F2"/>
            <w:noWrap/>
            <w:vAlign w:val="center"/>
            <w:hideMark/>
          </w:tcPr>
          <w:p w14:paraId="616F4C3E"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6,228 </w:t>
            </w:r>
          </w:p>
        </w:tc>
        <w:tc>
          <w:tcPr>
            <w:tcW w:w="1123" w:type="dxa"/>
            <w:tcBorders>
              <w:top w:val="nil"/>
              <w:left w:val="nil"/>
              <w:bottom w:val="nil"/>
              <w:right w:val="nil"/>
            </w:tcBorders>
            <w:shd w:val="clear" w:color="000000" w:fill="FFFFFF"/>
            <w:noWrap/>
            <w:vAlign w:val="center"/>
            <w:hideMark/>
          </w:tcPr>
          <w:p w14:paraId="05CCCD2E"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6.4</w:t>
            </w:r>
          </w:p>
        </w:tc>
      </w:tr>
      <w:tr w:rsidR="00894EC0" w:rsidRPr="00181B97" w14:paraId="79BAEC07" w14:textId="77777777" w:rsidTr="0064217C">
        <w:trPr>
          <w:trHeight w:val="199"/>
        </w:trPr>
        <w:tc>
          <w:tcPr>
            <w:tcW w:w="3301" w:type="dxa"/>
            <w:tcBorders>
              <w:top w:val="nil"/>
              <w:left w:val="nil"/>
              <w:bottom w:val="nil"/>
              <w:right w:val="nil"/>
            </w:tcBorders>
            <w:shd w:val="clear" w:color="000000" w:fill="FFFFFF"/>
            <w:noWrap/>
            <w:vAlign w:val="center"/>
            <w:hideMark/>
          </w:tcPr>
          <w:p w14:paraId="0D07FA33" w14:textId="77777777" w:rsidR="00894EC0" w:rsidRPr="00181B97" w:rsidRDefault="00894EC0" w:rsidP="0064217C">
            <w:pPr>
              <w:rPr>
                <w:rFonts w:ascii="Arial" w:hAnsi="Arial" w:cs="Arial"/>
                <w:sz w:val="16"/>
                <w:szCs w:val="16"/>
                <w:lang w:eastAsia="en-AU"/>
              </w:rPr>
            </w:pPr>
            <w:r w:rsidRPr="00181B97">
              <w:rPr>
                <w:rFonts w:ascii="Arial" w:hAnsi="Arial" w:cs="Arial"/>
                <w:sz w:val="16"/>
                <w:szCs w:val="16"/>
                <w:lang w:eastAsia="en-AU"/>
              </w:rPr>
              <w:t>Property tax</w:t>
            </w:r>
          </w:p>
        </w:tc>
        <w:tc>
          <w:tcPr>
            <w:tcW w:w="896" w:type="dxa"/>
            <w:tcBorders>
              <w:top w:val="nil"/>
              <w:left w:val="nil"/>
              <w:bottom w:val="nil"/>
              <w:right w:val="nil"/>
            </w:tcBorders>
            <w:shd w:val="clear" w:color="000000" w:fill="FFFFFF"/>
            <w:noWrap/>
            <w:vAlign w:val="center"/>
            <w:hideMark/>
          </w:tcPr>
          <w:p w14:paraId="06163818"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 </w:t>
            </w:r>
          </w:p>
        </w:tc>
        <w:tc>
          <w:tcPr>
            <w:tcW w:w="896" w:type="dxa"/>
            <w:tcBorders>
              <w:top w:val="nil"/>
              <w:left w:val="nil"/>
              <w:bottom w:val="nil"/>
              <w:right w:val="nil"/>
            </w:tcBorders>
            <w:shd w:val="clear" w:color="000000" w:fill="FFFFFF"/>
            <w:noWrap/>
            <w:vAlign w:val="center"/>
            <w:hideMark/>
          </w:tcPr>
          <w:p w14:paraId="1D72A1B9"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 </w:t>
            </w:r>
          </w:p>
        </w:tc>
        <w:tc>
          <w:tcPr>
            <w:tcW w:w="896" w:type="dxa"/>
            <w:tcBorders>
              <w:top w:val="nil"/>
              <w:left w:val="nil"/>
              <w:bottom w:val="nil"/>
              <w:right w:val="nil"/>
            </w:tcBorders>
            <w:shd w:val="clear" w:color="000000" w:fill="F2F2F2"/>
            <w:noWrap/>
            <w:vAlign w:val="center"/>
            <w:hideMark/>
          </w:tcPr>
          <w:p w14:paraId="51B3081A"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9 </w:t>
            </w:r>
          </w:p>
        </w:tc>
        <w:tc>
          <w:tcPr>
            <w:tcW w:w="896" w:type="dxa"/>
            <w:tcBorders>
              <w:top w:val="nil"/>
              <w:left w:val="nil"/>
              <w:bottom w:val="nil"/>
              <w:right w:val="nil"/>
            </w:tcBorders>
            <w:shd w:val="clear" w:color="000000" w:fill="F2F2F2"/>
            <w:noWrap/>
            <w:vAlign w:val="center"/>
            <w:hideMark/>
          </w:tcPr>
          <w:p w14:paraId="5C4ABBBD"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18 </w:t>
            </w:r>
          </w:p>
        </w:tc>
        <w:tc>
          <w:tcPr>
            <w:tcW w:w="896" w:type="dxa"/>
            <w:tcBorders>
              <w:top w:val="nil"/>
              <w:left w:val="nil"/>
              <w:bottom w:val="nil"/>
              <w:right w:val="nil"/>
            </w:tcBorders>
            <w:shd w:val="clear" w:color="000000" w:fill="F2F2F2"/>
            <w:noWrap/>
            <w:vAlign w:val="center"/>
            <w:hideMark/>
          </w:tcPr>
          <w:p w14:paraId="3A1129E3"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26 </w:t>
            </w:r>
          </w:p>
        </w:tc>
        <w:tc>
          <w:tcPr>
            <w:tcW w:w="896" w:type="dxa"/>
            <w:tcBorders>
              <w:top w:val="nil"/>
              <w:left w:val="nil"/>
              <w:bottom w:val="nil"/>
              <w:right w:val="nil"/>
            </w:tcBorders>
            <w:shd w:val="clear" w:color="000000" w:fill="F2F2F2"/>
            <w:noWrap/>
            <w:vAlign w:val="center"/>
            <w:hideMark/>
          </w:tcPr>
          <w:p w14:paraId="3F80B657"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36 </w:t>
            </w:r>
          </w:p>
        </w:tc>
        <w:tc>
          <w:tcPr>
            <w:tcW w:w="1123" w:type="dxa"/>
            <w:tcBorders>
              <w:top w:val="nil"/>
              <w:left w:val="nil"/>
              <w:bottom w:val="nil"/>
              <w:right w:val="nil"/>
            </w:tcBorders>
            <w:shd w:val="clear" w:color="000000" w:fill="FFFFFF"/>
            <w:noWrap/>
            <w:vAlign w:val="center"/>
            <w:hideMark/>
          </w:tcPr>
          <w:p w14:paraId="47E00F62"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N/A</w:t>
            </w:r>
          </w:p>
        </w:tc>
      </w:tr>
      <w:tr w:rsidR="00894EC0" w:rsidRPr="00181B97" w14:paraId="18F7307B" w14:textId="77777777" w:rsidTr="0064217C">
        <w:trPr>
          <w:trHeight w:val="199"/>
        </w:trPr>
        <w:tc>
          <w:tcPr>
            <w:tcW w:w="3301" w:type="dxa"/>
            <w:tcBorders>
              <w:top w:val="nil"/>
              <w:left w:val="nil"/>
              <w:bottom w:val="nil"/>
              <w:right w:val="nil"/>
            </w:tcBorders>
            <w:shd w:val="clear" w:color="000000" w:fill="FFFFFF"/>
            <w:noWrap/>
            <w:vAlign w:val="center"/>
            <w:hideMark/>
          </w:tcPr>
          <w:p w14:paraId="12FDC90C" w14:textId="77777777" w:rsidR="00894EC0" w:rsidRPr="00181B97" w:rsidRDefault="00894EC0" w:rsidP="0064217C">
            <w:pPr>
              <w:rPr>
                <w:rFonts w:ascii="Arial" w:hAnsi="Arial" w:cs="Arial"/>
                <w:b/>
                <w:bCs/>
                <w:color w:val="00ABE6"/>
                <w:sz w:val="16"/>
                <w:szCs w:val="16"/>
                <w:lang w:eastAsia="en-AU"/>
              </w:rPr>
            </w:pPr>
            <w:r w:rsidRPr="00181B97">
              <w:rPr>
                <w:rFonts w:ascii="Arial" w:hAnsi="Arial" w:cs="Arial"/>
                <w:b/>
                <w:bCs/>
                <w:color w:val="00ABE6"/>
                <w:sz w:val="16"/>
                <w:szCs w:val="16"/>
                <w:lang w:eastAsia="en-AU"/>
              </w:rPr>
              <w:t> </w:t>
            </w:r>
          </w:p>
        </w:tc>
        <w:tc>
          <w:tcPr>
            <w:tcW w:w="896" w:type="dxa"/>
            <w:tcBorders>
              <w:top w:val="single" w:sz="4" w:space="0" w:color="auto"/>
              <w:left w:val="nil"/>
              <w:bottom w:val="single" w:sz="4" w:space="0" w:color="auto"/>
              <w:right w:val="nil"/>
            </w:tcBorders>
            <w:shd w:val="clear" w:color="000000" w:fill="FFFFFF"/>
            <w:noWrap/>
            <w:vAlign w:val="center"/>
            <w:hideMark/>
          </w:tcPr>
          <w:p w14:paraId="2D16989E"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4,875</w:t>
            </w:r>
          </w:p>
        </w:tc>
        <w:tc>
          <w:tcPr>
            <w:tcW w:w="896" w:type="dxa"/>
            <w:tcBorders>
              <w:top w:val="single" w:sz="4" w:space="0" w:color="auto"/>
              <w:left w:val="nil"/>
              <w:bottom w:val="single" w:sz="4" w:space="0" w:color="auto"/>
              <w:right w:val="nil"/>
            </w:tcBorders>
            <w:shd w:val="clear" w:color="000000" w:fill="FFFFFF"/>
            <w:noWrap/>
            <w:vAlign w:val="center"/>
            <w:hideMark/>
          </w:tcPr>
          <w:p w14:paraId="56E9B545"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4,850</w:t>
            </w:r>
          </w:p>
        </w:tc>
        <w:tc>
          <w:tcPr>
            <w:tcW w:w="896" w:type="dxa"/>
            <w:tcBorders>
              <w:top w:val="single" w:sz="4" w:space="0" w:color="auto"/>
              <w:left w:val="nil"/>
              <w:bottom w:val="single" w:sz="4" w:space="0" w:color="auto"/>
              <w:right w:val="nil"/>
            </w:tcBorders>
            <w:shd w:val="clear" w:color="000000" w:fill="F2F2F2"/>
            <w:noWrap/>
            <w:vAlign w:val="center"/>
            <w:hideMark/>
          </w:tcPr>
          <w:p w14:paraId="5EDC0A08"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5,666</w:t>
            </w:r>
          </w:p>
        </w:tc>
        <w:tc>
          <w:tcPr>
            <w:tcW w:w="896" w:type="dxa"/>
            <w:tcBorders>
              <w:top w:val="single" w:sz="4" w:space="0" w:color="auto"/>
              <w:left w:val="nil"/>
              <w:bottom w:val="single" w:sz="4" w:space="0" w:color="auto"/>
              <w:right w:val="nil"/>
            </w:tcBorders>
            <w:shd w:val="clear" w:color="000000" w:fill="F2F2F2"/>
            <w:noWrap/>
            <w:vAlign w:val="center"/>
            <w:hideMark/>
          </w:tcPr>
          <w:p w14:paraId="3A79B950"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6,164</w:t>
            </w:r>
          </w:p>
        </w:tc>
        <w:tc>
          <w:tcPr>
            <w:tcW w:w="896" w:type="dxa"/>
            <w:tcBorders>
              <w:top w:val="single" w:sz="4" w:space="0" w:color="auto"/>
              <w:left w:val="nil"/>
              <w:bottom w:val="single" w:sz="4" w:space="0" w:color="auto"/>
              <w:right w:val="nil"/>
            </w:tcBorders>
            <w:shd w:val="clear" w:color="000000" w:fill="F2F2F2"/>
            <w:noWrap/>
            <w:vAlign w:val="center"/>
            <w:hideMark/>
          </w:tcPr>
          <w:p w14:paraId="6AC6F4D2"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6,377</w:t>
            </w:r>
          </w:p>
        </w:tc>
        <w:tc>
          <w:tcPr>
            <w:tcW w:w="896" w:type="dxa"/>
            <w:tcBorders>
              <w:top w:val="single" w:sz="4" w:space="0" w:color="auto"/>
              <w:left w:val="nil"/>
              <w:bottom w:val="single" w:sz="4" w:space="0" w:color="auto"/>
              <w:right w:val="nil"/>
            </w:tcBorders>
            <w:shd w:val="clear" w:color="000000" w:fill="F2F2F2"/>
            <w:noWrap/>
            <w:vAlign w:val="center"/>
            <w:hideMark/>
          </w:tcPr>
          <w:p w14:paraId="6DAB166B"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6,264</w:t>
            </w:r>
          </w:p>
        </w:tc>
        <w:tc>
          <w:tcPr>
            <w:tcW w:w="1123" w:type="dxa"/>
            <w:tcBorders>
              <w:top w:val="single" w:sz="4" w:space="0" w:color="auto"/>
              <w:left w:val="nil"/>
              <w:bottom w:val="single" w:sz="4" w:space="0" w:color="auto"/>
              <w:right w:val="nil"/>
            </w:tcBorders>
            <w:shd w:val="clear" w:color="auto" w:fill="auto"/>
            <w:noWrap/>
            <w:vAlign w:val="center"/>
            <w:hideMark/>
          </w:tcPr>
          <w:p w14:paraId="57880A12"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6.6</w:t>
            </w:r>
          </w:p>
        </w:tc>
      </w:tr>
      <w:tr w:rsidR="00894EC0" w:rsidRPr="00181B97" w14:paraId="6E4EEF59" w14:textId="77777777" w:rsidTr="0064217C">
        <w:trPr>
          <w:trHeight w:val="102"/>
        </w:trPr>
        <w:tc>
          <w:tcPr>
            <w:tcW w:w="3301" w:type="dxa"/>
            <w:tcBorders>
              <w:top w:val="nil"/>
              <w:left w:val="nil"/>
              <w:bottom w:val="nil"/>
              <w:right w:val="nil"/>
            </w:tcBorders>
            <w:shd w:val="clear" w:color="000000" w:fill="FFFFFF"/>
            <w:noWrap/>
            <w:vAlign w:val="center"/>
            <w:hideMark/>
          </w:tcPr>
          <w:p w14:paraId="5E0B8D4A" w14:textId="77777777" w:rsidR="00894EC0" w:rsidRPr="00181B97" w:rsidRDefault="00894EC0" w:rsidP="0064217C">
            <w:pPr>
              <w:rPr>
                <w:rFonts w:ascii="Arial" w:hAnsi="Arial" w:cs="Arial"/>
                <w:b/>
                <w:bCs/>
                <w:sz w:val="16"/>
                <w:szCs w:val="16"/>
                <w:lang w:eastAsia="en-AU"/>
              </w:rPr>
            </w:pPr>
            <w:r w:rsidRPr="00181B97">
              <w:rPr>
                <w:rFonts w:ascii="Arial" w:hAnsi="Arial" w:cs="Arial"/>
                <w:b/>
                <w:bCs/>
                <w:sz w:val="16"/>
                <w:szCs w:val="16"/>
                <w:lang w:eastAsia="en-AU"/>
              </w:rPr>
              <w:t> </w:t>
            </w:r>
          </w:p>
        </w:tc>
        <w:tc>
          <w:tcPr>
            <w:tcW w:w="896" w:type="dxa"/>
            <w:tcBorders>
              <w:top w:val="nil"/>
              <w:left w:val="nil"/>
              <w:bottom w:val="nil"/>
              <w:right w:val="nil"/>
            </w:tcBorders>
            <w:shd w:val="clear" w:color="000000" w:fill="FFFFFF"/>
            <w:noWrap/>
            <w:vAlign w:val="center"/>
            <w:hideMark/>
          </w:tcPr>
          <w:p w14:paraId="7C3828F8"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FFFFF"/>
            <w:noWrap/>
            <w:vAlign w:val="center"/>
            <w:hideMark/>
          </w:tcPr>
          <w:p w14:paraId="1188B12D"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2F2F2"/>
            <w:noWrap/>
            <w:vAlign w:val="center"/>
            <w:hideMark/>
          </w:tcPr>
          <w:p w14:paraId="4401C139"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2F2F2"/>
            <w:noWrap/>
            <w:vAlign w:val="center"/>
            <w:hideMark/>
          </w:tcPr>
          <w:p w14:paraId="125E7230"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2F2F2"/>
            <w:noWrap/>
            <w:vAlign w:val="center"/>
            <w:hideMark/>
          </w:tcPr>
          <w:p w14:paraId="4C4F640B"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2F2F2"/>
            <w:noWrap/>
            <w:vAlign w:val="center"/>
            <w:hideMark/>
          </w:tcPr>
          <w:p w14:paraId="1CBDD436"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1123" w:type="dxa"/>
            <w:tcBorders>
              <w:top w:val="nil"/>
              <w:left w:val="nil"/>
              <w:bottom w:val="nil"/>
              <w:right w:val="nil"/>
            </w:tcBorders>
            <w:shd w:val="clear" w:color="000000" w:fill="FFFFFF"/>
            <w:noWrap/>
            <w:vAlign w:val="center"/>
            <w:hideMark/>
          </w:tcPr>
          <w:p w14:paraId="3982E9C5"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r>
      <w:tr w:rsidR="00894EC0" w:rsidRPr="00181B97" w14:paraId="78DBE0AD" w14:textId="77777777" w:rsidTr="0064217C">
        <w:trPr>
          <w:trHeight w:val="192"/>
        </w:trPr>
        <w:tc>
          <w:tcPr>
            <w:tcW w:w="3301" w:type="dxa"/>
            <w:tcBorders>
              <w:top w:val="nil"/>
              <w:left w:val="nil"/>
              <w:bottom w:val="nil"/>
              <w:right w:val="nil"/>
            </w:tcBorders>
            <w:shd w:val="clear" w:color="000000" w:fill="FFFFFF"/>
            <w:vAlign w:val="center"/>
            <w:hideMark/>
          </w:tcPr>
          <w:p w14:paraId="65411FCB" w14:textId="77777777" w:rsidR="00894EC0" w:rsidRPr="00181B97" w:rsidRDefault="00894EC0" w:rsidP="0064217C">
            <w:pPr>
              <w:rPr>
                <w:rFonts w:ascii="Arial" w:hAnsi="Arial" w:cs="Arial"/>
                <w:b/>
                <w:bCs/>
                <w:sz w:val="16"/>
                <w:szCs w:val="16"/>
                <w:lang w:eastAsia="en-AU"/>
              </w:rPr>
            </w:pPr>
            <w:r w:rsidRPr="00181B97">
              <w:rPr>
                <w:rFonts w:ascii="Arial" w:hAnsi="Arial" w:cs="Arial"/>
                <w:b/>
                <w:bCs/>
                <w:sz w:val="16"/>
                <w:szCs w:val="16"/>
                <w:lang w:eastAsia="en-AU"/>
              </w:rPr>
              <w:t>Taxes on motor vehicle</w:t>
            </w:r>
          </w:p>
        </w:tc>
        <w:tc>
          <w:tcPr>
            <w:tcW w:w="896" w:type="dxa"/>
            <w:tcBorders>
              <w:top w:val="nil"/>
              <w:left w:val="nil"/>
              <w:bottom w:val="nil"/>
              <w:right w:val="nil"/>
            </w:tcBorders>
            <w:shd w:val="clear" w:color="000000" w:fill="FFFFFF"/>
            <w:noWrap/>
            <w:vAlign w:val="center"/>
            <w:hideMark/>
          </w:tcPr>
          <w:p w14:paraId="0E6D8F55"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FFFFF"/>
            <w:noWrap/>
            <w:vAlign w:val="center"/>
            <w:hideMark/>
          </w:tcPr>
          <w:p w14:paraId="1C206887"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2F2F2"/>
            <w:noWrap/>
            <w:vAlign w:val="center"/>
            <w:hideMark/>
          </w:tcPr>
          <w:p w14:paraId="2256C2CF"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2F2F2"/>
            <w:noWrap/>
            <w:vAlign w:val="center"/>
            <w:hideMark/>
          </w:tcPr>
          <w:p w14:paraId="757C48C7"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2F2F2"/>
            <w:noWrap/>
            <w:vAlign w:val="center"/>
            <w:hideMark/>
          </w:tcPr>
          <w:p w14:paraId="3C00E25E"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2F2F2"/>
            <w:noWrap/>
            <w:vAlign w:val="center"/>
            <w:hideMark/>
          </w:tcPr>
          <w:p w14:paraId="08F91588"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1123" w:type="dxa"/>
            <w:tcBorders>
              <w:top w:val="nil"/>
              <w:left w:val="nil"/>
              <w:bottom w:val="nil"/>
              <w:right w:val="nil"/>
            </w:tcBorders>
            <w:shd w:val="clear" w:color="000000" w:fill="FFFFFF"/>
            <w:noWrap/>
            <w:vAlign w:val="center"/>
            <w:hideMark/>
          </w:tcPr>
          <w:p w14:paraId="56BBACAA"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r>
      <w:tr w:rsidR="00894EC0" w:rsidRPr="00181B97" w14:paraId="69EA009F" w14:textId="77777777" w:rsidTr="0064217C">
        <w:trPr>
          <w:trHeight w:val="199"/>
        </w:trPr>
        <w:tc>
          <w:tcPr>
            <w:tcW w:w="3301" w:type="dxa"/>
            <w:tcBorders>
              <w:top w:val="nil"/>
              <w:left w:val="nil"/>
              <w:bottom w:val="nil"/>
              <w:right w:val="nil"/>
            </w:tcBorders>
            <w:shd w:val="clear" w:color="000000" w:fill="FFFFFF"/>
            <w:vAlign w:val="center"/>
            <w:hideMark/>
          </w:tcPr>
          <w:p w14:paraId="264754C5" w14:textId="77777777" w:rsidR="00894EC0" w:rsidRPr="00181B97" w:rsidRDefault="00894EC0" w:rsidP="0064217C">
            <w:pPr>
              <w:rPr>
                <w:rFonts w:ascii="Arial" w:hAnsi="Arial" w:cs="Arial"/>
                <w:b/>
                <w:bCs/>
                <w:sz w:val="16"/>
                <w:szCs w:val="16"/>
                <w:lang w:eastAsia="en-AU"/>
              </w:rPr>
            </w:pPr>
            <w:r w:rsidRPr="00181B97">
              <w:rPr>
                <w:rFonts w:ascii="Arial" w:hAnsi="Arial" w:cs="Arial"/>
                <w:b/>
                <w:bCs/>
                <w:sz w:val="16"/>
                <w:szCs w:val="16"/>
                <w:lang w:eastAsia="en-AU"/>
              </w:rPr>
              <w:t>ownership and operation</w:t>
            </w:r>
          </w:p>
        </w:tc>
        <w:tc>
          <w:tcPr>
            <w:tcW w:w="896" w:type="dxa"/>
            <w:tcBorders>
              <w:top w:val="nil"/>
              <w:left w:val="nil"/>
              <w:bottom w:val="nil"/>
              <w:right w:val="nil"/>
            </w:tcBorders>
            <w:shd w:val="clear" w:color="000000" w:fill="FFFFFF"/>
            <w:noWrap/>
            <w:vAlign w:val="center"/>
            <w:hideMark/>
          </w:tcPr>
          <w:p w14:paraId="198BD03A"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FFFFF"/>
            <w:noWrap/>
            <w:vAlign w:val="center"/>
            <w:hideMark/>
          </w:tcPr>
          <w:p w14:paraId="23BFFF90"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2F2F2"/>
            <w:noWrap/>
            <w:vAlign w:val="center"/>
            <w:hideMark/>
          </w:tcPr>
          <w:p w14:paraId="17BBFD86"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2F2F2"/>
            <w:noWrap/>
            <w:vAlign w:val="center"/>
            <w:hideMark/>
          </w:tcPr>
          <w:p w14:paraId="21F9B8BA"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2F2F2"/>
            <w:noWrap/>
            <w:vAlign w:val="center"/>
            <w:hideMark/>
          </w:tcPr>
          <w:p w14:paraId="04307025"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2F2F2"/>
            <w:noWrap/>
            <w:vAlign w:val="center"/>
            <w:hideMark/>
          </w:tcPr>
          <w:p w14:paraId="514AF43C"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1123" w:type="dxa"/>
            <w:tcBorders>
              <w:top w:val="nil"/>
              <w:left w:val="nil"/>
              <w:bottom w:val="nil"/>
              <w:right w:val="nil"/>
            </w:tcBorders>
            <w:shd w:val="clear" w:color="000000" w:fill="FFFFFF"/>
            <w:noWrap/>
            <w:vAlign w:val="center"/>
            <w:hideMark/>
          </w:tcPr>
          <w:p w14:paraId="438895DC"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r>
      <w:tr w:rsidR="00894EC0" w:rsidRPr="00181B97" w14:paraId="22F569D8" w14:textId="77777777" w:rsidTr="0064217C">
        <w:trPr>
          <w:trHeight w:val="199"/>
        </w:trPr>
        <w:tc>
          <w:tcPr>
            <w:tcW w:w="3301" w:type="dxa"/>
            <w:tcBorders>
              <w:top w:val="nil"/>
              <w:left w:val="nil"/>
              <w:bottom w:val="nil"/>
              <w:right w:val="nil"/>
            </w:tcBorders>
            <w:shd w:val="clear" w:color="000000" w:fill="FFFFFF"/>
            <w:noWrap/>
            <w:vAlign w:val="center"/>
            <w:hideMark/>
          </w:tcPr>
          <w:p w14:paraId="5126BC96" w14:textId="77777777" w:rsidR="00894EC0" w:rsidRPr="00181B97" w:rsidRDefault="00894EC0" w:rsidP="0064217C">
            <w:pPr>
              <w:rPr>
                <w:rFonts w:ascii="Arial" w:hAnsi="Arial" w:cs="Arial"/>
                <w:sz w:val="16"/>
                <w:szCs w:val="16"/>
                <w:lang w:eastAsia="en-AU"/>
              </w:rPr>
            </w:pPr>
            <w:r w:rsidRPr="00181B97">
              <w:rPr>
                <w:rFonts w:ascii="Arial" w:hAnsi="Arial" w:cs="Arial"/>
                <w:sz w:val="16"/>
                <w:szCs w:val="16"/>
                <w:lang w:eastAsia="en-AU"/>
              </w:rPr>
              <w:t>Weight tax</w:t>
            </w:r>
          </w:p>
        </w:tc>
        <w:tc>
          <w:tcPr>
            <w:tcW w:w="896" w:type="dxa"/>
            <w:tcBorders>
              <w:top w:val="nil"/>
              <w:left w:val="nil"/>
              <w:bottom w:val="nil"/>
              <w:right w:val="nil"/>
            </w:tcBorders>
            <w:shd w:val="clear" w:color="000000" w:fill="FFFFFF"/>
            <w:noWrap/>
            <w:vAlign w:val="center"/>
            <w:hideMark/>
          </w:tcPr>
          <w:p w14:paraId="561DA4C0"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2,349 </w:t>
            </w:r>
          </w:p>
        </w:tc>
        <w:tc>
          <w:tcPr>
            <w:tcW w:w="896" w:type="dxa"/>
            <w:tcBorders>
              <w:top w:val="nil"/>
              <w:left w:val="nil"/>
              <w:bottom w:val="nil"/>
              <w:right w:val="nil"/>
            </w:tcBorders>
            <w:shd w:val="clear" w:color="000000" w:fill="FFFFFF"/>
            <w:noWrap/>
            <w:vAlign w:val="center"/>
            <w:hideMark/>
          </w:tcPr>
          <w:p w14:paraId="4A4646EC"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2,455 </w:t>
            </w:r>
          </w:p>
        </w:tc>
        <w:tc>
          <w:tcPr>
            <w:tcW w:w="896" w:type="dxa"/>
            <w:tcBorders>
              <w:top w:val="nil"/>
              <w:left w:val="nil"/>
              <w:bottom w:val="nil"/>
              <w:right w:val="nil"/>
            </w:tcBorders>
            <w:shd w:val="clear" w:color="000000" w:fill="F2F2F2"/>
            <w:noWrap/>
            <w:vAlign w:val="center"/>
            <w:hideMark/>
          </w:tcPr>
          <w:p w14:paraId="051B982A"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2,560 </w:t>
            </w:r>
          </w:p>
        </w:tc>
        <w:tc>
          <w:tcPr>
            <w:tcW w:w="896" w:type="dxa"/>
            <w:tcBorders>
              <w:top w:val="nil"/>
              <w:left w:val="nil"/>
              <w:bottom w:val="nil"/>
              <w:right w:val="nil"/>
            </w:tcBorders>
            <w:shd w:val="clear" w:color="000000" w:fill="F2F2F2"/>
            <w:noWrap/>
            <w:vAlign w:val="center"/>
            <w:hideMark/>
          </w:tcPr>
          <w:p w14:paraId="0EA9413A"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2,790 </w:t>
            </w:r>
          </w:p>
        </w:tc>
        <w:tc>
          <w:tcPr>
            <w:tcW w:w="896" w:type="dxa"/>
            <w:tcBorders>
              <w:top w:val="nil"/>
              <w:left w:val="nil"/>
              <w:bottom w:val="nil"/>
              <w:right w:val="nil"/>
            </w:tcBorders>
            <w:shd w:val="clear" w:color="000000" w:fill="F2F2F2"/>
            <w:noWrap/>
            <w:vAlign w:val="center"/>
            <w:hideMark/>
          </w:tcPr>
          <w:p w14:paraId="0E3809DE"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2,915 </w:t>
            </w:r>
          </w:p>
        </w:tc>
        <w:tc>
          <w:tcPr>
            <w:tcW w:w="896" w:type="dxa"/>
            <w:tcBorders>
              <w:top w:val="nil"/>
              <w:left w:val="nil"/>
              <w:bottom w:val="nil"/>
              <w:right w:val="nil"/>
            </w:tcBorders>
            <w:shd w:val="clear" w:color="000000" w:fill="F2F2F2"/>
            <w:noWrap/>
            <w:vAlign w:val="center"/>
            <w:hideMark/>
          </w:tcPr>
          <w:p w14:paraId="16DF3B2E"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3,037 </w:t>
            </w:r>
          </w:p>
        </w:tc>
        <w:tc>
          <w:tcPr>
            <w:tcW w:w="1123" w:type="dxa"/>
            <w:tcBorders>
              <w:top w:val="nil"/>
              <w:left w:val="nil"/>
              <w:bottom w:val="nil"/>
              <w:right w:val="nil"/>
            </w:tcBorders>
            <w:shd w:val="clear" w:color="000000" w:fill="FFFFFF"/>
            <w:noWrap/>
            <w:vAlign w:val="center"/>
            <w:hideMark/>
          </w:tcPr>
          <w:p w14:paraId="0CEE09AA"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5.5</w:t>
            </w:r>
          </w:p>
        </w:tc>
      </w:tr>
      <w:tr w:rsidR="00894EC0" w:rsidRPr="00181B97" w14:paraId="3D3546BA" w14:textId="77777777" w:rsidTr="0064217C">
        <w:trPr>
          <w:trHeight w:val="199"/>
        </w:trPr>
        <w:tc>
          <w:tcPr>
            <w:tcW w:w="3301" w:type="dxa"/>
            <w:tcBorders>
              <w:top w:val="nil"/>
              <w:left w:val="nil"/>
              <w:bottom w:val="nil"/>
              <w:right w:val="nil"/>
            </w:tcBorders>
            <w:shd w:val="clear" w:color="000000" w:fill="FFFFFF"/>
            <w:noWrap/>
            <w:vAlign w:val="center"/>
            <w:hideMark/>
          </w:tcPr>
          <w:p w14:paraId="3BEA47F4" w14:textId="77777777" w:rsidR="00894EC0" w:rsidRPr="00181B97" w:rsidRDefault="00894EC0" w:rsidP="0064217C">
            <w:pPr>
              <w:rPr>
                <w:rFonts w:ascii="Arial" w:hAnsi="Arial" w:cs="Arial"/>
                <w:sz w:val="16"/>
                <w:szCs w:val="16"/>
                <w:lang w:eastAsia="en-AU"/>
              </w:rPr>
            </w:pPr>
            <w:r w:rsidRPr="00181B97">
              <w:rPr>
                <w:rFonts w:ascii="Arial" w:hAnsi="Arial" w:cs="Arial"/>
                <w:sz w:val="16"/>
                <w:szCs w:val="16"/>
                <w:lang w:eastAsia="en-AU"/>
              </w:rPr>
              <w:t>Vehicle transfer fees</w:t>
            </w:r>
          </w:p>
        </w:tc>
        <w:tc>
          <w:tcPr>
            <w:tcW w:w="896" w:type="dxa"/>
            <w:tcBorders>
              <w:top w:val="nil"/>
              <w:left w:val="nil"/>
              <w:bottom w:val="nil"/>
              <w:right w:val="nil"/>
            </w:tcBorders>
            <w:shd w:val="clear" w:color="000000" w:fill="FFFFFF"/>
            <w:noWrap/>
            <w:vAlign w:val="center"/>
            <w:hideMark/>
          </w:tcPr>
          <w:p w14:paraId="25D7363B"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58 </w:t>
            </w:r>
          </w:p>
        </w:tc>
        <w:tc>
          <w:tcPr>
            <w:tcW w:w="896" w:type="dxa"/>
            <w:tcBorders>
              <w:top w:val="nil"/>
              <w:left w:val="nil"/>
              <w:bottom w:val="nil"/>
              <w:right w:val="nil"/>
            </w:tcBorders>
            <w:shd w:val="clear" w:color="000000" w:fill="FFFFFF"/>
            <w:noWrap/>
            <w:vAlign w:val="center"/>
            <w:hideMark/>
          </w:tcPr>
          <w:p w14:paraId="4C484010"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52 </w:t>
            </w:r>
          </w:p>
        </w:tc>
        <w:tc>
          <w:tcPr>
            <w:tcW w:w="896" w:type="dxa"/>
            <w:tcBorders>
              <w:top w:val="nil"/>
              <w:left w:val="nil"/>
              <w:bottom w:val="nil"/>
              <w:right w:val="nil"/>
            </w:tcBorders>
            <w:shd w:val="clear" w:color="000000" w:fill="F2F2F2"/>
            <w:noWrap/>
            <w:vAlign w:val="center"/>
            <w:hideMark/>
          </w:tcPr>
          <w:p w14:paraId="0ACE7C5C"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55 </w:t>
            </w:r>
          </w:p>
        </w:tc>
        <w:tc>
          <w:tcPr>
            <w:tcW w:w="896" w:type="dxa"/>
            <w:tcBorders>
              <w:top w:val="nil"/>
              <w:left w:val="nil"/>
              <w:bottom w:val="nil"/>
              <w:right w:val="nil"/>
            </w:tcBorders>
            <w:shd w:val="clear" w:color="000000" w:fill="F2F2F2"/>
            <w:noWrap/>
            <w:vAlign w:val="center"/>
            <w:hideMark/>
          </w:tcPr>
          <w:p w14:paraId="2E858108"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59 </w:t>
            </w:r>
          </w:p>
        </w:tc>
        <w:tc>
          <w:tcPr>
            <w:tcW w:w="896" w:type="dxa"/>
            <w:tcBorders>
              <w:top w:val="nil"/>
              <w:left w:val="nil"/>
              <w:bottom w:val="nil"/>
              <w:right w:val="nil"/>
            </w:tcBorders>
            <w:shd w:val="clear" w:color="000000" w:fill="F2F2F2"/>
            <w:noWrap/>
            <w:vAlign w:val="center"/>
            <w:hideMark/>
          </w:tcPr>
          <w:p w14:paraId="52B3DECE"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62 </w:t>
            </w:r>
          </w:p>
        </w:tc>
        <w:tc>
          <w:tcPr>
            <w:tcW w:w="896" w:type="dxa"/>
            <w:tcBorders>
              <w:top w:val="nil"/>
              <w:left w:val="nil"/>
              <w:bottom w:val="nil"/>
              <w:right w:val="nil"/>
            </w:tcBorders>
            <w:shd w:val="clear" w:color="000000" w:fill="F2F2F2"/>
            <w:noWrap/>
            <w:vAlign w:val="center"/>
            <w:hideMark/>
          </w:tcPr>
          <w:p w14:paraId="597768F0"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66 </w:t>
            </w:r>
          </w:p>
        </w:tc>
        <w:tc>
          <w:tcPr>
            <w:tcW w:w="1123" w:type="dxa"/>
            <w:tcBorders>
              <w:top w:val="nil"/>
              <w:left w:val="nil"/>
              <w:bottom w:val="nil"/>
              <w:right w:val="nil"/>
            </w:tcBorders>
            <w:shd w:val="clear" w:color="000000" w:fill="FFFFFF"/>
            <w:noWrap/>
            <w:vAlign w:val="center"/>
            <w:hideMark/>
          </w:tcPr>
          <w:p w14:paraId="5501B2CD"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6.5</w:t>
            </w:r>
          </w:p>
        </w:tc>
      </w:tr>
      <w:tr w:rsidR="00894EC0" w:rsidRPr="00181B97" w14:paraId="48B44DD2" w14:textId="77777777" w:rsidTr="0064217C">
        <w:trPr>
          <w:trHeight w:val="199"/>
        </w:trPr>
        <w:tc>
          <w:tcPr>
            <w:tcW w:w="3301" w:type="dxa"/>
            <w:tcBorders>
              <w:top w:val="nil"/>
              <w:left w:val="nil"/>
              <w:bottom w:val="nil"/>
              <w:right w:val="nil"/>
            </w:tcBorders>
            <w:shd w:val="clear" w:color="000000" w:fill="FFFFFF"/>
            <w:noWrap/>
            <w:vAlign w:val="center"/>
            <w:hideMark/>
          </w:tcPr>
          <w:p w14:paraId="3FE728C2" w14:textId="77777777" w:rsidR="00894EC0" w:rsidRPr="00181B97" w:rsidRDefault="00894EC0" w:rsidP="0064217C">
            <w:pPr>
              <w:rPr>
                <w:rFonts w:ascii="Arial" w:hAnsi="Arial" w:cs="Arial"/>
                <w:sz w:val="16"/>
                <w:szCs w:val="16"/>
                <w:lang w:eastAsia="en-AU"/>
              </w:rPr>
            </w:pPr>
            <w:r w:rsidRPr="00181B97">
              <w:rPr>
                <w:rFonts w:ascii="Arial" w:hAnsi="Arial" w:cs="Arial"/>
                <w:sz w:val="16"/>
                <w:szCs w:val="16"/>
                <w:lang w:eastAsia="en-AU"/>
              </w:rPr>
              <w:t>Other motor vehicle taxes</w:t>
            </w:r>
          </w:p>
        </w:tc>
        <w:tc>
          <w:tcPr>
            <w:tcW w:w="896" w:type="dxa"/>
            <w:tcBorders>
              <w:top w:val="nil"/>
              <w:left w:val="nil"/>
              <w:bottom w:val="nil"/>
              <w:right w:val="nil"/>
            </w:tcBorders>
            <w:shd w:val="clear" w:color="000000" w:fill="FFFFFF"/>
            <w:noWrap/>
            <w:vAlign w:val="center"/>
            <w:hideMark/>
          </w:tcPr>
          <w:p w14:paraId="2213767E"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44 </w:t>
            </w:r>
          </w:p>
        </w:tc>
        <w:tc>
          <w:tcPr>
            <w:tcW w:w="896" w:type="dxa"/>
            <w:tcBorders>
              <w:top w:val="nil"/>
              <w:left w:val="nil"/>
              <w:bottom w:val="nil"/>
              <w:right w:val="nil"/>
            </w:tcBorders>
            <w:shd w:val="clear" w:color="000000" w:fill="FFFFFF"/>
            <w:noWrap/>
            <w:vAlign w:val="center"/>
            <w:hideMark/>
          </w:tcPr>
          <w:p w14:paraId="5FB57558"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37 </w:t>
            </w:r>
          </w:p>
        </w:tc>
        <w:tc>
          <w:tcPr>
            <w:tcW w:w="896" w:type="dxa"/>
            <w:tcBorders>
              <w:top w:val="nil"/>
              <w:left w:val="nil"/>
              <w:bottom w:val="nil"/>
              <w:right w:val="nil"/>
            </w:tcBorders>
            <w:shd w:val="clear" w:color="000000" w:fill="F2F2F2"/>
            <w:noWrap/>
            <w:vAlign w:val="center"/>
            <w:hideMark/>
          </w:tcPr>
          <w:p w14:paraId="4F63AC4D"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39 </w:t>
            </w:r>
          </w:p>
        </w:tc>
        <w:tc>
          <w:tcPr>
            <w:tcW w:w="896" w:type="dxa"/>
            <w:tcBorders>
              <w:top w:val="nil"/>
              <w:left w:val="nil"/>
              <w:bottom w:val="nil"/>
              <w:right w:val="nil"/>
            </w:tcBorders>
            <w:shd w:val="clear" w:color="000000" w:fill="F2F2F2"/>
            <w:noWrap/>
            <w:vAlign w:val="center"/>
            <w:hideMark/>
          </w:tcPr>
          <w:p w14:paraId="3DD5DF10"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41 </w:t>
            </w:r>
          </w:p>
        </w:tc>
        <w:tc>
          <w:tcPr>
            <w:tcW w:w="896" w:type="dxa"/>
            <w:tcBorders>
              <w:top w:val="nil"/>
              <w:left w:val="nil"/>
              <w:bottom w:val="nil"/>
              <w:right w:val="nil"/>
            </w:tcBorders>
            <w:shd w:val="clear" w:color="000000" w:fill="F2F2F2"/>
            <w:noWrap/>
            <w:vAlign w:val="center"/>
            <w:hideMark/>
          </w:tcPr>
          <w:p w14:paraId="50DB4187"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42 </w:t>
            </w:r>
          </w:p>
        </w:tc>
        <w:tc>
          <w:tcPr>
            <w:tcW w:w="896" w:type="dxa"/>
            <w:tcBorders>
              <w:top w:val="nil"/>
              <w:left w:val="nil"/>
              <w:bottom w:val="nil"/>
              <w:right w:val="nil"/>
            </w:tcBorders>
            <w:shd w:val="clear" w:color="000000" w:fill="F2F2F2"/>
            <w:noWrap/>
            <w:vAlign w:val="center"/>
            <w:hideMark/>
          </w:tcPr>
          <w:p w14:paraId="066DB449"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44 </w:t>
            </w:r>
          </w:p>
        </w:tc>
        <w:tc>
          <w:tcPr>
            <w:tcW w:w="1123" w:type="dxa"/>
            <w:tcBorders>
              <w:top w:val="nil"/>
              <w:left w:val="nil"/>
              <w:bottom w:val="nil"/>
              <w:right w:val="nil"/>
            </w:tcBorders>
            <w:shd w:val="clear" w:color="000000" w:fill="FFFFFF"/>
            <w:noWrap/>
            <w:vAlign w:val="center"/>
            <w:hideMark/>
          </w:tcPr>
          <w:p w14:paraId="39A9F8A3"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4.4</w:t>
            </w:r>
          </w:p>
        </w:tc>
      </w:tr>
      <w:tr w:rsidR="00894EC0" w:rsidRPr="00181B97" w14:paraId="0D41592C" w14:textId="77777777" w:rsidTr="0064217C">
        <w:trPr>
          <w:trHeight w:val="199"/>
        </w:trPr>
        <w:tc>
          <w:tcPr>
            <w:tcW w:w="3301" w:type="dxa"/>
            <w:tcBorders>
              <w:top w:val="nil"/>
              <w:left w:val="nil"/>
              <w:bottom w:val="nil"/>
              <w:right w:val="nil"/>
            </w:tcBorders>
            <w:shd w:val="clear" w:color="000000" w:fill="FFFFFF"/>
            <w:noWrap/>
            <w:vAlign w:val="center"/>
            <w:hideMark/>
          </w:tcPr>
          <w:p w14:paraId="481A4B81" w14:textId="77777777" w:rsidR="00894EC0" w:rsidRPr="00181B97" w:rsidRDefault="00894EC0" w:rsidP="0064217C">
            <w:pPr>
              <w:rPr>
                <w:rFonts w:ascii="Arial" w:hAnsi="Arial" w:cs="Arial"/>
                <w:b/>
                <w:bCs/>
                <w:color w:val="00ABE6"/>
                <w:sz w:val="16"/>
                <w:szCs w:val="16"/>
                <w:lang w:eastAsia="en-AU"/>
              </w:rPr>
            </w:pPr>
            <w:r w:rsidRPr="00181B97">
              <w:rPr>
                <w:rFonts w:ascii="Arial" w:hAnsi="Arial" w:cs="Arial"/>
                <w:b/>
                <w:bCs/>
                <w:color w:val="00ABE6"/>
                <w:sz w:val="16"/>
                <w:szCs w:val="16"/>
                <w:lang w:eastAsia="en-AU"/>
              </w:rPr>
              <w:t> </w:t>
            </w:r>
          </w:p>
        </w:tc>
        <w:tc>
          <w:tcPr>
            <w:tcW w:w="896" w:type="dxa"/>
            <w:tcBorders>
              <w:top w:val="single" w:sz="4" w:space="0" w:color="auto"/>
              <w:left w:val="nil"/>
              <w:bottom w:val="single" w:sz="4" w:space="0" w:color="auto"/>
              <w:right w:val="nil"/>
            </w:tcBorders>
            <w:shd w:val="clear" w:color="000000" w:fill="FFFFFF"/>
            <w:noWrap/>
            <w:vAlign w:val="center"/>
            <w:hideMark/>
          </w:tcPr>
          <w:p w14:paraId="33CF6204"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2,451</w:t>
            </w:r>
          </w:p>
        </w:tc>
        <w:tc>
          <w:tcPr>
            <w:tcW w:w="896" w:type="dxa"/>
            <w:tcBorders>
              <w:top w:val="single" w:sz="4" w:space="0" w:color="auto"/>
              <w:left w:val="nil"/>
              <w:bottom w:val="single" w:sz="4" w:space="0" w:color="auto"/>
              <w:right w:val="nil"/>
            </w:tcBorders>
            <w:shd w:val="clear" w:color="000000" w:fill="FFFFFF"/>
            <w:noWrap/>
            <w:vAlign w:val="center"/>
            <w:hideMark/>
          </w:tcPr>
          <w:p w14:paraId="35EFF83D"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2,544</w:t>
            </w:r>
          </w:p>
        </w:tc>
        <w:tc>
          <w:tcPr>
            <w:tcW w:w="896" w:type="dxa"/>
            <w:tcBorders>
              <w:top w:val="single" w:sz="4" w:space="0" w:color="auto"/>
              <w:left w:val="nil"/>
              <w:bottom w:val="single" w:sz="4" w:space="0" w:color="auto"/>
              <w:right w:val="nil"/>
            </w:tcBorders>
            <w:shd w:val="clear" w:color="000000" w:fill="F2F2F2"/>
            <w:noWrap/>
            <w:vAlign w:val="center"/>
            <w:hideMark/>
          </w:tcPr>
          <w:p w14:paraId="52130C42"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2,654</w:t>
            </w:r>
          </w:p>
        </w:tc>
        <w:tc>
          <w:tcPr>
            <w:tcW w:w="896" w:type="dxa"/>
            <w:tcBorders>
              <w:top w:val="single" w:sz="4" w:space="0" w:color="auto"/>
              <w:left w:val="nil"/>
              <w:bottom w:val="single" w:sz="4" w:space="0" w:color="auto"/>
              <w:right w:val="nil"/>
            </w:tcBorders>
            <w:shd w:val="clear" w:color="000000" w:fill="F2F2F2"/>
            <w:noWrap/>
            <w:vAlign w:val="center"/>
            <w:hideMark/>
          </w:tcPr>
          <w:p w14:paraId="3FCA207C"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2,889</w:t>
            </w:r>
          </w:p>
        </w:tc>
        <w:tc>
          <w:tcPr>
            <w:tcW w:w="896" w:type="dxa"/>
            <w:tcBorders>
              <w:top w:val="single" w:sz="4" w:space="0" w:color="auto"/>
              <w:left w:val="nil"/>
              <w:bottom w:val="single" w:sz="4" w:space="0" w:color="auto"/>
              <w:right w:val="nil"/>
            </w:tcBorders>
            <w:shd w:val="clear" w:color="000000" w:fill="F2F2F2"/>
            <w:noWrap/>
            <w:vAlign w:val="center"/>
            <w:hideMark/>
          </w:tcPr>
          <w:p w14:paraId="484D0D16"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3,019</w:t>
            </w:r>
          </w:p>
        </w:tc>
        <w:tc>
          <w:tcPr>
            <w:tcW w:w="896" w:type="dxa"/>
            <w:tcBorders>
              <w:top w:val="single" w:sz="4" w:space="0" w:color="auto"/>
              <w:left w:val="nil"/>
              <w:bottom w:val="single" w:sz="4" w:space="0" w:color="auto"/>
              <w:right w:val="nil"/>
            </w:tcBorders>
            <w:shd w:val="clear" w:color="000000" w:fill="F2F2F2"/>
            <w:noWrap/>
            <w:vAlign w:val="center"/>
            <w:hideMark/>
          </w:tcPr>
          <w:p w14:paraId="4EFBEF3D"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3,147</w:t>
            </w:r>
          </w:p>
        </w:tc>
        <w:tc>
          <w:tcPr>
            <w:tcW w:w="1123" w:type="dxa"/>
            <w:tcBorders>
              <w:top w:val="single" w:sz="4" w:space="0" w:color="auto"/>
              <w:left w:val="nil"/>
              <w:bottom w:val="single" w:sz="4" w:space="0" w:color="auto"/>
              <w:right w:val="nil"/>
            </w:tcBorders>
            <w:shd w:val="clear" w:color="auto" w:fill="auto"/>
            <w:noWrap/>
            <w:vAlign w:val="center"/>
            <w:hideMark/>
          </w:tcPr>
          <w:p w14:paraId="3215E6BB"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5.5</w:t>
            </w:r>
          </w:p>
        </w:tc>
      </w:tr>
      <w:tr w:rsidR="00894EC0" w:rsidRPr="00181B97" w14:paraId="1D23D79F" w14:textId="77777777" w:rsidTr="0064217C">
        <w:trPr>
          <w:trHeight w:val="102"/>
        </w:trPr>
        <w:tc>
          <w:tcPr>
            <w:tcW w:w="3301" w:type="dxa"/>
            <w:tcBorders>
              <w:top w:val="nil"/>
              <w:left w:val="nil"/>
              <w:bottom w:val="nil"/>
              <w:right w:val="nil"/>
            </w:tcBorders>
            <w:shd w:val="clear" w:color="000000" w:fill="FFFFFF"/>
            <w:noWrap/>
            <w:vAlign w:val="bottom"/>
            <w:hideMark/>
          </w:tcPr>
          <w:p w14:paraId="1F069A2B" w14:textId="77777777" w:rsidR="00894EC0" w:rsidRPr="00181B97" w:rsidRDefault="00894EC0" w:rsidP="0064217C">
            <w:pPr>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FFFFF"/>
            <w:noWrap/>
            <w:vAlign w:val="center"/>
            <w:hideMark/>
          </w:tcPr>
          <w:p w14:paraId="5B552B67"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FFFFF"/>
            <w:noWrap/>
            <w:vAlign w:val="center"/>
            <w:hideMark/>
          </w:tcPr>
          <w:p w14:paraId="6D6EE8B4"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2F2F2"/>
            <w:noWrap/>
            <w:vAlign w:val="center"/>
            <w:hideMark/>
          </w:tcPr>
          <w:p w14:paraId="52E23CDF"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2F2F2"/>
            <w:noWrap/>
            <w:vAlign w:val="center"/>
            <w:hideMark/>
          </w:tcPr>
          <w:p w14:paraId="4C461E0A"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2F2F2"/>
            <w:noWrap/>
            <w:vAlign w:val="center"/>
            <w:hideMark/>
          </w:tcPr>
          <w:p w14:paraId="38FB361B"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2F2F2"/>
            <w:noWrap/>
            <w:vAlign w:val="center"/>
            <w:hideMark/>
          </w:tcPr>
          <w:p w14:paraId="185786CC"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1123" w:type="dxa"/>
            <w:tcBorders>
              <w:top w:val="nil"/>
              <w:left w:val="nil"/>
              <w:bottom w:val="nil"/>
              <w:right w:val="nil"/>
            </w:tcBorders>
            <w:shd w:val="clear" w:color="000000" w:fill="FFFFFF"/>
            <w:noWrap/>
            <w:vAlign w:val="center"/>
            <w:hideMark/>
          </w:tcPr>
          <w:p w14:paraId="70DB038B"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r>
      <w:tr w:rsidR="00894EC0" w:rsidRPr="00181B97" w14:paraId="5F70C5BE" w14:textId="77777777" w:rsidTr="0064217C">
        <w:trPr>
          <w:trHeight w:val="199"/>
        </w:trPr>
        <w:tc>
          <w:tcPr>
            <w:tcW w:w="3301" w:type="dxa"/>
            <w:tcBorders>
              <w:top w:val="nil"/>
              <w:left w:val="nil"/>
              <w:bottom w:val="nil"/>
              <w:right w:val="nil"/>
            </w:tcBorders>
            <w:shd w:val="clear" w:color="000000" w:fill="FFFFFF"/>
            <w:noWrap/>
            <w:vAlign w:val="center"/>
            <w:hideMark/>
          </w:tcPr>
          <w:p w14:paraId="0313A670" w14:textId="77777777" w:rsidR="00894EC0" w:rsidRPr="00181B97" w:rsidRDefault="00894EC0" w:rsidP="0064217C">
            <w:pPr>
              <w:rPr>
                <w:rFonts w:ascii="Arial" w:hAnsi="Arial" w:cs="Arial"/>
                <w:b/>
                <w:bCs/>
                <w:sz w:val="16"/>
                <w:szCs w:val="16"/>
                <w:lang w:eastAsia="en-AU"/>
              </w:rPr>
            </w:pPr>
            <w:r w:rsidRPr="00181B97">
              <w:rPr>
                <w:rFonts w:ascii="Arial" w:hAnsi="Arial" w:cs="Arial"/>
                <w:b/>
                <w:bCs/>
                <w:sz w:val="16"/>
                <w:szCs w:val="16"/>
                <w:lang w:eastAsia="en-AU"/>
              </w:rPr>
              <w:t>Gambling and betting taxes</w:t>
            </w:r>
          </w:p>
        </w:tc>
        <w:tc>
          <w:tcPr>
            <w:tcW w:w="896" w:type="dxa"/>
            <w:tcBorders>
              <w:top w:val="nil"/>
              <w:left w:val="nil"/>
              <w:bottom w:val="nil"/>
              <w:right w:val="nil"/>
            </w:tcBorders>
            <w:shd w:val="clear" w:color="000000" w:fill="FFFFFF"/>
            <w:noWrap/>
            <w:vAlign w:val="center"/>
            <w:hideMark/>
          </w:tcPr>
          <w:p w14:paraId="23E4C897"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FFFFF"/>
            <w:noWrap/>
            <w:vAlign w:val="center"/>
            <w:hideMark/>
          </w:tcPr>
          <w:p w14:paraId="1AF021A7"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2F2F2"/>
            <w:noWrap/>
            <w:vAlign w:val="center"/>
            <w:hideMark/>
          </w:tcPr>
          <w:p w14:paraId="0947B127"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2F2F2"/>
            <w:noWrap/>
            <w:vAlign w:val="center"/>
            <w:hideMark/>
          </w:tcPr>
          <w:p w14:paraId="1E63E276"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2F2F2"/>
            <w:noWrap/>
            <w:vAlign w:val="center"/>
            <w:hideMark/>
          </w:tcPr>
          <w:p w14:paraId="78F392AB"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2F2F2"/>
            <w:noWrap/>
            <w:vAlign w:val="center"/>
            <w:hideMark/>
          </w:tcPr>
          <w:p w14:paraId="334EA71A"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1123" w:type="dxa"/>
            <w:tcBorders>
              <w:top w:val="nil"/>
              <w:left w:val="nil"/>
              <w:bottom w:val="nil"/>
              <w:right w:val="nil"/>
            </w:tcBorders>
            <w:shd w:val="clear" w:color="000000" w:fill="FFFFFF"/>
            <w:noWrap/>
            <w:vAlign w:val="center"/>
            <w:hideMark/>
          </w:tcPr>
          <w:p w14:paraId="6B6D6962"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r>
      <w:tr w:rsidR="00894EC0" w:rsidRPr="00181B97" w14:paraId="6D10CD4C" w14:textId="77777777" w:rsidTr="0064217C">
        <w:trPr>
          <w:trHeight w:val="199"/>
        </w:trPr>
        <w:tc>
          <w:tcPr>
            <w:tcW w:w="3301" w:type="dxa"/>
            <w:tcBorders>
              <w:top w:val="nil"/>
              <w:left w:val="nil"/>
              <w:bottom w:val="nil"/>
              <w:right w:val="nil"/>
            </w:tcBorders>
            <w:shd w:val="clear" w:color="000000" w:fill="FFFFFF"/>
            <w:noWrap/>
            <w:vAlign w:val="center"/>
            <w:hideMark/>
          </w:tcPr>
          <w:p w14:paraId="045EEEA8" w14:textId="77777777" w:rsidR="00894EC0" w:rsidRPr="00181B97" w:rsidRDefault="00894EC0" w:rsidP="0064217C">
            <w:pPr>
              <w:rPr>
                <w:rFonts w:ascii="Arial" w:hAnsi="Arial" w:cs="Arial"/>
                <w:sz w:val="16"/>
                <w:szCs w:val="16"/>
                <w:lang w:eastAsia="en-AU"/>
              </w:rPr>
            </w:pPr>
            <w:r w:rsidRPr="00181B97">
              <w:rPr>
                <w:rFonts w:ascii="Arial" w:hAnsi="Arial" w:cs="Arial"/>
                <w:sz w:val="16"/>
                <w:szCs w:val="16"/>
                <w:lang w:eastAsia="en-AU"/>
              </w:rPr>
              <w:t>Racing</w:t>
            </w:r>
          </w:p>
        </w:tc>
        <w:tc>
          <w:tcPr>
            <w:tcW w:w="896" w:type="dxa"/>
            <w:tcBorders>
              <w:top w:val="nil"/>
              <w:left w:val="nil"/>
              <w:bottom w:val="nil"/>
              <w:right w:val="nil"/>
            </w:tcBorders>
            <w:shd w:val="clear" w:color="000000" w:fill="FFFFFF"/>
            <w:noWrap/>
            <w:vAlign w:val="center"/>
            <w:hideMark/>
          </w:tcPr>
          <w:p w14:paraId="48F65455"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215 </w:t>
            </w:r>
          </w:p>
        </w:tc>
        <w:tc>
          <w:tcPr>
            <w:tcW w:w="896" w:type="dxa"/>
            <w:tcBorders>
              <w:top w:val="nil"/>
              <w:left w:val="nil"/>
              <w:bottom w:val="nil"/>
              <w:right w:val="nil"/>
            </w:tcBorders>
            <w:shd w:val="clear" w:color="000000" w:fill="FFFFFF"/>
            <w:noWrap/>
            <w:vAlign w:val="center"/>
            <w:hideMark/>
          </w:tcPr>
          <w:p w14:paraId="2D0E2EA6"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259 </w:t>
            </w:r>
          </w:p>
        </w:tc>
        <w:tc>
          <w:tcPr>
            <w:tcW w:w="896" w:type="dxa"/>
            <w:tcBorders>
              <w:top w:val="nil"/>
              <w:left w:val="nil"/>
              <w:bottom w:val="nil"/>
              <w:right w:val="nil"/>
            </w:tcBorders>
            <w:shd w:val="clear" w:color="000000" w:fill="F2F2F2"/>
            <w:noWrap/>
            <w:vAlign w:val="center"/>
            <w:hideMark/>
          </w:tcPr>
          <w:p w14:paraId="1420741E"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452 </w:t>
            </w:r>
          </w:p>
        </w:tc>
        <w:tc>
          <w:tcPr>
            <w:tcW w:w="896" w:type="dxa"/>
            <w:tcBorders>
              <w:top w:val="nil"/>
              <w:left w:val="nil"/>
              <w:bottom w:val="nil"/>
              <w:right w:val="nil"/>
            </w:tcBorders>
            <w:shd w:val="clear" w:color="000000" w:fill="F2F2F2"/>
            <w:noWrap/>
            <w:vAlign w:val="center"/>
            <w:hideMark/>
          </w:tcPr>
          <w:p w14:paraId="3C136642"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506 </w:t>
            </w:r>
          </w:p>
        </w:tc>
        <w:tc>
          <w:tcPr>
            <w:tcW w:w="896" w:type="dxa"/>
            <w:tcBorders>
              <w:top w:val="nil"/>
              <w:left w:val="nil"/>
              <w:bottom w:val="nil"/>
              <w:right w:val="nil"/>
            </w:tcBorders>
            <w:shd w:val="clear" w:color="000000" w:fill="F2F2F2"/>
            <w:noWrap/>
            <w:vAlign w:val="center"/>
            <w:hideMark/>
          </w:tcPr>
          <w:p w14:paraId="4F46D721"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555 </w:t>
            </w:r>
          </w:p>
        </w:tc>
        <w:tc>
          <w:tcPr>
            <w:tcW w:w="896" w:type="dxa"/>
            <w:tcBorders>
              <w:top w:val="nil"/>
              <w:left w:val="nil"/>
              <w:bottom w:val="nil"/>
              <w:right w:val="nil"/>
            </w:tcBorders>
            <w:shd w:val="clear" w:color="000000" w:fill="F2F2F2"/>
            <w:noWrap/>
            <w:vAlign w:val="center"/>
            <w:hideMark/>
          </w:tcPr>
          <w:p w14:paraId="6BB7EF11"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599 </w:t>
            </w:r>
          </w:p>
        </w:tc>
        <w:tc>
          <w:tcPr>
            <w:tcW w:w="1123" w:type="dxa"/>
            <w:tcBorders>
              <w:top w:val="nil"/>
              <w:left w:val="nil"/>
              <w:bottom w:val="nil"/>
              <w:right w:val="nil"/>
            </w:tcBorders>
            <w:shd w:val="clear" w:color="000000" w:fill="FFFFFF"/>
            <w:noWrap/>
            <w:vAlign w:val="center"/>
            <w:hideMark/>
          </w:tcPr>
          <w:p w14:paraId="0A5B5677"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23.3</w:t>
            </w:r>
          </w:p>
        </w:tc>
      </w:tr>
      <w:tr w:rsidR="00894EC0" w:rsidRPr="00181B97" w14:paraId="34204E1B" w14:textId="77777777" w:rsidTr="0064217C">
        <w:trPr>
          <w:trHeight w:val="199"/>
        </w:trPr>
        <w:tc>
          <w:tcPr>
            <w:tcW w:w="3301" w:type="dxa"/>
            <w:tcBorders>
              <w:top w:val="nil"/>
              <w:left w:val="nil"/>
              <w:bottom w:val="nil"/>
              <w:right w:val="nil"/>
            </w:tcBorders>
            <w:shd w:val="clear" w:color="000000" w:fill="FFFFFF"/>
            <w:noWrap/>
            <w:vAlign w:val="center"/>
            <w:hideMark/>
          </w:tcPr>
          <w:p w14:paraId="38A0D40C" w14:textId="77777777" w:rsidR="00894EC0" w:rsidRPr="00181B97" w:rsidRDefault="00894EC0" w:rsidP="0064217C">
            <w:pPr>
              <w:rPr>
                <w:rFonts w:ascii="Arial" w:hAnsi="Arial" w:cs="Arial"/>
                <w:sz w:val="16"/>
                <w:szCs w:val="16"/>
                <w:lang w:eastAsia="en-AU"/>
              </w:rPr>
            </w:pPr>
            <w:r w:rsidRPr="00181B97">
              <w:rPr>
                <w:rFonts w:ascii="Arial" w:hAnsi="Arial" w:cs="Arial"/>
                <w:sz w:val="16"/>
                <w:szCs w:val="16"/>
                <w:lang w:eastAsia="en-AU"/>
              </w:rPr>
              <w:t>Club gaming devices</w:t>
            </w:r>
          </w:p>
        </w:tc>
        <w:tc>
          <w:tcPr>
            <w:tcW w:w="896" w:type="dxa"/>
            <w:tcBorders>
              <w:top w:val="nil"/>
              <w:left w:val="nil"/>
              <w:bottom w:val="nil"/>
              <w:right w:val="nil"/>
            </w:tcBorders>
            <w:shd w:val="clear" w:color="000000" w:fill="FFFFFF"/>
            <w:noWrap/>
            <w:vAlign w:val="center"/>
            <w:hideMark/>
          </w:tcPr>
          <w:p w14:paraId="0CF39885"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842 </w:t>
            </w:r>
          </w:p>
        </w:tc>
        <w:tc>
          <w:tcPr>
            <w:tcW w:w="896" w:type="dxa"/>
            <w:tcBorders>
              <w:top w:val="nil"/>
              <w:left w:val="nil"/>
              <w:bottom w:val="nil"/>
              <w:right w:val="nil"/>
            </w:tcBorders>
            <w:shd w:val="clear" w:color="000000" w:fill="FFFFFF"/>
            <w:noWrap/>
            <w:vAlign w:val="center"/>
            <w:hideMark/>
          </w:tcPr>
          <w:p w14:paraId="782ED6B8"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647 </w:t>
            </w:r>
          </w:p>
        </w:tc>
        <w:tc>
          <w:tcPr>
            <w:tcW w:w="896" w:type="dxa"/>
            <w:tcBorders>
              <w:top w:val="nil"/>
              <w:left w:val="nil"/>
              <w:bottom w:val="nil"/>
              <w:right w:val="nil"/>
            </w:tcBorders>
            <w:shd w:val="clear" w:color="000000" w:fill="F2F2F2"/>
            <w:noWrap/>
            <w:vAlign w:val="center"/>
            <w:hideMark/>
          </w:tcPr>
          <w:p w14:paraId="37F037B9"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879 </w:t>
            </w:r>
          </w:p>
        </w:tc>
        <w:tc>
          <w:tcPr>
            <w:tcW w:w="896" w:type="dxa"/>
            <w:tcBorders>
              <w:top w:val="nil"/>
              <w:left w:val="nil"/>
              <w:bottom w:val="nil"/>
              <w:right w:val="nil"/>
            </w:tcBorders>
            <w:shd w:val="clear" w:color="000000" w:fill="F2F2F2"/>
            <w:noWrap/>
            <w:vAlign w:val="center"/>
            <w:hideMark/>
          </w:tcPr>
          <w:p w14:paraId="159676D2"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909 </w:t>
            </w:r>
          </w:p>
        </w:tc>
        <w:tc>
          <w:tcPr>
            <w:tcW w:w="896" w:type="dxa"/>
            <w:tcBorders>
              <w:top w:val="nil"/>
              <w:left w:val="nil"/>
              <w:bottom w:val="nil"/>
              <w:right w:val="nil"/>
            </w:tcBorders>
            <w:shd w:val="clear" w:color="000000" w:fill="F2F2F2"/>
            <w:noWrap/>
            <w:vAlign w:val="center"/>
            <w:hideMark/>
          </w:tcPr>
          <w:p w14:paraId="48591C1F"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937 </w:t>
            </w:r>
          </w:p>
        </w:tc>
        <w:tc>
          <w:tcPr>
            <w:tcW w:w="896" w:type="dxa"/>
            <w:tcBorders>
              <w:top w:val="nil"/>
              <w:left w:val="nil"/>
              <w:bottom w:val="nil"/>
              <w:right w:val="nil"/>
            </w:tcBorders>
            <w:shd w:val="clear" w:color="000000" w:fill="F2F2F2"/>
            <w:noWrap/>
            <w:vAlign w:val="center"/>
            <w:hideMark/>
          </w:tcPr>
          <w:p w14:paraId="1D98B631"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966 </w:t>
            </w:r>
          </w:p>
        </w:tc>
        <w:tc>
          <w:tcPr>
            <w:tcW w:w="1123" w:type="dxa"/>
            <w:tcBorders>
              <w:top w:val="nil"/>
              <w:left w:val="nil"/>
              <w:bottom w:val="nil"/>
              <w:right w:val="nil"/>
            </w:tcBorders>
            <w:shd w:val="clear" w:color="000000" w:fill="FFFFFF"/>
            <w:noWrap/>
            <w:vAlign w:val="center"/>
            <w:hideMark/>
          </w:tcPr>
          <w:p w14:paraId="069242FB"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10.5</w:t>
            </w:r>
          </w:p>
        </w:tc>
      </w:tr>
      <w:tr w:rsidR="00894EC0" w:rsidRPr="00181B97" w14:paraId="27AD4C0D" w14:textId="77777777" w:rsidTr="0064217C">
        <w:trPr>
          <w:trHeight w:val="199"/>
        </w:trPr>
        <w:tc>
          <w:tcPr>
            <w:tcW w:w="3301" w:type="dxa"/>
            <w:tcBorders>
              <w:top w:val="nil"/>
              <w:left w:val="nil"/>
              <w:bottom w:val="nil"/>
              <w:right w:val="nil"/>
            </w:tcBorders>
            <w:shd w:val="clear" w:color="000000" w:fill="FFFFFF"/>
            <w:noWrap/>
            <w:vAlign w:val="center"/>
            <w:hideMark/>
          </w:tcPr>
          <w:p w14:paraId="5661411E" w14:textId="77777777" w:rsidR="00894EC0" w:rsidRPr="00181B97" w:rsidRDefault="00894EC0" w:rsidP="0064217C">
            <w:pPr>
              <w:rPr>
                <w:rFonts w:ascii="Arial" w:hAnsi="Arial" w:cs="Arial"/>
                <w:sz w:val="16"/>
                <w:szCs w:val="16"/>
                <w:lang w:eastAsia="en-AU"/>
              </w:rPr>
            </w:pPr>
            <w:r w:rsidRPr="00181B97">
              <w:rPr>
                <w:rFonts w:ascii="Arial" w:hAnsi="Arial" w:cs="Arial"/>
                <w:sz w:val="16"/>
                <w:szCs w:val="16"/>
                <w:lang w:eastAsia="en-AU"/>
              </w:rPr>
              <w:t>Hotel gaming devices</w:t>
            </w:r>
          </w:p>
        </w:tc>
        <w:tc>
          <w:tcPr>
            <w:tcW w:w="896" w:type="dxa"/>
            <w:tcBorders>
              <w:top w:val="nil"/>
              <w:left w:val="nil"/>
              <w:bottom w:val="nil"/>
              <w:right w:val="nil"/>
            </w:tcBorders>
            <w:shd w:val="clear" w:color="000000" w:fill="FFFFFF"/>
            <w:noWrap/>
            <w:vAlign w:val="center"/>
            <w:hideMark/>
          </w:tcPr>
          <w:p w14:paraId="6C0BF789"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1,021 </w:t>
            </w:r>
          </w:p>
        </w:tc>
        <w:tc>
          <w:tcPr>
            <w:tcW w:w="896" w:type="dxa"/>
            <w:tcBorders>
              <w:top w:val="nil"/>
              <w:left w:val="nil"/>
              <w:bottom w:val="nil"/>
              <w:right w:val="nil"/>
            </w:tcBorders>
            <w:shd w:val="clear" w:color="000000" w:fill="FFFFFF"/>
            <w:noWrap/>
            <w:vAlign w:val="center"/>
            <w:hideMark/>
          </w:tcPr>
          <w:p w14:paraId="2224223B"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861 </w:t>
            </w:r>
          </w:p>
        </w:tc>
        <w:tc>
          <w:tcPr>
            <w:tcW w:w="896" w:type="dxa"/>
            <w:tcBorders>
              <w:top w:val="nil"/>
              <w:left w:val="nil"/>
              <w:bottom w:val="nil"/>
              <w:right w:val="nil"/>
            </w:tcBorders>
            <w:shd w:val="clear" w:color="000000" w:fill="F2F2F2"/>
            <w:noWrap/>
            <w:vAlign w:val="center"/>
            <w:hideMark/>
          </w:tcPr>
          <w:p w14:paraId="5F41F4CB"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1,147 </w:t>
            </w:r>
          </w:p>
        </w:tc>
        <w:tc>
          <w:tcPr>
            <w:tcW w:w="896" w:type="dxa"/>
            <w:tcBorders>
              <w:top w:val="nil"/>
              <w:left w:val="nil"/>
              <w:bottom w:val="nil"/>
              <w:right w:val="nil"/>
            </w:tcBorders>
            <w:shd w:val="clear" w:color="000000" w:fill="F2F2F2"/>
            <w:noWrap/>
            <w:vAlign w:val="center"/>
            <w:hideMark/>
          </w:tcPr>
          <w:p w14:paraId="0058F4E7"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1,264 </w:t>
            </w:r>
          </w:p>
        </w:tc>
        <w:tc>
          <w:tcPr>
            <w:tcW w:w="896" w:type="dxa"/>
            <w:tcBorders>
              <w:top w:val="nil"/>
              <w:left w:val="nil"/>
              <w:bottom w:val="nil"/>
              <w:right w:val="nil"/>
            </w:tcBorders>
            <w:shd w:val="clear" w:color="000000" w:fill="F2F2F2"/>
            <w:noWrap/>
            <w:vAlign w:val="center"/>
            <w:hideMark/>
          </w:tcPr>
          <w:p w14:paraId="6FB7FDA2"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1,356 </w:t>
            </w:r>
          </w:p>
        </w:tc>
        <w:tc>
          <w:tcPr>
            <w:tcW w:w="896" w:type="dxa"/>
            <w:tcBorders>
              <w:top w:val="nil"/>
              <w:left w:val="nil"/>
              <w:bottom w:val="nil"/>
              <w:right w:val="nil"/>
            </w:tcBorders>
            <w:shd w:val="clear" w:color="000000" w:fill="F2F2F2"/>
            <w:noWrap/>
            <w:vAlign w:val="center"/>
            <w:hideMark/>
          </w:tcPr>
          <w:p w14:paraId="008A2725"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1,454 </w:t>
            </w:r>
          </w:p>
        </w:tc>
        <w:tc>
          <w:tcPr>
            <w:tcW w:w="1123" w:type="dxa"/>
            <w:tcBorders>
              <w:top w:val="nil"/>
              <w:left w:val="nil"/>
              <w:bottom w:val="nil"/>
              <w:right w:val="nil"/>
            </w:tcBorders>
            <w:shd w:val="clear" w:color="000000" w:fill="FFFFFF"/>
            <w:noWrap/>
            <w:vAlign w:val="center"/>
            <w:hideMark/>
          </w:tcPr>
          <w:p w14:paraId="4F0C5888"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14.0</w:t>
            </w:r>
          </w:p>
        </w:tc>
      </w:tr>
      <w:tr w:rsidR="00894EC0" w:rsidRPr="00181B97" w14:paraId="7AC991DE" w14:textId="77777777" w:rsidTr="0064217C">
        <w:trPr>
          <w:trHeight w:val="199"/>
        </w:trPr>
        <w:tc>
          <w:tcPr>
            <w:tcW w:w="3301" w:type="dxa"/>
            <w:tcBorders>
              <w:top w:val="nil"/>
              <w:left w:val="nil"/>
              <w:bottom w:val="nil"/>
              <w:right w:val="nil"/>
            </w:tcBorders>
            <w:shd w:val="clear" w:color="000000" w:fill="FFFFFF"/>
            <w:noWrap/>
            <w:vAlign w:val="center"/>
            <w:hideMark/>
          </w:tcPr>
          <w:p w14:paraId="3E4B4A37" w14:textId="77777777" w:rsidR="00894EC0" w:rsidRPr="00181B97" w:rsidRDefault="00894EC0" w:rsidP="0064217C">
            <w:pPr>
              <w:rPr>
                <w:rFonts w:ascii="Arial" w:hAnsi="Arial" w:cs="Arial"/>
                <w:sz w:val="16"/>
                <w:szCs w:val="16"/>
                <w:lang w:eastAsia="en-AU"/>
              </w:rPr>
            </w:pPr>
            <w:r w:rsidRPr="00181B97">
              <w:rPr>
                <w:rFonts w:ascii="Arial" w:hAnsi="Arial" w:cs="Arial"/>
                <w:sz w:val="16"/>
                <w:szCs w:val="16"/>
                <w:lang w:eastAsia="en-AU"/>
              </w:rPr>
              <w:t>Lotteries and lotto</w:t>
            </w:r>
          </w:p>
        </w:tc>
        <w:tc>
          <w:tcPr>
            <w:tcW w:w="896" w:type="dxa"/>
            <w:tcBorders>
              <w:top w:val="nil"/>
              <w:left w:val="nil"/>
              <w:bottom w:val="nil"/>
              <w:right w:val="nil"/>
            </w:tcBorders>
            <w:shd w:val="clear" w:color="000000" w:fill="FFFFFF"/>
            <w:noWrap/>
            <w:vAlign w:val="center"/>
            <w:hideMark/>
          </w:tcPr>
          <w:p w14:paraId="696B025C"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501 </w:t>
            </w:r>
          </w:p>
        </w:tc>
        <w:tc>
          <w:tcPr>
            <w:tcW w:w="896" w:type="dxa"/>
            <w:tcBorders>
              <w:top w:val="nil"/>
              <w:left w:val="nil"/>
              <w:bottom w:val="nil"/>
              <w:right w:val="nil"/>
            </w:tcBorders>
            <w:shd w:val="clear" w:color="000000" w:fill="FFFFFF"/>
            <w:noWrap/>
            <w:vAlign w:val="center"/>
            <w:hideMark/>
          </w:tcPr>
          <w:p w14:paraId="49467038"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575 </w:t>
            </w:r>
          </w:p>
        </w:tc>
        <w:tc>
          <w:tcPr>
            <w:tcW w:w="896" w:type="dxa"/>
            <w:tcBorders>
              <w:top w:val="nil"/>
              <w:left w:val="nil"/>
              <w:bottom w:val="nil"/>
              <w:right w:val="nil"/>
            </w:tcBorders>
            <w:shd w:val="clear" w:color="000000" w:fill="F2F2F2"/>
            <w:noWrap/>
            <w:vAlign w:val="center"/>
            <w:hideMark/>
          </w:tcPr>
          <w:p w14:paraId="2E4BE44B"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535 </w:t>
            </w:r>
          </w:p>
        </w:tc>
        <w:tc>
          <w:tcPr>
            <w:tcW w:w="896" w:type="dxa"/>
            <w:tcBorders>
              <w:top w:val="nil"/>
              <w:left w:val="nil"/>
              <w:bottom w:val="nil"/>
              <w:right w:val="nil"/>
            </w:tcBorders>
            <w:shd w:val="clear" w:color="000000" w:fill="F2F2F2"/>
            <w:noWrap/>
            <w:vAlign w:val="center"/>
            <w:hideMark/>
          </w:tcPr>
          <w:p w14:paraId="3081E3D1"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520 </w:t>
            </w:r>
          </w:p>
        </w:tc>
        <w:tc>
          <w:tcPr>
            <w:tcW w:w="896" w:type="dxa"/>
            <w:tcBorders>
              <w:top w:val="nil"/>
              <w:left w:val="nil"/>
              <w:bottom w:val="nil"/>
              <w:right w:val="nil"/>
            </w:tcBorders>
            <w:shd w:val="clear" w:color="000000" w:fill="F2F2F2"/>
            <w:noWrap/>
            <w:vAlign w:val="center"/>
            <w:hideMark/>
          </w:tcPr>
          <w:p w14:paraId="020DA936"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535 </w:t>
            </w:r>
          </w:p>
        </w:tc>
        <w:tc>
          <w:tcPr>
            <w:tcW w:w="896" w:type="dxa"/>
            <w:tcBorders>
              <w:top w:val="nil"/>
              <w:left w:val="nil"/>
              <w:bottom w:val="nil"/>
              <w:right w:val="nil"/>
            </w:tcBorders>
            <w:shd w:val="clear" w:color="000000" w:fill="F2F2F2"/>
            <w:noWrap/>
            <w:vAlign w:val="center"/>
            <w:hideMark/>
          </w:tcPr>
          <w:p w14:paraId="61213FC0"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554 </w:t>
            </w:r>
          </w:p>
        </w:tc>
        <w:tc>
          <w:tcPr>
            <w:tcW w:w="1123" w:type="dxa"/>
            <w:tcBorders>
              <w:top w:val="nil"/>
              <w:left w:val="nil"/>
              <w:bottom w:val="nil"/>
              <w:right w:val="nil"/>
            </w:tcBorders>
            <w:shd w:val="clear" w:color="000000" w:fill="FFFFFF"/>
            <w:noWrap/>
            <w:vAlign w:val="center"/>
            <w:hideMark/>
          </w:tcPr>
          <w:p w14:paraId="53979F5D"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(0.9)</w:t>
            </w:r>
          </w:p>
        </w:tc>
      </w:tr>
      <w:tr w:rsidR="00894EC0" w:rsidRPr="00181B97" w14:paraId="7942FF33" w14:textId="77777777" w:rsidTr="0064217C">
        <w:trPr>
          <w:trHeight w:val="199"/>
        </w:trPr>
        <w:tc>
          <w:tcPr>
            <w:tcW w:w="3301" w:type="dxa"/>
            <w:tcBorders>
              <w:top w:val="nil"/>
              <w:left w:val="nil"/>
              <w:bottom w:val="nil"/>
              <w:right w:val="nil"/>
            </w:tcBorders>
            <w:shd w:val="clear" w:color="000000" w:fill="FFFFFF"/>
            <w:noWrap/>
            <w:vAlign w:val="center"/>
            <w:hideMark/>
          </w:tcPr>
          <w:p w14:paraId="21EDDEBF" w14:textId="77777777" w:rsidR="00894EC0" w:rsidRPr="00181B97" w:rsidRDefault="00894EC0" w:rsidP="0064217C">
            <w:pPr>
              <w:rPr>
                <w:rFonts w:ascii="Arial" w:hAnsi="Arial" w:cs="Arial"/>
                <w:sz w:val="16"/>
                <w:szCs w:val="16"/>
                <w:lang w:eastAsia="en-AU"/>
              </w:rPr>
            </w:pPr>
            <w:r w:rsidRPr="00181B97">
              <w:rPr>
                <w:rFonts w:ascii="Arial" w:hAnsi="Arial" w:cs="Arial"/>
                <w:sz w:val="16"/>
                <w:szCs w:val="16"/>
                <w:lang w:eastAsia="en-AU"/>
              </w:rPr>
              <w:t>Casino</w:t>
            </w:r>
          </w:p>
        </w:tc>
        <w:tc>
          <w:tcPr>
            <w:tcW w:w="896" w:type="dxa"/>
            <w:tcBorders>
              <w:top w:val="nil"/>
              <w:left w:val="nil"/>
              <w:bottom w:val="nil"/>
              <w:right w:val="nil"/>
            </w:tcBorders>
            <w:shd w:val="clear" w:color="000000" w:fill="FFFFFF"/>
            <w:noWrap/>
            <w:vAlign w:val="center"/>
            <w:hideMark/>
          </w:tcPr>
          <w:p w14:paraId="3D870AD9"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132 </w:t>
            </w:r>
          </w:p>
        </w:tc>
        <w:tc>
          <w:tcPr>
            <w:tcW w:w="896" w:type="dxa"/>
            <w:tcBorders>
              <w:top w:val="nil"/>
              <w:left w:val="nil"/>
              <w:bottom w:val="nil"/>
              <w:right w:val="nil"/>
            </w:tcBorders>
            <w:shd w:val="clear" w:color="000000" w:fill="FFFFFF"/>
            <w:noWrap/>
            <w:vAlign w:val="center"/>
            <w:hideMark/>
          </w:tcPr>
          <w:p w14:paraId="00B7E8EC"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125 </w:t>
            </w:r>
          </w:p>
        </w:tc>
        <w:tc>
          <w:tcPr>
            <w:tcW w:w="896" w:type="dxa"/>
            <w:tcBorders>
              <w:top w:val="nil"/>
              <w:left w:val="nil"/>
              <w:bottom w:val="nil"/>
              <w:right w:val="nil"/>
            </w:tcBorders>
            <w:shd w:val="clear" w:color="000000" w:fill="F2F2F2"/>
            <w:noWrap/>
            <w:vAlign w:val="center"/>
            <w:hideMark/>
          </w:tcPr>
          <w:p w14:paraId="2A6F6127"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231 </w:t>
            </w:r>
          </w:p>
        </w:tc>
        <w:tc>
          <w:tcPr>
            <w:tcW w:w="896" w:type="dxa"/>
            <w:tcBorders>
              <w:top w:val="nil"/>
              <w:left w:val="nil"/>
              <w:bottom w:val="nil"/>
              <w:right w:val="nil"/>
            </w:tcBorders>
            <w:shd w:val="clear" w:color="000000" w:fill="F2F2F2"/>
            <w:noWrap/>
            <w:vAlign w:val="center"/>
            <w:hideMark/>
          </w:tcPr>
          <w:p w14:paraId="0DEEF096"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280 </w:t>
            </w:r>
          </w:p>
        </w:tc>
        <w:tc>
          <w:tcPr>
            <w:tcW w:w="896" w:type="dxa"/>
            <w:tcBorders>
              <w:top w:val="nil"/>
              <w:left w:val="nil"/>
              <w:bottom w:val="nil"/>
              <w:right w:val="nil"/>
            </w:tcBorders>
            <w:shd w:val="clear" w:color="000000" w:fill="F2F2F2"/>
            <w:noWrap/>
            <w:vAlign w:val="center"/>
            <w:hideMark/>
          </w:tcPr>
          <w:p w14:paraId="22905A30"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301 </w:t>
            </w:r>
          </w:p>
        </w:tc>
        <w:tc>
          <w:tcPr>
            <w:tcW w:w="896" w:type="dxa"/>
            <w:tcBorders>
              <w:top w:val="nil"/>
              <w:left w:val="nil"/>
              <w:bottom w:val="nil"/>
              <w:right w:val="nil"/>
            </w:tcBorders>
            <w:shd w:val="clear" w:color="000000" w:fill="F2F2F2"/>
            <w:noWrap/>
            <w:vAlign w:val="center"/>
            <w:hideMark/>
          </w:tcPr>
          <w:p w14:paraId="16E09B4D"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312 </w:t>
            </w:r>
          </w:p>
        </w:tc>
        <w:tc>
          <w:tcPr>
            <w:tcW w:w="1123" w:type="dxa"/>
            <w:tcBorders>
              <w:top w:val="nil"/>
              <w:left w:val="nil"/>
              <w:bottom w:val="nil"/>
              <w:right w:val="nil"/>
            </w:tcBorders>
            <w:shd w:val="clear" w:color="000000" w:fill="FFFFFF"/>
            <w:noWrap/>
            <w:vAlign w:val="center"/>
            <w:hideMark/>
          </w:tcPr>
          <w:p w14:paraId="41B2891D"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25.6</w:t>
            </w:r>
          </w:p>
        </w:tc>
      </w:tr>
      <w:tr w:rsidR="00894EC0" w:rsidRPr="00181B97" w14:paraId="17A92926" w14:textId="77777777" w:rsidTr="0064217C">
        <w:trPr>
          <w:trHeight w:val="199"/>
        </w:trPr>
        <w:tc>
          <w:tcPr>
            <w:tcW w:w="3301" w:type="dxa"/>
            <w:tcBorders>
              <w:top w:val="nil"/>
              <w:left w:val="nil"/>
              <w:bottom w:val="nil"/>
              <w:right w:val="nil"/>
            </w:tcBorders>
            <w:shd w:val="clear" w:color="000000" w:fill="FFFFFF"/>
            <w:noWrap/>
            <w:vAlign w:val="center"/>
            <w:hideMark/>
          </w:tcPr>
          <w:p w14:paraId="1A4551FF" w14:textId="77777777" w:rsidR="00894EC0" w:rsidRPr="00181B97" w:rsidRDefault="00894EC0" w:rsidP="0064217C">
            <w:pPr>
              <w:rPr>
                <w:rFonts w:ascii="Arial" w:hAnsi="Arial" w:cs="Arial"/>
                <w:sz w:val="16"/>
                <w:szCs w:val="16"/>
                <w:lang w:eastAsia="en-AU"/>
              </w:rPr>
            </w:pPr>
            <w:r w:rsidRPr="00181B97">
              <w:rPr>
                <w:rFonts w:ascii="Arial" w:hAnsi="Arial" w:cs="Arial"/>
                <w:sz w:val="16"/>
                <w:szCs w:val="16"/>
                <w:lang w:eastAsia="en-AU"/>
              </w:rPr>
              <w:t>Other gambling &amp; betting</w:t>
            </w:r>
          </w:p>
        </w:tc>
        <w:tc>
          <w:tcPr>
            <w:tcW w:w="896" w:type="dxa"/>
            <w:tcBorders>
              <w:top w:val="nil"/>
              <w:left w:val="nil"/>
              <w:bottom w:val="nil"/>
              <w:right w:val="nil"/>
            </w:tcBorders>
            <w:shd w:val="clear" w:color="000000" w:fill="FFFFFF"/>
            <w:noWrap/>
            <w:vAlign w:val="center"/>
            <w:hideMark/>
          </w:tcPr>
          <w:p w14:paraId="706770E3"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16 </w:t>
            </w:r>
          </w:p>
        </w:tc>
        <w:tc>
          <w:tcPr>
            <w:tcW w:w="896" w:type="dxa"/>
            <w:tcBorders>
              <w:top w:val="nil"/>
              <w:left w:val="nil"/>
              <w:bottom w:val="nil"/>
              <w:right w:val="nil"/>
            </w:tcBorders>
            <w:shd w:val="clear" w:color="000000" w:fill="FFFFFF"/>
            <w:noWrap/>
            <w:vAlign w:val="center"/>
            <w:hideMark/>
          </w:tcPr>
          <w:p w14:paraId="4B6298B8"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12 </w:t>
            </w:r>
          </w:p>
        </w:tc>
        <w:tc>
          <w:tcPr>
            <w:tcW w:w="896" w:type="dxa"/>
            <w:tcBorders>
              <w:top w:val="nil"/>
              <w:left w:val="nil"/>
              <w:bottom w:val="nil"/>
              <w:right w:val="nil"/>
            </w:tcBorders>
            <w:shd w:val="clear" w:color="000000" w:fill="F2F2F2"/>
            <w:noWrap/>
            <w:vAlign w:val="center"/>
            <w:hideMark/>
          </w:tcPr>
          <w:p w14:paraId="2089A62F"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19 </w:t>
            </w:r>
          </w:p>
        </w:tc>
        <w:tc>
          <w:tcPr>
            <w:tcW w:w="896" w:type="dxa"/>
            <w:tcBorders>
              <w:top w:val="nil"/>
              <w:left w:val="nil"/>
              <w:bottom w:val="nil"/>
              <w:right w:val="nil"/>
            </w:tcBorders>
            <w:shd w:val="clear" w:color="000000" w:fill="F2F2F2"/>
            <w:noWrap/>
            <w:vAlign w:val="center"/>
            <w:hideMark/>
          </w:tcPr>
          <w:p w14:paraId="5BB91CA8"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20 </w:t>
            </w:r>
          </w:p>
        </w:tc>
        <w:tc>
          <w:tcPr>
            <w:tcW w:w="896" w:type="dxa"/>
            <w:tcBorders>
              <w:top w:val="nil"/>
              <w:left w:val="nil"/>
              <w:bottom w:val="nil"/>
              <w:right w:val="nil"/>
            </w:tcBorders>
            <w:shd w:val="clear" w:color="000000" w:fill="F2F2F2"/>
            <w:noWrap/>
            <w:vAlign w:val="center"/>
            <w:hideMark/>
          </w:tcPr>
          <w:p w14:paraId="678D5316"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22 </w:t>
            </w:r>
          </w:p>
        </w:tc>
        <w:tc>
          <w:tcPr>
            <w:tcW w:w="896" w:type="dxa"/>
            <w:tcBorders>
              <w:top w:val="nil"/>
              <w:left w:val="nil"/>
              <w:bottom w:val="nil"/>
              <w:right w:val="nil"/>
            </w:tcBorders>
            <w:shd w:val="clear" w:color="000000" w:fill="F2F2F2"/>
            <w:noWrap/>
            <w:vAlign w:val="center"/>
            <w:hideMark/>
          </w:tcPr>
          <w:p w14:paraId="33B96F13"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23 </w:t>
            </w:r>
          </w:p>
        </w:tc>
        <w:tc>
          <w:tcPr>
            <w:tcW w:w="1123" w:type="dxa"/>
            <w:tcBorders>
              <w:top w:val="nil"/>
              <w:left w:val="nil"/>
              <w:bottom w:val="nil"/>
              <w:right w:val="nil"/>
            </w:tcBorders>
            <w:shd w:val="clear" w:color="000000" w:fill="FFFFFF"/>
            <w:noWrap/>
            <w:vAlign w:val="center"/>
            <w:hideMark/>
          </w:tcPr>
          <w:p w14:paraId="6BE6FDF2"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18.7</w:t>
            </w:r>
          </w:p>
        </w:tc>
      </w:tr>
      <w:tr w:rsidR="00894EC0" w:rsidRPr="00181B97" w14:paraId="6785A2B9" w14:textId="77777777" w:rsidTr="0064217C">
        <w:trPr>
          <w:trHeight w:val="199"/>
        </w:trPr>
        <w:tc>
          <w:tcPr>
            <w:tcW w:w="3301" w:type="dxa"/>
            <w:tcBorders>
              <w:top w:val="nil"/>
              <w:left w:val="nil"/>
              <w:bottom w:val="nil"/>
              <w:right w:val="nil"/>
            </w:tcBorders>
            <w:shd w:val="clear" w:color="000000" w:fill="FFFFFF"/>
            <w:noWrap/>
            <w:vAlign w:val="center"/>
            <w:hideMark/>
          </w:tcPr>
          <w:p w14:paraId="4F9C5093" w14:textId="77777777" w:rsidR="00894EC0" w:rsidRPr="00181B97" w:rsidRDefault="00894EC0" w:rsidP="0064217C">
            <w:pPr>
              <w:rPr>
                <w:rFonts w:ascii="Arial" w:hAnsi="Arial" w:cs="Arial"/>
                <w:b/>
                <w:bCs/>
                <w:color w:val="00ABE6"/>
                <w:sz w:val="16"/>
                <w:szCs w:val="16"/>
                <w:lang w:eastAsia="en-AU"/>
              </w:rPr>
            </w:pPr>
            <w:r w:rsidRPr="00181B97">
              <w:rPr>
                <w:rFonts w:ascii="Arial" w:hAnsi="Arial" w:cs="Arial"/>
                <w:b/>
                <w:bCs/>
                <w:color w:val="00ABE6"/>
                <w:sz w:val="16"/>
                <w:szCs w:val="16"/>
                <w:lang w:eastAsia="en-AU"/>
              </w:rPr>
              <w:t> </w:t>
            </w:r>
          </w:p>
        </w:tc>
        <w:tc>
          <w:tcPr>
            <w:tcW w:w="896" w:type="dxa"/>
            <w:tcBorders>
              <w:top w:val="single" w:sz="4" w:space="0" w:color="auto"/>
              <w:left w:val="nil"/>
              <w:bottom w:val="single" w:sz="4" w:space="0" w:color="auto"/>
              <w:right w:val="nil"/>
            </w:tcBorders>
            <w:shd w:val="clear" w:color="000000" w:fill="FFFFFF"/>
            <w:noWrap/>
            <w:vAlign w:val="center"/>
            <w:hideMark/>
          </w:tcPr>
          <w:p w14:paraId="3ACBF2F7"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2,727</w:t>
            </w:r>
          </w:p>
        </w:tc>
        <w:tc>
          <w:tcPr>
            <w:tcW w:w="896" w:type="dxa"/>
            <w:tcBorders>
              <w:top w:val="single" w:sz="4" w:space="0" w:color="auto"/>
              <w:left w:val="nil"/>
              <w:bottom w:val="single" w:sz="4" w:space="0" w:color="auto"/>
              <w:right w:val="nil"/>
            </w:tcBorders>
            <w:shd w:val="clear" w:color="000000" w:fill="FFFFFF"/>
            <w:noWrap/>
            <w:vAlign w:val="center"/>
            <w:hideMark/>
          </w:tcPr>
          <w:p w14:paraId="3D34C639"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2,479</w:t>
            </w:r>
          </w:p>
        </w:tc>
        <w:tc>
          <w:tcPr>
            <w:tcW w:w="896" w:type="dxa"/>
            <w:tcBorders>
              <w:top w:val="single" w:sz="4" w:space="0" w:color="auto"/>
              <w:left w:val="nil"/>
              <w:bottom w:val="single" w:sz="4" w:space="0" w:color="auto"/>
              <w:right w:val="nil"/>
            </w:tcBorders>
            <w:shd w:val="clear" w:color="000000" w:fill="F2F2F2"/>
            <w:noWrap/>
            <w:vAlign w:val="center"/>
            <w:hideMark/>
          </w:tcPr>
          <w:p w14:paraId="2CA5400A"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3,262</w:t>
            </w:r>
          </w:p>
        </w:tc>
        <w:tc>
          <w:tcPr>
            <w:tcW w:w="896" w:type="dxa"/>
            <w:tcBorders>
              <w:top w:val="single" w:sz="4" w:space="0" w:color="auto"/>
              <w:left w:val="nil"/>
              <w:bottom w:val="single" w:sz="4" w:space="0" w:color="auto"/>
              <w:right w:val="nil"/>
            </w:tcBorders>
            <w:shd w:val="clear" w:color="000000" w:fill="F2F2F2"/>
            <w:noWrap/>
            <w:vAlign w:val="center"/>
            <w:hideMark/>
          </w:tcPr>
          <w:p w14:paraId="5A969679"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3,499</w:t>
            </w:r>
          </w:p>
        </w:tc>
        <w:tc>
          <w:tcPr>
            <w:tcW w:w="896" w:type="dxa"/>
            <w:tcBorders>
              <w:top w:val="single" w:sz="4" w:space="0" w:color="auto"/>
              <w:left w:val="nil"/>
              <w:bottom w:val="single" w:sz="4" w:space="0" w:color="auto"/>
              <w:right w:val="nil"/>
            </w:tcBorders>
            <w:shd w:val="clear" w:color="000000" w:fill="F2F2F2"/>
            <w:noWrap/>
            <w:vAlign w:val="center"/>
            <w:hideMark/>
          </w:tcPr>
          <w:p w14:paraId="5E178DCD"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3,706</w:t>
            </w:r>
          </w:p>
        </w:tc>
        <w:tc>
          <w:tcPr>
            <w:tcW w:w="896" w:type="dxa"/>
            <w:tcBorders>
              <w:top w:val="single" w:sz="4" w:space="0" w:color="auto"/>
              <w:left w:val="nil"/>
              <w:bottom w:val="single" w:sz="4" w:space="0" w:color="auto"/>
              <w:right w:val="nil"/>
            </w:tcBorders>
            <w:shd w:val="clear" w:color="000000" w:fill="F2F2F2"/>
            <w:noWrap/>
            <w:vAlign w:val="center"/>
            <w:hideMark/>
          </w:tcPr>
          <w:p w14:paraId="48A7D640"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3,907</w:t>
            </w:r>
          </w:p>
        </w:tc>
        <w:tc>
          <w:tcPr>
            <w:tcW w:w="1123" w:type="dxa"/>
            <w:tcBorders>
              <w:top w:val="single" w:sz="4" w:space="0" w:color="auto"/>
              <w:left w:val="nil"/>
              <w:bottom w:val="single" w:sz="4" w:space="0" w:color="auto"/>
              <w:right w:val="nil"/>
            </w:tcBorders>
            <w:shd w:val="clear" w:color="auto" w:fill="auto"/>
            <w:noWrap/>
            <w:vAlign w:val="center"/>
            <w:hideMark/>
          </w:tcPr>
          <w:p w14:paraId="69D33ADA"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12.0</w:t>
            </w:r>
          </w:p>
        </w:tc>
      </w:tr>
      <w:tr w:rsidR="00894EC0" w:rsidRPr="00181B97" w14:paraId="2B1A063C" w14:textId="77777777" w:rsidTr="0064217C">
        <w:trPr>
          <w:trHeight w:val="102"/>
        </w:trPr>
        <w:tc>
          <w:tcPr>
            <w:tcW w:w="3301" w:type="dxa"/>
            <w:tcBorders>
              <w:top w:val="nil"/>
              <w:left w:val="nil"/>
              <w:bottom w:val="nil"/>
              <w:right w:val="nil"/>
            </w:tcBorders>
            <w:shd w:val="clear" w:color="000000" w:fill="FFFFFF"/>
            <w:noWrap/>
            <w:vAlign w:val="center"/>
            <w:hideMark/>
          </w:tcPr>
          <w:p w14:paraId="0CC071C5" w14:textId="77777777" w:rsidR="00894EC0" w:rsidRPr="00181B97" w:rsidRDefault="00894EC0" w:rsidP="0064217C">
            <w:pPr>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FFFFF"/>
            <w:noWrap/>
            <w:vAlign w:val="center"/>
            <w:hideMark/>
          </w:tcPr>
          <w:p w14:paraId="4DD94EE2"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 </w:t>
            </w:r>
          </w:p>
        </w:tc>
        <w:tc>
          <w:tcPr>
            <w:tcW w:w="896" w:type="dxa"/>
            <w:tcBorders>
              <w:top w:val="nil"/>
              <w:left w:val="nil"/>
              <w:bottom w:val="nil"/>
              <w:right w:val="nil"/>
            </w:tcBorders>
            <w:shd w:val="clear" w:color="000000" w:fill="FFFFFF"/>
            <w:noWrap/>
            <w:vAlign w:val="center"/>
            <w:hideMark/>
          </w:tcPr>
          <w:p w14:paraId="24B41669"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 </w:t>
            </w:r>
          </w:p>
        </w:tc>
        <w:tc>
          <w:tcPr>
            <w:tcW w:w="896" w:type="dxa"/>
            <w:tcBorders>
              <w:top w:val="nil"/>
              <w:left w:val="nil"/>
              <w:bottom w:val="nil"/>
              <w:right w:val="nil"/>
            </w:tcBorders>
            <w:shd w:val="clear" w:color="000000" w:fill="F2F2F2"/>
            <w:noWrap/>
            <w:vAlign w:val="center"/>
            <w:hideMark/>
          </w:tcPr>
          <w:p w14:paraId="2BCC799C"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 </w:t>
            </w:r>
          </w:p>
        </w:tc>
        <w:tc>
          <w:tcPr>
            <w:tcW w:w="896" w:type="dxa"/>
            <w:tcBorders>
              <w:top w:val="nil"/>
              <w:left w:val="nil"/>
              <w:bottom w:val="nil"/>
              <w:right w:val="nil"/>
            </w:tcBorders>
            <w:shd w:val="clear" w:color="000000" w:fill="F2F2F2"/>
            <w:noWrap/>
            <w:vAlign w:val="center"/>
            <w:hideMark/>
          </w:tcPr>
          <w:p w14:paraId="5E6229BD"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 </w:t>
            </w:r>
          </w:p>
        </w:tc>
        <w:tc>
          <w:tcPr>
            <w:tcW w:w="896" w:type="dxa"/>
            <w:tcBorders>
              <w:top w:val="nil"/>
              <w:left w:val="nil"/>
              <w:bottom w:val="nil"/>
              <w:right w:val="nil"/>
            </w:tcBorders>
            <w:shd w:val="clear" w:color="000000" w:fill="F2F2F2"/>
            <w:noWrap/>
            <w:vAlign w:val="center"/>
            <w:hideMark/>
          </w:tcPr>
          <w:p w14:paraId="76E83037"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 </w:t>
            </w:r>
          </w:p>
        </w:tc>
        <w:tc>
          <w:tcPr>
            <w:tcW w:w="896" w:type="dxa"/>
            <w:tcBorders>
              <w:top w:val="nil"/>
              <w:left w:val="nil"/>
              <w:bottom w:val="nil"/>
              <w:right w:val="nil"/>
            </w:tcBorders>
            <w:shd w:val="clear" w:color="000000" w:fill="F2F2F2"/>
            <w:noWrap/>
            <w:vAlign w:val="center"/>
            <w:hideMark/>
          </w:tcPr>
          <w:p w14:paraId="448EB826"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 </w:t>
            </w:r>
          </w:p>
        </w:tc>
        <w:tc>
          <w:tcPr>
            <w:tcW w:w="1123" w:type="dxa"/>
            <w:tcBorders>
              <w:top w:val="nil"/>
              <w:left w:val="nil"/>
              <w:bottom w:val="nil"/>
              <w:right w:val="nil"/>
            </w:tcBorders>
            <w:shd w:val="clear" w:color="000000" w:fill="FFFFFF"/>
            <w:noWrap/>
            <w:vAlign w:val="center"/>
            <w:hideMark/>
          </w:tcPr>
          <w:p w14:paraId="323B618C"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r>
      <w:tr w:rsidR="00894EC0" w:rsidRPr="00181B97" w14:paraId="29EF0C58" w14:textId="77777777" w:rsidTr="0064217C">
        <w:trPr>
          <w:trHeight w:val="199"/>
        </w:trPr>
        <w:tc>
          <w:tcPr>
            <w:tcW w:w="3301" w:type="dxa"/>
            <w:tcBorders>
              <w:top w:val="nil"/>
              <w:left w:val="nil"/>
              <w:bottom w:val="nil"/>
              <w:right w:val="nil"/>
            </w:tcBorders>
            <w:shd w:val="clear" w:color="000000" w:fill="FFFFFF"/>
            <w:noWrap/>
            <w:vAlign w:val="center"/>
            <w:hideMark/>
          </w:tcPr>
          <w:p w14:paraId="206E057D" w14:textId="77777777" w:rsidR="00894EC0" w:rsidRPr="00181B97" w:rsidRDefault="00894EC0" w:rsidP="0064217C">
            <w:pPr>
              <w:rPr>
                <w:rFonts w:ascii="Arial" w:hAnsi="Arial" w:cs="Arial"/>
                <w:b/>
                <w:bCs/>
                <w:sz w:val="16"/>
                <w:szCs w:val="16"/>
                <w:lang w:eastAsia="en-AU"/>
              </w:rPr>
            </w:pPr>
            <w:r w:rsidRPr="00181B97">
              <w:rPr>
                <w:rFonts w:ascii="Arial" w:hAnsi="Arial" w:cs="Arial"/>
                <w:b/>
                <w:bCs/>
                <w:sz w:val="16"/>
                <w:szCs w:val="16"/>
                <w:lang w:eastAsia="en-AU"/>
              </w:rPr>
              <w:t>Other taxes and levies</w:t>
            </w:r>
          </w:p>
        </w:tc>
        <w:tc>
          <w:tcPr>
            <w:tcW w:w="896" w:type="dxa"/>
            <w:tcBorders>
              <w:top w:val="nil"/>
              <w:left w:val="nil"/>
              <w:bottom w:val="nil"/>
              <w:right w:val="nil"/>
            </w:tcBorders>
            <w:shd w:val="clear" w:color="000000" w:fill="FFFFFF"/>
            <w:noWrap/>
            <w:vAlign w:val="center"/>
            <w:hideMark/>
          </w:tcPr>
          <w:p w14:paraId="37D55025"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FFFFF"/>
            <w:noWrap/>
            <w:vAlign w:val="center"/>
            <w:hideMark/>
          </w:tcPr>
          <w:p w14:paraId="0D707D14"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2F2F2"/>
            <w:noWrap/>
            <w:vAlign w:val="center"/>
            <w:hideMark/>
          </w:tcPr>
          <w:p w14:paraId="2F7B0F61"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2F2F2"/>
            <w:noWrap/>
            <w:vAlign w:val="center"/>
            <w:hideMark/>
          </w:tcPr>
          <w:p w14:paraId="1F09CF09"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2F2F2"/>
            <w:noWrap/>
            <w:vAlign w:val="center"/>
            <w:hideMark/>
          </w:tcPr>
          <w:p w14:paraId="56585B18"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896" w:type="dxa"/>
            <w:tcBorders>
              <w:top w:val="nil"/>
              <w:left w:val="nil"/>
              <w:bottom w:val="nil"/>
              <w:right w:val="nil"/>
            </w:tcBorders>
            <w:shd w:val="clear" w:color="000000" w:fill="F2F2F2"/>
            <w:noWrap/>
            <w:vAlign w:val="center"/>
            <w:hideMark/>
          </w:tcPr>
          <w:p w14:paraId="16AB84DC"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c>
          <w:tcPr>
            <w:tcW w:w="1123" w:type="dxa"/>
            <w:tcBorders>
              <w:top w:val="nil"/>
              <w:left w:val="nil"/>
              <w:bottom w:val="nil"/>
              <w:right w:val="nil"/>
            </w:tcBorders>
            <w:shd w:val="clear" w:color="000000" w:fill="FFFFFF"/>
            <w:noWrap/>
            <w:vAlign w:val="center"/>
            <w:hideMark/>
          </w:tcPr>
          <w:p w14:paraId="4D1496EE"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w:t>
            </w:r>
          </w:p>
        </w:tc>
      </w:tr>
      <w:tr w:rsidR="00894EC0" w:rsidRPr="00181B97" w14:paraId="4E51F3B8" w14:textId="77777777" w:rsidTr="0064217C">
        <w:trPr>
          <w:trHeight w:val="199"/>
        </w:trPr>
        <w:tc>
          <w:tcPr>
            <w:tcW w:w="3301" w:type="dxa"/>
            <w:tcBorders>
              <w:top w:val="nil"/>
              <w:left w:val="nil"/>
              <w:bottom w:val="nil"/>
              <w:right w:val="nil"/>
            </w:tcBorders>
            <w:shd w:val="clear" w:color="000000" w:fill="FFFFFF"/>
            <w:noWrap/>
            <w:vAlign w:val="center"/>
            <w:hideMark/>
          </w:tcPr>
          <w:p w14:paraId="52B94450" w14:textId="77777777" w:rsidR="00894EC0" w:rsidRPr="00181B97" w:rsidRDefault="00894EC0" w:rsidP="0064217C">
            <w:pPr>
              <w:rPr>
                <w:rFonts w:ascii="Arial" w:hAnsi="Arial" w:cs="Arial"/>
                <w:sz w:val="16"/>
                <w:szCs w:val="16"/>
                <w:lang w:eastAsia="en-AU"/>
              </w:rPr>
            </w:pPr>
            <w:r w:rsidRPr="00181B97">
              <w:rPr>
                <w:rFonts w:ascii="Arial" w:hAnsi="Arial" w:cs="Arial"/>
                <w:sz w:val="16"/>
                <w:szCs w:val="16"/>
                <w:lang w:eastAsia="en-AU"/>
              </w:rPr>
              <w:t xml:space="preserve">Health insurance levy </w:t>
            </w:r>
          </w:p>
        </w:tc>
        <w:tc>
          <w:tcPr>
            <w:tcW w:w="896" w:type="dxa"/>
            <w:tcBorders>
              <w:top w:val="nil"/>
              <w:left w:val="nil"/>
              <w:bottom w:val="nil"/>
              <w:right w:val="nil"/>
            </w:tcBorders>
            <w:shd w:val="clear" w:color="000000" w:fill="FFFFFF"/>
            <w:noWrap/>
            <w:vAlign w:val="center"/>
            <w:hideMark/>
          </w:tcPr>
          <w:p w14:paraId="287EA1AE"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221 </w:t>
            </w:r>
          </w:p>
        </w:tc>
        <w:tc>
          <w:tcPr>
            <w:tcW w:w="896" w:type="dxa"/>
            <w:tcBorders>
              <w:top w:val="nil"/>
              <w:left w:val="nil"/>
              <w:bottom w:val="nil"/>
              <w:right w:val="nil"/>
            </w:tcBorders>
            <w:shd w:val="clear" w:color="000000" w:fill="FFFFFF"/>
            <w:noWrap/>
            <w:vAlign w:val="center"/>
            <w:hideMark/>
          </w:tcPr>
          <w:p w14:paraId="1D0D6A47"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230 </w:t>
            </w:r>
          </w:p>
        </w:tc>
        <w:tc>
          <w:tcPr>
            <w:tcW w:w="896" w:type="dxa"/>
            <w:tcBorders>
              <w:top w:val="nil"/>
              <w:left w:val="nil"/>
              <w:bottom w:val="nil"/>
              <w:right w:val="nil"/>
            </w:tcBorders>
            <w:shd w:val="clear" w:color="000000" w:fill="F2F2F2"/>
            <w:noWrap/>
            <w:vAlign w:val="center"/>
            <w:hideMark/>
          </w:tcPr>
          <w:p w14:paraId="26B2E602"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238 </w:t>
            </w:r>
          </w:p>
        </w:tc>
        <w:tc>
          <w:tcPr>
            <w:tcW w:w="896" w:type="dxa"/>
            <w:tcBorders>
              <w:top w:val="nil"/>
              <w:left w:val="nil"/>
              <w:bottom w:val="nil"/>
              <w:right w:val="nil"/>
            </w:tcBorders>
            <w:shd w:val="clear" w:color="000000" w:fill="F2F2F2"/>
            <w:noWrap/>
            <w:vAlign w:val="center"/>
            <w:hideMark/>
          </w:tcPr>
          <w:p w14:paraId="382EA7C1"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257 </w:t>
            </w:r>
          </w:p>
        </w:tc>
        <w:tc>
          <w:tcPr>
            <w:tcW w:w="896" w:type="dxa"/>
            <w:tcBorders>
              <w:top w:val="nil"/>
              <w:left w:val="nil"/>
              <w:bottom w:val="nil"/>
              <w:right w:val="nil"/>
            </w:tcBorders>
            <w:shd w:val="clear" w:color="000000" w:fill="F2F2F2"/>
            <w:noWrap/>
            <w:vAlign w:val="center"/>
            <w:hideMark/>
          </w:tcPr>
          <w:p w14:paraId="70E66676"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269 </w:t>
            </w:r>
          </w:p>
        </w:tc>
        <w:tc>
          <w:tcPr>
            <w:tcW w:w="896" w:type="dxa"/>
            <w:tcBorders>
              <w:top w:val="nil"/>
              <w:left w:val="nil"/>
              <w:bottom w:val="nil"/>
              <w:right w:val="nil"/>
            </w:tcBorders>
            <w:shd w:val="clear" w:color="000000" w:fill="F2F2F2"/>
            <w:noWrap/>
            <w:vAlign w:val="center"/>
            <w:hideMark/>
          </w:tcPr>
          <w:p w14:paraId="51F5A46B"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283 </w:t>
            </w:r>
          </w:p>
        </w:tc>
        <w:tc>
          <w:tcPr>
            <w:tcW w:w="1123" w:type="dxa"/>
            <w:tcBorders>
              <w:top w:val="nil"/>
              <w:left w:val="nil"/>
              <w:bottom w:val="nil"/>
              <w:right w:val="nil"/>
            </w:tcBorders>
            <w:shd w:val="clear" w:color="000000" w:fill="FFFFFF"/>
            <w:noWrap/>
            <w:vAlign w:val="center"/>
            <w:hideMark/>
          </w:tcPr>
          <w:p w14:paraId="57B177E8"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5.4</w:t>
            </w:r>
          </w:p>
        </w:tc>
      </w:tr>
      <w:tr w:rsidR="00894EC0" w:rsidRPr="00181B97" w14:paraId="51615916" w14:textId="77777777" w:rsidTr="0064217C">
        <w:trPr>
          <w:trHeight w:val="199"/>
        </w:trPr>
        <w:tc>
          <w:tcPr>
            <w:tcW w:w="3301" w:type="dxa"/>
            <w:tcBorders>
              <w:top w:val="nil"/>
              <w:left w:val="nil"/>
              <w:bottom w:val="nil"/>
              <w:right w:val="nil"/>
            </w:tcBorders>
            <w:shd w:val="clear" w:color="000000" w:fill="FFFFFF"/>
            <w:noWrap/>
            <w:vAlign w:val="center"/>
            <w:hideMark/>
          </w:tcPr>
          <w:p w14:paraId="38FFBE06" w14:textId="77777777" w:rsidR="00894EC0" w:rsidRPr="00181B97" w:rsidRDefault="00894EC0" w:rsidP="0064217C">
            <w:pPr>
              <w:rPr>
                <w:rFonts w:ascii="Arial" w:hAnsi="Arial" w:cs="Arial"/>
                <w:sz w:val="16"/>
                <w:szCs w:val="16"/>
                <w:lang w:eastAsia="en-AU"/>
              </w:rPr>
            </w:pPr>
            <w:r w:rsidRPr="00181B97">
              <w:rPr>
                <w:rFonts w:ascii="Arial" w:hAnsi="Arial" w:cs="Arial"/>
                <w:sz w:val="16"/>
                <w:szCs w:val="16"/>
                <w:lang w:eastAsia="en-AU"/>
              </w:rPr>
              <w:t>Parking space levy</w:t>
            </w:r>
          </w:p>
        </w:tc>
        <w:tc>
          <w:tcPr>
            <w:tcW w:w="896" w:type="dxa"/>
            <w:tcBorders>
              <w:top w:val="nil"/>
              <w:left w:val="nil"/>
              <w:bottom w:val="nil"/>
              <w:right w:val="nil"/>
            </w:tcBorders>
            <w:shd w:val="clear" w:color="000000" w:fill="FFFFFF"/>
            <w:noWrap/>
            <w:vAlign w:val="center"/>
            <w:hideMark/>
          </w:tcPr>
          <w:p w14:paraId="4629C066"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103 </w:t>
            </w:r>
          </w:p>
        </w:tc>
        <w:tc>
          <w:tcPr>
            <w:tcW w:w="896" w:type="dxa"/>
            <w:tcBorders>
              <w:top w:val="nil"/>
              <w:left w:val="nil"/>
              <w:bottom w:val="nil"/>
              <w:right w:val="nil"/>
            </w:tcBorders>
            <w:shd w:val="clear" w:color="000000" w:fill="FFFFFF"/>
            <w:noWrap/>
            <w:vAlign w:val="center"/>
            <w:hideMark/>
          </w:tcPr>
          <w:p w14:paraId="4AC6E930"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103 </w:t>
            </w:r>
          </w:p>
        </w:tc>
        <w:tc>
          <w:tcPr>
            <w:tcW w:w="896" w:type="dxa"/>
            <w:tcBorders>
              <w:top w:val="nil"/>
              <w:left w:val="nil"/>
              <w:bottom w:val="nil"/>
              <w:right w:val="nil"/>
            </w:tcBorders>
            <w:shd w:val="clear" w:color="000000" w:fill="F2F2F2"/>
            <w:noWrap/>
            <w:vAlign w:val="center"/>
            <w:hideMark/>
          </w:tcPr>
          <w:p w14:paraId="4BECB200"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107 </w:t>
            </w:r>
          </w:p>
        </w:tc>
        <w:tc>
          <w:tcPr>
            <w:tcW w:w="896" w:type="dxa"/>
            <w:tcBorders>
              <w:top w:val="nil"/>
              <w:left w:val="nil"/>
              <w:bottom w:val="nil"/>
              <w:right w:val="nil"/>
            </w:tcBorders>
            <w:shd w:val="clear" w:color="000000" w:fill="F2F2F2"/>
            <w:noWrap/>
            <w:vAlign w:val="center"/>
            <w:hideMark/>
          </w:tcPr>
          <w:p w14:paraId="5275827D"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118 </w:t>
            </w:r>
          </w:p>
        </w:tc>
        <w:tc>
          <w:tcPr>
            <w:tcW w:w="896" w:type="dxa"/>
            <w:tcBorders>
              <w:top w:val="nil"/>
              <w:left w:val="nil"/>
              <w:bottom w:val="nil"/>
              <w:right w:val="nil"/>
            </w:tcBorders>
            <w:shd w:val="clear" w:color="000000" w:fill="F2F2F2"/>
            <w:noWrap/>
            <w:vAlign w:val="center"/>
            <w:hideMark/>
          </w:tcPr>
          <w:p w14:paraId="011BE31C"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122 </w:t>
            </w:r>
          </w:p>
        </w:tc>
        <w:tc>
          <w:tcPr>
            <w:tcW w:w="896" w:type="dxa"/>
            <w:tcBorders>
              <w:top w:val="nil"/>
              <w:left w:val="nil"/>
              <w:bottom w:val="nil"/>
              <w:right w:val="nil"/>
            </w:tcBorders>
            <w:shd w:val="clear" w:color="000000" w:fill="F2F2F2"/>
            <w:noWrap/>
            <w:vAlign w:val="center"/>
            <w:hideMark/>
          </w:tcPr>
          <w:p w14:paraId="25E459A7"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126 </w:t>
            </w:r>
          </w:p>
        </w:tc>
        <w:tc>
          <w:tcPr>
            <w:tcW w:w="1123" w:type="dxa"/>
            <w:tcBorders>
              <w:top w:val="nil"/>
              <w:left w:val="nil"/>
              <w:bottom w:val="nil"/>
              <w:right w:val="nil"/>
            </w:tcBorders>
            <w:shd w:val="clear" w:color="000000" w:fill="FFFFFF"/>
            <w:noWrap/>
            <w:vAlign w:val="center"/>
            <w:hideMark/>
          </w:tcPr>
          <w:p w14:paraId="44502327"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5.1</w:t>
            </w:r>
          </w:p>
        </w:tc>
      </w:tr>
      <w:tr w:rsidR="00894EC0" w:rsidRPr="00181B97" w14:paraId="10A58858" w14:textId="77777777" w:rsidTr="0064217C">
        <w:trPr>
          <w:trHeight w:val="199"/>
        </w:trPr>
        <w:tc>
          <w:tcPr>
            <w:tcW w:w="3301" w:type="dxa"/>
            <w:tcBorders>
              <w:top w:val="nil"/>
              <w:left w:val="nil"/>
              <w:bottom w:val="nil"/>
              <w:right w:val="nil"/>
            </w:tcBorders>
            <w:shd w:val="clear" w:color="000000" w:fill="FFFFFF"/>
            <w:noWrap/>
            <w:vAlign w:val="center"/>
            <w:hideMark/>
          </w:tcPr>
          <w:p w14:paraId="1EA36EEC" w14:textId="77777777" w:rsidR="00894EC0" w:rsidRPr="00181B97" w:rsidRDefault="00894EC0" w:rsidP="0064217C">
            <w:pPr>
              <w:rPr>
                <w:rFonts w:ascii="Arial" w:hAnsi="Arial" w:cs="Arial"/>
                <w:sz w:val="16"/>
                <w:szCs w:val="16"/>
                <w:lang w:eastAsia="en-AU"/>
              </w:rPr>
            </w:pPr>
            <w:r w:rsidRPr="00181B97">
              <w:rPr>
                <w:rFonts w:ascii="Arial" w:hAnsi="Arial" w:cs="Arial"/>
                <w:sz w:val="16"/>
                <w:szCs w:val="16"/>
                <w:lang w:eastAsia="en-AU"/>
              </w:rPr>
              <w:t>Emergency services levy contributions</w:t>
            </w:r>
          </w:p>
        </w:tc>
        <w:tc>
          <w:tcPr>
            <w:tcW w:w="896" w:type="dxa"/>
            <w:tcBorders>
              <w:top w:val="nil"/>
              <w:left w:val="nil"/>
              <w:bottom w:val="nil"/>
              <w:right w:val="nil"/>
            </w:tcBorders>
            <w:shd w:val="clear" w:color="000000" w:fill="FFFFFF"/>
            <w:noWrap/>
            <w:vAlign w:val="center"/>
            <w:hideMark/>
          </w:tcPr>
          <w:p w14:paraId="7EE3039C"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1,086 </w:t>
            </w:r>
          </w:p>
        </w:tc>
        <w:tc>
          <w:tcPr>
            <w:tcW w:w="896" w:type="dxa"/>
            <w:tcBorders>
              <w:top w:val="nil"/>
              <w:left w:val="nil"/>
              <w:bottom w:val="nil"/>
              <w:right w:val="nil"/>
            </w:tcBorders>
            <w:shd w:val="clear" w:color="000000" w:fill="FFFFFF"/>
            <w:noWrap/>
            <w:vAlign w:val="center"/>
            <w:hideMark/>
          </w:tcPr>
          <w:p w14:paraId="660E7A7F"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915 </w:t>
            </w:r>
          </w:p>
        </w:tc>
        <w:tc>
          <w:tcPr>
            <w:tcW w:w="896" w:type="dxa"/>
            <w:tcBorders>
              <w:top w:val="nil"/>
              <w:left w:val="nil"/>
              <w:bottom w:val="nil"/>
              <w:right w:val="nil"/>
            </w:tcBorders>
            <w:shd w:val="clear" w:color="000000" w:fill="F2F2F2"/>
            <w:noWrap/>
            <w:vAlign w:val="center"/>
            <w:hideMark/>
          </w:tcPr>
          <w:p w14:paraId="547E39AB"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1,173 </w:t>
            </w:r>
          </w:p>
        </w:tc>
        <w:tc>
          <w:tcPr>
            <w:tcW w:w="896" w:type="dxa"/>
            <w:tcBorders>
              <w:top w:val="nil"/>
              <w:left w:val="nil"/>
              <w:bottom w:val="nil"/>
              <w:right w:val="nil"/>
            </w:tcBorders>
            <w:shd w:val="clear" w:color="000000" w:fill="F2F2F2"/>
            <w:noWrap/>
            <w:vAlign w:val="center"/>
            <w:hideMark/>
          </w:tcPr>
          <w:p w14:paraId="097745AB"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1,355 </w:t>
            </w:r>
          </w:p>
        </w:tc>
        <w:tc>
          <w:tcPr>
            <w:tcW w:w="896" w:type="dxa"/>
            <w:tcBorders>
              <w:top w:val="nil"/>
              <w:left w:val="nil"/>
              <w:bottom w:val="nil"/>
              <w:right w:val="nil"/>
            </w:tcBorders>
            <w:shd w:val="clear" w:color="000000" w:fill="F2F2F2"/>
            <w:noWrap/>
            <w:vAlign w:val="center"/>
            <w:hideMark/>
          </w:tcPr>
          <w:p w14:paraId="3FB85DDB"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1,132 </w:t>
            </w:r>
          </w:p>
        </w:tc>
        <w:tc>
          <w:tcPr>
            <w:tcW w:w="896" w:type="dxa"/>
            <w:tcBorders>
              <w:top w:val="nil"/>
              <w:left w:val="nil"/>
              <w:bottom w:val="nil"/>
              <w:right w:val="nil"/>
            </w:tcBorders>
            <w:shd w:val="clear" w:color="000000" w:fill="F2F2F2"/>
            <w:noWrap/>
            <w:vAlign w:val="center"/>
            <w:hideMark/>
          </w:tcPr>
          <w:p w14:paraId="1EF55EE5"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1,137 </w:t>
            </w:r>
          </w:p>
        </w:tc>
        <w:tc>
          <w:tcPr>
            <w:tcW w:w="1123" w:type="dxa"/>
            <w:tcBorders>
              <w:top w:val="nil"/>
              <w:left w:val="nil"/>
              <w:bottom w:val="nil"/>
              <w:right w:val="nil"/>
            </w:tcBorders>
            <w:shd w:val="clear" w:color="000000" w:fill="FFFFFF"/>
            <w:noWrap/>
            <w:vAlign w:val="center"/>
            <w:hideMark/>
          </w:tcPr>
          <w:p w14:paraId="464643D8"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5.6</w:t>
            </w:r>
          </w:p>
        </w:tc>
      </w:tr>
      <w:tr w:rsidR="00894EC0" w:rsidRPr="00181B97" w14:paraId="4FD8050A" w14:textId="77777777" w:rsidTr="0064217C">
        <w:trPr>
          <w:trHeight w:val="199"/>
        </w:trPr>
        <w:tc>
          <w:tcPr>
            <w:tcW w:w="3301" w:type="dxa"/>
            <w:tcBorders>
              <w:top w:val="nil"/>
              <w:left w:val="nil"/>
              <w:bottom w:val="nil"/>
              <w:right w:val="nil"/>
            </w:tcBorders>
            <w:shd w:val="clear" w:color="000000" w:fill="FFFFFF"/>
            <w:noWrap/>
            <w:vAlign w:val="center"/>
            <w:hideMark/>
          </w:tcPr>
          <w:p w14:paraId="396C4766" w14:textId="77777777" w:rsidR="00894EC0" w:rsidRPr="00181B97" w:rsidRDefault="00894EC0" w:rsidP="0064217C">
            <w:pPr>
              <w:rPr>
                <w:rFonts w:ascii="Arial" w:hAnsi="Arial" w:cs="Arial"/>
                <w:sz w:val="16"/>
                <w:szCs w:val="16"/>
                <w:lang w:eastAsia="en-AU"/>
              </w:rPr>
            </w:pPr>
            <w:r w:rsidRPr="00181B97">
              <w:rPr>
                <w:rFonts w:ascii="Arial" w:hAnsi="Arial" w:cs="Arial"/>
                <w:sz w:val="16"/>
                <w:szCs w:val="16"/>
                <w:lang w:eastAsia="en-AU"/>
              </w:rPr>
              <w:t>Emergency services council contributions</w:t>
            </w:r>
          </w:p>
        </w:tc>
        <w:tc>
          <w:tcPr>
            <w:tcW w:w="896" w:type="dxa"/>
            <w:tcBorders>
              <w:top w:val="nil"/>
              <w:left w:val="nil"/>
              <w:bottom w:val="nil"/>
              <w:right w:val="nil"/>
            </w:tcBorders>
            <w:shd w:val="clear" w:color="000000" w:fill="FFFFFF"/>
            <w:noWrap/>
            <w:vAlign w:val="center"/>
            <w:hideMark/>
          </w:tcPr>
          <w:p w14:paraId="09FBED13"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147 </w:t>
            </w:r>
          </w:p>
        </w:tc>
        <w:tc>
          <w:tcPr>
            <w:tcW w:w="896" w:type="dxa"/>
            <w:tcBorders>
              <w:top w:val="nil"/>
              <w:left w:val="nil"/>
              <w:bottom w:val="nil"/>
              <w:right w:val="nil"/>
            </w:tcBorders>
            <w:shd w:val="clear" w:color="000000" w:fill="FFFFFF"/>
            <w:noWrap/>
            <w:vAlign w:val="center"/>
            <w:hideMark/>
          </w:tcPr>
          <w:p w14:paraId="20C29D4A"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186 </w:t>
            </w:r>
          </w:p>
        </w:tc>
        <w:tc>
          <w:tcPr>
            <w:tcW w:w="896" w:type="dxa"/>
            <w:tcBorders>
              <w:top w:val="nil"/>
              <w:left w:val="nil"/>
              <w:bottom w:val="nil"/>
              <w:right w:val="nil"/>
            </w:tcBorders>
            <w:shd w:val="clear" w:color="000000" w:fill="F2F2F2"/>
            <w:noWrap/>
            <w:vAlign w:val="center"/>
            <w:hideMark/>
          </w:tcPr>
          <w:p w14:paraId="6518D9E0"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215 </w:t>
            </w:r>
          </w:p>
        </w:tc>
        <w:tc>
          <w:tcPr>
            <w:tcW w:w="896" w:type="dxa"/>
            <w:tcBorders>
              <w:top w:val="nil"/>
              <w:left w:val="nil"/>
              <w:bottom w:val="nil"/>
              <w:right w:val="nil"/>
            </w:tcBorders>
            <w:shd w:val="clear" w:color="000000" w:fill="F2F2F2"/>
            <w:noWrap/>
            <w:vAlign w:val="center"/>
            <w:hideMark/>
          </w:tcPr>
          <w:p w14:paraId="056B56D9"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180 </w:t>
            </w:r>
          </w:p>
        </w:tc>
        <w:tc>
          <w:tcPr>
            <w:tcW w:w="896" w:type="dxa"/>
            <w:tcBorders>
              <w:top w:val="nil"/>
              <w:left w:val="nil"/>
              <w:bottom w:val="nil"/>
              <w:right w:val="nil"/>
            </w:tcBorders>
            <w:shd w:val="clear" w:color="000000" w:fill="F2F2F2"/>
            <w:noWrap/>
            <w:vAlign w:val="center"/>
            <w:hideMark/>
          </w:tcPr>
          <w:p w14:paraId="01EF689A"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180 </w:t>
            </w:r>
          </w:p>
        </w:tc>
        <w:tc>
          <w:tcPr>
            <w:tcW w:w="896" w:type="dxa"/>
            <w:tcBorders>
              <w:top w:val="nil"/>
              <w:left w:val="nil"/>
              <w:bottom w:val="nil"/>
              <w:right w:val="nil"/>
            </w:tcBorders>
            <w:shd w:val="clear" w:color="000000" w:fill="F2F2F2"/>
            <w:noWrap/>
            <w:vAlign w:val="center"/>
            <w:hideMark/>
          </w:tcPr>
          <w:p w14:paraId="588C7E09"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179 </w:t>
            </w:r>
          </w:p>
        </w:tc>
        <w:tc>
          <w:tcPr>
            <w:tcW w:w="1123" w:type="dxa"/>
            <w:tcBorders>
              <w:top w:val="nil"/>
              <w:left w:val="nil"/>
              <w:bottom w:val="nil"/>
              <w:right w:val="nil"/>
            </w:tcBorders>
            <w:shd w:val="clear" w:color="000000" w:fill="FFFFFF"/>
            <w:noWrap/>
            <w:vAlign w:val="center"/>
            <w:hideMark/>
          </w:tcPr>
          <w:p w14:paraId="20CC11EA"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(0.9)</w:t>
            </w:r>
          </w:p>
        </w:tc>
      </w:tr>
      <w:tr w:rsidR="00894EC0" w:rsidRPr="00181B97" w14:paraId="3AD7E27C" w14:textId="77777777" w:rsidTr="0064217C">
        <w:trPr>
          <w:trHeight w:val="199"/>
        </w:trPr>
        <w:tc>
          <w:tcPr>
            <w:tcW w:w="3301" w:type="dxa"/>
            <w:tcBorders>
              <w:top w:val="nil"/>
              <w:left w:val="nil"/>
              <w:bottom w:val="nil"/>
              <w:right w:val="nil"/>
            </w:tcBorders>
            <w:shd w:val="clear" w:color="000000" w:fill="FFFFFF"/>
            <w:noWrap/>
            <w:vAlign w:val="center"/>
            <w:hideMark/>
          </w:tcPr>
          <w:p w14:paraId="2D4631F7" w14:textId="77777777" w:rsidR="00894EC0" w:rsidRPr="00181B97" w:rsidRDefault="00894EC0" w:rsidP="0064217C">
            <w:pPr>
              <w:rPr>
                <w:rFonts w:ascii="Arial" w:hAnsi="Arial" w:cs="Arial"/>
                <w:sz w:val="16"/>
                <w:szCs w:val="16"/>
                <w:lang w:eastAsia="en-AU"/>
              </w:rPr>
            </w:pPr>
            <w:r w:rsidRPr="00181B97">
              <w:rPr>
                <w:rFonts w:ascii="Arial" w:hAnsi="Arial" w:cs="Arial"/>
                <w:sz w:val="16"/>
                <w:szCs w:val="16"/>
                <w:lang w:eastAsia="en-AU"/>
              </w:rPr>
              <w:t>Waste and environment levy</w:t>
            </w:r>
          </w:p>
        </w:tc>
        <w:tc>
          <w:tcPr>
            <w:tcW w:w="896" w:type="dxa"/>
            <w:tcBorders>
              <w:top w:val="nil"/>
              <w:left w:val="nil"/>
              <w:bottom w:val="nil"/>
              <w:right w:val="nil"/>
            </w:tcBorders>
            <w:shd w:val="clear" w:color="000000" w:fill="FFFFFF"/>
            <w:noWrap/>
            <w:vAlign w:val="center"/>
            <w:hideMark/>
          </w:tcPr>
          <w:p w14:paraId="78F7A8B1"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762 </w:t>
            </w:r>
          </w:p>
        </w:tc>
        <w:tc>
          <w:tcPr>
            <w:tcW w:w="896" w:type="dxa"/>
            <w:tcBorders>
              <w:top w:val="nil"/>
              <w:left w:val="nil"/>
              <w:bottom w:val="nil"/>
              <w:right w:val="nil"/>
            </w:tcBorders>
            <w:shd w:val="clear" w:color="000000" w:fill="FFFFFF"/>
            <w:noWrap/>
            <w:vAlign w:val="center"/>
            <w:hideMark/>
          </w:tcPr>
          <w:p w14:paraId="500F97F2"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761 </w:t>
            </w:r>
          </w:p>
        </w:tc>
        <w:tc>
          <w:tcPr>
            <w:tcW w:w="896" w:type="dxa"/>
            <w:tcBorders>
              <w:top w:val="nil"/>
              <w:left w:val="nil"/>
              <w:bottom w:val="nil"/>
              <w:right w:val="nil"/>
            </w:tcBorders>
            <w:shd w:val="clear" w:color="000000" w:fill="F2F2F2"/>
            <w:noWrap/>
            <w:vAlign w:val="center"/>
            <w:hideMark/>
          </w:tcPr>
          <w:p w14:paraId="0144EC52"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783 </w:t>
            </w:r>
          </w:p>
        </w:tc>
        <w:tc>
          <w:tcPr>
            <w:tcW w:w="896" w:type="dxa"/>
            <w:tcBorders>
              <w:top w:val="nil"/>
              <w:left w:val="nil"/>
              <w:bottom w:val="nil"/>
              <w:right w:val="nil"/>
            </w:tcBorders>
            <w:shd w:val="clear" w:color="000000" w:fill="F2F2F2"/>
            <w:noWrap/>
            <w:vAlign w:val="center"/>
            <w:hideMark/>
          </w:tcPr>
          <w:p w14:paraId="4C2AAB41"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832 </w:t>
            </w:r>
          </w:p>
        </w:tc>
        <w:tc>
          <w:tcPr>
            <w:tcW w:w="896" w:type="dxa"/>
            <w:tcBorders>
              <w:top w:val="nil"/>
              <w:left w:val="nil"/>
              <w:bottom w:val="nil"/>
              <w:right w:val="nil"/>
            </w:tcBorders>
            <w:shd w:val="clear" w:color="000000" w:fill="F2F2F2"/>
            <w:noWrap/>
            <w:vAlign w:val="center"/>
            <w:hideMark/>
          </w:tcPr>
          <w:p w14:paraId="1BF8AF90"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832 </w:t>
            </w:r>
          </w:p>
        </w:tc>
        <w:tc>
          <w:tcPr>
            <w:tcW w:w="896" w:type="dxa"/>
            <w:tcBorders>
              <w:top w:val="nil"/>
              <w:left w:val="nil"/>
              <w:bottom w:val="nil"/>
              <w:right w:val="nil"/>
            </w:tcBorders>
            <w:shd w:val="clear" w:color="000000" w:fill="F2F2F2"/>
            <w:noWrap/>
            <w:vAlign w:val="center"/>
            <w:hideMark/>
          </w:tcPr>
          <w:p w14:paraId="2E73E92D"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832 </w:t>
            </w:r>
          </w:p>
        </w:tc>
        <w:tc>
          <w:tcPr>
            <w:tcW w:w="1123" w:type="dxa"/>
            <w:tcBorders>
              <w:top w:val="nil"/>
              <w:left w:val="nil"/>
              <w:bottom w:val="nil"/>
              <w:right w:val="nil"/>
            </w:tcBorders>
            <w:shd w:val="clear" w:color="000000" w:fill="FFFFFF"/>
            <w:noWrap/>
            <w:vAlign w:val="center"/>
            <w:hideMark/>
          </w:tcPr>
          <w:p w14:paraId="2FC5303A"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2.2</w:t>
            </w:r>
          </w:p>
        </w:tc>
      </w:tr>
      <w:tr w:rsidR="00894EC0" w:rsidRPr="00181B97" w14:paraId="42B1375A" w14:textId="77777777" w:rsidTr="0064217C">
        <w:trPr>
          <w:trHeight w:val="199"/>
        </w:trPr>
        <w:tc>
          <w:tcPr>
            <w:tcW w:w="3301" w:type="dxa"/>
            <w:tcBorders>
              <w:top w:val="nil"/>
              <w:left w:val="nil"/>
              <w:bottom w:val="nil"/>
              <w:right w:val="nil"/>
            </w:tcBorders>
            <w:shd w:val="clear" w:color="000000" w:fill="FFFFFF"/>
            <w:vAlign w:val="center"/>
            <w:hideMark/>
          </w:tcPr>
          <w:p w14:paraId="0718787B" w14:textId="77777777" w:rsidR="00894EC0" w:rsidRPr="00181B97" w:rsidRDefault="00894EC0" w:rsidP="0064217C">
            <w:pPr>
              <w:rPr>
                <w:rFonts w:ascii="Arial" w:hAnsi="Arial" w:cs="Arial"/>
                <w:sz w:val="16"/>
                <w:szCs w:val="16"/>
                <w:lang w:eastAsia="en-AU"/>
              </w:rPr>
            </w:pPr>
            <w:r w:rsidRPr="00181B97">
              <w:rPr>
                <w:rFonts w:ascii="Arial" w:hAnsi="Arial" w:cs="Arial"/>
                <w:sz w:val="16"/>
                <w:szCs w:val="16"/>
                <w:lang w:eastAsia="en-AU"/>
              </w:rPr>
              <w:t>Government guarantee fee</w:t>
            </w:r>
          </w:p>
        </w:tc>
        <w:tc>
          <w:tcPr>
            <w:tcW w:w="896" w:type="dxa"/>
            <w:tcBorders>
              <w:top w:val="nil"/>
              <w:left w:val="nil"/>
              <w:bottom w:val="nil"/>
              <w:right w:val="nil"/>
            </w:tcBorders>
            <w:shd w:val="clear" w:color="000000" w:fill="FFFFFF"/>
            <w:noWrap/>
            <w:vAlign w:val="center"/>
            <w:hideMark/>
          </w:tcPr>
          <w:p w14:paraId="50D2BA75"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293 </w:t>
            </w:r>
          </w:p>
        </w:tc>
        <w:tc>
          <w:tcPr>
            <w:tcW w:w="896" w:type="dxa"/>
            <w:tcBorders>
              <w:top w:val="nil"/>
              <w:left w:val="nil"/>
              <w:bottom w:val="nil"/>
              <w:right w:val="nil"/>
            </w:tcBorders>
            <w:shd w:val="clear" w:color="000000" w:fill="FFFFFF"/>
            <w:noWrap/>
            <w:vAlign w:val="center"/>
            <w:hideMark/>
          </w:tcPr>
          <w:p w14:paraId="3F48080D"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310 </w:t>
            </w:r>
          </w:p>
        </w:tc>
        <w:tc>
          <w:tcPr>
            <w:tcW w:w="896" w:type="dxa"/>
            <w:tcBorders>
              <w:top w:val="nil"/>
              <w:left w:val="nil"/>
              <w:bottom w:val="nil"/>
              <w:right w:val="nil"/>
            </w:tcBorders>
            <w:shd w:val="clear" w:color="000000" w:fill="F2F2F2"/>
            <w:noWrap/>
            <w:vAlign w:val="center"/>
            <w:hideMark/>
          </w:tcPr>
          <w:p w14:paraId="4969A3A1"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327 </w:t>
            </w:r>
          </w:p>
        </w:tc>
        <w:tc>
          <w:tcPr>
            <w:tcW w:w="896" w:type="dxa"/>
            <w:tcBorders>
              <w:top w:val="nil"/>
              <w:left w:val="nil"/>
              <w:bottom w:val="nil"/>
              <w:right w:val="nil"/>
            </w:tcBorders>
            <w:shd w:val="clear" w:color="000000" w:fill="F2F2F2"/>
            <w:noWrap/>
            <w:vAlign w:val="center"/>
            <w:hideMark/>
          </w:tcPr>
          <w:p w14:paraId="74B72736"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355 </w:t>
            </w:r>
          </w:p>
        </w:tc>
        <w:tc>
          <w:tcPr>
            <w:tcW w:w="896" w:type="dxa"/>
            <w:tcBorders>
              <w:top w:val="nil"/>
              <w:left w:val="nil"/>
              <w:bottom w:val="nil"/>
              <w:right w:val="nil"/>
            </w:tcBorders>
            <w:shd w:val="clear" w:color="000000" w:fill="F2F2F2"/>
            <w:noWrap/>
            <w:vAlign w:val="center"/>
            <w:hideMark/>
          </w:tcPr>
          <w:p w14:paraId="316826A6"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396 </w:t>
            </w:r>
          </w:p>
        </w:tc>
        <w:tc>
          <w:tcPr>
            <w:tcW w:w="896" w:type="dxa"/>
            <w:tcBorders>
              <w:top w:val="nil"/>
              <w:left w:val="nil"/>
              <w:bottom w:val="nil"/>
              <w:right w:val="nil"/>
            </w:tcBorders>
            <w:shd w:val="clear" w:color="000000" w:fill="F2F2F2"/>
            <w:noWrap/>
            <w:vAlign w:val="center"/>
            <w:hideMark/>
          </w:tcPr>
          <w:p w14:paraId="039F74AB"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438 </w:t>
            </w:r>
          </w:p>
        </w:tc>
        <w:tc>
          <w:tcPr>
            <w:tcW w:w="1123" w:type="dxa"/>
            <w:tcBorders>
              <w:top w:val="nil"/>
              <w:left w:val="nil"/>
              <w:bottom w:val="nil"/>
              <w:right w:val="nil"/>
            </w:tcBorders>
            <w:shd w:val="clear" w:color="000000" w:fill="FFFFFF"/>
            <w:noWrap/>
            <w:vAlign w:val="center"/>
            <w:hideMark/>
          </w:tcPr>
          <w:p w14:paraId="174B66BE"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9.0</w:t>
            </w:r>
          </w:p>
        </w:tc>
      </w:tr>
      <w:tr w:rsidR="00894EC0" w:rsidRPr="00181B97" w14:paraId="7AD45948" w14:textId="77777777" w:rsidTr="0064217C">
        <w:trPr>
          <w:trHeight w:val="199"/>
        </w:trPr>
        <w:tc>
          <w:tcPr>
            <w:tcW w:w="3301" w:type="dxa"/>
            <w:tcBorders>
              <w:top w:val="nil"/>
              <w:left w:val="nil"/>
              <w:bottom w:val="nil"/>
              <w:right w:val="nil"/>
            </w:tcBorders>
            <w:shd w:val="clear" w:color="000000" w:fill="FFFFFF"/>
            <w:vAlign w:val="center"/>
            <w:hideMark/>
          </w:tcPr>
          <w:p w14:paraId="23A5579B" w14:textId="77777777" w:rsidR="00894EC0" w:rsidRPr="00181B97" w:rsidRDefault="00894EC0" w:rsidP="0064217C">
            <w:pPr>
              <w:rPr>
                <w:rFonts w:ascii="Arial" w:hAnsi="Arial" w:cs="Arial"/>
                <w:sz w:val="16"/>
                <w:szCs w:val="16"/>
                <w:lang w:eastAsia="en-AU"/>
              </w:rPr>
            </w:pPr>
            <w:r w:rsidRPr="00181B97">
              <w:rPr>
                <w:rFonts w:ascii="Arial" w:hAnsi="Arial" w:cs="Arial"/>
                <w:sz w:val="16"/>
                <w:szCs w:val="16"/>
                <w:lang w:eastAsia="en-AU"/>
              </w:rPr>
              <w:t>Private transport operators levy</w:t>
            </w:r>
          </w:p>
        </w:tc>
        <w:tc>
          <w:tcPr>
            <w:tcW w:w="896" w:type="dxa"/>
            <w:tcBorders>
              <w:top w:val="nil"/>
              <w:left w:val="nil"/>
              <w:bottom w:val="nil"/>
              <w:right w:val="nil"/>
            </w:tcBorders>
            <w:shd w:val="clear" w:color="000000" w:fill="FFFFFF"/>
            <w:noWrap/>
            <w:vAlign w:val="center"/>
            <w:hideMark/>
          </w:tcPr>
          <w:p w14:paraId="191E9BF8"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54 </w:t>
            </w:r>
          </w:p>
        </w:tc>
        <w:tc>
          <w:tcPr>
            <w:tcW w:w="896" w:type="dxa"/>
            <w:tcBorders>
              <w:top w:val="nil"/>
              <w:left w:val="nil"/>
              <w:bottom w:val="nil"/>
              <w:right w:val="nil"/>
            </w:tcBorders>
            <w:shd w:val="clear" w:color="000000" w:fill="FFFFFF"/>
            <w:noWrap/>
            <w:vAlign w:val="center"/>
            <w:hideMark/>
          </w:tcPr>
          <w:p w14:paraId="46523795"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33 </w:t>
            </w:r>
          </w:p>
        </w:tc>
        <w:tc>
          <w:tcPr>
            <w:tcW w:w="896" w:type="dxa"/>
            <w:tcBorders>
              <w:top w:val="nil"/>
              <w:left w:val="nil"/>
              <w:bottom w:val="nil"/>
              <w:right w:val="nil"/>
            </w:tcBorders>
            <w:shd w:val="clear" w:color="000000" w:fill="F2F2F2"/>
            <w:noWrap/>
            <w:vAlign w:val="center"/>
            <w:hideMark/>
          </w:tcPr>
          <w:p w14:paraId="5B2B3BB3"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56 </w:t>
            </w:r>
          </w:p>
        </w:tc>
        <w:tc>
          <w:tcPr>
            <w:tcW w:w="896" w:type="dxa"/>
            <w:tcBorders>
              <w:top w:val="nil"/>
              <w:left w:val="nil"/>
              <w:bottom w:val="nil"/>
              <w:right w:val="nil"/>
            </w:tcBorders>
            <w:shd w:val="clear" w:color="000000" w:fill="F2F2F2"/>
            <w:noWrap/>
            <w:vAlign w:val="center"/>
            <w:hideMark/>
          </w:tcPr>
          <w:p w14:paraId="249E2370"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56 </w:t>
            </w:r>
          </w:p>
        </w:tc>
        <w:tc>
          <w:tcPr>
            <w:tcW w:w="896" w:type="dxa"/>
            <w:tcBorders>
              <w:top w:val="nil"/>
              <w:left w:val="nil"/>
              <w:bottom w:val="nil"/>
              <w:right w:val="nil"/>
            </w:tcBorders>
            <w:shd w:val="clear" w:color="000000" w:fill="F2F2F2"/>
            <w:noWrap/>
            <w:vAlign w:val="center"/>
            <w:hideMark/>
          </w:tcPr>
          <w:p w14:paraId="61C23842"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56 </w:t>
            </w:r>
          </w:p>
        </w:tc>
        <w:tc>
          <w:tcPr>
            <w:tcW w:w="896" w:type="dxa"/>
            <w:tcBorders>
              <w:top w:val="nil"/>
              <w:left w:val="nil"/>
              <w:bottom w:val="nil"/>
              <w:right w:val="nil"/>
            </w:tcBorders>
            <w:shd w:val="clear" w:color="000000" w:fill="F2F2F2"/>
            <w:noWrap/>
            <w:vAlign w:val="center"/>
            <w:hideMark/>
          </w:tcPr>
          <w:p w14:paraId="72F51B22"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56 </w:t>
            </w:r>
          </w:p>
        </w:tc>
        <w:tc>
          <w:tcPr>
            <w:tcW w:w="1123" w:type="dxa"/>
            <w:tcBorders>
              <w:top w:val="nil"/>
              <w:left w:val="nil"/>
              <w:bottom w:val="nil"/>
              <w:right w:val="nil"/>
            </w:tcBorders>
            <w:shd w:val="clear" w:color="000000" w:fill="FFFFFF"/>
            <w:noWrap/>
            <w:vAlign w:val="center"/>
            <w:hideMark/>
          </w:tcPr>
          <w:p w14:paraId="401EDB6A"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14.6</w:t>
            </w:r>
          </w:p>
        </w:tc>
      </w:tr>
      <w:tr w:rsidR="00894EC0" w:rsidRPr="00181B97" w14:paraId="52C9878F" w14:textId="77777777" w:rsidTr="0064217C">
        <w:trPr>
          <w:trHeight w:val="199"/>
        </w:trPr>
        <w:tc>
          <w:tcPr>
            <w:tcW w:w="3301" w:type="dxa"/>
            <w:tcBorders>
              <w:top w:val="nil"/>
              <w:left w:val="nil"/>
              <w:bottom w:val="nil"/>
              <w:right w:val="nil"/>
            </w:tcBorders>
            <w:shd w:val="clear" w:color="000000" w:fill="FFFFFF"/>
            <w:noWrap/>
            <w:vAlign w:val="center"/>
            <w:hideMark/>
          </w:tcPr>
          <w:p w14:paraId="3F720EF3" w14:textId="77777777" w:rsidR="00894EC0" w:rsidRPr="00181B97" w:rsidRDefault="00894EC0" w:rsidP="0064217C">
            <w:pPr>
              <w:rPr>
                <w:rFonts w:ascii="Arial" w:hAnsi="Arial" w:cs="Arial"/>
                <w:sz w:val="16"/>
                <w:szCs w:val="16"/>
                <w:lang w:eastAsia="en-AU"/>
              </w:rPr>
            </w:pPr>
            <w:r w:rsidRPr="00181B97">
              <w:rPr>
                <w:rFonts w:ascii="Arial" w:hAnsi="Arial" w:cs="Arial"/>
                <w:sz w:val="16"/>
                <w:szCs w:val="16"/>
                <w:lang w:eastAsia="en-AU"/>
              </w:rPr>
              <w:t>Pollution control licences</w:t>
            </w:r>
          </w:p>
        </w:tc>
        <w:tc>
          <w:tcPr>
            <w:tcW w:w="896" w:type="dxa"/>
            <w:tcBorders>
              <w:top w:val="nil"/>
              <w:left w:val="nil"/>
              <w:bottom w:val="nil"/>
              <w:right w:val="nil"/>
            </w:tcBorders>
            <w:shd w:val="clear" w:color="000000" w:fill="FFFFFF"/>
            <w:noWrap/>
            <w:vAlign w:val="center"/>
            <w:hideMark/>
          </w:tcPr>
          <w:p w14:paraId="15B45A6B"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26 </w:t>
            </w:r>
          </w:p>
        </w:tc>
        <w:tc>
          <w:tcPr>
            <w:tcW w:w="896" w:type="dxa"/>
            <w:tcBorders>
              <w:top w:val="nil"/>
              <w:left w:val="nil"/>
              <w:bottom w:val="nil"/>
              <w:right w:val="nil"/>
            </w:tcBorders>
            <w:shd w:val="clear" w:color="000000" w:fill="FFFFFF"/>
            <w:noWrap/>
            <w:vAlign w:val="center"/>
            <w:hideMark/>
          </w:tcPr>
          <w:p w14:paraId="42FD820E"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26 </w:t>
            </w:r>
          </w:p>
        </w:tc>
        <w:tc>
          <w:tcPr>
            <w:tcW w:w="896" w:type="dxa"/>
            <w:tcBorders>
              <w:top w:val="nil"/>
              <w:left w:val="nil"/>
              <w:bottom w:val="nil"/>
              <w:right w:val="nil"/>
            </w:tcBorders>
            <w:shd w:val="clear" w:color="000000" w:fill="F2F2F2"/>
            <w:noWrap/>
            <w:vAlign w:val="center"/>
            <w:hideMark/>
          </w:tcPr>
          <w:p w14:paraId="12731BFF"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27 </w:t>
            </w:r>
          </w:p>
        </w:tc>
        <w:tc>
          <w:tcPr>
            <w:tcW w:w="896" w:type="dxa"/>
            <w:tcBorders>
              <w:top w:val="nil"/>
              <w:left w:val="nil"/>
              <w:bottom w:val="nil"/>
              <w:right w:val="nil"/>
            </w:tcBorders>
            <w:shd w:val="clear" w:color="000000" w:fill="F2F2F2"/>
            <w:noWrap/>
            <w:vAlign w:val="center"/>
            <w:hideMark/>
          </w:tcPr>
          <w:p w14:paraId="6505AEFF"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18 </w:t>
            </w:r>
          </w:p>
        </w:tc>
        <w:tc>
          <w:tcPr>
            <w:tcW w:w="896" w:type="dxa"/>
            <w:tcBorders>
              <w:top w:val="nil"/>
              <w:left w:val="nil"/>
              <w:bottom w:val="nil"/>
              <w:right w:val="nil"/>
            </w:tcBorders>
            <w:shd w:val="clear" w:color="000000" w:fill="F2F2F2"/>
            <w:noWrap/>
            <w:vAlign w:val="center"/>
            <w:hideMark/>
          </w:tcPr>
          <w:p w14:paraId="261750AB"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18 </w:t>
            </w:r>
          </w:p>
        </w:tc>
        <w:tc>
          <w:tcPr>
            <w:tcW w:w="896" w:type="dxa"/>
            <w:tcBorders>
              <w:top w:val="nil"/>
              <w:left w:val="nil"/>
              <w:bottom w:val="nil"/>
              <w:right w:val="nil"/>
            </w:tcBorders>
            <w:shd w:val="clear" w:color="000000" w:fill="F2F2F2"/>
            <w:noWrap/>
            <w:vAlign w:val="center"/>
            <w:hideMark/>
          </w:tcPr>
          <w:p w14:paraId="677E7667"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18 </w:t>
            </w:r>
          </w:p>
        </w:tc>
        <w:tc>
          <w:tcPr>
            <w:tcW w:w="1123" w:type="dxa"/>
            <w:tcBorders>
              <w:top w:val="nil"/>
              <w:left w:val="nil"/>
              <w:bottom w:val="nil"/>
              <w:right w:val="nil"/>
            </w:tcBorders>
            <w:shd w:val="clear" w:color="000000" w:fill="FFFFFF"/>
            <w:noWrap/>
            <w:vAlign w:val="center"/>
            <w:hideMark/>
          </w:tcPr>
          <w:p w14:paraId="799135CA"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(8.9)</w:t>
            </w:r>
          </w:p>
        </w:tc>
      </w:tr>
      <w:tr w:rsidR="00894EC0" w:rsidRPr="00181B97" w14:paraId="3112AF42" w14:textId="77777777" w:rsidTr="0064217C">
        <w:trPr>
          <w:trHeight w:val="199"/>
        </w:trPr>
        <w:tc>
          <w:tcPr>
            <w:tcW w:w="3301" w:type="dxa"/>
            <w:tcBorders>
              <w:top w:val="nil"/>
              <w:left w:val="nil"/>
              <w:bottom w:val="nil"/>
              <w:right w:val="nil"/>
            </w:tcBorders>
            <w:shd w:val="clear" w:color="000000" w:fill="FFFFFF"/>
            <w:noWrap/>
            <w:vAlign w:val="center"/>
            <w:hideMark/>
          </w:tcPr>
          <w:p w14:paraId="3CB76571" w14:textId="77777777" w:rsidR="00894EC0" w:rsidRPr="00181B97" w:rsidRDefault="00894EC0" w:rsidP="0064217C">
            <w:pPr>
              <w:rPr>
                <w:rFonts w:ascii="Arial" w:hAnsi="Arial" w:cs="Arial"/>
                <w:sz w:val="16"/>
                <w:szCs w:val="16"/>
                <w:lang w:eastAsia="en-AU"/>
              </w:rPr>
            </w:pPr>
            <w:r w:rsidRPr="00181B97">
              <w:rPr>
                <w:rFonts w:ascii="Arial" w:hAnsi="Arial" w:cs="Arial"/>
                <w:sz w:val="16"/>
                <w:szCs w:val="16"/>
                <w:lang w:eastAsia="en-AU"/>
              </w:rPr>
              <w:t>Other taxes</w:t>
            </w:r>
          </w:p>
        </w:tc>
        <w:tc>
          <w:tcPr>
            <w:tcW w:w="896" w:type="dxa"/>
            <w:tcBorders>
              <w:top w:val="nil"/>
              <w:left w:val="nil"/>
              <w:bottom w:val="nil"/>
              <w:right w:val="nil"/>
            </w:tcBorders>
            <w:shd w:val="clear" w:color="000000" w:fill="FFFFFF"/>
            <w:noWrap/>
            <w:vAlign w:val="center"/>
            <w:hideMark/>
          </w:tcPr>
          <w:p w14:paraId="62BB6A27"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994 </w:t>
            </w:r>
          </w:p>
        </w:tc>
        <w:tc>
          <w:tcPr>
            <w:tcW w:w="896" w:type="dxa"/>
            <w:tcBorders>
              <w:top w:val="nil"/>
              <w:left w:val="nil"/>
              <w:bottom w:val="nil"/>
              <w:right w:val="nil"/>
            </w:tcBorders>
            <w:shd w:val="clear" w:color="000000" w:fill="FFFFFF"/>
            <w:noWrap/>
            <w:vAlign w:val="center"/>
            <w:hideMark/>
          </w:tcPr>
          <w:p w14:paraId="4AE44CA8"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987 </w:t>
            </w:r>
          </w:p>
        </w:tc>
        <w:tc>
          <w:tcPr>
            <w:tcW w:w="896" w:type="dxa"/>
            <w:tcBorders>
              <w:top w:val="nil"/>
              <w:left w:val="nil"/>
              <w:bottom w:val="nil"/>
              <w:right w:val="nil"/>
            </w:tcBorders>
            <w:shd w:val="clear" w:color="000000" w:fill="F2F2F2"/>
            <w:noWrap/>
            <w:vAlign w:val="center"/>
            <w:hideMark/>
          </w:tcPr>
          <w:p w14:paraId="335DB7DA"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938 </w:t>
            </w:r>
          </w:p>
        </w:tc>
        <w:tc>
          <w:tcPr>
            <w:tcW w:w="896" w:type="dxa"/>
            <w:tcBorders>
              <w:top w:val="nil"/>
              <w:left w:val="nil"/>
              <w:bottom w:val="nil"/>
              <w:right w:val="nil"/>
            </w:tcBorders>
            <w:shd w:val="clear" w:color="000000" w:fill="F2F2F2"/>
            <w:noWrap/>
            <w:vAlign w:val="center"/>
            <w:hideMark/>
          </w:tcPr>
          <w:p w14:paraId="2D62F279"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1,009 </w:t>
            </w:r>
          </w:p>
        </w:tc>
        <w:tc>
          <w:tcPr>
            <w:tcW w:w="896" w:type="dxa"/>
            <w:tcBorders>
              <w:top w:val="nil"/>
              <w:left w:val="nil"/>
              <w:bottom w:val="nil"/>
              <w:right w:val="nil"/>
            </w:tcBorders>
            <w:shd w:val="clear" w:color="000000" w:fill="F2F2F2"/>
            <w:noWrap/>
            <w:vAlign w:val="center"/>
            <w:hideMark/>
          </w:tcPr>
          <w:p w14:paraId="47FCE259"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1,032 </w:t>
            </w:r>
          </w:p>
        </w:tc>
        <w:tc>
          <w:tcPr>
            <w:tcW w:w="896" w:type="dxa"/>
            <w:tcBorders>
              <w:top w:val="nil"/>
              <w:left w:val="nil"/>
              <w:bottom w:val="nil"/>
              <w:right w:val="nil"/>
            </w:tcBorders>
            <w:shd w:val="clear" w:color="000000" w:fill="F2F2F2"/>
            <w:noWrap/>
            <w:vAlign w:val="center"/>
            <w:hideMark/>
          </w:tcPr>
          <w:p w14:paraId="4B845ABB"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 xml:space="preserve">  1,051 </w:t>
            </w:r>
          </w:p>
        </w:tc>
        <w:tc>
          <w:tcPr>
            <w:tcW w:w="1123" w:type="dxa"/>
            <w:tcBorders>
              <w:top w:val="nil"/>
              <w:left w:val="nil"/>
              <w:bottom w:val="nil"/>
              <w:right w:val="nil"/>
            </w:tcBorders>
            <w:shd w:val="clear" w:color="000000" w:fill="FFFFFF"/>
            <w:noWrap/>
            <w:vAlign w:val="center"/>
            <w:hideMark/>
          </w:tcPr>
          <w:p w14:paraId="2F998F14" w14:textId="77777777" w:rsidR="00894EC0" w:rsidRPr="00181B97" w:rsidRDefault="00894EC0" w:rsidP="0064217C">
            <w:pPr>
              <w:jc w:val="right"/>
              <w:rPr>
                <w:rFonts w:ascii="Arial" w:hAnsi="Arial" w:cs="Arial"/>
                <w:sz w:val="16"/>
                <w:szCs w:val="16"/>
                <w:lang w:eastAsia="en-AU"/>
              </w:rPr>
            </w:pPr>
            <w:r w:rsidRPr="00181B97">
              <w:rPr>
                <w:rFonts w:ascii="Arial" w:hAnsi="Arial" w:cs="Arial"/>
                <w:sz w:val="16"/>
                <w:szCs w:val="16"/>
                <w:lang w:eastAsia="en-AU"/>
              </w:rPr>
              <w:t>1.6</w:t>
            </w:r>
          </w:p>
        </w:tc>
      </w:tr>
      <w:tr w:rsidR="00894EC0" w:rsidRPr="00181B97" w14:paraId="3C5682D4" w14:textId="77777777" w:rsidTr="0064217C">
        <w:trPr>
          <w:trHeight w:val="199"/>
        </w:trPr>
        <w:tc>
          <w:tcPr>
            <w:tcW w:w="3301" w:type="dxa"/>
            <w:tcBorders>
              <w:top w:val="nil"/>
              <w:left w:val="nil"/>
              <w:bottom w:val="nil"/>
              <w:right w:val="nil"/>
            </w:tcBorders>
            <w:shd w:val="clear" w:color="000000" w:fill="FFFFFF"/>
            <w:noWrap/>
            <w:vAlign w:val="center"/>
            <w:hideMark/>
          </w:tcPr>
          <w:p w14:paraId="34DA4B46" w14:textId="77777777" w:rsidR="00894EC0" w:rsidRPr="00181B97" w:rsidRDefault="00894EC0" w:rsidP="0064217C">
            <w:pPr>
              <w:rPr>
                <w:rFonts w:ascii="Arial" w:hAnsi="Arial" w:cs="Arial"/>
                <w:b/>
                <w:bCs/>
                <w:color w:val="0579B9"/>
                <w:sz w:val="16"/>
                <w:szCs w:val="16"/>
                <w:lang w:eastAsia="en-AU"/>
              </w:rPr>
            </w:pPr>
            <w:r w:rsidRPr="00181B97">
              <w:rPr>
                <w:rFonts w:ascii="Arial" w:hAnsi="Arial" w:cs="Arial"/>
                <w:b/>
                <w:bCs/>
                <w:color w:val="0579B9"/>
                <w:sz w:val="16"/>
                <w:szCs w:val="16"/>
                <w:lang w:eastAsia="en-AU"/>
              </w:rPr>
              <w:t> </w:t>
            </w:r>
          </w:p>
        </w:tc>
        <w:tc>
          <w:tcPr>
            <w:tcW w:w="896" w:type="dxa"/>
            <w:tcBorders>
              <w:top w:val="single" w:sz="4" w:space="0" w:color="auto"/>
              <w:left w:val="nil"/>
              <w:bottom w:val="single" w:sz="4" w:space="0" w:color="auto"/>
              <w:right w:val="nil"/>
            </w:tcBorders>
            <w:shd w:val="clear" w:color="000000" w:fill="FFFFFF"/>
            <w:noWrap/>
            <w:vAlign w:val="center"/>
            <w:hideMark/>
          </w:tcPr>
          <w:p w14:paraId="35867D2B"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3,686</w:t>
            </w:r>
          </w:p>
        </w:tc>
        <w:tc>
          <w:tcPr>
            <w:tcW w:w="896" w:type="dxa"/>
            <w:tcBorders>
              <w:top w:val="single" w:sz="4" w:space="0" w:color="auto"/>
              <w:left w:val="nil"/>
              <w:bottom w:val="single" w:sz="4" w:space="0" w:color="auto"/>
              <w:right w:val="nil"/>
            </w:tcBorders>
            <w:shd w:val="clear" w:color="000000" w:fill="FFFFFF"/>
            <w:noWrap/>
            <w:vAlign w:val="center"/>
            <w:hideMark/>
          </w:tcPr>
          <w:p w14:paraId="037CB211"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3,551</w:t>
            </w:r>
          </w:p>
        </w:tc>
        <w:tc>
          <w:tcPr>
            <w:tcW w:w="896" w:type="dxa"/>
            <w:tcBorders>
              <w:top w:val="single" w:sz="4" w:space="0" w:color="auto"/>
              <w:left w:val="nil"/>
              <w:bottom w:val="single" w:sz="4" w:space="0" w:color="auto"/>
              <w:right w:val="nil"/>
            </w:tcBorders>
            <w:shd w:val="clear" w:color="000000" w:fill="F2F2F2"/>
            <w:noWrap/>
            <w:vAlign w:val="center"/>
            <w:hideMark/>
          </w:tcPr>
          <w:p w14:paraId="61C7E8AD"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3,863</w:t>
            </w:r>
          </w:p>
        </w:tc>
        <w:tc>
          <w:tcPr>
            <w:tcW w:w="896" w:type="dxa"/>
            <w:tcBorders>
              <w:top w:val="single" w:sz="4" w:space="0" w:color="auto"/>
              <w:left w:val="nil"/>
              <w:bottom w:val="single" w:sz="4" w:space="0" w:color="auto"/>
              <w:right w:val="nil"/>
            </w:tcBorders>
            <w:shd w:val="clear" w:color="000000" w:fill="F2F2F2"/>
            <w:noWrap/>
            <w:vAlign w:val="center"/>
            <w:hideMark/>
          </w:tcPr>
          <w:p w14:paraId="4D361F05"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4,179</w:t>
            </w:r>
          </w:p>
        </w:tc>
        <w:tc>
          <w:tcPr>
            <w:tcW w:w="896" w:type="dxa"/>
            <w:tcBorders>
              <w:top w:val="single" w:sz="4" w:space="0" w:color="auto"/>
              <w:left w:val="nil"/>
              <w:bottom w:val="single" w:sz="4" w:space="0" w:color="auto"/>
              <w:right w:val="nil"/>
            </w:tcBorders>
            <w:shd w:val="clear" w:color="000000" w:fill="F2F2F2"/>
            <w:noWrap/>
            <w:vAlign w:val="center"/>
            <w:hideMark/>
          </w:tcPr>
          <w:p w14:paraId="3050EB6B"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4,037</w:t>
            </w:r>
          </w:p>
        </w:tc>
        <w:tc>
          <w:tcPr>
            <w:tcW w:w="896" w:type="dxa"/>
            <w:tcBorders>
              <w:top w:val="single" w:sz="4" w:space="0" w:color="auto"/>
              <w:left w:val="nil"/>
              <w:bottom w:val="single" w:sz="4" w:space="0" w:color="auto"/>
              <w:right w:val="nil"/>
            </w:tcBorders>
            <w:shd w:val="clear" w:color="000000" w:fill="F2F2F2"/>
            <w:noWrap/>
            <w:vAlign w:val="center"/>
            <w:hideMark/>
          </w:tcPr>
          <w:p w14:paraId="2B64313A"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4,119</w:t>
            </w:r>
          </w:p>
        </w:tc>
        <w:tc>
          <w:tcPr>
            <w:tcW w:w="1123" w:type="dxa"/>
            <w:tcBorders>
              <w:top w:val="single" w:sz="4" w:space="0" w:color="auto"/>
              <w:left w:val="nil"/>
              <w:bottom w:val="single" w:sz="4" w:space="0" w:color="auto"/>
              <w:right w:val="nil"/>
            </w:tcBorders>
            <w:shd w:val="clear" w:color="auto" w:fill="auto"/>
            <w:noWrap/>
            <w:vAlign w:val="center"/>
            <w:hideMark/>
          </w:tcPr>
          <w:p w14:paraId="3DC1513E"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3.8</w:t>
            </w:r>
          </w:p>
        </w:tc>
      </w:tr>
      <w:tr w:rsidR="00894EC0" w:rsidRPr="00181B97" w14:paraId="57E092DB" w14:textId="77777777" w:rsidTr="0064217C">
        <w:trPr>
          <w:trHeight w:val="199"/>
        </w:trPr>
        <w:tc>
          <w:tcPr>
            <w:tcW w:w="3301" w:type="dxa"/>
            <w:tcBorders>
              <w:top w:val="nil"/>
              <w:left w:val="nil"/>
              <w:bottom w:val="nil"/>
              <w:right w:val="nil"/>
            </w:tcBorders>
            <w:shd w:val="clear" w:color="000000" w:fill="FFFFFF"/>
            <w:noWrap/>
            <w:vAlign w:val="center"/>
            <w:hideMark/>
          </w:tcPr>
          <w:p w14:paraId="5DE5C78B" w14:textId="77777777" w:rsidR="00894EC0" w:rsidRPr="00181B97" w:rsidRDefault="00894EC0" w:rsidP="0064217C">
            <w:pPr>
              <w:rPr>
                <w:rFonts w:ascii="Arial" w:hAnsi="Arial" w:cs="Arial"/>
                <w:b/>
                <w:bCs/>
                <w:color w:val="00ABE6"/>
                <w:sz w:val="16"/>
                <w:szCs w:val="16"/>
                <w:lang w:eastAsia="en-AU"/>
              </w:rPr>
            </w:pPr>
            <w:r w:rsidRPr="00181B97">
              <w:rPr>
                <w:rFonts w:ascii="Arial" w:hAnsi="Arial" w:cs="Arial"/>
                <w:b/>
                <w:bCs/>
                <w:color w:val="00ABE6"/>
                <w:sz w:val="16"/>
                <w:szCs w:val="16"/>
                <w:lang w:eastAsia="en-AU"/>
              </w:rPr>
              <w:t>Total taxation revenue</w:t>
            </w:r>
          </w:p>
        </w:tc>
        <w:tc>
          <w:tcPr>
            <w:tcW w:w="896" w:type="dxa"/>
            <w:tcBorders>
              <w:top w:val="nil"/>
              <w:left w:val="nil"/>
              <w:bottom w:val="nil"/>
              <w:right w:val="nil"/>
            </w:tcBorders>
            <w:shd w:val="clear" w:color="000000" w:fill="FFFFFF"/>
            <w:noWrap/>
            <w:vAlign w:val="center"/>
            <w:hideMark/>
          </w:tcPr>
          <w:p w14:paraId="5325191B"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34,407</w:t>
            </w:r>
          </w:p>
        </w:tc>
        <w:tc>
          <w:tcPr>
            <w:tcW w:w="896" w:type="dxa"/>
            <w:tcBorders>
              <w:top w:val="nil"/>
              <w:left w:val="nil"/>
              <w:bottom w:val="nil"/>
              <w:right w:val="nil"/>
            </w:tcBorders>
            <w:shd w:val="clear" w:color="000000" w:fill="FFFFFF"/>
            <w:noWrap/>
            <w:vAlign w:val="center"/>
            <w:hideMark/>
          </w:tcPr>
          <w:p w14:paraId="5140F314"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39,240</w:t>
            </w:r>
          </w:p>
        </w:tc>
        <w:tc>
          <w:tcPr>
            <w:tcW w:w="896" w:type="dxa"/>
            <w:tcBorders>
              <w:top w:val="nil"/>
              <w:left w:val="nil"/>
              <w:bottom w:val="nil"/>
              <w:right w:val="nil"/>
            </w:tcBorders>
            <w:shd w:val="clear" w:color="000000" w:fill="F2F2F2"/>
            <w:noWrap/>
            <w:vAlign w:val="center"/>
            <w:hideMark/>
          </w:tcPr>
          <w:p w14:paraId="43BA310A"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39,637</w:t>
            </w:r>
          </w:p>
        </w:tc>
        <w:tc>
          <w:tcPr>
            <w:tcW w:w="896" w:type="dxa"/>
            <w:tcBorders>
              <w:top w:val="nil"/>
              <w:left w:val="nil"/>
              <w:bottom w:val="nil"/>
              <w:right w:val="nil"/>
            </w:tcBorders>
            <w:shd w:val="clear" w:color="000000" w:fill="F2F2F2"/>
            <w:noWrap/>
            <w:vAlign w:val="center"/>
            <w:hideMark/>
          </w:tcPr>
          <w:p w14:paraId="58F82040"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39,683</w:t>
            </w:r>
          </w:p>
        </w:tc>
        <w:tc>
          <w:tcPr>
            <w:tcW w:w="896" w:type="dxa"/>
            <w:tcBorders>
              <w:top w:val="nil"/>
              <w:left w:val="nil"/>
              <w:bottom w:val="nil"/>
              <w:right w:val="nil"/>
            </w:tcBorders>
            <w:shd w:val="clear" w:color="000000" w:fill="F2F2F2"/>
            <w:noWrap/>
            <w:vAlign w:val="center"/>
            <w:hideMark/>
          </w:tcPr>
          <w:p w14:paraId="41FA2C5D"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41,732</w:t>
            </w:r>
          </w:p>
        </w:tc>
        <w:tc>
          <w:tcPr>
            <w:tcW w:w="896" w:type="dxa"/>
            <w:tcBorders>
              <w:top w:val="nil"/>
              <w:left w:val="nil"/>
              <w:bottom w:val="nil"/>
              <w:right w:val="nil"/>
            </w:tcBorders>
            <w:shd w:val="clear" w:color="000000" w:fill="F2F2F2"/>
            <w:noWrap/>
            <w:vAlign w:val="center"/>
            <w:hideMark/>
          </w:tcPr>
          <w:p w14:paraId="3584C1F4"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43,753</w:t>
            </w:r>
          </w:p>
        </w:tc>
        <w:tc>
          <w:tcPr>
            <w:tcW w:w="1123" w:type="dxa"/>
            <w:tcBorders>
              <w:top w:val="nil"/>
              <w:left w:val="nil"/>
              <w:bottom w:val="nil"/>
              <w:right w:val="nil"/>
            </w:tcBorders>
            <w:shd w:val="clear" w:color="auto" w:fill="auto"/>
            <w:noWrap/>
            <w:vAlign w:val="center"/>
            <w:hideMark/>
          </w:tcPr>
          <w:p w14:paraId="41118322" w14:textId="77777777" w:rsidR="00894EC0" w:rsidRPr="00181B97" w:rsidRDefault="00894EC0" w:rsidP="0064217C">
            <w:pPr>
              <w:jc w:val="right"/>
              <w:rPr>
                <w:rFonts w:ascii="Arial" w:hAnsi="Arial" w:cs="Arial"/>
                <w:b/>
                <w:bCs/>
                <w:color w:val="00ABE6"/>
                <w:sz w:val="16"/>
                <w:szCs w:val="16"/>
                <w:lang w:eastAsia="en-AU"/>
              </w:rPr>
            </w:pPr>
            <w:r w:rsidRPr="00181B97">
              <w:rPr>
                <w:rFonts w:ascii="Arial" w:hAnsi="Arial" w:cs="Arial"/>
                <w:b/>
                <w:bCs/>
                <w:color w:val="00ABE6"/>
                <w:sz w:val="16"/>
                <w:szCs w:val="16"/>
                <w:lang w:eastAsia="en-AU"/>
              </w:rPr>
              <w:t>2.8</w:t>
            </w:r>
          </w:p>
        </w:tc>
      </w:tr>
      <w:tr w:rsidR="00894EC0" w:rsidRPr="00181B97" w14:paraId="6DD884BA" w14:textId="77777777" w:rsidTr="0064217C">
        <w:trPr>
          <w:trHeight w:val="225"/>
        </w:trPr>
        <w:tc>
          <w:tcPr>
            <w:tcW w:w="3301" w:type="dxa"/>
            <w:tcBorders>
              <w:top w:val="nil"/>
              <w:left w:val="nil"/>
              <w:bottom w:val="single" w:sz="4" w:space="0" w:color="auto"/>
              <w:right w:val="nil"/>
            </w:tcBorders>
            <w:shd w:val="clear" w:color="000000" w:fill="FFFFFF"/>
            <w:noWrap/>
            <w:vAlign w:val="bottom"/>
            <w:hideMark/>
          </w:tcPr>
          <w:p w14:paraId="5D6EBDCA" w14:textId="77777777" w:rsidR="00894EC0" w:rsidRPr="00181B97" w:rsidRDefault="00894EC0" w:rsidP="0064217C">
            <w:pPr>
              <w:rPr>
                <w:rFonts w:ascii="Arial" w:hAnsi="Arial" w:cs="Arial"/>
                <w:i/>
                <w:iCs/>
                <w:sz w:val="16"/>
                <w:szCs w:val="16"/>
                <w:lang w:eastAsia="en-AU"/>
              </w:rPr>
            </w:pPr>
            <w:r w:rsidRPr="00181B97">
              <w:rPr>
                <w:rFonts w:ascii="Arial" w:hAnsi="Arial" w:cs="Arial"/>
                <w:i/>
                <w:iCs/>
                <w:sz w:val="16"/>
                <w:szCs w:val="16"/>
                <w:lang w:eastAsia="en-AU"/>
              </w:rPr>
              <w:t>Annual change</w:t>
            </w:r>
          </w:p>
        </w:tc>
        <w:tc>
          <w:tcPr>
            <w:tcW w:w="896" w:type="dxa"/>
            <w:tcBorders>
              <w:top w:val="nil"/>
              <w:left w:val="nil"/>
              <w:bottom w:val="single" w:sz="4" w:space="0" w:color="auto"/>
              <w:right w:val="nil"/>
            </w:tcBorders>
            <w:shd w:val="clear" w:color="000000" w:fill="FFFFFF"/>
            <w:noWrap/>
            <w:vAlign w:val="bottom"/>
            <w:hideMark/>
          </w:tcPr>
          <w:p w14:paraId="7C73CD3D" w14:textId="77777777" w:rsidR="00894EC0" w:rsidRPr="00181B97" w:rsidRDefault="00894EC0" w:rsidP="0064217C">
            <w:pPr>
              <w:jc w:val="right"/>
              <w:rPr>
                <w:rFonts w:ascii="Arial" w:hAnsi="Arial" w:cs="Arial"/>
                <w:i/>
                <w:iCs/>
                <w:sz w:val="16"/>
                <w:szCs w:val="16"/>
                <w:lang w:eastAsia="en-AU"/>
              </w:rPr>
            </w:pPr>
            <w:r w:rsidRPr="00181B97">
              <w:rPr>
                <w:rFonts w:ascii="Arial" w:hAnsi="Arial" w:cs="Arial"/>
                <w:i/>
                <w:iCs/>
                <w:sz w:val="16"/>
                <w:szCs w:val="16"/>
                <w:lang w:eastAsia="en-AU"/>
              </w:rPr>
              <w:t> </w:t>
            </w:r>
          </w:p>
        </w:tc>
        <w:tc>
          <w:tcPr>
            <w:tcW w:w="896" w:type="dxa"/>
            <w:tcBorders>
              <w:top w:val="nil"/>
              <w:left w:val="nil"/>
              <w:bottom w:val="single" w:sz="4" w:space="0" w:color="auto"/>
              <w:right w:val="nil"/>
            </w:tcBorders>
            <w:shd w:val="clear" w:color="000000" w:fill="FFFFFF"/>
            <w:noWrap/>
            <w:vAlign w:val="bottom"/>
            <w:hideMark/>
          </w:tcPr>
          <w:p w14:paraId="01959BB8" w14:textId="77777777" w:rsidR="00894EC0" w:rsidRPr="00181B97" w:rsidRDefault="00894EC0" w:rsidP="0064217C">
            <w:pPr>
              <w:jc w:val="right"/>
              <w:rPr>
                <w:rFonts w:ascii="Arial" w:hAnsi="Arial" w:cs="Arial"/>
                <w:i/>
                <w:iCs/>
                <w:sz w:val="16"/>
                <w:szCs w:val="16"/>
                <w:lang w:eastAsia="en-AU"/>
              </w:rPr>
            </w:pPr>
            <w:r w:rsidRPr="00181B97">
              <w:rPr>
                <w:rFonts w:ascii="Arial" w:hAnsi="Arial" w:cs="Arial"/>
                <w:i/>
                <w:iCs/>
                <w:sz w:val="16"/>
                <w:szCs w:val="16"/>
                <w:lang w:eastAsia="en-AU"/>
              </w:rPr>
              <w:t>14.0%</w:t>
            </w:r>
          </w:p>
        </w:tc>
        <w:tc>
          <w:tcPr>
            <w:tcW w:w="896" w:type="dxa"/>
            <w:tcBorders>
              <w:top w:val="nil"/>
              <w:left w:val="nil"/>
              <w:bottom w:val="single" w:sz="4" w:space="0" w:color="auto"/>
              <w:right w:val="nil"/>
            </w:tcBorders>
            <w:shd w:val="clear" w:color="000000" w:fill="F2F2F2"/>
            <w:noWrap/>
            <w:vAlign w:val="bottom"/>
            <w:hideMark/>
          </w:tcPr>
          <w:p w14:paraId="63838D60" w14:textId="77777777" w:rsidR="00894EC0" w:rsidRPr="00181B97" w:rsidRDefault="00894EC0" w:rsidP="0064217C">
            <w:pPr>
              <w:jc w:val="right"/>
              <w:rPr>
                <w:rFonts w:ascii="Arial" w:hAnsi="Arial" w:cs="Arial"/>
                <w:i/>
                <w:iCs/>
                <w:sz w:val="16"/>
                <w:szCs w:val="16"/>
                <w:lang w:eastAsia="en-AU"/>
              </w:rPr>
            </w:pPr>
            <w:r w:rsidRPr="00181B97">
              <w:rPr>
                <w:rFonts w:ascii="Arial" w:hAnsi="Arial" w:cs="Arial"/>
                <w:i/>
                <w:iCs/>
                <w:sz w:val="16"/>
                <w:szCs w:val="16"/>
                <w:lang w:eastAsia="en-AU"/>
              </w:rPr>
              <w:t>1.0%</w:t>
            </w:r>
          </w:p>
        </w:tc>
        <w:tc>
          <w:tcPr>
            <w:tcW w:w="896" w:type="dxa"/>
            <w:tcBorders>
              <w:top w:val="nil"/>
              <w:left w:val="nil"/>
              <w:bottom w:val="single" w:sz="4" w:space="0" w:color="auto"/>
              <w:right w:val="nil"/>
            </w:tcBorders>
            <w:shd w:val="clear" w:color="000000" w:fill="F2F2F2"/>
            <w:noWrap/>
            <w:vAlign w:val="bottom"/>
            <w:hideMark/>
          </w:tcPr>
          <w:p w14:paraId="48D38A2C" w14:textId="77777777" w:rsidR="00894EC0" w:rsidRPr="00181B97" w:rsidRDefault="00894EC0" w:rsidP="0064217C">
            <w:pPr>
              <w:jc w:val="right"/>
              <w:rPr>
                <w:rFonts w:ascii="Arial" w:hAnsi="Arial" w:cs="Arial"/>
                <w:i/>
                <w:iCs/>
                <w:sz w:val="16"/>
                <w:szCs w:val="16"/>
                <w:lang w:eastAsia="en-AU"/>
              </w:rPr>
            </w:pPr>
            <w:r w:rsidRPr="00181B97">
              <w:rPr>
                <w:rFonts w:ascii="Arial" w:hAnsi="Arial" w:cs="Arial"/>
                <w:i/>
                <w:iCs/>
                <w:sz w:val="16"/>
                <w:szCs w:val="16"/>
                <w:lang w:eastAsia="en-AU"/>
              </w:rPr>
              <w:t>0.1%</w:t>
            </w:r>
          </w:p>
        </w:tc>
        <w:tc>
          <w:tcPr>
            <w:tcW w:w="896" w:type="dxa"/>
            <w:tcBorders>
              <w:top w:val="nil"/>
              <w:left w:val="nil"/>
              <w:bottom w:val="single" w:sz="4" w:space="0" w:color="auto"/>
              <w:right w:val="nil"/>
            </w:tcBorders>
            <w:shd w:val="clear" w:color="000000" w:fill="F2F2F2"/>
            <w:noWrap/>
            <w:vAlign w:val="bottom"/>
            <w:hideMark/>
          </w:tcPr>
          <w:p w14:paraId="7668874F" w14:textId="77777777" w:rsidR="00894EC0" w:rsidRPr="00181B97" w:rsidRDefault="00894EC0" w:rsidP="0064217C">
            <w:pPr>
              <w:jc w:val="right"/>
              <w:rPr>
                <w:rFonts w:ascii="Arial" w:hAnsi="Arial" w:cs="Arial"/>
                <w:i/>
                <w:iCs/>
                <w:sz w:val="16"/>
                <w:szCs w:val="16"/>
                <w:lang w:eastAsia="en-AU"/>
              </w:rPr>
            </w:pPr>
            <w:r w:rsidRPr="00181B97">
              <w:rPr>
                <w:rFonts w:ascii="Arial" w:hAnsi="Arial" w:cs="Arial"/>
                <w:i/>
                <w:iCs/>
                <w:sz w:val="16"/>
                <w:szCs w:val="16"/>
                <w:lang w:eastAsia="en-AU"/>
              </w:rPr>
              <w:t>5.2%</w:t>
            </w:r>
          </w:p>
        </w:tc>
        <w:tc>
          <w:tcPr>
            <w:tcW w:w="896" w:type="dxa"/>
            <w:tcBorders>
              <w:top w:val="nil"/>
              <w:left w:val="nil"/>
              <w:bottom w:val="single" w:sz="4" w:space="0" w:color="auto"/>
              <w:right w:val="nil"/>
            </w:tcBorders>
            <w:shd w:val="clear" w:color="000000" w:fill="F2F2F2"/>
            <w:noWrap/>
            <w:vAlign w:val="bottom"/>
            <w:hideMark/>
          </w:tcPr>
          <w:p w14:paraId="231BCCEC" w14:textId="77777777" w:rsidR="00894EC0" w:rsidRPr="00181B97" w:rsidRDefault="00894EC0" w:rsidP="0064217C">
            <w:pPr>
              <w:jc w:val="right"/>
              <w:rPr>
                <w:rFonts w:ascii="Arial" w:hAnsi="Arial" w:cs="Arial"/>
                <w:i/>
                <w:iCs/>
                <w:sz w:val="16"/>
                <w:szCs w:val="16"/>
                <w:lang w:eastAsia="en-AU"/>
              </w:rPr>
            </w:pPr>
            <w:r w:rsidRPr="00181B97">
              <w:rPr>
                <w:rFonts w:ascii="Arial" w:hAnsi="Arial" w:cs="Arial"/>
                <w:i/>
                <w:iCs/>
                <w:sz w:val="16"/>
                <w:szCs w:val="16"/>
                <w:lang w:eastAsia="en-AU"/>
              </w:rPr>
              <w:t>4.8%</w:t>
            </w:r>
          </w:p>
        </w:tc>
        <w:tc>
          <w:tcPr>
            <w:tcW w:w="1123" w:type="dxa"/>
            <w:tcBorders>
              <w:top w:val="nil"/>
              <w:left w:val="nil"/>
              <w:bottom w:val="single" w:sz="4" w:space="0" w:color="auto"/>
              <w:right w:val="nil"/>
            </w:tcBorders>
            <w:shd w:val="clear" w:color="000000" w:fill="FFFFFF"/>
            <w:noWrap/>
            <w:vAlign w:val="bottom"/>
            <w:hideMark/>
          </w:tcPr>
          <w:p w14:paraId="7C9150DF" w14:textId="77777777" w:rsidR="00894EC0" w:rsidRPr="00181B97" w:rsidRDefault="00894EC0" w:rsidP="0064217C">
            <w:pPr>
              <w:jc w:val="right"/>
              <w:rPr>
                <w:rFonts w:ascii="Arial" w:hAnsi="Arial" w:cs="Arial"/>
                <w:i/>
                <w:iCs/>
                <w:sz w:val="16"/>
                <w:szCs w:val="16"/>
                <w:lang w:eastAsia="en-AU"/>
              </w:rPr>
            </w:pPr>
            <w:r w:rsidRPr="00181B97">
              <w:rPr>
                <w:rFonts w:ascii="Arial" w:hAnsi="Arial" w:cs="Arial"/>
                <w:i/>
                <w:iCs/>
                <w:sz w:val="16"/>
                <w:szCs w:val="16"/>
                <w:lang w:eastAsia="en-AU"/>
              </w:rPr>
              <w:t> </w:t>
            </w:r>
          </w:p>
        </w:tc>
      </w:tr>
    </w:tbl>
    <w:p w14:paraId="1574A26D" w14:textId="77777777" w:rsidR="00AA12FF" w:rsidRPr="00A85CB8" w:rsidRDefault="00AA12FF" w:rsidP="002C1EF5"/>
    <w:p w14:paraId="74C76BD0" w14:textId="77777777" w:rsidR="008C147E" w:rsidRDefault="008C147E" w:rsidP="00044FE1">
      <w:pPr>
        <w:rPr>
          <w:rFonts w:ascii="Arial Bold" w:hAnsi="Arial Bold"/>
          <w:kern w:val="28"/>
          <w:sz w:val="26"/>
          <w:szCs w:val="36"/>
        </w:rPr>
      </w:pPr>
      <w:r>
        <w:br w:type="page"/>
      </w:r>
    </w:p>
    <w:p w14:paraId="338317FC" w14:textId="75DE85FF" w:rsidR="00AE3C81" w:rsidRPr="00D809BE" w:rsidRDefault="00AE3C81" w:rsidP="00AE3C81">
      <w:pPr>
        <w:pStyle w:val="Heading3"/>
        <w:numPr>
          <w:ilvl w:val="0"/>
          <w:numId w:val="0"/>
        </w:numPr>
        <w:spacing w:before="240"/>
        <w:ind w:left="737" w:hanging="737"/>
      </w:pPr>
      <w:r w:rsidRPr="00D809BE">
        <w:t>Payroll tax</w:t>
      </w:r>
    </w:p>
    <w:p w14:paraId="29708913" w14:textId="79DE3710" w:rsidR="00AE3C81" w:rsidRPr="004A24D4" w:rsidRDefault="00AE3C81" w:rsidP="003426A4">
      <w:pPr>
        <w:pStyle w:val="BodyText"/>
      </w:pPr>
      <w:r w:rsidRPr="008D7AE4">
        <w:t xml:space="preserve">A strong rebound in employee compensation and employment levels since the </w:t>
      </w:r>
      <w:r w:rsidR="001D3211">
        <w:t xml:space="preserve">2021-22 </w:t>
      </w:r>
      <w:r w:rsidR="00872CA2">
        <w:br w:type="textWrapping" w:clear="all"/>
      </w:r>
      <w:r w:rsidRPr="008D7AE4">
        <w:t xml:space="preserve">Half-Yearly Review has led to </w:t>
      </w:r>
      <w:r w:rsidR="00D97EE8">
        <w:t xml:space="preserve">higher expectations for </w:t>
      </w:r>
      <w:r w:rsidR="00E53327">
        <w:t xml:space="preserve">payroll across the forward estimates. </w:t>
      </w:r>
      <w:r w:rsidR="000945C2">
        <w:t xml:space="preserve">Accordingly, </w:t>
      </w:r>
      <w:r w:rsidR="00A823EE">
        <w:t xml:space="preserve">this Budget forecasts </w:t>
      </w:r>
      <w:r w:rsidRPr="008D7AE4">
        <w:t xml:space="preserve">a significant upward revision in payroll tax revenue. </w:t>
      </w:r>
      <w:r>
        <w:t>Revenue has</w:t>
      </w:r>
      <w:r w:rsidRPr="008D7AE4">
        <w:t xml:space="preserve"> been revised up by </w:t>
      </w:r>
      <w:r w:rsidRPr="005E6DAC">
        <w:t>$</w:t>
      </w:r>
      <w:r w:rsidR="007E0E43" w:rsidRPr="005E6DAC">
        <w:t>4</w:t>
      </w:r>
      <w:r w:rsidR="005E6DAC" w:rsidRPr="005E6DAC">
        <w:t>36</w:t>
      </w:r>
      <w:r w:rsidRPr="005E6DAC">
        <w:t>.</w:t>
      </w:r>
      <w:r w:rsidR="005E6DAC" w:rsidRPr="005E6DAC">
        <w:t>8</w:t>
      </w:r>
      <w:r w:rsidRPr="005E6DAC">
        <w:t xml:space="preserve"> million</w:t>
      </w:r>
      <w:r>
        <w:t xml:space="preserve"> (</w:t>
      </w:r>
      <w:r w:rsidR="005E6DAC" w:rsidRPr="005E6DAC">
        <w:t>5</w:t>
      </w:r>
      <w:r w:rsidRPr="005E6DAC">
        <w:t>.</w:t>
      </w:r>
      <w:r w:rsidR="005E6DAC" w:rsidRPr="005E6DAC">
        <w:t>1</w:t>
      </w:r>
      <w:r w:rsidRPr="005E6DAC">
        <w:t xml:space="preserve"> per cent</w:t>
      </w:r>
      <w:r>
        <w:t>) for 2021-22</w:t>
      </w:r>
      <w:r w:rsidR="00536194">
        <w:t xml:space="preserve"> and </w:t>
      </w:r>
      <w:r w:rsidR="00700526">
        <w:t>by $518</w:t>
      </w:r>
      <w:r w:rsidR="00DB7C79">
        <w:t>.1</w:t>
      </w:r>
      <w:r w:rsidR="00087341">
        <w:t> </w:t>
      </w:r>
      <w:r w:rsidR="00700526">
        <w:t>million</w:t>
      </w:r>
      <w:r w:rsidR="008D77FE">
        <w:t xml:space="preserve"> (</w:t>
      </w:r>
      <w:r w:rsidR="009C07EA">
        <w:t>4</w:t>
      </w:r>
      <w:r w:rsidR="00B539D0">
        <w:t>.</w:t>
      </w:r>
      <w:r w:rsidR="009C07EA">
        <w:t>9</w:t>
      </w:r>
      <w:r w:rsidR="008D77FE">
        <w:t xml:space="preserve"> per cent)</w:t>
      </w:r>
      <w:r w:rsidR="00700526">
        <w:t xml:space="preserve"> in 2022-23</w:t>
      </w:r>
      <w:r w:rsidR="00F404AB">
        <w:t>. In total</w:t>
      </w:r>
      <w:r w:rsidR="00700526">
        <w:t xml:space="preserve">, </w:t>
      </w:r>
      <w:r w:rsidR="00F404AB">
        <w:t>over the four years to 2025-26, this revenue source has been revised up</w:t>
      </w:r>
      <w:r w:rsidR="00700526">
        <w:t xml:space="preserve"> by</w:t>
      </w:r>
      <w:r>
        <w:t xml:space="preserve"> </w:t>
      </w:r>
      <w:r w:rsidRPr="005E6DAC">
        <w:t>$</w:t>
      </w:r>
      <w:r w:rsidR="008E061D" w:rsidRPr="005E6DAC">
        <w:t>2</w:t>
      </w:r>
      <w:r w:rsidRPr="005E6DAC">
        <w:t>.</w:t>
      </w:r>
      <w:r w:rsidR="004A24D4">
        <w:t>3</w:t>
      </w:r>
      <w:r w:rsidRPr="005E6DAC">
        <w:t xml:space="preserve"> billion</w:t>
      </w:r>
      <w:r>
        <w:t xml:space="preserve"> (</w:t>
      </w:r>
      <w:r w:rsidR="00901063">
        <w:t>5</w:t>
      </w:r>
      <w:r w:rsidRPr="005E6DAC">
        <w:t>.</w:t>
      </w:r>
      <w:r w:rsidR="00901063">
        <w:t>0</w:t>
      </w:r>
      <w:r w:rsidR="00901063" w:rsidRPr="005E6DAC">
        <w:t xml:space="preserve"> </w:t>
      </w:r>
      <w:r w:rsidRPr="005E6DAC">
        <w:t>per cent</w:t>
      </w:r>
      <w:r>
        <w:t xml:space="preserve">). </w:t>
      </w:r>
    </w:p>
    <w:p w14:paraId="5ACB2747" w14:textId="37CD0DFD" w:rsidR="00CD53E5" w:rsidRPr="005A5666" w:rsidRDefault="00CD53E5" w:rsidP="003A2D4A">
      <w:pPr>
        <w:pStyle w:val="Heading3"/>
        <w:numPr>
          <w:ilvl w:val="0"/>
          <w:numId w:val="0"/>
        </w:numPr>
        <w:ind w:left="737" w:hanging="737"/>
      </w:pPr>
      <w:r w:rsidRPr="005A5666">
        <w:t xml:space="preserve">Transfer duty </w:t>
      </w:r>
    </w:p>
    <w:p w14:paraId="37E39610" w14:textId="6BB48E0D" w:rsidR="008D7D8D" w:rsidRDefault="008D7D8D" w:rsidP="003426A4">
      <w:pPr>
        <w:pStyle w:val="BodyText"/>
      </w:pPr>
      <w:bookmarkStart w:id="10" w:name="_Hlk101877874"/>
      <w:r>
        <w:t xml:space="preserve">Transfer duty collections are a function of transaction volumes and sales prices. Transfer duty revenues have been revised up by </w:t>
      </w:r>
      <w:r w:rsidRPr="00400EDE">
        <w:t>$1.2 billion (9.</w:t>
      </w:r>
      <w:r w:rsidR="003542C6" w:rsidRPr="00400EDE">
        <w:t>2</w:t>
      </w:r>
      <w:r w:rsidRPr="00400EDE">
        <w:t xml:space="preserve"> per cent)</w:t>
      </w:r>
      <w:r>
        <w:t xml:space="preserve"> in 2021-22, reflecting stronger than expected growth in both transaction volumes and prices since the 2021-22 Half-Yearly Review. Transfer duty revenues have been revised </w:t>
      </w:r>
      <w:r w:rsidR="003542C6">
        <w:t>down</w:t>
      </w:r>
      <w:r>
        <w:t xml:space="preserve"> by </w:t>
      </w:r>
      <w:r w:rsidRPr="00400EDE">
        <w:t>$</w:t>
      </w:r>
      <w:r w:rsidR="00500348">
        <w:t>1.3</w:t>
      </w:r>
      <w:r w:rsidRPr="00400EDE">
        <w:t xml:space="preserve"> </w:t>
      </w:r>
      <w:r w:rsidR="00500348">
        <w:t>b</w:t>
      </w:r>
      <w:r w:rsidRPr="00400EDE">
        <w:t>illion (</w:t>
      </w:r>
      <w:r w:rsidR="00500348">
        <w:t>3</w:t>
      </w:r>
      <w:r w:rsidR="003542C6" w:rsidRPr="00400EDE">
        <w:t>.</w:t>
      </w:r>
      <w:r w:rsidR="00500348">
        <w:t>0</w:t>
      </w:r>
      <w:r w:rsidRPr="00400EDE">
        <w:t xml:space="preserve"> per cent)</w:t>
      </w:r>
      <w:r>
        <w:t xml:space="preserve"> over the four years to 2025-26.</w:t>
      </w:r>
      <w:r w:rsidR="00D350EE" w:rsidRPr="00D350EE">
        <w:t xml:space="preserve"> This includes a downgrade of $751.8 million over </w:t>
      </w:r>
      <w:r w:rsidR="00DB4FC6">
        <w:t xml:space="preserve">the </w:t>
      </w:r>
      <w:r w:rsidR="00D350EE" w:rsidRPr="00D350EE">
        <w:t xml:space="preserve">four years to 2025-26 for the </w:t>
      </w:r>
      <w:r w:rsidR="00EC44E7" w:rsidRPr="00EC44E7">
        <w:t>First Home Buyer Property Tax Option</w:t>
      </w:r>
      <w:r w:rsidR="00D350EE" w:rsidRPr="00D350EE">
        <w:t>.</w:t>
      </w:r>
    </w:p>
    <w:p w14:paraId="44AC9394" w14:textId="08BA72AD" w:rsidR="008D7D8D" w:rsidRPr="008D7D8D" w:rsidRDefault="008D7D8D" w:rsidP="003426A4">
      <w:pPr>
        <w:pStyle w:val="BodyText"/>
      </w:pPr>
      <w:r>
        <w:t xml:space="preserve">The outlook for residential property markets has weakened. Residential mortgage interest rates have risen sharply over the past six months and are now expected to be </w:t>
      </w:r>
      <w:r w:rsidR="00B760D4">
        <w:t>significantly</w:t>
      </w:r>
      <w:r>
        <w:t xml:space="preserve"> higher in comparison to 2021-22 Half-Yearly Review forecasts. This is likely to </w:t>
      </w:r>
      <w:r w:rsidR="00B760D4">
        <w:t xml:space="preserve">further </w:t>
      </w:r>
      <w:r>
        <w:t xml:space="preserve">dampen transactional activity in 2022-23 and 2023-24. Historical experience </w:t>
      </w:r>
      <w:r w:rsidR="00B760D4">
        <w:t xml:space="preserve">suggests property owners will only defer the decision to transact for a short </w:t>
      </w:r>
      <w:r w:rsidR="001B01AD">
        <w:t>period</w:t>
      </w:r>
      <w:r w:rsidR="00B760D4">
        <w:t xml:space="preserve"> and so </w:t>
      </w:r>
      <w:r>
        <w:t xml:space="preserve">transaction volumes </w:t>
      </w:r>
      <w:r w:rsidR="00B760D4">
        <w:t>are expected to recover in</w:t>
      </w:r>
      <w:r>
        <w:t xml:space="preserve"> 2024-25 and beyond (see Chart </w:t>
      </w:r>
      <w:r w:rsidR="00B760D4">
        <w:t>4.</w:t>
      </w:r>
      <w:r w:rsidR="004A24D4">
        <w:t>5</w:t>
      </w:r>
      <w:r>
        <w:t xml:space="preserve">). Residential property prices are expected to ease </w:t>
      </w:r>
      <w:r w:rsidR="00063859">
        <w:t xml:space="preserve">from </w:t>
      </w:r>
      <w:r>
        <w:t>2022-23 through to 202</w:t>
      </w:r>
      <w:r w:rsidR="003542C6">
        <w:t>5-26.</w:t>
      </w:r>
    </w:p>
    <w:p w14:paraId="5E2ED37B" w14:textId="4215BA84" w:rsidR="008144E2" w:rsidRPr="008D7D8D" w:rsidRDefault="008144E2" w:rsidP="002C1EF5">
      <w:pPr>
        <w:pStyle w:val="Chart41"/>
      </w:pPr>
      <w:bookmarkStart w:id="11" w:name="_Ref72869185"/>
      <w:bookmarkStart w:id="12" w:name="_Ref73513196"/>
      <w:bookmarkEnd w:id="10"/>
      <w:r w:rsidRPr="008D7D8D">
        <w:t xml:space="preserve">Residential </w:t>
      </w:r>
      <w:r w:rsidR="008D7D8D" w:rsidRPr="008D7D8D">
        <w:t xml:space="preserve">property </w:t>
      </w:r>
      <w:r w:rsidRPr="008D7D8D">
        <w:t xml:space="preserve">transactions </w:t>
      </w:r>
      <w:bookmarkEnd w:id="11"/>
      <w:bookmarkEnd w:id="12"/>
      <w:r w:rsidR="008D7D8D" w:rsidRPr="008D7D8D">
        <w:t>(seasonally adjusted</w:t>
      </w:r>
      <w:r w:rsidR="005F0A18" w:rsidRPr="005F0A18">
        <w:t>; quarterly</w:t>
      </w:r>
      <w:r w:rsidR="008D7D8D" w:rsidRPr="008D7D8D">
        <w:t>)</w:t>
      </w:r>
    </w:p>
    <w:p w14:paraId="1CA03FA9" w14:textId="6DAE5AF1" w:rsidR="056C0521" w:rsidRPr="008F0B8B" w:rsidRDefault="003542C6" w:rsidP="004F63C5">
      <w:pPr>
        <w:jc w:val="center"/>
        <w:rPr>
          <w:highlight w:val="yellow"/>
        </w:rPr>
      </w:pPr>
      <w:r w:rsidRPr="00465A35">
        <w:rPr>
          <w:rFonts w:ascii="Arial" w:hAnsi="Arial" w:cs="Arial"/>
          <w:noProof/>
          <w:sz w:val="14"/>
          <w:szCs w:val="14"/>
        </w:rPr>
        <w:drawing>
          <wp:inline distT="0" distB="0" distL="0" distR="0" wp14:anchorId="15A43A78" wp14:editId="56F2A568">
            <wp:extent cx="6120765" cy="3091218"/>
            <wp:effectExtent l="0" t="0" r="0" b="0"/>
            <wp:docPr id="10" name="Chart 10" descr="Chart 4.5: Residential property transactions (seasonally adjusted; quarterly)">
              <a:extLst xmlns:a="http://schemas.openxmlformats.org/drawingml/2006/main">
                <a:ext uri="{FF2B5EF4-FFF2-40B4-BE49-F238E27FC236}">
                  <a16:creationId xmlns:a16="http://schemas.microsoft.com/office/drawing/2014/main" id="{0C423742-7CC5-4E81-959F-6532BBD550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E4957EE" w14:textId="4D44B8A8" w:rsidR="008049D5" w:rsidRDefault="008049D5" w:rsidP="008049D5">
      <w:pPr>
        <w:pStyle w:val="BodyText"/>
      </w:pPr>
      <w:r w:rsidRPr="00AE5770">
        <w:t xml:space="preserve">Transfer duty revenue on commercial property transactions </w:t>
      </w:r>
      <w:r>
        <w:t xml:space="preserve">has been revised up by </w:t>
      </w:r>
      <w:r w:rsidRPr="004C2C61">
        <w:t>$5</w:t>
      </w:r>
      <w:r>
        <w:t>06</w:t>
      </w:r>
      <w:r w:rsidRPr="004C2C61">
        <w:t>.</w:t>
      </w:r>
      <w:r>
        <w:t>2</w:t>
      </w:r>
      <w:r w:rsidRPr="004C2C61">
        <w:t> million</w:t>
      </w:r>
      <w:r>
        <w:t xml:space="preserve"> in 2021-22, largely due to an increase in large transaction volumes. </w:t>
      </w:r>
      <w:r w:rsidRPr="001C3D15">
        <w:t>Revenue from commercial property transactions</w:t>
      </w:r>
      <w:r>
        <w:t xml:space="preserve"> has been revised down by </w:t>
      </w:r>
      <w:r w:rsidRPr="004C2C61">
        <w:t>$</w:t>
      </w:r>
      <w:r>
        <w:t>5</w:t>
      </w:r>
      <w:r w:rsidRPr="004C2C61">
        <w:t>07.</w:t>
      </w:r>
      <w:r>
        <w:t>7</w:t>
      </w:r>
      <w:r w:rsidRPr="004C2C61">
        <w:t xml:space="preserve"> million</w:t>
      </w:r>
      <w:r>
        <w:t xml:space="preserve"> over the four years to 2025-26 due to the impact of higher interest rates. </w:t>
      </w:r>
    </w:p>
    <w:p w14:paraId="5A1A4F56" w14:textId="77777777" w:rsidR="00FE5137" w:rsidRDefault="00FE5137">
      <w:pPr>
        <w:spacing w:after="200" w:line="276" w:lineRule="auto"/>
        <w:rPr>
          <w:rFonts w:ascii="Arial Bold" w:eastAsiaTheme="minorHAnsi" w:hAnsi="Arial Bold"/>
          <w:b/>
          <w:kern w:val="28"/>
          <w:sz w:val="26"/>
          <w:szCs w:val="36"/>
        </w:rPr>
      </w:pPr>
      <w:r>
        <w:rPr>
          <w:rFonts w:eastAsiaTheme="minorHAnsi"/>
        </w:rPr>
        <w:br w:type="page"/>
      </w:r>
    </w:p>
    <w:p w14:paraId="5C9DFE8C" w14:textId="02538B79" w:rsidR="00F34363" w:rsidRPr="008F0B8B" w:rsidRDefault="00F34363" w:rsidP="003A2D4A">
      <w:pPr>
        <w:pStyle w:val="Heading3"/>
        <w:numPr>
          <w:ilvl w:val="0"/>
          <w:numId w:val="0"/>
        </w:numPr>
        <w:ind w:left="737" w:hanging="737"/>
        <w:rPr>
          <w:rFonts w:eastAsiaTheme="minorHAnsi"/>
        </w:rPr>
      </w:pPr>
      <w:r w:rsidRPr="008F0B8B">
        <w:rPr>
          <w:rFonts w:eastAsiaTheme="minorHAnsi"/>
        </w:rPr>
        <w:t xml:space="preserve">Land tax </w:t>
      </w:r>
    </w:p>
    <w:p w14:paraId="343B184D" w14:textId="3D6C3336" w:rsidR="00F34363" w:rsidRPr="008F0B8B" w:rsidRDefault="00F34363" w:rsidP="003426A4">
      <w:pPr>
        <w:pStyle w:val="BodyText"/>
        <w:rPr>
          <w:i/>
        </w:rPr>
      </w:pPr>
      <w:r w:rsidRPr="008F0B8B">
        <w:t xml:space="preserve">Land tax revenue is expected to </w:t>
      </w:r>
      <w:r w:rsidRPr="00346A48">
        <w:t xml:space="preserve">be </w:t>
      </w:r>
      <w:r w:rsidRPr="00930CDB">
        <w:t>$</w:t>
      </w:r>
      <w:r w:rsidR="00930CDB" w:rsidRPr="00930CDB">
        <w:t>5</w:t>
      </w:r>
      <w:r w:rsidR="00C33DDE" w:rsidRPr="00930CDB">
        <w:t>.</w:t>
      </w:r>
      <w:r w:rsidR="00CF1C06">
        <w:t>7</w:t>
      </w:r>
      <w:r w:rsidRPr="00930CDB">
        <w:t xml:space="preserve"> billion</w:t>
      </w:r>
      <w:r w:rsidR="00D8667E" w:rsidRPr="00346A48">
        <w:t xml:space="preserve"> </w:t>
      </w:r>
      <w:r w:rsidRPr="00346A48">
        <w:t>in 202</w:t>
      </w:r>
      <w:r w:rsidR="008F0B8B" w:rsidRPr="00346A48">
        <w:t>2</w:t>
      </w:r>
      <w:r w:rsidRPr="00346A48">
        <w:t>-2</w:t>
      </w:r>
      <w:r w:rsidR="008F0B8B" w:rsidRPr="00346A48">
        <w:t>3</w:t>
      </w:r>
      <w:r w:rsidRPr="00346A48">
        <w:t xml:space="preserve">, </w:t>
      </w:r>
      <w:r w:rsidRPr="00930CDB">
        <w:t>$</w:t>
      </w:r>
      <w:r w:rsidR="00CF1C06">
        <w:t>43</w:t>
      </w:r>
      <w:r w:rsidR="00930CDB" w:rsidRPr="00930CDB">
        <w:t>9</w:t>
      </w:r>
      <w:r w:rsidR="000C0F83" w:rsidRPr="00930CDB">
        <w:t>.</w:t>
      </w:r>
      <w:r w:rsidR="00930CDB" w:rsidRPr="00930CDB">
        <w:t>0</w:t>
      </w:r>
      <w:r w:rsidRPr="00930CDB">
        <w:t xml:space="preserve"> million</w:t>
      </w:r>
      <w:r w:rsidRPr="00346A48">
        <w:t xml:space="preserve"> </w:t>
      </w:r>
      <w:r w:rsidR="00AE1A14" w:rsidRPr="00346A48">
        <w:t>(</w:t>
      </w:r>
      <w:r w:rsidR="00CF1C06">
        <w:rPr>
          <w:rFonts w:eastAsiaTheme="minorEastAsia"/>
          <w:szCs w:val="23"/>
        </w:rPr>
        <w:t>8</w:t>
      </w:r>
      <w:r w:rsidR="00C6747F" w:rsidRPr="00930CDB">
        <w:rPr>
          <w:rFonts w:eastAsiaTheme="minorEastAsia"/>
          <w:szCs w:val="23"/>
        </w:rPr>
        <w:t>.</w:t>
      </w:r>
      <w:r w:rsidR="00930CDB" w:rsidRPr="00930CDB">
        <w:rPr>
          <w:rFonts w:eastAsiaTheme="minorEastAsia"/>
          <w:szCs w:val="23"/>
        </w:rPr>
        <w:t>4</w:t>
      </w:r>
      <w:r w:rsidR="00AE1A14" w:rsidRPr="00930CDB">
        <w:rPr>
          <w:rFonts w:eastAsiaTheme="minorEastAsia"/>
          <w:szCs w:val="23"/>
        </w:rPr>
        <w:t xml:space="preserve"> per cent</w:t>
      </w:r>
      <w:r w:rsidR="00977F0D" w:rsidRPr="00346A48">
        <w:rPr>
          <w:rFonts w:eastAsiaTheme="minorEastAsia"/>
          <w:iCs/>
          <w:szCs w:val="23"/>
        </w:rPr>
        <w:t>)</w:t>
      </w:r>
      <w:r w:rsidRPr="00346A48">
        <w:t xml:space="preserve"> </w:t>
      </w:r>
      <w:r w:rsidR="045FD6D3" w:rsidRPr="00346A48">
        <w:t>above</w:t>
      </w:r>
      <w:r w:rsidRPr="00346A48">
        <w:t xml:space="preserve"> </w:t>
      </w:r>
      <w:r w:rsidR="008E428C" w:rsidRPr="00346A48">
        <w:t>previous</w:t>
      </w:r>
      <w:r w:rsidR="005D7560" w:rsidRPr="00346A48">
        <w:t xml:space="preserve"> </w:t>
      </w:r>
      <w:r w:rsidRPr="00346A48">
        <w:t xml:space="preserve">expectations. </w:t>
      </w:r>
      <w:r w:rsidR="00D97EF3" w:rsidRPr="00346A48">
        <w:t>Land tax</w:t>
      </w:r>
      <w:r w:rsidR="00263FEA" w:rsidRPr="00346A48">
        <w:t xml:space="preserve"> </w:t>
      </w:r>
      <w:r w:rsidR="00D97EF3" w:rsidRPr="00346A48">
        <w:t xml:space="preserve">is forecast to grow by </w:t>
      </w:r>
      <w:r w:rsidR="00CF1C06">
        <w:t>6</w:t>
      </w:r>
      <w:r w:rsidR="00BC0A82" w:rsidRPr="00930CDB">
        <w:t>.</w:t>
      </w:r>
      <w:r w:rsidR="00CF1C06">
        <w:t>4</w:t>
      </w:r>
      <w:r w:rsidR="00D97EF3" w:rsidRPr="00930CDB">
        <w:t xml:space="preserve"> per cent</w:t>
      </w:r>
      <w:r w:rsidR="00263FEA" w:rsidRPr="00346A48">
        <w:t xml:space="preserve"> on average </w:t>
      </w:r>
      <w:r w:rsidR="00D97EF3" w:rsidRPr="00346A48">
        <w:t>over the four years to 202</w:t>
      </w:r>
      <w:r w:rsidR="003079BA" w:rsidRPr="00346A48">
        <w:t>5</w:t>
      </w:r>
      <w:r w:rsidR="00D97EF3" w:rsidRPr="00346A48">
        <w:t>-2</w:t>
      </w:r>
      <w:r w:rsidR="003079BA" w:rsidRPr="00346A48">
        <w:t>6</w:t>
      </w:r>
      <w:r w:rsidR="00BF30C7" w:rsidRPr="00346A48">
        <w:t>,</w:t>
      </w:r>
      <w:r w:rsidRPr="00346A48">
        <w:t xml:space="preserve"> </w:t>
      </w:r>
      <w:r w:rsidRPr="00930CDB">
        <w:t>$</w:t>
      </w:r>
      <w:r w:rsidR="00CF1C06">
        <w:t>2</w:t>
      </w:r>
      <w:r w:rsidR="00EE68D7" w:rsidRPr="00930CDB">
        <w:t>.</w:t>
      </w:r>
      <w:r w:rsidR="00CF1C06">
        <w:t>2</w:t>
      </w:r>
      <w:r w:rsidR="002C283C" w:rsidRPr="00930CDB">
        <w:t> </w:t>
      </w:r>
      <w:r w:rsidRPr="00930CDB">
        <w:t>billion</w:t>
      </w:r>
      <w:r w:rsidRPr="00346A48">
        <w:t xml:space="preserve"> </w:t>
      </w:r>
      <w:r w:rsidR="00AE1A14" w:rsidRPr="00346A48">
        <w:t>(</w:t>
      </w:r>
      <w:r w:rsidR="00834D25">
        <w:t>10.1</w:t>
      </w:r>
      <w:r w:rsidR="00977F0D" w:rsidRPr="00930CDB">
        <w:t> per cent</w:t>
      </w:r>
      <w:r w:rsidR="00977F0D" w:rsidRPr="00346A48">
        <w:t>)</w:t>
      </w:r>
      <w:r w:rsidRPr="00346A48">
        <w:t xml:space="preserve"> </w:t>
      </w:r>
      <w:r w:rsidR="00BF30C7" w:rsidRPr="00346A48">
        <w:t>higher than expected at</w:t>
      </w:r>
      <w:r w:rsidRPr="00346A48">
        <w:t xml:space="preserve"> the </w:t>
      </w:r>
      <w:r w:rsidR="00BF30C7" w:rsidRPr="00346A48">
        <w:t>202</w:t>
      </w:r>
      <w:r w:rsidR="003079BA" w:rsidRPr="00346A48">
        <w:t>1</w:t>
      </w:r>
      <w:r w:rsidR="00BF30C7" w:rsidRPr="00346A48">
        <w:noBreakHyphen/>
        <w:t>2</w:t>
      </w:r>
      <w:r w:rsidR="003079BA" w:rsidRPr="00346A48">
        <w:t>2</w:t>
      </w:r>
      <w:r w:rsidR="00BF30C7" w:rsidRPr="00346A48">
        <w:t xml:space="preserve"> Half</w:t>
      </w:r>
      <w:r w:rsidR="00EC1D7D" w:rsidRPr="00346A48">
        <w:t>-</w:t>
      </w:r>
      <w:r w:rsidR="00BF30C7" w:rsidRPr="00346A48">
        <w:t>Yearly Review. This uplift is due</w:t>
      </w:r>
      <w:r w:rsidRPr="00346A48">
        <w:t xml:space="preserve"> to </w:t>
      </w:r>
      <w:r w:rsidR="000B0EE2" w:rsidRPr="00346A48">
        <w:t>expectations for</w:t>
      </w:r>
      <w:r w:rsidR="00B0049A" w:rsidRPr="00346A48">
        <w:t xml:space="preserve"> higher</w:t>
      </w:r>
      <w:r w:rsidR="00D97EF3" w:rsidRPr="00346A48">
        <w:t xml:space="preserve"> average land values </w:t>
      </w:r>
      <w:r w:rsidR="0095644C" w:rsidRPr="00346A48">
        <w:t>than previously forecast</w:t>
      </w:r>
      <w:r w:rsidR="00CF1C06">
        <w:t xml:space="preserve"> as well as the </w:t>
      </w:r>
      <w:r w:rsidR="00895BA2">
        <w:t>new policy decisions described in section 4.2</w:t>
      </w:r>
      <w:r w:rsidR="00ED29EC">
        <w:t xml:space="preserve">, such as the </w:t>
      </w:r>
      <w:r w:rsidR="00E14D9A">
        <w:t>i</w:t>
      </w:r>
      <w:r w:rsidR="00E14D9A" w:rsidRPr="00E14D9A">
        <w:t>ncrease to the foreign investor surcharge land tax</w:t>
      </w:r>
      <w:r w:rsidR="00A040FD" w:rsidRPr="00346A48">
        <w:t>.</w:t>
      </w:r>
      <w:r w:rsidR="0095644C" w:rsidRPr="008F0B8B">
        <w:t xml:space="preserve"> </w:t>
      </w:r>
    </w:p>
    <w:p w14:paraId="24DC00E9" w14:textId="3A4141EE" w:rsidR="00B259F8" w:rsidRPr="007C4B6E" w:rsidRDefault="00B259F8" w:rsidP="005B4B5B">
      <w:pPr>
        <w:pStyle w:val="Heading3"/>
        <w:numPr>
          <w:ilvl w:val="0"/>
          <w:numId w:val="0"/>
        </w:numPr>
        <w:ind w:left="737" w:hanging="737"/>
      </w:pPr>
      <w:bookmarkStart w:id="13" w:name="_Hlk9948191"/>
      <w:r w:rsidRPr="007C4B6E">
        <w:t>Gambling and betting taxes</w:t>
      </w:r>
    </w:p>
    <w:p w14:paraId="1796738A" w14:textId="7AF56532" w:rsidR="00173A09" w:rsidRDefault="007C4B6E" w:rsidP="003426A4">
      <w:pPr>
        <w:pStyle w:val="BodyText"/>
      </w:pPr>
      <w:r w:rsidRPr="00173A09">
        <w:t xml:space="preserve">Gambling tax revenue is expected to be </w:t>
      </w:r>
      <w:r w:rsidRPr="003A01B1">
        <w:t>$2.</w:t>
      </w:r>
      <w:r w:rsidR="003D13A8" w:rsidRPr="003A01B1">
        <w:t>5</w:t>
      </w:r>
      <w:r w:rsidRPr="003A01B1">
        <w:t xml:space="preserve"> billion</w:t>
      </w:r>
      <w:r w:rsidRPr="00173A09">
        <w:t xml:space="preserve"> in 2021-22, a</w:t>
      </w:r>
      <w:r w:rsidR="003D13A8" w:rsidRPr="00173A09">
        <w:t>n upward</w:t>
      </w:r>
      <w:r w:rsidRPr="00173A09">
        <w:t xml:space="preserve"> revision of </w:t>
      </w:r>
      <w:r w:rsidRPr="003A01B1">
        <w:t>$</w:t>
      </w:r>
      <w:r w:rsidR="00D7067F" w:rsidRPr="003A01B1">
        <w:t>51</w:t>
      </w:r>
      <w:r w:rsidRPr="003A01B1">
        <w:t>.</w:t>
      </w:r>
      <w:r w:rsidR="00D7067F" w:rsidRPr="003A01B1">
        <w:t>3</w:t>
      </w:r>
      <w:r w:rsidRPr="003A01B1">
        <w:t xml:space="preserve"> million </w:t>
      </w:r>
      <w:r w:rsidRPr="003A01B1">
        <w:rPr>
          <w:rFonts w:eastAsiaTheme="minorEastAsia"/>
          <w:iCs/>
          <w:szCs w:val="23"/>
        </w:rPr>
        <w:t>(</w:t>
      </w:r>
      <w:r w:rsidR="00D7067F" w:rsidRPr="003A01B1">
        <w:rPr>
          <w:rFonts w:eastAsiaTheme="minorEastAsia"/>
          <w:szCs w:val="23"/>
        </w:rPr>
        <w:t xml:space="preserve">2.1 </w:t>
      </w:r>
      <w:r w:rsidRPr="003A01B1">
        <w:rPr>
          <w:rFonts w:eastAsiaTheme="minorEastAsia"/>
          <w:iCs/>
          <w:szCs w:val="23"/>
        </w:rPr>
        <w:t>per cent)</w:t>
      </w:r>
      <w:r w:rsidRPr="00173A09">
        <w:t xml:space="preserve">. Over the four years to 2025-26, forecast gambling receipts have been revised </w:t>
      </w:r>
      <w:r w:rsidR="00D7067F" w:rsidRPr="00173A09">
        <w:t xml:space="preserve">up </w:t>
      </w:r>
      <w:r w:rsidRPr="00173A09">
        <w:t xml:space="preserve">by </w:t>
      </w:r>
      <w:r w:rsidRPr="003A01B1">
        <w:t>$</w:t>
      </w:r>
      <w:r w:rsidR="00D7067F" w:rsidRPr="003A01B1">
        <w:t>1.1 billion</w:t>
      </w:r>
      <w:r w:rsidRPr="003A01B1">
        <w:t xml:space="preserve"> </w:t>
      </w:r>
      <w:r w:rsidRPr="003A01B1">
        <w:rPr>
          <w:rFonts w:eastAsiaTheme="minorEastAsia"/>
          <w:iCs/>
          <w:szCs w:val="23"/>
        </w:rPr>
        <w:t>(</w:t>
      </w:r>
      <w:r w:rsidR="00275C7C">
        <w:rPr>
          <w:rFonts w:eastAsiaTheme="minorEastAsia"/>
          <w:iCs/>
          <w:szCs w:val="23"/>
        </w:rPr>
        <w:t>8.1</w:t>
      </w:r>
      <w:r w:rsidRPr="004A69B9">
        <w:rPr>
          <w:rFonts w:eastAsiaTheme="minorEastAsia"/>
          <w:iCs/>
          <w:szCs w:val="23"/>
        </w:rPr>
        <w:t xml:space="preserve"> per cent)</w:t>
      </w:r>
      <w:r w:rsidRPr="00173A09">
        <w:t>.</w:t>
      </w:r>
      <w:r w:rsidR="00D7067F" w:rsidRPr="00173A09">
        <w:t xml:space="preserve"> </w:t>
      </w:r>
    </w:p>
    <w:p w14:paraId="3208BC70" w14:textId="0E1933EA" w:rsidR="00D7067F" w:rsidRDefault="00D7067F" w:rsidP="003426A4">
      <w:pPr>
        <w:pStyle w:val="BodyText"/>
      </w:pPr>
      <w:r w:rsidRPr="00173A09">
        <w:t>The main driver of the upgrade is</w:t>
      </w:r>
      <w:r w:rsidR="00173A09">
        <w:t xml:space="preserve"> the decision by the NSW Government to </w:t>
      </w:r>
      <w:r w:rsidRPr="00173A09">
        <w:t>increase the point of consumption (PoC) tax rate and</w:t>
      </w:r>
      <w:r w:rsidR="00173A09">
        <w:t xml:space="preserve"> make subsequent</w:t>
      </w:r>
      <w:r w:rsidRPr="00173A09">
        <w:t xml:space="preserve"> changes to other betting taxes</w:t>
      </w:r>
      <w:r w:rsidR="00173A09">
        <w:t>. These changes are</w:t>
      </w:r>
      <w:r w:rsidRPr="00173A09">
        <w:t xml:space="preserve"> forecast to increase revenue by $740.0 million over this period (see</w:t>
      </w:r>
      <w:r>
        <w:t xml:space="preserve"> section 4.2). </w:t>
      </w:r>
      <w:r w:rsidR="00173A09">
        <w:t>Without this policy change, wagering revenue would have been revised downwards by $204.9</w:t>
      </w:r>
      <w:r w:rsidR="00887164">
        <w:t> </w:t>
      </w:r>
      <w:r w:rsidR="00173A09">
        <w:t>million</w:t>
      </w:r>
      <w:r w:rsidR="00E8186A">
        <w:t>,</w:t>
      </w:r>
      <w:r w:rsidR="007C4B6E" w:rsidRPr="007C4B6E">
        <w:t xml:space="preserve"> due to</w:t>
      </w:r>
      <w:r w:rsidR="00DB4512">
        <w:t xml:space="preserve"> softer</w:t>
      </w:r>
      <w:r w:rsidR="00D33707">
        <w:t>-</w:t>
      </w:r>
      <w:r w:rsidR="00E8186A">
        <w:t>than</w:t>
      </w:r>
      <w:r w:rsidR="00D33707">
        <w:t>-</w:t>
      </w:r>
      <w:r w:rsidR="00E8186A">
        <w:t>expected activity</w:t>
      </w:r>
      <w:r w:rsidR="00E8186A" w:rsidRPr="007C4B6E">
        <w:t xml:space="preserve"> </w:t>
      </w:r>
      <w:r w:rsidR="007C4B6E" w:rsidRPr="007C4B6E">
        <w:t>following the easing of COVID</w:t>
      </w:r>
      <w:r w:rsidR="00C02D7B">
        <w:t>-19</w:t>
      </w:r>
      <w:r w:rsidR="007C4B6E" w:rsidRPr="007C4B6E">
        <w:t xml:space="preserve"> related restrictions.</w:t>
      </w:r>
    </w:p>
    <w:p w14:paraId="5E998611" w14:textId="03AF3D91" w:rsidR="00AA17F6" w:rsidRPr="007C4B6E" w:rsidRDefault="00D7067F" w:rsidP="003426A4">
      <w:pPr>
        <w:pStyle w:val="BodyText"/>
      </w:pPr>
      <w:r>
        <w:t xml:space="preserve">Tax revenue from club and hotel gaming machine </w:t>
      </w:r>
      <w:r w:rsidR="00173A09">
        <w:t xml:space="preserve">activity has been revised </w:t>
      </w:r>
      <w:r w:rsidR="00F34533">
        <w:t>up</w:t>
      </w:r>
      <w:r w:rsidR="00173A09">
        <w:t xml:space="preserve"> by $423.1</w:t>
      </w:r>
      <w:r w:rsidR="009F7793">
        <w:t> </w:t>
      </w:r>
      <w:r w:rsidR="00173A09">
        <w:t xml:space="preserve">million </w:t>
      </w:r>
      <w:r w:rsidR="003D13A8">
        <w:t>over the four years to 2025-26, driven by a recovery in gaming activity in early 2022</w:t>
      </w:r>
      <w:r w:rsidR="00173A09">
        <w:t xml:space="preserve"> and expectations for household disposable income. </w:t>
      </w:r>
    </w:p>
    <w:p w14:paraId="3FC65D29" w14:textId="77777777" w:rsidR="00B259F8" w:rsidRPr="00343FA3" w:rsidRDefault="00B259F8" w:rsidP="000C42A6">
      <w:pPr>
        <w:pStyle w:val="Heading3"/>
        <w:numPr>
          <w:ilvl w:val="0"/>
          <w:numId w:val="0"/>
        </w:numPr>
        <w:rPr>
          <w:rFonts w:eastAsiaTheme="minorHAnsi"/>
        </w:rPr>
      </w:pPr>
      <w:r w:rsidRPr="00343FA3">
        <w:rPr>
          <w:rFonts w:eastAsiaTheme="minorEastAsia"/>
        </w:rPr>
        <w:t xml:space="preserve">Taxes on motor vehicle ownership and operation </w:t>
      </w:r>
    </w:p>
    <w:p w14:paraId="2C78B9F8" w14:textId="5EFFFDF6" w:rsidR="00B259F8" w:rsidRPr="00343FA3" w:rsidRDefault="00B259F8" w:rsidP="003426A4">
      <w:pPr>
        <w:pStyle w:val="BodyText"/>
        <w:rPr>
          <w:i/>
        </w:rPr>
      </w:pPr>
      <w:r w:rsidRPr="00343FA3">
        <w:t xml:space="preserve">Motor vehicle taxes are expected to be </w:t>
      </w:r>
      <w:r w:rsidRPr="00930CDB">
        <w:t>$</w:t>
      </w:r>
      <w:r w:rsidR="002C7716" w:rsidRPr="00930CDB">
        <w:t>2.</w:t>
      </w:r>
      <w:r w:rsidR="00930CDB" w:rsidRPr="00930CDB">
        <w:t>7</w:t>
      </w:r>
      <w:r w:rsidR="004B119B" w:rsidRPr="00930CDB">
        <w:t xml:space="preserve"> </w:t>
      </w:r>
      <w:r w:rsidR="00276ABD" w:rsidRPr="00930CDB">
        <w:t>billion</w:t>
      </w:r>
      <w:r w:rsidRPr="00343FA3">
        <w:t xml:space="preserve"> in </w:t>
      </w:r>
      <w:r w:rsidR="00343FA3" w:rsidRPr="00343FA3">
        <w:t>2022-23</w:t>
      </w:r>
      <w:r w:rsidRPr="00343FA3">
        <w:t xml:space="preserve">, </w:t>
      </w:r>
      <w:r w:rsidRPr="00930CDB">
        <w:t>$</w:t>
      </w:r>
      <w:r w:rsidR="00930CDB" w:rsidRPr="00930CDB">
        <w:t>4</w:t>
      </w:r>
      <w:r w:rsidR="00D33707" w:rsidRPr="00930CDB">
        <w:t>.</w:t>
      </w:r>
      <w:r w:rsidR="00930CDB" w:rsidRPr="00930CDB">
        <w:t>2</w:t>
      </w:r>
      <w:r w:rsidR="0070598E" w:rsidRPr="00930CDB">
        <w:t xml:space="preserve"> m</w:t>
      </w:r>
      <w:r w:rsidRPr="00930CDB">
        <w:t>illion</w:t>
      </w:r>
      <w:r w:rsidR="00D92EFA" w:rsidRPr="00343FA3">
        <w:t xml:space="preserve"> </w:t>
      </w:r>
      <w:r w:rsidR="00D92EFA" w:rsidRPr="00343FA3">
        <w:rPr>
          <w:rFonts w:eastAsiaTheme="minorEastAsia"/>
          <w:iCs/>
          <w:szCs w:val="23"/>
        </w:rPr>
        <w:t>(</w:t>
      </w:r>
      <w:r w:rsidR="00A16149" w:rsidRPr="00930CDB">
        <w:rPr>
          <w:rFonts w:eastAsiaTheme="minorEastAsia"/>
          <w:szCs w:val="23"/>
        </w:rPr>
        <w:t>0.</w:t>
      </w:r>
      <w:r w:rsidR="00930CDB" w:rsidRPr="00930CDB">
        <w:rPr>
          <w:rFonts w:eastAsiaTheme="minorEastAsia"/>
          <w:szCs w:val="23"/>
        </w:rPr>
        <w:t>2</w:t>
      </w:r>
      <w:r w:rsidR="00D92EFA" w:rsidRPr="00930CDB">
        <w:rPr>
          <w:rFonts w:eastAsiaTheme="minorEastAsia"/>
          <w:szCs w:val="23"/>
        </w:rPr>
        <w:t xml:space="preserve"> per cent</w:t>
      </w:r>
      <w:r w:rsidR="00D92EFA" w:rsidRPr="00343FA3">
        <w:rPr>
          <w:rFonts w:eastAsiaTheme="minorEastAsia"/>
          <w:iCs/>
          <w:szCs w:val="23"/>
        </w:rPr>
        <w:t>)</w:t>
      </w:r>
      <w:r w:rsidR="00D92EFA" w:rsidRPr="00343FA3">
        <w:t xml:space="preserve"> </w:t>
      </w:r>
      <w:r w:rsidR="00172C64" w:rsidRPr="00343FA3">
        <w:t>higher</w:t>
      </w:r>
      <w:r w:rsidRPr="00343FA3">
        <w:t xml:space="preserve"> than at the </w:t>
      </w:r>
      <w:r w:rsidR="00343FA3" w:rsidRPr="00343FA3">
        <w:t>2021-22</w:t>
      </w:r>
      <w:r w:rsidRPr="00343FA3">
        <w:t xml:space="preserve"> Half-Yearly Review. Forecast motor vehicle taxes have </w:t>
      </w:r>
      <w:r w:rsidR="00172C64" w:rsidRPr="00343FA3">
        <w:t xml:space="preserve">increased </w:t>
      </w:r>
      <w:r w:rsidRPr="00343FA3">
        <w:t xml:space="preserve">by </w:t>
      </w:r>
      <w:r w:rsidRPr="00930CDB">
        <w:t>$</w:t>
      </w:r>
      <w:r w:rsidR="00930CDB" w:rsidRPr="00930CDB">
        <w:t>373</w:t>
      </w:r>
      <w:r w:rsidR="00D33707" w:rsidRPr="00930CDB">
        <w:t>.</w:t>
      </w:r>
      <w:r w:rsidR="00930CDB" w:rsidRPr="00930CDB">
        <w:t>9</w:t>
      </w:r>
      <w:r w:rsidR="00930CDB">
        <w:t> </w:t>
      </w:r>
      <w:r w:rsidRPr="00930CDB">
        <w:t>million</w:t>
      </w:r>
      <w:r w:rsidRPr="00343FA3">
        <w:t xml:space="preserve"> </w:t>
      </w:r>
      <w:r w:rsidR="00D92EFA" w:rsidRPr="00343FA3">
        <w:rPr>
          <w:rFonts w:eastAsiaTheme="minorEastAsia"/>
          <w:iCs/>
          <w:szCs w:val="23"/>
        </w:rPr>
        <w:t>(</w:t>
      </w:r>
      <w:r w:rsidR="00B84BE1">
        <w:rPr>
          <w:rFonts w:eastAsiaTheme="minorEastAsia"/>
          <w:szCs w:val="23"/>
        </w:rPr>
        <w:t>3.</w:t>
      </w:r>
      <w:r w:rsidR="000930AD">
        <w:rPr>
          <w:rFonts w:eastAsiaTheme="minorEastAsia"/>
          <w:szCs w:val="23"/>
        </w:rPr>
        <w:t>3</w:t>
      </w:r>
      <w:r w:rsidR="004B119B" w:rsidRPr="00930CDB">
        <w:rPr>
          <w:rFonts w:eastAsiaTheme="minorEastAsia"/>
          <w:szCs w:val="23"/>
        </w:rPr>
        <w:t xml:space="preserve"> </w:t>
      </w:r>
      <w:r w:rsidR="00D92EFA" w:rsidRPr="00930CDB">
        <w:rPr>
          <w:rFonts w:eastAsiaTheme="minorEastAsia"/>
          <w:szCs w:val="23"/>
        </w:rPr>
        <w:t>per cent</w:t>
      </w:r>
      <w:r w:rsidR="00D92EFA" w:rsidRPr="00343FA3">
        <w:rPr>
          <w:rFonts w:eastAsiaTheme="minorEastAsia"/>
          <w:iCs/>
          <w:szCs w:val="23"/>
        </w:rPr>
        <w:t>)</w:t>
      </w:r>
      <w:r w:rsidR="00D92EFA" w:rsidRPr="00343FA3">
        <w:t xml:space="preserve"> o</w:t>
      </w:r>
      <w:r w:rsidRPr="00343FA3">
        <w:t xml:space="preserve">ver the </w:t>
      </w:r>
      <w:r w:rsidR="00FF61A6" w:rsidRPr="00343FA3">
        <w:t>four</w:t>
      </w:r>
      <w:r w:rsidRPr="00343FA3">
        <w:t xml:space="preserve"> years to </w:t>
      </w:r>
      <w:r w:rsidR="00343FA3" w:rsidRPr="00343FA3">
        <w:t>2025-26</w:t>
      </w:r>
      <w:r w:rsidRPr="00343FA3">
        <w:t xml:space="preserve">, </w:t>
      </w:r>
      <w:r w:rsidR="00D108B8">
        <w:t>driven by two factors</w:t>
      </w:r>
      <w:r w:rsidR="00A85936">
        <w:t>.</w:t>
      </w:r>
      <w:r w:rsidR="00607308" w:rsidRPr="00607308">
        <w:t xml:space="preserve"> </w:t>
      </w:r>
      <w:r w:rsidR="00607308">
        <w:t>Firstly</w:t>
      </w:r>
      <w:r w:rsidR="00361E37">
        <w:t xml:space="preserve">, as noted in section 4.2, </w:t>
      </w:r>
      <w:r w:rsidR="0018537F">
        <w:t xml:space="preserve">revenue will increase due to the phasing out </w:t>
      </w:r>
      <w:r w:rsidR="004F160C">
        <w:t>of</w:t>
      </w:r>
      <w:r w:rsidR="00361E37" w:rsidRPr="00361E37">
        <w:t xml:space="preserve"> the Registration Relief Scheme</w:t>
      </w:r>
      <w:r w:rsidR="004F160C">
        <w:t xml:space="preserve"> </w:t>
      </w:r>
      <w:r w:rsidR="00D157D9">
        <w:t>(</w:t>
      </w:r>
      <w:r w:rsidR="00F92824">
        <w:t>though this</w:t>
      </w:r>
      <w:r w:rsidR="004F160C">
        <w:t xml:space="preserve"> </w:t>
      </w:r>
      <w:r w:rsidR="00361E37" w:rsidRPr="00361E37">
        <w:t>will be more than offset by the cost of the new Toll Rebate Scheme</w:t>
      </w:r>
      <w:r w:rsidR="00D157D9">
        <w:t>)</w:t>
      </w:r>
      <w:r w:rsidR="00361E37" w:rsidRPr="00361E37">
        <w:t>.</w:t>
      </w:r>
      <w:r w:rsidR="00607308" w:rsidRPr="00607308">
        <w:t xml:space="preserve"> </w:t>
      </w:r>
      <w:r w:rsidR="00607308">
        <w:t>Secondly, inflation forecasts are higher.</w:t>
      </w:r>
    </w:p>
    <w:p w14:paraId="0290FD8E" w14:textId="77777777" w:rsidR="00F34363" w:rsidRPr="00D02939" w:rsidRDefault="00F34363" w:rsidP="000C42A6">
      <w:pPr>
        <w:pStyle w:val="Heading3"/>
        <w:numPr>
          <w:ilvl w:val="0"/>
          <w:numId w:val="0"/>
        </w:numPr>
        <w:ind w:left="737" w:hanging="737"/>
      </w:pPr>
      <w:r w:rsidRPr="00D02939">
        <w:t>Other stamp duties</w:t>
      </w:r>
    </w:p>
    <w:p w14:paraId="0F5BDD79" w14:textId="3A112981" w:rsidR="00F34363" w:rsidRPr="00D02939" w:rsidRDefault="00CB159C" w:rsidP="003426A4">
      <w:pPr>
        <w:pStyle w:val="BodyText"/>
        <w:rPr>
          <w:i/>
        </w:rPr>
      </w:pPr>
      <w:r w:rsidRPr="00D02939">
        <w:t>This category</w:t>
      </w:r>
      <w:r w:rsidR="00F34363" w:rsidRPr="00D02939">
        <w:t xml:space="preserve"> </w:t>
      </w:r>
      <w:r w:rsidR="00014411" w:rsidRPr="00D02939">
        <w:t>incorporates</w:t>
      </w:r>
      <w:r w:rsidR="00F34363" w:rsidRPr="00D02939">
        <w:t xml:space="preserve"> insurance duty and motor vehicle registration duty. Revenue </w:t>
      </w:r>
      <w:r w:rsidR="005578A4" w:rsidRPr="00D02939">
        <w:t>is forecast</w:t>
      </w:r>
      <w:r w:rsidR="00F34363" w:rsidRPr="00D02939">
        <w:t xml:space="preserve"> to </w:t>
      </w:r>
      <w:r w:rsidR="005578A4" w:rsidRPr="00D02939">
        <w:t xml:space="preserve">reach </w:t>
      </w:r>
      <w:r w:rsidR="00EE0780" w:rsidRPr="00E31A22">
        <w:t>$</w:t>
      </w:r>
      <w:r w:rsidR="00B036D5" w:rsidRPr="00E31A22">
        <w:t>2.3</w:t>
      </w:r>
      <w:r w:rsidR="00F34363" w:rsidRPr="00E31A22">
        <w:t xml:space="preserve"> billion</w:t>
      </w:r>
      <w:r w:rsidR="00F34363" w:rsidRPr="00D02939">
        <w:t xml:space="preserve"> in 20</w:t>
      </w:r>
      <w:r w:rsidR="00EF41E5" w:rsidRPr="00D02939">
        <w:t>2</w:t>
      </w:r>
      <w:r w:rsidR="00D02939">
        <w:t>2</w:t>
      </w:r>
      <w:r w:rsidR="00EF41E5" w:rsidRPr="00D02939">
        <w:t>-2</w:t>
      </w:r>
      <w:r w:rsidR="00D02939">
        <w:t>3</w:t>
      </w:r>
      <w:r w:rsidR="00F34363" w:rsidRPr="00D02939">
        <w:t xml:space="preserve"> </w:t>
      </w:r>
      <w:r w:rsidR="00CE1ADC" w:rsidRPr="00D02939">
        <w:t xml:space="preserve">and has been revised </w:t>
      </w:r>
      <w:r w:rsidR="00D02939">
        <w:t>up</w:t>
      </w:r>
      <w:r w:rsidR="00CE1ADC" w:rsidRPr="00D02939">
        <w:t>ward</w:t>
      </w:r>
      <w:r w:rsidR="00105483" w:rsidRPr="00D02939">
        <w:t>s</w:t>
      </w:r>
      <w:r w:rsidR="00CE1ADC" w:rsidRPr="00D02939">
        <w:t xml:space="preserve"> by</w:t>
      </w:r>
      <w:r w:rsidR="006212E1" w:rsidRPr="00D02939">
        <w:t xml:space="preserve"> </w:t>
      </w:r>
      <w:r w:rsidR="00F34363" w:rsidRPr="00E31A22">
        <w:t>$</w:t>
      </w:r>
      <w:r w:rsidR="00173A09" w:rsidRPr="00E31A22">
        <w:t>451.2</w:t>
      </w:r>
      <w:r w:rsidR="00F34363" w:rsidRPr="00E31A22">
        <w:t xml:space="preserve"> million</w:t>
      </w:r>
      <w:r w:rsidR="00D92EFA" w:rsidRPr="00D02939">
        <w:t xml:space="preserve"> </w:t>
      </w:r>
      <w:r w:rsidR="00D92EFA" w:rsidRPr="00D02939">
        <w:rPr>
          <w:rFonts w:eastAsiaTheme="minorEastAsia"/>
          <w:iCs/>
          <w:szCs w:val="23"/>
        </w:rPr>
        <w:t>(</w:t>
      </w:r>
      <w:r w:rsidR="00173A09" w:rsidRPr="00E31A22">
        <w:rPr>
          <w:rFonts w:eastAsiaTheme="minorEastAsia"/>
          <w:szCs w:val="23"/>
        </w:rPr>
        <w:t>4.</w:t>
      </w:r>
      <w:r w:rsidR="009B298C">
        <w:rPr>
          <w:rFonts w:eastAsiaTheme="minorEastAsia"/>
          <w:szCs w:val="23"/>
        </w:rPr>
        <w:t>8</w:t>
      </w:r>
      <w:r w:rsidR="009B298C" w:rsidRPr="00E31A22">
        <w:rPr>
          <w:rFonts w:eastAsiaTheme="minorEastAsia"/>
          <w:szCs w:val="23"/>
        </w:rPr>
        <w:t> </w:t>
      </w:r>
      <w:r w:rsidR="00D92EFA" w:rsidRPr="00E31A22">
        <w:rPr>
          <w:rFonts w:eastAsiaTheme="minorEastAsia"/>
          <w:szCs w:val="23"/>
        </w:rPr>
        <w:t>per cent</w:t>
      </w:r>
      <w:r w:rsidR="00D92EFA" w:rsidRPr="00D02939">
        <w:rPr>
          <w:rFonts w:eastAsiaTheme="minorEastAsia"/>
          <w:iCs/>
          <w:szCs w:val="23"/>
        </w:rPr>
        <w:t>)</w:t>
      </w:r>
      <w:r w:rsidR="00D92EFA" w:rsidRPr="00D02939">
        <w:t xml:space="preserve"> </w:t>
      </w:r>
      <w:r w:rsidR="00CE1ADC" w:rsidRPr="00D02939">
        <w:t>over the four years to 202</w:t>
      </w:r>
      <w:r w:rsidR="00D02939">
        <w:t>5</w:t>
      </w:r>
      <w:r w:rsidR="00CE1ADC" w:rsidRPr="00D02939">
        <w:t>-2</w:t>
      </w:r>
      <w:r w:rsidR="00D02939">
        <w:t>6</w:t>
      </w:r>
      <w:r w:rsidR="00F34363" w:rsidRPr="00D02939">
        <w:t xml:space="preserve">. </w:t>
      </w:r>
    </w:p>
    <w:p w14:paraId="06CD0C65" w14:textId="337FF4CD" w:rsidR="00F043FD" w:rsidRPr="00F043FD" w:rsidRDefault="00FC0941" w:rsidP="003426A4">
      <w:pPr>
        <w:pStyle w:val="BodyText"/>
      </w:pPr>
      <w:r w:rsidRPr="00F043FD">
        <w:t xml:space="preserve">Motor vehicle registration duty has been revised </w:t>
      </w:r>
      <w:r w:rsidR="00F043FD" w:rsidRPr="00F043FD">
        <w:t>upwards</w:t>
      </w:r>
      <w:r w:rsidRPr="00F043FD">
        <w:t xml:space="preserve"> by </w:t>
      </w:r>
      <w:r w:rsidRPr="00E31A22">
        <w:t>$</w:t>
      </w:r>
      <w:r w:rsidR="00E31A22" w:rsidRPr="00E31A22">
        <w:t>234</w:t>
      </w:r>
      <w:r w:rsidR="00D33707" w:rsidRPr="00E31A22">
        <w:t xml:space="preserve">.0 </w:t>
      </w:r>
      <w:r w:rsidRPr="00E31A22">
        <w:t>million</w:t>
      </w:r>
      <w:r w:rsidRPr="00F043FD">
        <w:t xml:space="preserve"> </w:t>
      </w:r>
      <w:r w:rsidRPr="00F043FD">
        <w:rPr>
          <w:rFonts w:eastAsiaTheme="minorEastAsia"/>
          <w:iCs/>
          <w:szCs w:val="23"/>
        </w:rPr>
        <w:t>(</w:t>
      </w:r>
      <w:r w:rsidR="00E31A22" w:rsidRPr="00E31A22">
        <w:rPr>
          <w:rFonts w:eastAsiaTheme="minorEastAsia"/>
          <w:szCs w:val="23"/>
        </w:rPr>
        <w:t>6</w:t>
      </w:r>
      <w:r w:rsidR="00855483" w:rsidRPr="00E31A22">
        <w:rPr>
          <w:rFonts w:eastAsiaTheme="minorEastAsia"/>
          <w:szCs w:val="23"/>
        </w:rPr>
        <w:t>.</w:t>
      </w:r>
      <w:r w:rsidR="00006BFE">
        <w:rPr>
          <w:rFonts w:eastAsiaTheme="minorEastAsia"/>
          <w:szCs w:val="23"/>
        </w:rPr>
        <w:t>6</w:t>
      </w:r>
      <w:r w:rsidRPr="00E31A22">
        <w:rPr>
          <w:rFonts w:eastAsiaTheme="minorEastAsia"/>
          <w:szCs w:val="23"/>
        </w:rPr>
        <w:t xml:space="preserve"> per cent</w:t>
      </w:r>
      <w:r w:rsidRPr="00F043FD">
        <w:rPr>
          <w:rFonts w:eastAsiaTheme="minorEastAsia"/>
          <w:iCs/>
          <w:szCs w:val="23"/>
        </w:rPr>
        <w:t>)</w:t>
      </w:r>
      <w:r w:rsidRPr="00F043FD">
        <w:t xml:space="preserve"> over the four years to </w:t>
      </w:r>
      <w:r w:rsidR="00F043FD" w:rsidRPr="00F043FD">
        <w:t xml:space="preserve">2025-26 </w:t>
      </w:r>
      <w:r w:rsidRPr="00F043FD">
        <w:t xml:space="preserve">due to </w:t>
      </w:r>
      <w:r w:rsidR="00F043FD" w:rsidRPr="00F043FD">
        <w:t>stronger</w:t>
      </w:r>
      <w:r w:rsidR="003F2084">
        <w:t xml:space="preserve"> </w:t>
      </w:r>
      <w:r w:rsidR="00F043FD" w:rsidRPr="00F043FD">
        <w:t>than</w:t>
      </w:r>
      <w:r w:rsidR="003F2084">
        <w:t xml:space="preserve"> </w:t>
      </w:r>
      <w:r w:rsidR="00F043FD" w:rsidRPr="00F043FD">
        <w:t xml:space="preserve">expected vehicle prices. </w:t>
      </w:r>
    </w:p>
    <w:p w14:paraId="524C16DE" w14:textId="44746359" w:rsidR="00F34363" w:rsidRPr="009054A1" w:rsidRDefault="0002221B" w:rsidP="003426A4">
      <w:pPr>
        <w:pStyle w:val="BodyText"/>
        <w:rPr>
          <w:i/>
        </w:rPr>
      </w:pPr>
      <w:r w:rsidRPr="009054A1">
        <w:t>In</w:t>
      </w:r>
      <w:r w:rsidR="00B1736C" w:rsidRPr="009054A1">
        <w:t>surance</w:t>
      </w:r>
      <w:r w:rsidR="00984975" w:rsidRPr="009054A1">
        <w:t xml:space="preserve"> </w:t>
      </w:r>
      <w:r w:rsidR="007A0A7B" w:rsidRPr="009054A1">
        <w:t>duty revenue</w:t>
      </w:r>
      <w:r w:rsidRPr="009054A1">
        <w:t xml:space="preserve"> has </w:t>
      </w:r>
      <w:r w:rsidR="00DB4512" w:rsidRPr="009054A1">
        <w:t>been revised upward</w:t>
      </w:r>
      <w:r w:rsidR="006640B8">
        <w:t>s</w:t>
      </w:r>
      <w:r w:rsidR="00DB4512" w:rsidRPr="009054A1">
        <w:t xml:space="preserve"> by</w:t>
      </w:r>
      <w:r w:rsidR="00CE6870" w:rsidRPr="009054A1">
        <w:t xml:space="preserve"> </w:t>
      </w:r>
      <w:r w:rsidR="00CE6870" w:rsidRPr="00E31A22">
        <w:t>$</w:t>
      </w:r>
      <w:r w:rsidR="00173A09" w:rsidRPr="00E31A22">
        <w:t>217</w:t>
      </w:r>
      <w:r w:rsidR="00855483" w:rsidRPr="00E31A22">
        <w:t>.</w:t>
      </w:r>
      <w:r w:rsidR="00E31A22" w:rsidRPr="00E31A22">
        <w:t>2</w:t>
      </w:r>
      <w:r w:rsidR="00F34363" w:rsidRPr="00E31A22">
        <w:t xml:space="preserve"> million</w:t>
      </w:r>
      <w:r w:rsidR="00D92EFA" w:rsidRPr="009054A1">
        <w:t xml:space="preserve"> </w:t>
      </w:r>
      <w:r w:rsidR="00D92EFA" w:rsidRPr="009054A1">
        <w:rPr>
          <w:rFonts w:eastAsiaTheme="minorEastAsia"/>
          <w:iCs/>
          <w:szCs w:val="23"/>
        </w:rPr>
        <w:t>(</w:t>
      </w:r>
      <w:r w:rsidR="00855483" w:rsidRPr="00E31A22">
        <w:rPr>
          <w:rFonts w:eastAsiaTheme="minorEastAsia"/>
          <w:szCs w:val="23"/>
        </w:rPr>
        <w:t>3.</w:t>
      </w:r>
      <w:r w:rsidR="000D1D7A">
        <w:rPr>
          <w:rFonts w:eastAsiaTheme="minorEastAsia"/>
          <w:szCs w:val="23"/>
        </w:rPr>
        <w:t>8</w:t>
      </w:r>
      <w:r w:rsidR="000D1D7A" w:rsidRPr="00E31A22">
        <w:rPr>
          <w:rFonts w:eastAsiaTheme="minorEastAsia"/>
          <w:szCs w:val="23"/>
        </w:rPr>
        <w:t xml:space="preserve"> </w:t>
      </w:r>
      <w:r w:rsidR="00D92EFA" w:rsidRPr="00E31A22">
        <w:rPr>
          <w:rFonts w:eastAsiaTheme="minorEastAsia"/>
          <w:szCs w:val="23"/>
        </w:rPr>
        <w:t>per cent</w:t>
      </w:r>
      <w:r w:rsidR="00D92EFA" w:rsidRPr="009054A1">
        <w:rPr>
          <w:rFonts w:eastAsiaTheme="minorEastAsia"/>
          <w:iCs/>
          <w:szCs w:val="23"/>
        </w:rPr>
        <w:t>)</w:t>
      </w:r>
      <w:r w:rsidR="00D92EFA" w:rsidRPr="009054A1">
        <w:t xml:space="preserve"> </w:t>
      </w:r>
      <w:r w:rsidR="00D015E2" w:rsidRPr="009054A1">
        <w:t>over the four</w:t>
      </w:r>
      <w:r w:rsidR="00F34363" w:rsidRPr="009054A1">
        <w:t xml:space="preserve"> years to 202</w:t>
      </w:r>
      <w:r w:rsidR="000E11A2">
        <w:t>5</w:t>
      </w:r>
      <w:r w:rsidR="00E81B61" w:rsidRPr="009054A1">
        <w:noBreakHyphen/>
      </w:r>
      <w:r w:rsidR="00FC4EB2" w:rsidRPr="009054A1">
        <w:t>2</w:t>
      </w:r>
      <w:r w:rsidR="000E11A2">
        <w:t>6</w:t>
      </w:r>
      <w:r w:rsidR="00DB4512" w:rsidRPr="009054A1">
        <w:t xml:space="preserve"> </w:t>
      </w:r>
      <w:r w:rsidR="00DB4512" w:rsidRPr="00DB4512">
        <w:t xml:space="preserve">due to </w:t>
      </w:r>
      <w:r w:rsidR="00173A09">
        <w:t>higher</w:t>
      </w:r>
      <w:r w:rsidR="003F2084">
        <w:t xml:space="preserve"> </w:t>
      </w:r>
      <w:r w:rsidR="00DB4512" w:rsidRPr="00DB4512">
        <w:t>than</w:t>
      </w:r>
      <w:r w:rsidR="003F2084">
        <w:t xml:space="preserve"> </w:t>
      </w:r>
      <w:r w:rsidR="00DB4512" w:rsidRPr="00DB4512">
        <w:t xml:space="preserve">expected </w:t>
      </w:r>
      <w:r w:rsidR="00173A09">
        <w:t>collections</w:t>
      </w:r>
      <w:r w:rsidR="00DB4512" w:rsidRPr="00DB4512">
        <w:t xml:space="preserve"> in recent months and the expectation </w:t>
      </w:r>
      <w:r w:rsidR="00DB4512" w:rsidRPr="005D19EF">
        <w:t xml:space="preserve">that </w:t>
      </w:r>
      <w:r w:rsidR="0089500C">
        <w:t>insurance premiums are likely to increase</w:t>
      </w:r>
      <w:r w:rsidR="00F34363" w:rsidRPr="009054A1">
        <w:t>.</w:t>
      </w:r>
    </w:p>
    <w:bookmarkEnd w:id="13"/>
    <w:p w14:paraId="2CED27FE" w14:textId="77777777" w:rsidR="00ED6A17" w:rsidRDefault="00ED6A17">
      <w:pPr>
        <w:spacing w:after="200" w:line="276" w:lineRule="auto"/>
        <w:rPr>
          <w:rFonts w:ascii="Arial Bold" w:hAnsi="Arial Bold"/>
          <w:b/>
          <w:kern w:val="28"/>
          <w:sz w:val="26"/>
          <w:szCs w:val="36"/>
        </w:rPr>
      </w:pPr>
      <w:r>
        <w:br w:type="page"/>
      </w:r>
    </w:p>
    <w:p w14:paraId="718B8119" w14:textId="10126659" w:rsidR="00B259F8" w:rsidRPr="00DB4512" w:rsidRDefault="00B259F8" w:rsidP="000C42A6">
      <w:pPr>
        <w:pStyle w:val="Heading3"/>
        <w:numPr>
          <w:ilvl w:val="0"/>
          <w:numId w:val="0"/>
        </w:numPr>
        <w:ind w:left="737" w:hanging="737"/>
      </w:pPr>
      <w:r w:rsidRPr="00DB4512">
        <w:t>Other taxes and levies</w:t>
      </w:r>
    </w:p>
    <w:p w14:paraId="35B24C4A" w14:textId="78971A71" w:rsidR="00B259F8" w:rsidRPr="00DB4512" w:rsidRDefault="00B259F8" w:rsidP="003426A4">
      <w:pPr>
        <w:pStyle w:val="BodyText"/>
        <w:rPr>
          <w:i/>
        </w:rPr>
      </w:pPr>
      <w:r w:rsidRPr="00DB4512">
        <w:t xml:space="preserve">Other taxes and levies are expected to provide </w:t>
      </w:r>
      <w:r w:rsidRPr="00E31A22">
        <w:t>$</w:t>
      </w:r>
      <w:r w:rsidR="00A0441F" w:rsidRPr="00E31A22">
        <w:t>3.</w:t>
      </w:r>
      <w:r w:rsidR="00173A09" w:rsidRPr="00E31A22">
        <w:t>9</w:t>
      </w:r>
      <w:r w:rsidRPr="00E31A22">
        <w:t xml:space="preserve"> billion</w:t>
      </w:r>
      <w:r w:rsidRPr="00DB4512">
        <w:t xml:space="preserve"> in 20</w:t>
      </w:r>
      <w:r w:rsidR="00D33651" w:rsidRPr="00DB4512">
        <w:t>2</w:t>
      </w:r>
      <w:r w:rsidR="00DB4512" w:rsidRPr="00DB4512">
        <w:t>2</w:t>
      </w:r>
      <w:r w:rsidR="00D33651" w:rsidRPr="00DB4512">
        <w:t>-2</w:t>
      </w:r>
      <w:r w:rsidR="00DB4512" w:rsidRPr="00DB4512">
        <w:t>3</w:t>
      </w:r>
      <w:r w:rsidRPr="00DB4512">
        <w:t xml:space="preserve">, growing at an average annual rate of </w:t>
      </w:r>
      <w:r w:rsidR="00173A09" w:rsidRPr="00E31A22">
        <w:t>4.0</w:t>
      </w:r>
      <w:r w:rsidR="009936EE" w:rsidRPr="00E31A22">
        <w:t xml:space="preserve"> </w:t>
      </w:r>
      <w:r w:rsidRPr="00E31A22">
        <w:t>per cent</w:t>
      </w:r>
      <w:r w:rsidRPr="00DB4512">
        <w:t xml:space="preserve"> in the </w:t>
      </w:r>
      <w:r w:rsidR="00D33651" w:rsidRPr="00DB4512">
        <w:t>four</w:t>
      </w:r>
      <w:r w:rsidRPr="00DB4512">
        <w:t xml:space="preserve"> years to 202</w:t>
      </w:r>
      <w:r w:rsidR="00DB4512" w:rsidRPr="00DB4512">
        <w:t>5</w:t>
      </w:r>
      <w:r w:rsidR="00783A89">
        <w:t>-</w:t>
      </w:r>
      <w:r w:rsidR="00DB4512" w:rsidRPr="00DB4512">
        <w:t>26</w:t>
      </w:r>
      <w:r w:rsidRPr="00DB4512">
        <w:t xml:space="preserve">. </w:t>
      </w:r>
    </w:p>
    <w:p w14:paraId="4448B04A" w14:textId="7DB56BEC" w:rsidR="007646D2" w:rsidRPr="009F08C2" w:rsidRDefault="007646D2" w:rsidP="003426A4">
      <w:pPr>
        <w:pStyle w:val="BodyText"/>
      </w:pPr>
      <w:bookmarkStart w:id="14" w:name="_Hlk105578044"/>
      <w:r w:rsidRPr="009F08C2">
        <w:t>Revenue from the Emergency Services Levy (ESL), including insurer and council contributions, is forecast to be $1.4 billion in 2022-23 and $5.5 billion over the four years to 2025-26. This is $519.7 million (10.3 per cent) higher over the four years to 2025-26 compared to the 2021-22 Half-Yearly Review. This upgrade reflects increased expenditure on emergency services</w:t>
      </w:r>
      <w:r w:rsidR="00655F5F">
        <w:t>,</w:t>
      </w:r>
      <w:r w:rsidRPr="009F08C2">
        <w:t xml:space="preserve"> </w:t>
      </w:r>
      <w:r w:rsidR="009F08C2" w:rsidRPr="009F08C2">
        <w:t xml:space="preserve">largely </w:t>
      </w:r>
      <w:r w:rsidRPr="009F08C2">
        <w:t xml:space="preserve">associated with </w:t>
      </w:r>
      <w:r w:rsidR="009F08C2" w:rsidRPr="009F08C2">
        <w:t xml:space="preserve">new and continued measures to implement recommendations from the </w:t>
      </w:r>
      <w:r w:rsidR="00632E78">
        <w:t xml:space="preserve">2020 </w:t>
      </w:r>
      <w:r w:rsidR="009F08C2" w:rsidRPr="009F08C2">
        <w:t xml:space="preserve">NSW Bushfire Inquiry and measures in response to the </w:t>
      </w:r>
      <w:r w:rsidR="00632E78">
        <w:t>2021 and 2022</w:t>
      </w:r>
      <w:r w:rsidR="009F08C2" w:rsidRPr="009F08C2">
        <w:t xml:space="preserve"> flooding events. </w:t>
      </w:r>
    </w:p>
    <w:bookmarkEnd w:id="14"/>
    <w:p w14:paraId="3919F244" w14:textId="1D26E8DA" w:rsidR="00F16F42" w:rsidRPr="00DB4512" w:rsidRDefault="00B259F8" w:rsidP="003426A4">
      <w:pPr>
        <w:pStyle w:val="BodyText"/>
        <w:rPr>
          <w:i/>
        </w:rPr>
      </w:pPr>
      <w:r w:rsidRPr="00DB4512">
        <w:t>Revenue from</w:t>
      </w:r>
      <w:r w:rsidR="00DB4512" w:rsidRPr="00DB4512">
        <w:t xml:space="preserve"> </w:t>
      </w:r>
      <w:r w:rsidR="00A91042">
        <w:t xml:space="preserve">the </w:t>
      </w:r>
      <w:r w:rsidR="00DB4512" w:rsidRPr="00DB4512">
        <w:t xml:space="preserve">Health Insurance Levy is </w:t>
      </w:r>
      <w:r w:rsidR="009F08C2" w:rsidRPr="009F08C2">
        <w:t>also</w:t>
      </w:r>
      <w:r w:rsidR="00DB4512" w:rsidRPr="009F08C2">
        <w:t xml:space="preserve"> </w:t>
      </w:r>
      <w:r w:rsidR="00DB4512" w:rsidRPr="00DB4512">
        <w:t xml:space="preserve">forecast to be </w:t>
      </w:r>
      <w:r w:rsidR="00DB4512" w:rsidRPr="003A01B1">
        <w:t>$</w:t>
      </w:r>
      <w:r w:rsidR="00173A09" w:rsidRPr="003A01B1">
        <w:t>80.5</w:t>
      </w:r>
      <w:r w:rsidR="00DB4512" w:rsidRPr="003A01B1">
        <w:t xml:space="preserve"> million</w:t>
      </w:r>
      <w:r w:rsidR="00DB4512" w:rsidRPr="00DB4512">
        <w:t xml:space="preserve"> </w:t>
      </w:r>
      <w:r w:rsidR="0014458E">
        <w:t>higher</w:t>
      </w:r>
      <w:r w:rsidR="00DB4512" w:rsidRPr="00DB4512">
        <w:t xml:space="preserve"> </w:t>
      </w:r>
      <w:r w:rsidR="003B609B" w:rsidRPr="009F08C2">
        <w:t xml:space="preserve">over the four years to 2025-26 </w:t>
      </w:r>
      <w:r w:rsidR="00DB4512" w:rsidRPr="00DB4512">
        <w:t>than expected at the 2021-22 Half-</w:t>
      </w:r>
      <w:r w:rsidR="00DA3307">
        <w:t>Y</w:t>
      </w:r>
      <w:r w:rsidR="00DB4512" w:rsidRPr="00DB4512">
        <w:t xml:space="preserve">early </w:t>
      </w:r>
      <w:r w:rsidR="00DA3307">
        <w:t>R</w:t>
      </w:r>
      <w:r w:rsidR="00DB4512" w:rsidRPr="00DB4512">
        <w:t>eview</w:t>
      </w:r>
      <w:r w:rsidR="00655F5F">
        <w:t>,</w:t>
      </w:r>
      <w:r w:rsidR="00DB4512" w:rsidRPr="00DB4512">
        <w:t xml:space="preserve"> reflecting a sustained increase in </w:t>
      </w:r>
      <w:r w:rsidR="00697A7D">
        <w:t>h</w:t>
      </w:r>
      <w:r w:rsidR="00DB4512" w:rsidRPr="00DB4512">
        <w:t xml:space="preserve">ealth </w:t>
      </w:r>
      <w:r w:rsidR="00697A7D">
        <w:t>i</w:t>
      </w:r>
      <w:r w:rsidR="00DB4512" w:rsidRPr="00DB4512">
        <w:t xml:space="preserve">nsurance </w:t>
      </w:r>
      <w:r w:rsidR="00233E7E">
        <w:t>m</w:t>
      </w:r>
      <w:r w:rsidR="00DB4512" w:rsidRPr="00DB4512">
        <w:t>embership since mid</w:t>
      </w:r>
      <w:r w:rsidR="00A771E8">
        <w:t>-</w:t>
      </w:r>
      <w:r w:rsidR="00DB4512" w:rsidRPr="00DB4512">
        <w:t>2020 as well as higher inflation expectations.</w:t>
      </w:r>
      <w:r w:rsidRPr="00DB4512">
        <w:t xml:space="preserve"> </w:t>
      </w:r>
    </w:p>
    <w:bookmarkEnd w:id="9"/>
    <w:p w14:paraId="37E05899" w14:textId="4C27E10F" w:rsidR="00A6669E" w:rsidRPr="009054A1" w:rsidRDefault="00A82C68" w:rsidP="003F2445">
      <w:pPr>
        <w:pStyle w:val="41Heading2"/>
      </w:pPr>
      <w:r w:rsidRPr="009054A1">
        <w:t xml:space="preserve">Grant </w:t>
      </w:r>
      <w:r w:rsidR="00E34DF2" w:rsidRPr="009054A1">
        <w:t>r</w:t>
      </w:r>
      <w:r w:rsidRPr="009054A1">
        <w:t>evenue</w:t>
      </w:r>
    </w:p>
    <w:p w14:paraId="50B0D19D" w14:textId="76832732" w:rsidR="0014720C" w:rsidRPr="009054A1" w:rsidRDefault="00814E6B" w:rsidP="003426A4">
      <w:pPr>
        <w:pStyle w:val="BodyText"/>
        <w:rPr>
          <w:i/>
        </w:rPr>
      </w:pPr>
      <w:r w:rsidRPr="009054A1">
        <w:t>Most</w:t>
      </w:r>
      <w:r w:rsidR="0055456B" w:rsidRPr="009054A1">
        <w:t xml:space="preserve"> of </w:t>
      </w:r>
      <w:r w:rsidR="000171D2" w:rsidRPr="009054A1">
        <w:t xml:space="preserve">the State’s </w:t>
      </w:r>
      <w:r w:rsidR="0055456B" w:rsidRPr="009054A1">
        <w:t>grant revenue is from the Commonwealth</w:t>
      </w:r>
      <w:r w:rsidRPr="009054A1">
        <w:t>,</w:t>
      </w:r>
      <w:r w:rsidR="00AB0A73" w:rsidRPr="009054A1">
        <w:t xml:space="preserve"> primarily </w:t>
      </w:r>
      <w:r w:rsidR="0073476C" w:rsidRPr="009054A1">
        <w:t>consis</w:t>
      </w:r>
      <w:r w:rsidRPr="009054A1">
        <w:t>ting</w:t>
      </w:r>
      <w:r w:rsidR="0073476C" w:rsidRPr="009054A1">
        <w:t xml:space="preserve"> </w:t>
      </w:r>
      <w:r w:rsidR="00AB0A73" w:rsidRPr="009054A1">
        <w:t>of</w:t>
      </w:r>
      <w:r w:rsidR="0014720C" w:rsidRPr="009054A1">
        <w:t>:</w:t>
      </w:r>
    </w:p>
    <w:p w14:paraId="0CB1C5CF" w14:textId="77777777" w:rsidR="0014720C" w:rsidRPr="009054A1" w:rsidRDefault="00AB0A73" w:rsidP="001321A1">
      <w:pPr>
        <w:pStyle w:val="Bullet1"/>
        <w:numPr>
          <w:ilvl w:val="0"/>
          <w:numId w:val="9"/>
        </w:numPr>
      </w:pPr>
      <w:r w:rsidRPr="009054A1">
        <w:t xml:space="preserve">general purpose grants (including GST) </w:t>
      </w:r>
    </w:p>
    <w:p w14:paraId="0184DE05" w14:textId="4CD52680" w:rsidR="0068673B" w:rsidRPr="009054A1" w:rsidRDefault="00AB0A73" w:rsidP="001321A1">
      <w:pPr>
        <w:pStyle w:val="Bullet1"/>
        <w:numPr>
          <w:ilvl w:val="0"/>
          <w:numId w:val="9"/>
        </w:numPr>
      </w:pPr>
      <w:r w:rsidRPr="009054A1">
        <w:t xml:space="preserve">specific purpose </w:t>
      </w:r>
      <w:r w:rsidR="00BF5396" w:rsidRPr="009054A1">
        <w:t>payments</w:t>
      </w:r>
      <w:r w:rsidR="0014720C" w:rsidRPr="009054A1">
        <w:t>,</w:t>
      </w:r>
      <w:r w:rsidRPr="009054A1">
        <w:t xml:space="preserve"> in the form of National Agreements and </w:t>
      </w:r>
      <w:r w:rsidR="0D46FF73" w:rsidRPr="009054A1">
        <w:t xml:space="preserve">Federation Funding Agreements </w:t>
      </w:r>
      <w:r w:rsidR="00820986" w:rsidRPr="009054A1">
        <w:t>(</w:t>
      </w:r>
      <w:r w:rsidR="00DA4A11">
        <w:t>formerly</w:t>
      </w:r>
      <w:r w:rsidR="00DA4A11" w:rsidRPr="009054A1">
        <w:t xml:space="preserve"> </w:t>
      </w:r>
      <w:r w:rsidRPr="009054A1">
        <w:t>National Partnerships</w:t>
      </w:r>
      <w:r w:rsidR="6E5C2D76" w:rsidRPr="009054A1">
        <w:t xml:space="preserve"> and Project Agreements</w:t>
      </w:r>
      <w:r w:rsidR="0068673B" w:rsidRPr="009054A1">
        <w:t>)</w:t>
      </w:r>
      <w:r w:rsidRPr="009054A1">
        <w:t>.</w:t>
      </w:r>
      <w:r w:rsidR="004B17E1" w:rsidRPr="009054A1">
        <w:t xml:space="preserve"> </w:t>
      </w:r>
    </w:p>
    <w:p w14:paraId="0E4215B2" w14:textId="49B5C1F2" w:rsidR="00CA221A" w:rsidRPr="008F0B8B" w:rsidRDefault="004966A8" w:rsidP="003426A4">
      <w:pPr>
        <w:pStyle w:val="BodyText"/>
        <w:rPr>
          <w:highlight w:val="yellow"/>
        </w:rPr>
      </w:pPr>
      <w:r>
        <w:t>G</w:t>
      </w:r>
      <w:r w:rsidRPr="009054A1">
        <w:t xml:space="preserve">rant </w:t>
      </w:r>
      <w:r w:rsidR="00AB0A73" w:rsidRPr="009054A1">
        <w:t xml:space="preserve">revenue is expected to </w:t>
      </w:r>
      <w:r w:rsidR="00A60002" w:rsidRPr="009054A1">
        <w:t xml:space="preserve">decrease </w:t>
      </w:r>
      <w:r w:rsidR="00AB0A73" w:rsidRPr="009054A1">
        <w:t xml:space="preserve">by </w:t>
      </w:r>
      <w:r w:rsidR="00325E85" w:rsidRPr="00A236E0">
        <w:t>$</w:t>
      </w:r>
      <w:r w:rsidR="0030310C">
        <w:t>2</w:t>
      </w:r>
      <w:r w:rsidR="00BD65E0" w:rsidRPr="00A236E0">
        <w:t>.</w:t>
      </w:r>
      <w:r w:rsidR="0030310C">
        <w:t>0</w:t>
      </w:r>
      <w:r w:rsidR="006C1332" w:rsidRPr="00A236E0">
        <w:t xml:space="preserve"> </w:t>
      </w:r>
      <w:r w:rsidR="00BD65E0" w:rsidRPr="00A236E0">
        <w:t>b</w:t>
      </w:r>
      <w:r w:rsidR="006C1332" w:rsidRPr="00A236E0">
        <w:t>illion</w:t>
      </w:r>
      <w:r w:rsidR="00AB0A73" w:rsidRPr="00A236E0">
        <w:t xml:space="preserve"> in 202</w:t>
      </w:r>
      <w:r w:rsidR="00A60002" w:rsidRPr="00A236E0">
        <w:t>2</w:t>
      </w:r>
      <w:r w:rsidR="00AB0A73" w:rsidRPr="00A236E0">
        <w:t>-2</w:t>
      </w:r>
      <w:r w:rsidR="00A60002" w:rsidRPr="00A236E0">
        <w:t>3</w:t>
      </w:r>
      <w:r w:rsidR="00AB0A73" w:rsidRPr="00A236E0">
        <w:t xml:space="preserve"> to $</w:t>
      </w:r>
      <w:r w:rsidR="00A60002" w:rsidRPr="00A236E0">
        <w:t>4</w:t>
      </w:r>
      <w:r w:rsidR="0030310C">
        <w:t>2</w:t>
      </w:r>
      <w:r w:rsidR="00A60002" w:rsidRPr="00A236E0">
        <w:t>.</w:t>
      </w:r>
      <w:r w:rsidR="0030310C">
        <w:t>9</w:t>
      </w:r>
      <w:r w:rsidR="00CD2F96" w:rsidRPr="00A236E0">
        <w:t> </w:t>
      </w:r>
      <w:r w:rsidR="00AB0A73" w:rsidRPr="00A236E0">
        <w:t>billion</w:t>
      </w:r>
      <w:r w:rsidR="003D02F1" w:rsidRPr="003D02F1">
        <w:t xml:space="preserve"> before reaching</w:t>
      </w:r>
      <w:r w:rsidR="003D02F1">
        <w:t xml:space="preserve"> </w:t>
      </w:r>
      <w:r w:rsidR="00AB0A73" w:rsidRPr="00A236E0">
        <w:t>$</w:t>
      </w:r>
      <w:r w:rsidR="00A60002" w:rsidRPr="00A236E0">
        <w:t>4</w:t>
      </w:r>
      <w:r w:rsidR="00A236E0" w:rsidRPr="00A236E0">
        <w:t>8</w:t>
      </w:r>
      <w:r w:rsidR="00A60002" w:rsidRPr="00A236E0">
        <w:t>.</w:t>
      </w:r>
      <w:r w:rsidR="0030310C">
        <w:t>6</w:t>
      </w:r>
      <w:r w:rsidR="00A60002" w:rsidRPr="00A236E0">
        <w:t xml:space="preserve"> </w:t>
      </w:r>
      <w:r w:rsidR="00AB0A73" w:rsidRPr="00A236E0">
        <w:t xml:space="preserve">billion </w:t>
      </w:r>
      <w:r w:rsidR="00F21DA7">
        <w:t>in</w:t>
      </w:r>
      <w:r w:rsidR="00F21DA7" w:rsidRPr="009054A1">
        <w:t xml:space="preserve"> </w:t>
      </w:r>
      <w:r w:rsidR="00A60002" w:rsidRPr="009054A1">
        <w:t>2025-26</w:t>
      </w:r>
      <w:r w:rsidR="00AB0A73" w:rsidRPr="009054A1">
        <w:t>.</w:t>
      </w:r>
    </w:p>
    <w:p w14:paraId="56F563DA" w14:textId="7ACB79B8" w:rsidR="00AB441E" w:rsidRPr="007C1163" w:rsidRDefault="00AB441E" w:rsidP="00216F72">
      <w:pPr>
        <w:pStyle w:val="Table4X"/>
        <w:tabs>
          <w:tab w:val="left" w:pos="1276"/>
        </w:tabs>
        <w:ind w:left="1276" w:hanging="1276"/>
      </w:pPr>
      <w:r w:rsidRPr="007C1163">
        <w:t>Grant revenue</w:t>
      </w:r>
      <w:r w:rsidR="00CD2F96" w:rsidRPr="007C1163">
        <w:t xml:space="preserve"> </w:t>
      </w:r>
      <w:r w:rsidR="009054A1" w:rsidRPr="007C1163">
        <w:t xml:space="preserve"> </w:t>
      </w:r>
    </w:p>
    <w:tbl>
      <w:tblPr>
        <w:tblW w:w="9820" w:type="dxa"/>
        <w:tblLook w:val="04A0" w:firstRow="1" w:lastRow="0" w:firstColumn="1" w:lastColumn="0" w:noHBand="0" w:noVBand="1"/>
        <w:tblCaption w:val="Table 4.5: Grant revenue  "/>
        <w:tblDescription w:val="Table 4.5: Grant revenue  "/>
      </w:tblPr>
      <w:tblGrid>
        <w:gridCol w:w="3724"/>
        <w:gridCol w:w="816"/>
        <w:gridCol w:w="816"/>
        <w:gridCol w:w="816"/>
        <w:gridCol w:w="816"/>
        <w:gridCol w:w="816"/>
        <w:gridCol w:w="816"/>
        <w:gridCol w:w="1200"/>
      </w:tblGrid>
      <w:tr w:rsidR="0030310C" w:rsidRPr="007112E7" w14:paraId="171EE4A0" w14:textId="77777777" w:rsidTr="00D3046B">
        <w:trPr>
          <w:trHeight w:val="289"/>
        </w:trPr>
        <w:tc>
          <w:tcPr>
            <w:tcW w:w="3724" w:type="dxa"/>
            <w:tcBorders>
              <w:top w:val="nil"/>
              <w:left w:val="nil"/>
              <w:bottom w:val="nil"/>
              <w:right w:val="nil"/>
            </w:tcBorders>
            <w:shd w:val="clear" w:color="000000" w:fill="008EBA"/>
            <w:vAlign w:val="bottom"/>
            <w:hideMark/>
          </w:tcPr>
          <w:p w14:paraId="36838532" w14:textId="77777777" w:rsidR="0030310C" w:rsidRPr="007112E7" w:rsidRDefault="0030310C" w:rsidP="00D3046B">
            <w:pPr>
              <w:jc w:val="center"/>
              <w:rPr>
                <w:rFonts w:ascii="Arial" w:hAnsi="Arial" w:cs="Arial"/>
                <w:color w:val="FFFFFF"/>
                <w:sz w:val="16"/>
                <w:szCs w:val="16"/>
                <w:lang w:eastAsia="en-AU"/>
              </w:rPr>
            </w:pPr>
            <w:r w:rsidRPr="007112E7">
              <w:rPr>
                <w:rFonts w:ascii="Arial" w:hAnsi="Arial" w:cs="Arial"/>
                <w:color w:val="FFFFFF"/>
                <w:sz w:val="16"/>
                <w:szCs w:val="16"/>
                <w:lang w:eastAsia="en-AU"/>
              </w:rPr>
              <w:t> </w:t>
            </w:r>
          </w:p>
        </w:tc>
        <w:tc>
          <w:tcPr>
            <w:tcW w:w="816" w:type="dxa"/>
            <w:tcBorders>
              <w:top w:val="nil"/>
              <w:left w:val="nil"/>
              <w:bottom w:val="nil"/>
              <w:right w:val="nil"/>
            </w:tcBorders>
            <w:shd w:val="clear" w:color="000000" w:fill="008EBA"/>
            <w:noWrap/>
            <w:vAlign w:val="bottom"/>
            <w:hideMark/>
          </w:tcPr>
          <w:p w14:paraId="6E999884" w14:textId="77777777" w:rsidR="0030310C" w:rsidRPr="007112E7" w:rsidRDefault="0030310C" w:rsidP="00D3046B">
            <w:pPr>
              <w:jc w:val="center"/>
              <w:rPr>
                <w:rFonts w:ascii="Arial" w:hAnsi="Arial" w:cs="Arial"/>
                <w:color w:val="FFFFFF"/>
                <w:sz w:val="16"/>
                <w:szCs w:val="16"/>
                <w:lang w:eastAsia="en-AU"/>
              </w:rPr>
            </w:pPr>
            <w:r w:rsidRPr="007112E7">
              <w:rPr>
                <w:rFonts w:ascii="Arial" w:hAnsi="Arial" w:cs="Arial"/>
                <w:color w:val="FFFFFF"/>
                <w:sz w:val="16"/>
                <w:szCs w:val="16"/>
                <w:lang w:eastAsia="en-AU"/>
              </w:rPr>
              <w:t>2020-21</w:t>
            </w:r>
          </w:p>
        </w:tc>
        <w:tc>
          <w:tcPr>
            <w:tcW w:w="816" w:type="dxa"/>
            <w:tcBorders>
              <w:top w:val="nil"/>
              <w:left w:val="nil"/>
              <w:bottom w:val="nil"/>
              <w:right w:val="nil"/>
            </w:tcBorders>
            <w:shd w:val="clear" w:color="000000" w:fill="008EBA"/>
            <w:noWrap/>
            <w:vAlign w:val="bottom"/>
            <w:hideMark/>
          </w:tcPr>
          <w:p w14:paraId="157CF97D" w14:textId="77777777" w:rsidR="0030310C" w:rsidRPr="007112E7" w:rsidRDefault="0030310C" w:rsidP="00D3046B">
            <w:pPr>
              <w:jc w:val="center"/>
              <w:rPr>
                <w:rFonts w:ascii="Arial" w:hAnsi="Arial" w:cs="Arial"/>
                <w:color w:val="FFFFFF"/>
                <w:sz w:val="16"/>
                <w:szCs w:val="16"/>
                <w:lang w:eastAsia="en-AU"/>
              </w:rPr>
            </w:pPr>
            <w:r w:rsidRPr="007112E7">
              <w:rPr>
                <w:rFonts w:ascii="Arial" w:hAnsi="Arial" w:cs="Arial"/>
                <w:color w:val="FFFFFF"/>
                <w:sz w:val="16"/>
                <w:szCs w:val="16"/>
                <w:lang w:eastAsia="en-AU"/>
              </w:rPr>
              <w:t>2021-22</w:t>
            </w:r>
          </w:p>
        </w:tc>
        <w:tc>
          <w:tcPr>
            <w:tcW w:w="816" w:type="dxa"/>
            <w:tcBorders>
              <w:top w:val="nil"/>
              <w:left w:val="nil"/>
              <w:bottom w:val="nil"/>
              <w:right w:val="nil"/>
            </w:tcBorders>
            <w:shd w:val="clear" w:color="000000" w:fill="008EBA"/>
            <w:noWrap/>
            <w:vAlign w:val="bottom"/>
            <w:hideMark/>
          </w:tcPr>
          <w:p w14:paraId="767BFBDC" w14:textId="77777777" w:rsidR="0030310C" w:rsidRPr="007112E7" w:rsidRDefault="0030310C" w:rsidP="00D3046B">
            <w:pPr>
              <w:jc w:val="center"/>
              <w:rPr>
                <w:rFonts w:ascii="Arial" w:hAnsi="Arial" w:cs="Arial"/>
                <w:color w:val="FFFFFF"/>
                <w:sz w:val="16"/>
                <w:szCs w:val="16"/>
                <w:lang w:eastAsia="en-AU"/>
              </w:rPr>
            </w:pPr>
            <w:r w:rsidRPr="007112E7">
              <w:rPr>
                <w:rFonts w:ascii="Arial" w:hAnsi="Arial" w:cs="Arial"/>
                <w:color w:val="FFFFFF"/>
                <w:sz w:val="16"/>
                <w:szCs w:val="16"/>
                <w:lang w:eastAsia="en-AU"/>
              </w:rPr>
              <w:t>2022-23</w:t>
            </w:r>
          </w:p>
        </w:tc>
        <w:tc>
          <w:tcPr>
            <w:tcW w:w="816" w:type="dxa"/>
            <w:tcBorders>
              <w:top w:val="nil"/>
              <w:left w:val="nil"/>
              <w:bottom w:val="nil"/>
              <w:right w:val="nil"/>
            </w:tcBorders>
            <w:shd w:val="clear" w:color="000000" w:fill="008EBA"/>
            <w:noWrap/>
            <w:vAlign w:val="bottom"/>
            <w:hideMark/>
          </w:tcPr>
          <w:p w14:paraId="0D7A23C1" w14:textId="77777777" w:rsidR="0030310C" w:rsidRPr="007112E7" w:rsidRDefault="0030310C" w:rsidP="00D3046B">
            <w:pPr>
              <w:jc w:val="center"/>
              <w:rPr>
                <w:rFonts w:ascii="Arial" w:hAnsi="Arial" w:cs="Arial"/>
                <w:color w:val="FFFFFF"/>
                <w:sz w:val="16"/>
                <w:szCs w:val="16"/>
                <w:lang w:eastAsia="en-AU"/>
              </w:rPr>
            </w:pPr>
            <w:r w:rsidRPr="007112E7">
              <w:rPr>
                <w:rFonts w:ascii="Arial" w:hAnsi="Arial" w:cs="Arial"/>
                <w:color w:val="FFFFFF"/>
                <w:sz w:val="16"/>
                <w:szCs w:val="16"/>
                <w:lang w:eastAsia="en-AU"/>
              </w:rPr>
              <w:t>2023-24</w:t>
            </w:r>
          </w:p>
        </w:tc>
        <w:tc>
          <w:tcPr>
            <w:tcW w:w="816" w:type="dxa"/>
            <w:tcBorders>
              <w:top w:val="nil"/>
              <w:left w:val="nil"/>
              <w:bottom w:val="nil"/>
              <w:right w:val="nil"/>
            </w:tcBorders>
            <w:shd w:val="clear" w:color="000000" w:fill="008EBA"/>
            <w:noWrap/>
            <w:vAlign w:val="bottom"/>
            <w:hideMark/>
          </w:tcPr>
          <w:p w14:paraId="21BA6E45" w14:textId="77777777" w:rsidR="0030310C" w:rsidRPr="007112E7" w:rsidRDefault="0030310C" w:rsidP="00D3046B">
            <w:pPr>
              <w:jc w:val="center"/>
              <w:rPr>
                <w:rFonts w:ascii="Arial" w:hAnsi="Arial" w:cs="Arial"/>
                <w:color w:val="FFFFFF"/>
                <w:sz w:val="16"/>
                <w:szCs w:val="16"/>
                <w:lang w:eastAsia="en-AU"/>
              </w:rPr>
            </w:pPr>
            <w:r w:rsidRPr="007112E7">
              <w:rPr>
                <w:rFonts w:ascii="Arial" w:hAnsi="Arial" w:cs="Arial"/>
                <w:color w:val="FFFFFF"/>
                <w:sz w:val="16"/>
                <w:szCs w:val="16"/>
                <w:lang w:eastAsia="en-AU"/>
              </w:rPr>
              <w:t>2024-25</w:t>
            </w:r>
          </w:p>
        </w:tc>
        <w:tc>
          <w:tcPr>
            <w:tcW w:w="816" w:type="dxa"/>
            <w:tcBorders>
              <w:top w:val="nil"/>
              <w:left w:val="nil"/>
              <w:bottom w:val="nil"/>
              <w:right w:val="nil"/>
            </w:tcBorders>
            <w:shd w:val="clear" w:color="000000" w:fill="008EBA"/>
            <w:noWrap/>
            <w:vAlign w:val="bottom"/>
            <w:hideMark/>
          </w:tcPr>
          <w:p w14:paraId="082507AA" w14:textId="77777777" w:rsidR="0030310C" w:rsidRPr="007112E7" w:rsidRDefault="0030310C" w:rsidP="00D3046B">
            <w:pPr>
              <w:jc w:val="center"/>
              <w:rPr>
                <w:rFonts w:ascii="Arial" w:hAnsi="Arial" w:cs="Arial"/>
                <w:color w:val="FFFFFF"/>
                <w:sz w:val="16"/>
                <w:szCs w:val="16"/>
                <w:lang w:eastAsia="en-AU"/>
              </w:rPr>
            </w:pPr>
            <w:r w:rsidRPr="007112E7">
              <w:rPr>
                <w:rFonts w:ascii="Arial" w:hAnsi="Arial" w:cs="Arial"/>
                <w:color w:val="FFFFFF"/>
                <w:sz w:val="16"/>
                <w:szCs w:val="16"/>
                <w:lang w:eastAsia="en-AU"/>
              </w:rPr>
              <w:t>2025-26</w:t>
            </w:r>
          </w:p>
        </w:tc>
        <w:tc>
          <w:tcPr>
            <w:tcW w:w="1200" w:type="dxa"/>
            <w:vMerge w:val="restart"/>
            <w:tcBorders>
              <w:top w:val="nil"/>
              <w:left w:val="nil"/>
              <w:bottom w:val="nil"/>
              <w:right w:val="nil"/>
            </w:tcBorders>
            <w:shd w:val="clear" w:color="000000" w:fill="4F4F4F"/>
            <w:vAlign w:val="center"/>
            <w:hideMark/>
          </w:tcPr>
          <w:p w14:paraId="0FA3B9E3" w14:textId="77777777" w:rsidR="0030310C" w:rsidRPr="007112E7" w:rsidRDefault="0030310C" w:rsidP="00D3046B">
            <w:pPr>
              <w:jc w:val="center"/>
              <w:rPr>
                <w:rFonts w:ascii="Arial" w:hAnsi="Arial" w:cs="Arial"/>
                <w:color w:val="FFFFFF"/>
                <w:sz w:val="16"/>
                <w:szCs w:val="16"/>
                <w:lang w:eastAsia="en-AU"/>
              </w:rPr>
            </w:pPr>
            <w:r w:rsidRPr="007112E7">
              <w:rPr>
                <w:rFonts w:ascii="Arial" w:hAnsi="Arial" w:cs="Arial"/>
                <w:color w:val="FFFFFF"/>
                <w:sz w:val="16"/>
                <w:szCs w:val="16"/>
                <w:lang w:eastAsia="en-AU"/>
              </w:rPr>
              <w:t>% Average growth p.a.</w:t>
            </w:r>
            <w:r w:rsidRPr="007112E7">
              <w:rPr>
                <w:rFonts w:ascii="Arial" w:hAnsi="Arial" w:cs="Arial"/>
                <w:color w:val="FFFFFF"/>
                <w:sz w:val="16"/>
                <w:szCs w:val="16"/>
                <w:lang w:eastAsia="en-AU"/>
              </w:rPr>
              <w:br/>
              <w:t xml:space="preserve">2021-22 to </w:t>
            </w:r>
            <w:r w:rsidRPr="007112E7">
              <w:rPr>
                <w:rFonts w:ascii="Arial" w:hAnsi="Arial" w:cs="Arial"/>
                <w:color w:val="FFFFFF"/>
                <w:sz w:val="16"/>
                <w:szCs w:val="16"/>
                <w:lang w:eastAsia="en-AU"/>
              </w:rPr>
              <w:br/>
              <w:t>2025-26</w:t>
            </w:r>
          </w:p>
        </w:tc>
      </w:tr>
      <w:tr w:rsidR="0030310C" w:rsidRPr="007112E7" w14:paraId="539851EA" w14:textId="77777777" w:rsidTr="00D3046B">
        <w:trPr>
          <w:trHeight w:val="240"/>
        </w:trPr>
        <w:tc>
          <w:tcPr>
            <w:tcW w:w="3724" w:type="dxa"/>
            <w:tcBorders>
              <w:top w:val="nil"/>
              <w:left w:val="nil"/>
              <w:bottom w:val="nil"/>
              <w:right w:val="nil"/>
            </w:tcBorders>
            <w:shd w:val="clear" w:color="000000" w:fill="008EBA"/>
            <w:hideMark/>
          </w:tcPr>
          <w:p w14:paraId="17359995" w14:textId="77777777" w:rsidR="0030310C" w:rsidRPr="007112E7" w:rsidRDefault="0030310C" w:rsidP="00D3046B">
            <w:pPr>
              <w:jc w:val="center"/>
              <w:rPr>
                <w:rFonts w:ascii="Arial" w:hAnsi="Arial" w:cs="Arial"/>
                <w:color w:val="FFFFFF"/>
                <w:sz w:val="16"/>
                <w:szCs w:val="16"/>
                <w:lang w:eastAsia="en-AU"/>
              </w:rPr>
            </w:pPr>
            <w:r w:rsidRPr="007112E7">
              <w:rPr>
                <w:rFonts w:ascii="Arial" w:hAnsi="Arial" w:cs="Arial"/>
                <w:color w:val="FFFFFF"/>
                <w:sz w:val="16"/>
                <w:szCs w:val="16"/>
                <w:lang w:eastAsia="en-AU"/>
              </w:rPr>
              <w:t> </w:t>
            </w:r>
          </w:p>
        </w:tc>
        <w:tc>
          <w:tcPr>
            <w:tcW w:w="816" w:type="dxa"/>
            <w:tcBorders>
              <w:top w:val="nil"/>
              <w:left w:val="nil"/>
              <w:bottom w:val="nil"/>
              <w:right w:val="nil"/>
            </w:tcBorders>
            <w:shd w:val="clear" w:color="000000" w:fill="008EBA"/>
            <w:noWrap/>
            <w:vAlign w:val="bottom"/>
            <w:hideMark/>
          </w:tcPr>
          <w:p w14:paraId="7E51993B" w14:textId="77777777" w:rsidR="0030310C" w:rsidRPr="007112E7" w:rsidRDefault="0030310C" w:rsidP="00D3046B">
            <w:pPr>
              <w:jc w:val="center"/>
              <w:rPr>
                <w:rFonts w:ascii="Arial" w:hAnsi="Arial" w:cs="Arial"/>
                <w:color w:val="FFFFFF"/>
                <w:sz w:val="16"/>
                <w:szCs w:val="16"/>
                <w:lang w:eastAsia="en-AU"/>
              </w:rPr>
            </w:pPr>
            <w:r w:rsidRPr="007112E7">
              <w:rPr>
                <w:rFonts w:ascii="Arial" w:hAnsi="Arial" w:cs="Arial"/>
                <w:color w:val="FFFFFF"/>
                <w:sz w:val="16"/>
                <w:szCs w:val="16"/>
                <w:lang w:eastAsia="en-AU"/>
              </w:rPr>
              <w:t>Actual</w:t>
            </w:r>
          </w:p>
        </w:tc>
        <w:tc>
          <w:tcPr>
            <w:tcW w:w="816" w:type="dxa"/>
            <w:tcBorders>
              <w:top w:val="nil"/>
              <w:left w:val="nil"/>
              <w:bottom w:val="nil"/>
              <w:right w:val="nil"/>
            </w:tcBorders>
            <w:shd w:val="clear" w:color="000000" w:fill="008EBA"/>
            <w:noWrap/>
            <w:vAlign w:val="bottom"/>
            <w:hideMark/>
          </w:tcPr>
          <w:p w14:paraId="1B705DCD" w14:textId="77777777" w:rsidR="0030310C" w:rsidRPr="007112E7" w:rsidRDefault="0030310C" w:rsidP="00D3046B">
            <w:pPr>
              <w:jc w:val="center"/>
              <w:rPr>
                <w:rFonts w:ascii="Arial" w:hAnsi="Arial" w:cs="Arial"/>
                <w:color w:val="FFFFFF"/>
                <w:sz w:val="16"/>
                <w:szCs w:val="16"/>
                <w:lang w:eastAsia="en-AU"/>
              </w:rPr>
            </w:pPr>
            <w:r w:rsidRPr="007112E7">
              <w:rPr>
                <w:rFonts w:ascii="Arial" w:hAnsi="Arial" w:cs="Arial"/>
                <w:color w:val="FFFFFF"/>
                <w:sz w:val="16"/>
                <w:szCs w:val="16"/>
                <w:lang w:eastAsia="en-AU"/>
              </w:rPr>
              <w:t>Revised</w:t>
            </w:r>
          </w:p>
        </w:tc>
        <w:tc>
          <w:tcPr>
            <w:tcW w:w="816" w:type="dxa"/>
            <w:tcBorders>
              <w:top w:val="nil"/>
              <w:left w:val="nil"/>
              <w:bottom w:val="nil"/>
              <w:right w:val="nil"/>
            </w:tcBorders>
            <w:shd w:val="clear" w:color="000000" w:fill="008EBA"/>
            <w:noWrap/>
            <w:vAlign w:val="bottom"/>
            <w:hideMark/>
          </w:tcPr>
          <w:p w14:paraId="40CB5492" w14:textId="77777777" w:rsidR="0030310C" w:rsidRPr="007112E7" w:rsidRDefault="0030310C" w:rsidP="00D3046B">
            <w:pPr>
              <w:jc w:val="center"/>
              <w:rPr>
                <w:rFonts w:ascii="Arial" w:hAnsi="Arial" w:cs="Arial"/>
                <w:color w:val="FFFFFF"/>
                <w:sz w:val="16"/>
                <w:szCs w:val="16"/>
                <w:lang w:eastAsia="en-AU"/>
              </w:rPr>
            </w:pPr>
            <w:r w:rsidRPr="007112E7">
              <w:rPr>
                <w:rFonts w:ascii="Arial" w:hAnsi="Arial" w:cs="Arial"/>
                <w:color w:val="FFFFFF"/>
                <w:sz w:val="16"/>
                <w:szCs w:val="16"/>
                <w:lang w:eastAsia="en-AU"/>
              </w:rPr>
              <w:t>Budget</w:t>
            </w:r>
          </w:p>
        </w:tc>
        <w:tc>
          <w:tcPr>
            <w:tcW w:w="2448" w:type="dxa"/>
            <w:gridSpan w:val="3"/>
            <w:tcBorders>
              <w:top w:val="nil"/>
              <w:left w:val="nil"/>
              <w:bottom w:val="nil"/>
              <w:right w:val="nil"/>
            </w:tcBorders>
            <w:shd w:val="clear" w:color="000000" w:fill="008EBA"/>
            <w:noWrap/>
            <w:vAlign w:val="bottom"/>
            <w:hideMark/>
          </w:tcPr>
          <w:p w14:paraId="5378295F" w14:textId="77777777" w:rsidR="0030310C" w:rsidRPr="007112E7" w:rsidRDefault="0030310C" w:rsidP="00D3046B">
            <w:pPr>
              <w:jc w:val="center"/>
              <w:rPr>
                <w:rFonts w:ascii="Arial" w:hAnsi="Arial" w:cs="Arial"/>
                <w:color w:val="FFFFFF"/>
                <w:sz w:val="16"/>
                <w:szCs w:val="16"/>
                <w:lang w:eastAsia="en-AU"/>
              </w:rPr>
            </w:pPr>
            <w:r w:rsidRPr="007112E7">
              <w:rPr>
                <w:rFonts w:ascii="Arial" w:hAnsi="Arial" w:cs="Arial"/>
                <w:color w:val="FFFFFF"/>
                <w:sz w:val="16"/>
                <w:szCs w:val="16"/>
                <w:lang w:eastAsia="en-AU"/>
              </w:rPr>
              <w:t>Forward Estimates</w:t>
            </w:r>
          </w:p>
        </w:tc>
        <w:tc>
          <w:tcPr>
            <w:tcW w:w="1200" w:type="dxa"/>
            <w:vMerge/>
            <w:tcBorders>
              <w:top w:val="nil"/>
              <w:left w:val="nil"/>
              <w:bottom w:val="nil"/>
              <w:right w:val="nil"/>
            </w:tcBorders>
            <w:vAlign w:val="center"/>
            <w:hideMark/>
          </w:tcPr>
          <w:p w14:paraId="43D81487" w14:textId="77777777" w:rsidR="0030310C" w:rsidRPr="007112E7" w:rsidRDefault="0030310C" w:rsidP="00D3046B">
            <w:pPr>
              <w:rPr>
                <w:rFonts w:ascii="Arial" w:hAnsi="Arial" w:cs="Arial"/>
                <w:color w:val="FFFFFF"/>
                <w:sz w:val="16"/>
                <w:szCs w:val="16"/>
                <w:lang w:eastAsia="en-AU"/>
              </w:rPr>
            </w:pPr>
          </w:p>
        </w:tc>
      </w:tr>
      <w:tr w:rsidR="0030310C" w:rsidRPr="007112E7" w14:paraId="6F740DD2" w14:textId="77777777" w:rsidTr="00D3046B">
        <w:trPr>
          <w:trHeight w:val="300"/>
        </w:trPr>
        <w:tc>
          <w:tcPr>
            <w:tcW w:w="3724" w:type="dxa"/>
            <w:tcBorders>
              <w:top w:val="nil"/>
              <w:left w:val="nil"/>
              <w:bottom w:val="nil"/>
              <w:right w:val="nil"/>
            </w:tcBorders>
            <w:shd w:val="clear" w:color="000000" w:fill="00426F"/>
            <w:noWrap/>
            <w:hideMark/>
          </w:tcPr>
          <w:p w14:paraId="158B53CE" w14:textId="77777777" w:rsidR="0030310C" w:rsidRPr="007112E7" w:rsidRDefault="0030310C" w:rsidP="00D3046B">
            <w:pPr>
              <w:rPr>
                <w:rFonts w:ascii="Arial" w:hAnsi="Arial" w:cs="Arial"/>
                <w:b/>
                <w:bCs/>
                <w:color w:val="FFFFFF"/>
                <w:sz w:val="16"/>
                <w:szCs w:val="16"/>
                <w:lang w:eastAsia="en-AU"/>
              </w:rPr>
            </w:pPr>
            <w:r w:rsidRPr="007112E7">
              <w:rPr>
                <w:rFonts w:ascii="Arial" w:hAnsi="Arial" w:cs="Arial"/>
                <w:b/>
                <w:bCs/>
                <w:color w:val="FFFFFF"/>
                <w:sz w:val="16"/>
                <w:szCs w:val="16"/>
                <w:lang w:eastAsia="en-AU"/>
              </w:rPr>
              <w:t> </w:t>
            </w:r>
          </w:p>
        </w:tc>
        <w:tc>
          <w:tcPr>
            <w:tcW w:w="816" w:type="dxa"/>
            <w:tcBorders>
              <w:top w:val="nil"/>
              <w:left w:val="nil"/>
              <w:bottom w:val="nil"/>
              <w:right w:val="nil"/>
            </w:tcBorders>
            <w:shd w:val="clear" w:color="000000" w:fill="00426F"/>
            <w:noWrap/>
            <w:hideMark/>
          </w:tcPr>
          <w:p w14:paraId="1D1AB87D" w14:textId="77777777" w:rsidR="0030310C" w:rsidRPr="007112E7" w:rsidRDefault="0030310C" w:rsidP="00D3046B">
            <w:pPr>
              <w:jc w:val="center"/>
              <w:rPr>
                <w:rFonts w:ascii="Arial" w:hAnsi="Arial" w:cs="Arial"/>
                <w:color w:val="FFFFFF"/>
                <w:sz w:val="16"/>
                <w:szCs w:val="16"/>
                <w:lang w:eastAsia="en-AU"/>
              </w:rPr>
            </w:pPr>
            <w:r w:rsidRPr="007112E7">
              <w:rPr>
                <w:rFonts w:ascii="Arial" w:hAnsi="Arial" w:cs="Arial"/>
                <w:color w:val="FFFFFF"/>
                <w:sz w:val="16"/>
                <w:szCs w:val="16"/>
                <w:lang w:eastAsia="en-AU"/>
              </w:rPr>
              <w:t>$m</w:t>
            </w:r>
          </w:p>
        </w:tc>
        <w:tc>
          <w:tcPr>
            <w:tcW w:w="816" w:type="dxa"/>
            <w:tcBorders>
              <w:top w:val="nil"/>
              <w:left w:val="nil"/>
              <w:bottom w:val="nil"/>
              <w:right w:val="nil"/>
            </w:tcBorders>
            <w:shd w:val="clear" w:color="000000" w:fill="00426F"/>
            <w:noWrap/>
            <w:hideMark/>
          </w:tcPr>
          <w:p w14:paraId="25246529" w14:textId="77777777" w:rsidR="0030310C" w:rsidRPr="007112E7" w:rsidRDefault="0030310C" w:rsidP="00D3046B">
            <w:pPr>
              <w:jc w:val="center"/>
              <w:rPr>
                <w:rFonts w:ascii="Arial" w:hAnsi="Arial" w:cs="Arial"/>
                <w:color w:val="FFFFFF"/>
                <w:sz w:val="16"/>
                <w:szCs w:val="16"/>
                <w:lang w:eastAsia="en-AU"/>
              </w:rPr>
            </w:pPr>
            <w:r w:rsidRPr="007112E7">
              <w:rPr>
                <w:rFonts w:ascii="Arial" w:hAnsi="Arial" w:cs="Arial"/>
                <w:color w:val="FFFFFF"/>
                <w:sz w:val="16"/>
                <w:szCs w:val="16"/>
                <w:lang w:eastAsia="en-AU"/>
              </w:rPr>
              <w:t>$m</w:t>
            </w:r>
          </w:p>
        </w:tc>
        <w:tc>
          <w:tcPr>
            <w:tcW w:w="816" w:type="dxa"/>
            <w:tcBorders>
              <w:top w:val="nil"/>
              <w:left w:val="nil"/>
              <w:bottom w:val="nil"/>
              <w:right w:val="nil"/>
            </w:tcBorders>
            <w:shd w:val="clear" w:color="000000" w:fill="00426F"/>
            <w:noWrap/>
            <w:hideMark/>
          </w:tcPr>
          <w:p w14:paraId="00498FE5" w14:textId="77777777" w:rsidR="0030310C" w:rsidRPr="007112E7" w:rsidRDefault="0030310C" w:rsidP="00D3046B">
            <w:pPr>
              <w:jc w:val="center"/>
              <w:rPr>
                <w:rFonts w:ascii="Arial" w:hAnsi="Arial" w:cs="Arial"/>
                <w:color w:val="FFFFFF"/>
                <w:sz w:val="16"/>
                <w:szCs w:val="16"/>
                <w:lang w:eastAsia="en-AU"/>
              </w:rPr>
            </w:pPr>
            <w:r w:rsidRPr="007112E7">
              <w:rPr>
                <w:rFonts w:ascii="Arial" w:hAnsi="Arial" w:cs="Arial"/>
                <w:color w:val="FFFFFF"/>
                <w:sz w:val="16"/>
                <w:szCs w:val="16"/>
                <w:lang w:eastAsia="en-AU"/>
              </w:rPr>
              <w:t>$m</w:t>
            </w:r>
          </w:p>
        </w:tc>
        <w:tc>
          <w:tcPr>
            <w:tcW w:w="816" w:type="dxa"/>
            <w:tcBorders>
              <w:top w:val="nil"/>
              <w:left w:val="nil"/>
              <w:bottom w:val="nil"/>
              <w:right w:val="nil"/>
            </w:tcBorders>
            <w:shd w:val="clear" w:color="000000" w:fill="00426F"/>
            <w:noWrap/>
            <w:hideMark/>
          </w:tcPr>
          <w:p w14:paraId="2121E7EF" w14:textId="77777777" w:rsidR="0030310C" w:rsidRPr="007112E7" w:rsidRDefault="0030310C" w:rsidP="00D3046B">
            <w:pPr>
              <w:jc w:val="center"/>
              <w:rPr>
                <w:rFonts w:ascii="Arial" w:hAnsi="Arial" w:cs="Arial"/>
                <w:color w:val="FFFFFF"/>
                <w:sz w:val="16"/>
                <w:szCs w:val="16"/>
                <w:lang w:eastAsia="en-AU"/>
              </w:rPr>
            </w:pPr>
            <w:r w:rsidRPr="007112E7">
              <w:rPr>
                <w:rFonts w:ascii="Arial" w:hAnsi="Arial" w:cs="Arial"/>
                <w:color w:val="FFFFFF"/>
                <w:sz w:val="16"/>
                <w:szCs w:val="16"/>
                <w:lang w:eastAsia="en-AU"/>
              </w:rPr>
              <w:t>$m</w:t>
            </w:r>
          </w:p>
        </w:tc>
        <w:tc>
          <w:tcPr>
            <w:tcW w:w="816" w:type="dxa"/>
            <w:tcBorders>
              <w:top w:val="nil"/>
              <w:left w:val="nil"/>
              <w:bottom w:val="nil"/>
              <w:right w:val="nil"/>
            </w:tcBorders>
            <w:shd w:val="clear" w:color="000000" w:fill="00426F"/>
            <w:noWrap/>
            <w:hideMark/>
          </w:tcPr>
          <w:p w14:paraId="2CCB87F4" w14:textId="77777777" w:rsidR="0030310C" w:rsidRPr="007112E7" w:rsidRDefault="0030310C" w:rsidP="00D3046B">
            <w:pPr>
              <w:jc w:val="center"/>
              <w:rPr>
                <w:rFonts w:ascii="Arial" w:hAnsi="Arial" w:cs="Arial"/>
                <w:color w:val="FFFFFF"/>
                <w:sz w:val="16"/>
                <w:szCs w:val="16"/>
                <w:lang w:eastAsia="en-AU"/>
              </w:rPr>
            </w:pPr>
            <w:r w:rsidRPr="007112E7">
              <w:rPr>
                <w:rFonts w:ascii="Arial" w:hAnsi="Arial" w:cs="Arial"/>
                <w:color w:val="FFFFFF"/>
                <w:sz w:val="16"/>
                <w:szCs w:val="16"/>
                <w:lang w:eastAsia="en-AU"/>
              </w:rPr>
              <w:t>$m</w:t>
            </w:r>
          </w:p>
        </w:tc>
        <w:tc>
          <w:tcPr>
            <w:tcW w:w="816" w:type="dxa"/>
            <w:tcBorders>
              <w:top w:val="nil"/>
              <w:left w:val="nil"/>
              <w:bottom w:val="nil"/>
              <w:right w:val="nil"/>
            </w:tcBorders>
            <w:shd w:val="clear" w:color="000000" w:fill="00426F"/>
            <w:noWrap/>
            <w:hideMark/>
          </w:tcPr>
          <w:p w14:paraId="172B727C" w14:textId="77777777" w:rsidR="0030310C" w:rsidRPr="007112E7" w:rsidRDefault="0030310C" w:rsidP="00D3046B">
            <w:pPr>
              <w:jc w:val="center"/>
              <w:rPr>
                <w:rFonts w:ascii="Arial" w:hAnsi="Arial" w:cs="Arial"/>
                <w:color w:val="FFFFFF"/>
                <w:sz w:val="16"/>
                <w:szCs w:val="16"/>
                <w:lang w:eastAsia="en-AU"/>
              </w:rPr>
            </w:pPr>
            <w:r w:rsidRPr="007112E7">
              <w:rPr>
                <w:rFonts w:ascii="Arial" w:hAnsi="Arial" w:cs="Arial"/>
                <w:color w:val="FFFFFF"/>
                <w:sz w:val="16"/>
                <w:szCs w:val="16"/>
                <w:lang w:eastAsia="en-AU"/>
              </w:rPr>
              <w:t>$m</w:t>
            </w:r>
          </w:p>
        </w:tc>
        <w:tc>
          <w:tcPr>
            <w:tcW w:w="1200" w:type="dxa"/>
            <w:vMerge/>
            <w:tcBorders>
              <w:top w:val="nil"/>
              <w:left w:val="nil"/>
              <w:bottom w:val="nil"/>
              <w:right w:val="nil"/>
            </w:tcBorders>
            <w:vAlign w:val="center"/>
            <w:hideMark/>
          </w:tcPr>
          <w:p w14:paraId="78D3C686" w14:textId="77777777" w:rsidR="0030310C" w:rsidRPr="007112E7" w:rsidRDefault="0030310C" w:rsidP="00D3046B">
            <w:pPr>
              <w:rPr>
                <w:rFonts w:ascii="Arial" w:hAnsi="Arial" w:cs="Arial"/>
                <w:color w:val="FFFFFF"/>
                <w:sz w:val="16"/>
                <w:szCs w:val="16"/>
                <w:lang w:eastAsia="en-AU"/>
              </w:rPr>
            </w:pPr>
          </w:p>
        </w:tc>
      </w:tr>
      <w:tr w:rsidR="0030310C" w:rsidRPr="007112E7" w14:paraId="3288F109" w14:textId="77777777" w:rsidTr="00D3046B">
        <w:trPr>
          <w:trHeight w:val="319"/>
        </w:trPr>
        <w:tc>
          <w:tcPr>
            <w:tcW w:w="3724" w:type="dxa"/>
            <w:tcBorders>
              <w:top w:val="nil"/>
              <w:left w:val="nil"/>
              <w:bottom w:val="nil"/>
              <w:right w:val="nil"/>
            </w:tcBorders>
            <w:shd w:val="clear" w:color="000000" w:fill="FFFFFF"/>
            <w:vAlign w:val="center"/>
            <w:hideMark/>
          </w:tcPr>
          <w:p w14:paraId="524316F7" w14:textId="77777777" w:rsidR="0030310C" w:rsidRPr="007112E7" w:rsidRDefault="0030310C" w:rsidP="00D3046B">
            <w:pPr>
              <w:rPr>
                <w:rFonts w:ascii="Arial" w:hAnsi="Arial" w:cs="Arial"/>
                <w:sz w:val="16"/>
                <w:szCs w:val="16"/>
                <w:lang w:eastAsia="en-AU"/>
              </w:rPr>
            </w:pPr>
            <w:r w:rsidRPr="007112E7">
              <w:rPr>
                <w:rFonts w:ascii="Arial" w:hAnsi="Arial" w:cs="Arial"/>
                <w:sz w:val="16"/>
                <w:szCs w:val="16"/>
                <w:lang w:eastAsia="en-AU"/>
              </w:rPr>
              <w:t>Commonwealth - general purpose</w:t>
            </w:r>
          </w:p>
        </w:tc>
        <w:tc>
          <w:tcPr>
            <w:tcW w:w="816" w:type="dxa"/>
            <w:tcBorders>
              <w:top w:val="nil"/>
              <w:left w:val="nil"/>
              <w:bottom w:val="nil"/>
              <w:right w:val="nil"/>
            </w:tcBorders>
            <w:shd w:val="clear" w:color="000000" w:fill="FFFFFF"/>
            <w:noWrap/>
            <w:vAlign w:val="center"/>
            <w:hideMark/>
          </w:tcPr>
          <w:p w14:paraId="72D4EE4C"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18,897</w:t>
            </w:r>
          </w:p>
        </w:tc>
        <w:tc>
          <w:tcPr>
            <w:tcW w:w="816" w:type="dxa"/>
            <w:tcBorders>
              <w:top w:val="nil"/>
              <w:left w:val="nil"/>
              <w:bottom w:val="nil"/>
              <w:right w:val="nil"/>
            </w:tcBorders>
            <w:shd w:val="clear" w:color="000000" w:fill="F2F2F2"/>
            <w:noWrap/>
            <w:vAlign w:val="center"/>
            <w:hideMark/>
          </w:tcPr>
          <w:p w14:paraId="6DC6E161"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23,299</w:t>
            </w:r>
          </w:p>
        </w:tc>
        <w:tc>
          <w:tcPr>
            <w:tcW w:w="816" w:type="dxa"/>
            <w:tcBorders>
              <w:top w:val="nil"/>
              <w:left w:val="nil"/>
              <w:bottom w:val="nil"/>
              <w:right w:val="nil"/>
            </w:tcBorders>
            <w:shd w:val="clear" w:color="000000" w:fill="F2F2F2"/>
            <w:noWrap/>
            <w:vAlign w:val="center"/>
            <w:hideMark/>
          </w:tcPr>
          <w:p w14:paraId="01C1252D"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25,538</w:t>
            </w:r>
          </w:p>
        </w:tc>
        <w:tc>
          <w:tcPr>
            <w:tcW w:w="816" w:type="dxa"/>
            <w:tcBorders>
              <w:top w:val="nil"/>
              <w:left w:val="nil"/>
              <w:bottom w:val="nil"/>
              <w:right w:val="nil"/>
            </w:tcBorders>
            <w:shd w:val="clear" w:color="000000" w:fill="F2F2F2"/>
            <w:noWrap/>
            <w:vAlign w:val="center"/>
            <w:hideMark/>
          </w:tcPr>
          <w:p w14:paraId="69BBE837"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26,304</w:t>
            </w:r>
          </w:p>
        </w:tc>
        <w:tc>
          <w:tcPr>
            <w:tcW w:w="816" w:type="dxa"/>
            <w:tcBorders>
              <w:top w:val="nil"/>
              <w:left w:val="nil"/>
              <w:bottom w:val="nil"/>
              <w:right w:val="nil"/>
            </w:tcBorders>
            <w:shd w:val="clear" w:color="000000" w:fill="F2F2F2"/>
            <w:noWrap/>
            <w:vAlign w:val="center"/>
            <w:hideMark/>
          </w:tcPr>
          <w:p w14:paraId="68C88103"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27,134</w:t>
            </w:r>
          </w:p>
        </w:tc>
        <w:tc>
          <w:tcPr>
            <w:tcW w:w="816" w:type="dxa"/>
            <w:tcBorders>
              <w:top w:val="nil"/>
              <w:left w:val="nil"/>
              <w:bottom w:val="nil"/>
              <w:right w:val="nil"/>
            </w:tcBorders>
            <w:shd w:val="clear" w:color="000000" w:fill="F2F2F2"/>
            <w:noWrap/>
            <w:vAlign w:val="center"/>
            <w:hideMark/>
          </w:tcPr>
          <w:p w14:paraId="6F0A4AAC"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28,148</w:t>
            </w:r>
          </w:p>
        </w:tc>
        <w:tc>
          <w:tcPr>
            <w:tcW w:w="1200" w:type="dxa"/>
            <w:tcBorders>
              <w:top w:val="nil"/>
              <w:left w:val="nil"/>
              <w:bottom w:val="nil"/>
              <w:right w:val="nil"/>
            </w:tcBorders>
            <w:shd w:val="clear" w:color="000000" w:fill="FFFFFF"/>
            <w:vAlign w:val="center"/>
            <w:hideMark/>
          </w:tcPr>
          <w:p w14:paraId="78DF889D" w14:textId="77777777" w:rsidR="0030310C" w:rsidRPr="007112E7" w:rsidRDefault="0030310C" w:rsidP="00D3046B">
            <w:pPr>
              <w:jc w:val="center"/>
              <w:rPr>
                <w:rFonts w:ascii="Arial" w:hAnsi="Arial" w:cs="Arial"/>
                <w:sz w:val="16"/>
                <w:szCs w:val="16"/>
                <w:lang w:eastAsia="en-AU"/>
              </w:rPr>
            </w:pPr>
            <w:r w:rsidRPr="007112E7">
              <w:rPr>
                <w:rFonts w:ascii="Arial" w:hAnsi="Arial" w:cs="Arial"/>
                <w:sz w:val="16"/>
                <w:szCs w:val="16"/>
                <w:lang w:eastAsia="en-AU"/>
              </w:rPr>
              <w:t>4.8</w:t>
            </w:r>
          </w:p>
        </w:tc>
      </w:tr>
      <w:tr w:rsidR="0030310C" w:rsidRPr="007112E7" w14:paraId="685E6EAB" w14:textId="77777777" w:rsidTr="00D3046B">
        <w:trPr>
          <w:trHeight w:val="360"/>
        </w:trPr>
        <w:tc>
          <w:tcPr>
            <w:tcW w:w="3724" w:type="dxa"/>
            <w:tcBorders>
              <w:top w:val="nil"/>
              <w:left w:val="nil"/>
              <w:bottom w:val="nil"/>
              <w:right w:val="nil"/>
            </w:tcBorders>
            <w:shd w:val="clear" w:color="000000" w:fill="FFFFFF"/>
            <w:vAlign w:val="center"/>
            <w:hideMark/>
          </w:tcPr>
          <w:p w14:paraId="4A93C5CE" w14:textId="4A3F400D" w:rsidR="0030310C" w:rsidRPr="007112E7" w:rsidRDefault="0030310C" w:rsidP="0030310C">
            <w:pPr>
              <w:ind w:left="480" w:hangingChars="300" w:hanging="480"/>
              <w:rPr>
                <w:rFonts w:ascii="Arial" w:hAnsi="Arial" w:cs="Arial"/>
                <w:sz w:val="16"/>
                <w:szCs w:val="16"/>
                <w:lang w:eastAsia="en-AU"/>
              </w:rPr>
            </w:pPr>
            <w:r>
              <w:rPr>
                <w:rFonts w:ascii="Arial" w:hAnsi="Arial" w:cs="Arial"/>
                <w:sz w:val="16"/>
                <w:szCs w:val="16"/>
                <w:lang w:eastAsia="en-AU"/>
              </w:rPr>
              <w:t xml:space="preserve">       </w:t>
            </w:r>
            <w:r w:rsidRPr="007112E7">
              <w:rPr>
                <w:rFonts w:ascii="Arial" w:hAnsi="Arial" w:cs="Arial"/>
                <w:sz w:val="16"/>
                <w:szCs w:val="16"/>
                <w:lang w:eastAsia="en-AU"/>
              </w:rPr>
              <w:t>GST revenue (including "no worse off" payments)</w:t>
            </w:r>
          </w:p>
        </w:tc>
        <w:tc>
          <w:tcPr>
            <w:tcW w:w="816" w:type="dxa"/>
            <w:tcBorders>
              <w:top w:val="nil"/>
              <w:left w:val="nil"/>
              <w:bottom w:val="nil"/>
              <w:right w:val="nil"/>
            </w:tcBorders>
            <w:shd w:val="clear" w:color="000000" w:fill="FFFFFF"/>
            <w:noWrap/>
            <w:vAlign w:val="center"/>
            <w:hideMark/>
          </w:tcPr>
          <w:p w14:paraId="22183A04"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 xml:space="preserve">18,892 </w:t>
            </w:r>
          </w:p>
        </w:tc>
        <w:tc>
          <w:tcPr>
            <w:tcW w:w="816" w:type="dxa"/>
            <w:tcBorders>
              <w:top w:val="nil"/>
              <w:left w:val="nil"/>
              <w:bottom w:val="nil"/>
              <w:right w:val="nil"/>
            </w:tcBorders>
            <w:shd w:val="clear" w:color="000000" w:fill="F2F2F2"/>
            <w:noWrap/>
            <w:vAlign w:val="center"/>
            <w:hideMark/>
          </w:tcPr>
          <w:p w14:paraId="16767E8D"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 xml:space="preserve">23,297 </w:t>
            </w:r>
          </w:p>
        </w:tc>
        <w:tc>
          <w:tcPr>
            <w:tcW w:w="816" w:type="dxa"/>
            <w:tcBorders>
              <w:top w:val="nil"/>
              <w:left w:val="nil"/>
              <w:bottom w:val="nil"/>
              <w:right w:val="nil"/>
            </w:tcBorders>
            <w:shd w:val="clear" w:color="000000" w:fill="F2F2F2"/>
            <w:noWrap/>
            <w:vAlign w:val="center"/>
            <w:hideMark/>
          </w:tcPr>
          <w:p w14:paraId="5AE1AB8E"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 xml:space="preserve">25,505 </w:t>
            </w:r>
          </w:p>
        </w:tc>
        <w:tc>
          <w:tcPr>
            <w:tcW w:w="816" w:type="dxa"/>
            <w:tcBorders>
              <w:top w:val="nil"/>
              <w:left w:val="nil"/>
              <w:bottom w:val="nil"/>
              <w:right w:val="nil"/>
            </w:tcBorders>
            <w:shd w:val="clear" w:color="000000" w:fill="F2F2F2"/>
            <w:noWrap/>
            <w:vAlign w:val="center"/>
            <w:hideMark/>
          </w:tcPr>
          <w:p w14:paraId="1E7F599A"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 xml:space="preserve">26,296 </w:t>
            </w:r>
          </w:p>
        </w:tc>
        <w:tc>
          <w:tcPr>
            <w:tcW w:w="816" w:type="dxa"/>
            <w:tcBorders>
              <w:top w:val="nil"/>
              <w:left w:val="nil"/>
              <w:bottom w:val="nil"/>
              <w:right w:val="nil"/>
            </w:tcBorders>
            <w:shd w:val="clear" w:color="000000" w:fill="F2F2F2"/>
            <w:noWrap/>
            <w:vAlign w:val="center"/>
            <w:hideMark/>
          </w:tcPr>
          <w:p w14:paraId="169D3BD2"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 xml:space="preserve">27,134 </w:t>
            </w:r>
          </w:p>
        </w:tc>
        <w:tc>
          <w:tcPr>
            <w:tcW w:w="816" w:type="dxa"/>
            <w:tcBorders>
              <w:top w:val="nil"/>
              <w:left w:val="nil"/>
              <w:bottom w:val="nil"/>
              <w:right w:val="nil"/>
            </w:tcBorders>
            <w:shd w:val="clear" w:color="000000" w:fill="F2F2F2"/>
            <w:noWrap/>
            <w:vAlign w:val="center"/>
            <w:hideMark/>
          </w:tcPr>
          <w:p w14:paraId="290C96B8"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 xml:space="preserve">28,148 </w:t>
            </w:r>
          </w:p>
        </w:tc>
        <w:tc>
          <w:tcPr>
            <w:tcW w:w="1200" w:type="dxa"/>
            <w:tcBorders>
              <w:top w:val="nil"/>
              <w:left w:val="nil"/>
              <w:bottom w:val="nil"/>
              <w:right w:val="nil"/>
            </w:tcBorders>
            <w:shd w:val="clear" w:color="000000" w:fill="FFFFFF"/>
            <w:vAlign w:val="center"/>
            <w:hideMark/>
          </w:tcPr>
          <w:p w14:paraId="62FEE9DB" w14:textId="77777777" w:rsidR="0030310C" w:rsidRPr="007112E7" w:rsidRDefault="0030310C" w:rsidP="00D3046B">
            <w:pPr>
              <w:jc w:val="center"/>
              <w:rPr>
                <w:rFonts w:ascii="Arial" w:hAnsi="Arial" w:cs="Arial"/>
                <w:sz w:val="16"/>
                <w:szCs w:val="16"/>
                <w:lang w:eastAsia="en-AU"/>
              </w:rPr>
            </w:pPr>
            <w:r w:rsidRPr="007112E7">
              <w:rPr>
                <w:rFonts w:ascii="Arial" w:hAnsi="Arial" w:cs="Arial"/>
                <w:sz w:val="16"/>
                <w:szCs w:val="16"/>
                <w:lang w:eastAsia="en-AU"/>
              </w:rPr>
              <w:t>4.8</w:t>
            </w:r>
          </w:p>
        </w:tc>
      </w:tr>
      <w:tr w:rsidR="0030310C" w:rsidRPr="007112E7" w14:paraId="31A8D68D" w14:textId="77777777" w:rsidTr="00D3046B">
        <w:trPr>
          <w:trHeight w:val="240"/>
        </w:trPr>
        <w:tc>
          <w:tcPr>
            <w:tcW w:w="3724" w:type="dxa"/>
            <w:tcBorders>
              <w:top w:val="nil"/>
              <w:left w:val="nil"/>
              <w:bottom w:val="nil"/>
              <w:right w:val="nil"/>
            </w:tcBorders>
            <w:shd w:val="clear" w:color="000000" w:fill="FFFFFF"/>
            <w:vAlign w:val="center"/>
            <w:hideMark/>
          </w:tcPr>
          <w:p w14:paraId="09C8767C" w14:textId="77777777" w:rsidR="0030310C" w:rsidRPr="007112E7" w:rsidRDefault="0030310C" w:rsidP="00D3046B">
            <w:pPr>
              <w:ind w:firstLineChars="200" w:firstLine="320"/>
              <w:rPr>
                <w:rFonts w:ascii="Arial" w:hAnsi="Arial" w:cs="Arial"/>
                <w:sz w:val="16"/>
                <w:szCs w:val="16"/>
                <w:lang w:eastAsia="en-AU"/>
              </w:rPr>
            </w:pPr>
            <w:r w:rsidRPr="007112E7">
              <w:rPr>
                <w:rFonts w:ascii="Arial" w:hAnsi="Arial" w:cs="Arial"/>
                <w:sz w:val="16"/>
                <w:szCs w:val="16"/>
                <w:lang w:eastAsia="en-AU"/>
              </w:rPr>
              <w:t>Other general purpose grants</w:t>
            </w:r>
          </w:p>
        </w:tc>
        <w:tc>
          <w:tcPr>
            <w:tcW w:w="816" w:type="dxa"/>
            <w:tcBorders>
              <w:top w:val="nil"/>
              <w:left w:val="nil"/>
              <w:bottom w:val="nil"/>
              <w:right w:val="nil"/>
            </w:tcBorders>
            <w:shd w:val="clear" w:color="000000" w:fill="FFFFFF"/>
            <w:noWrap/>
            <w:vAlign w:val="center"/>
            <w:hideMark/>
          </w:tcPr>
          <w:p w14:paraId="6A7616C9"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 xml:space="preserve"> 5 </w:t>
            </w:r>
          </w:p>
        </w:tc>
        <w:tc>
          <w:tcPr>
            <w:tcW w:w="816" w:type="dxa"/>
            <w:tcBorders>
              <w:top w:val="nil"/>
              <w:left w:val="nil"/>
              <w:bottom w:val="nil"/>
              <w:right w:val="nil"/>
            </w:tcBorders>
            <w:shd w:val="clear" w:color="000000" w:fill="F2F2F2"/>
            <w:noWrap/>
            <w:vAlign w:val="center"/>
            <w:hideMark/>
          </w:tcPr>
          <w:p w14:paraId="4F550F82"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 xml:space="preserve"> 2 </w:t>
            </w:r>
          </w:p>
        </w:tc>
        <w:tc>
          <w:tcPr>
            <w:tcW w:w="816" w:type="dxa"/>
            <w:tcBorders>
              <w:top w:val="nil"/>
              <w:left w:val="nil"/>
              <w:bottom w:val="nil"/>
              <w:right w:val="nil"/>
            </w:tcBorders>
            <w:shd w:val="clear" w:color="000000" w:fill="F2F2F2"/>
            <w:noWrap/>
            <w:vAlign w:val="center"/>
            <w:hideMark/>
          </w:tcPr>
          <w:p w14:paraId="0D40DD0D"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 xml:space="preserve"> 33 </w:t>
            </w:r>
          </w:p>
        </w:tc>
        <w:tc>
          <w:tcPr>
            <w:tcW w:w="816" w:type="dxa"/>
            <w:tcBorders>
              <w:top w:val="nil"/>
              <w:left w:val="nil"/>
              <w:bottom w:val="nil"/>
              <w:right w:val="nil"/>
            </w:tcBorders>
            <w:shd w:val="clear" w:color="000000" w:fill="F2F2F2"/>
            <w:noWrap/>
            <w:vAlign w:val="center"/>
            <w:hideMark/>
          </w:tcPr>
          <w:p w14:paraId="0C6CE1A4"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 xml:space="preserve"> 8 </w:t>
            </w:r>
          </w:p>
        </w:tc>
        <w:tc>
          <w:tcPr>
            <w:tcW w:w="816" w:type="dxa"/>
            <w:tcBorders>
              <w:top w:val="nil"/>
              <w:left w:val="nil"/>
              <w:bottom w:val="nil"/>
              <w:right w:val="nil"/>
            </w:tcBorders>
            <w:shd w:val="clear" w:color="000000" w:fill="F2F2F2"/>
            <w:noWrap/>
            <w:vAlign w:val="center"/>
            <w:hideMark/>
          </w:tcPr>
          <w:p w14:paraId="4819009B"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 xml:space="preserve"> - </w:t>
            </w:r>
          </w:p>
        </w:tc>
        <w:tc>
          <w:tcPr>
            <w:tcW w:w="816" w:type="dxa"/>
            <w:tcBorders>
              <w:top w:val="nil"/>
              <w:left w:val="nil"/>
              <w:bottom w:val="nil"/>
              <w:right w:val="nil"/>
            </w:tcBorders>
            <w:shd w:val="clear" w:color="000000" w:fill="F2F2F2"/>
            <w:noWrap/>
            <w:vAlign w:val="center"/>
            <w:hideMark/>
          </w:tcPr>
          <w:p w14:paraId="023924B6"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 xml:space="preserve"> - </w:t>
            </w:r>
          </w:p>
        </w:tc>
        <w:tc>
          <w:tcPr>
            <w:tcW w:w="1200" w:type="dxa"/>
            <w:tcBorders>
              <w:top w:val="nil"/>
              <w:left w:val="nil"/>
              <w:bottom w:val="nil"/>
              <w:right w:val="nil"/>
            </w:tcBorders>
            <w:shd w:val="clear" w:color="000000" w:fill="FFFFFF"/>
            <w:vAlign w:val="center"/>
            <w:hideMark/>
          </w:tcPr>
          <w:p w14:paraId="65420AE5" w14:textId="77777777" w:rsidR="0030310C" w:rsidRPr="007112E7" w:rsidRDefault="0030310C" w:rsidP="00D3046B">
            <w:pPr>
              <w:jc w:val="center"/>
              <w:rPr>
                <w:rFonts w:ascii="Arial" w:hAnsi="Arial" w:cs="Arial"/>
                <w:sz w:val="16"/>
                <w:szCs w:val="16"/>
                <w:lang w:eastAsia="en-AU"/>
              </w:rPr>
            </w:pPr>
            <w:r w:rsidRPr="007112E7">
              <w:rPr>
                <w:rFonts w:ascii="Arial" w:hAnsi="Arial" w:cs="Arial"/>
                <w:sz w:val="16"/>
                <w:szCs w:val="16"/>
                <w:lang w:eastAsia="en-AU"/>
              </w:rPr>
              <w:t>(100.0)</w:t>
            </w:r>
          </w:p>
        </w:tc>
      </w:tr>
      <w:tr w:rsidR="0030310C" w:rsidRPr="007112E7" w14:paraId="0CB4ED23" w14:textId="77777777" w:rsidTr="00D3046B">
        <w:trPr>
          <w:trHeight w:val="240"/>
        </w:trPr>
        <w:tc>
          <w:tcPr>
            <w:tcW w:w="3724" w:type="dxa"/>
            <w:tcBorders>
              <w:top w:val="nil"/>
              <w:left w:val="nil"/>
              <w:bottom w:val="nil"/>
              <w:right w:val="nil"/>
            </w:tcBorders>
            <w:shd w:val="clear" w:color="000000" w:fill="FFFFFF"/>
            <w:vAlign w:val="center"/>
            <w:hideMark/>
          </w:tcPr>
          <w:p w14:paraId="353BA428" w14:textId="77777777" w:rsidR="0030310C" w:rsidRPr="007112E7" w:rsidRDefault="0030310C" w:rsidP="00D3046B">
            <w:pPr>
              <w:rPr>
                <w:rFonts w:ascii="Arial" w:hAnsi="Arial" w:cs="Arial"/>
                <w:sz w:val="16"/>
                <w:szCs w:val="16"/>
                <w:lang w:eastAsia="en-AU"/>
              </w:rPr>
            </w:pPr>
            <w:r w:rsidRPr="007112E7">
              <w:rPr>
                <w:rFonts w:ascii="Arial" w:hAnsi="Arial" w:cs="Arial"/>
                <w:sz w:val="16"/>
                <w:szCs w:val="16"/>
                <w:lang w:eastAsia="en-AU"/>
              </w:rPr>
              <w:t>Commonwealth - National Agreements</w:t>
            </w:r>
          </w:p>
        </w:tc>
        <w:tc>
          <w:tcPr>
            <w:tcW w:w="816" w:type="dxa"/>
            <w:tcBorders>
              <w:top w:val="nil"/>
              <w:left w:val="nil"/>
              <w:bottom w:val="nil"/>
              <w:right w:val="nil"/>
            </w:tcBorders>
            <w:shd w:val="clear" w:color="000000" w:fill="FFFFFF"/>
            <w:noWrap/>
            <w:vAlign w:val="center"/>
            <w:hideMark/>
          </w:tcPr>
          <w:p w14:paraId="4C157091"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 xml:space="preserve">11,999 </w:t>
            </w:r>
          </w:p>
        </w:tc>
        <w:tc>
          <w:tcPr>
            <w:tcW w:w="816" w:type="dxa"/>
            <w:tcBorders>
              <w:top w:val="nil"/>
              <w:left w:val="nil"/>
              <w:bottom w:val="nil"/>
              <w:right w:val="nil"/>
            </w:tcBorders>
            <w:shd w:val="clear" w:color="000000" w:fill="F2F2F2"/>
            <w:noWrap/>
            <w:vAlign w:val="center"/>
            <w:hideMark/>
          </w:tcPr>
          <w:p w14:paraId="6D8C42F0"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 xml:space="preserve">13,209 </w:t>
            </w:r>
          </w:p>
        </w:tc>
        <w:tc>
          <w:tcPr>
            <w:tcW w:w="816" w:type="dxa"/>
            <w:tcBorders>
              <w:top w:val="nil"/>
              <w:left w:val="nil"/>
              <w:bottom w:val="nil"/>
              <w:right w:val="nil"/>
            </w:tcBorders>
            <w:shd w:val="clear" w:color="000000" w:fill="F2F2F2"/>
            <w:noWrap/>
            <w:vAlign w:val="center"/>
            <w:hideMark/>
          </w:tcPr>
          <w:p w14:paraId="38F0F057"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 xml:space="preserve">12,476 </w:t>
            </w:r>
          </w:p>
        </w:tc>
        <w:tc>
          <w:tcPr>
            <w:tcW w:w="816" w:type="dxa"/>
            <w:tcBorders>
              <w:top w:val="nil"/>
              <w:left w:val="nil"/>
              <w:bottom w:val="nil"/>
              <w:right w:val="nil"/>
            </w:tcBorders>
            <w:shd w:val="clear" w:color="000000" w:fill="F2F2F2"/>
            <w:noWrap/>
            <w:vAlign w:val="center"/>
            <w:hideMark/>
          </w:tcPr>
          <w:p w14:paraId="0E411CE4"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 xml:space="preserve">12,969 </w:t>
            </w:r>
          </w:p>
        </w:tc>
        <w:tc>
          <w:tcPr>
            <w:tcW w:w="816" w:type="dxa"/>
            <w:tcBorders>
              <w:top w:val="nil"/>
              <w:left w:val="nil"/>
              <w:bottom w:val="nil"/>
              <w:right w:val="nil"/>
            </w:tcBorders>
            <w:shd w:val="clear" w:color="000000" w:fill="F2F2F2"/>
            <w:noWrap/>
            <w:vAlign w:val="center"/>
            <w:hideMark/>
          </w:tcPr>
          <w:p w14:paraId="72FDFDCA"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 xml:space="preserve">13,622 </w:t>
            </w:r>
          </w:p>
        </w:tc>
        <w:tc>
          <w:tcPr>
            <w:tcW w:w="816" w:type="dxa"/>
            <w:tcBorders>
              <w:top w:val="nil"/>
              <w:left w:val="nil"/>
              <w:bottom w:val="nil"/>
              <w:right w:val="nil"/>
            </w:tcBorders>
            <w:shd w:val="clear" w:color="000000" w:fill="F2F2F2"/>
            <w:noWrap/>
            <w:vAlign w:val="center"/>
            <w:hideMark/>
          </w:tcPr>
          <w:p w14:paraId="14FE199C"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 xml:space="preserve">14,317 </w:t>
            </w:r>
          </w:p>
        </w:tc>
        <w:tc>
          <w:tcPr>
            <w:tcW w:w="1200" w:type="dxa"/>
            <w:tcBorders>
              <w:top w:val="nil"/>
              <w:left w:val="nil"/>
              <w:bottom w:val="nil"/>
              <w:right w:val="nil"/>
            </w:tcBorders>
            <w:shd w:val="clear" w:color="000000" w:fill="FFFFFF"/>
            <w:vAlign w:val="center"/>
            <w:hideMark/>
          </w:tcPr>
          <w:p w14:paraId="73292673" w14:textId="77777777" w:rsidR="0030310C" w:rsidRPr="007112E7" w:rsidRDefault="0030310C" w:rsidP="00D3046B">
            <w:pPr>
              <w:jc w:val="center"/>
              <w:rPr>
                <w:rFonts w:ascii="Arial" w:hAnsi="Arial" w:cs="Arial"/>
                <w:sz w:val="16"/>
                <w:szCs w:val="16"/>
                <w:lang w:eastAsia="en-AU"/>
              </w:rPr>
            </w:pPr>
            <w:r w:rsidRPr="007112E7">
              <w:rPr>
                <w:rFonts w:ascii="Arial" w:hAnsi="Arial" w:cs="Arial"/>
                <w:sz w:val="16"/>
                <w:szCs w:val="16"/>
                <w:lang w:eastAsia="en-AU"/>
              </w:rPr>
              <w:t>2.0</w:t>
            </w:r>
          </w:p>
        </w:tc>
      </w:tr>
      <w:tr w:rsidR="0030310C" w:rsidRPr="007112E7" w14:paraId="390BC7B4" w14:textId="77777777" w:rsidTr="00D3046B">
        <w:trPr>
          <w:trHeight w:val="240"/>
        </w:trPr>
        <w:tc>
          <w:tcPr>
            <w:tcW w:w="3724" w:type="dxa"/>
            <w:tcBorders>
              <w:top w:val="nil"/>
              <w:left w:val="nil"/>
              <w:bottom w:val="nil"/>
              <w:right w:val="nil"/>
            </w:tcBorders>
            <w:shd w:val="clear" w:color="000000" w:fill="FFFFFF"/>
            <w:vAlign w:val="center"/>
            <w:hideMark/>
          </w:tcPr>
          <w:p w14:paraId="13FA05CC" w14:textId="77777777" w:rsidR="0030310C" w:rsidRPr="007112E7" w:rsidRDefault="0030310C" w:rsidP="00D3046B">
            <w:pPr>
              <w:rPr>
                <w:rFonts w:ascii="Arial" w:hAnsi="Arial" w:cs="Arial"/>
                <w:sz w:val="16"/>
                <w:szCs w:val="16"/>
                <w:lang w:eastAsia="en-AU"/>
              </w:rPr>
            </w:pPr>
            <w:r w:rsidRPr="007112E7">
              <w:rPr>
                <w:rFonts w:ascii="Arial" w:hAnsi="Arial" w:cs="Arial"/>
                <w:sz w:val="16"/>
                <w:szCs w:val="16"/>
                <w:lang w:eastAsia="en-AU"/>
              </w:rPr>
              <w:t>Commonwealth - Federation Funding Agreements</w:t>
            </w:r>
          </w:p>
        </w:tc>
        <w:tc>
          <w:tcPr>
            <w:tcW w:w="816" w:type="dxa"/>
            <w:tcBorders>
              <w:top w:val="nil"/>
              <w:left w:val="nil"/>
              <w:bottom w:val="nil"/>
              <w:right w:val="nil"/>
            </w:tcBorders>
            <w:shd w:val="clear" w:color="000000" w:fill="FFFFFF"/>
            <w:noWrap/>
            <w:vAlign w:val="center"/>
            <w:hideMark/>
          </w:tcPr>
          <w:p w14:paraId="79BD31C8"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 xml:space="preserve">3,618 </w:t>
            </w:r>
          </w:p>
        </w:tc>
        <w:tc>
          <w:tcPr>
            <w:tcW w:w="816" w:type="dxa"/>
            <w:tcBorders>
              <w:top w:val="nil"/>
              <w:left w:val="nil"/>
              <w:bottom w:val="nil"/>
              <w:right w:val="nil"/>
            </w:tcBorders>
            <w:shd w:val="clear" w:color="000000" w:fill="F2F2F2"/>
            <w:noWrap/>
            <w:vAlign w:val="center"/>
            <w:hideMark/>
          </w:tcPr>
          <w:p w14:paraId="6A2BBB37"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 xml:space="preserve">7,108 </w:t>
            </w:r>
          </w:p>
        </w:tc>
        <w:tc>
          <w:tcPr>
            <w:tcW w:w="816" w:type="dxa"/>
            <w:tcBorders>
              <w:top w:val="nil"/>
              <w:left w:val="nil"/>
              <w:bottom w:val="nil"/>
              <w:right w:val="nil"/>
            </w:tcBorders>
            <w:shd w:val="clear" w:color="000000" w:fill="F2F2F2"/>
            <w:noWrap/>
            <w:vAlign w:val="center"/>
            <w:hideMark/>
          </w:tcPr>
          <w:p w14:paraId="2ABA2D09"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 xml:space="preserve">3,502 </w:t>
            </w:r>
          </w:p>
        </w:tc>
        <w:tc>
          <w:tcPr>
            <w:tcW w:w="816" w:type="dxa"/>
            <w:tcBorders>
              <w:top w:val="nil"/>
              <w:left w:val="nil"/>
              <w:bottom w:val="nil"/>
              <w:right w:val="nil"/>
            </w:tcBorders>
            <w:shd w:val="clear" w:color="000000" w:fill="F2F2F2"/>
            <w:noWrap/>
            <w:vAlign w:val="center"/>
            <w:hideMark/>
          </w:tcPr>
          <w:p w14:paraId="435E7601"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 xml:space="preserve">5,354 </w:t>
            </w:r>
          </w:p>
        </w:tc>
        <w:tc>
          <w:tcPr>
            <w:tcW w:w="816" w:type="dxa"/>
            <w:tcBorders>
              <w:top w:val="nil"/>
              <w:left w:val="nil"/>
              <w:bottom w:val="nil"/>
              <w:right w:val="nil"/>
            </w:tcBorders>
            <w:shd w:val="clear" w:color="000000" w:fill="F2F2F2"/>
            <w:noWrap/>
            <w:vAlign w:val="center"/>
            <w:hideMark/>
          </w:tcPr>
          <w:p w14:paraId="19E1E5FF"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 xml:space="preserve">5,802 </w:t>
            </w:r>
          </w:p>
        </w:tc>
        <w:tc>
          <w:tcPr>
            <w:tcW w:w="816" w:type="dxa"/>
            <w:tcBorders>
              <w:top w:val="nil"/>
              <w:left w:val="nil"/>
              <w:bottom w:val="nil"/>
              <w:right w:val="nil"/>
            </w:tcBorders>
            <w:shd w:val="clear" w:color="000000" w:fill="F2F2F2"/>
            <w:noWrap/>
            <w:vAlign w:val="center"/>
            <w:hideMark/>
          </w:tcPr>
          <w:p w14:paraId="0A41351E"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 xml:space="preserve">4,784 </w:t>
            </w:r>
          </w:p>
        </w:tc>
        <w:tc>
          <w:tcPr>
            <w:tcW w:w="1200" w:type="dxa"/>
            <w:tcBorders>
              <w:top w:val="nil"/>
              <w:left w:val="nil"/>
              <w:bottom w:val="nil"/>
              <w:right w:val="nil"/>
            </w:tcBorders>
            <w:shd w:val="clear" w:color="000000" w:fill="FFFFFF"/>
            <w:vAlign w:val="center"/>
            <w:hideMark/>
          </w:tcPr>
          <w:p w14:paraId="029F6C56" w14:textId="77777777" w:rsidR="0030310C" w:rsidRPr="007112E7" w:rsidRDefault="0030310C" w:rsidP="00D3046B">
            <w:pPr>
              <w:jc w:val="center"/>
              <w:rPr>
                <w:rFonts w:ascii="Arial" w:hAnsi="Arial" w:cs="Arial"/>
                <w:sz w:val="16"/>
                <w:szCs w:val="16"/>
                <w:lang w:eastAsia="en-AU"/>
              </w:rPr>
            </w:pPr>
            <w:r w:rsidRPr="007112E7">
              <w:rPr>
                <w:rFonts w:ascii="Arial" w:hAnsi="Arial" w:cs="Arial"/>
                <w:sz w:val="16"/>
                <w:szCs w:val="16"/>
                <w:lang w:eastAsia="en-AU"/>
              </w:rPr>
              <w:t>(9.4)</w:t>
            </w:r>
          </w:p>
        </w:tc>
      </w:tr>
      <w:tr w:rsidR="0030310C" w:rsidRPr="007112E7" w14:paraId="0A7F6E08" w14:textId="77777777" w:rsidTr="00D3046B">
        <w:trPr>
          <w:trHeight w:val="240"/>
        </w:trPr>
        <w:tc>
          <w:tcPr>
            <w:tcW w:w="3724" w:type="dxa"/>
            <w:tcBorders>
              <w:top w:val="nil"/>
              <w:left w:val="nil"/>
              <w:bottom w:val="nil"/>
              <w:right w:val="nil"/>
            </w:tcBorders>
            <w:shd w:val="clear" w:color="000000" w:fill="FFFFFF"/>
            <w:vAlign w:val="center"/>
            <w:hideMark/>
          </w:tcPr>
          <w:p w14:paraId="13F92188" w14:textId="77777777" w:rsidR="0030310C" w:rsidRPr="007112E7" w:rsidRDefault="0030310C" w:rsidP="00D3046B">
            <w:pPr>
              <w:rPr>
                <w:rFonts w:ascii="Arial" w:hAnsi="Arial" w:cs="Arial"/>
                <w:sz w:val="16"/>
                <w:szCs w:val="16"/>
                <w:lang w:eastAsia="en-AU"/>
              </w:rPr>
            </w:pPr>
            <w:r w:rsidRPr="007112E7">
              <w:rPr>
                <w:rFonts w:ascii="Arial" w:hAnsi="Arial" w:cs="Arial"/>
                <w:sz w:val="16"/>
                <w:szCs w:val="16"/>
                <w:lang w:eastAsia="en-AU"/>
              </w:rPr>
              <w:t xml:space="preserve">Other Commonwealth payments </w:t>
            </w:r>
          </w:p>
        </w:tc>
        <w:tc>
          <w:tcPr>
            <w:tcW w:w="816" w:type="dxa"/>
            <w:tcBorders>
              <w:top w:val="nil"/>
              <w:left w:val="nil"/>
              <w:bottom w:val="nil"/>
              <w:right w:val="nil"/>
            </w:tcBorders>
            <w:shd w:val="clear" w:color="000000" w:fill="FFFFFF"/>
            <w:noWrap/>
            <w:vAlign w:val="center"/>
            <w:hideMark/>
          </w:tcPr>
          <w:p w14:paraId="5788206B"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 xml:space="preserve"> 451 </w:t>
            </w:r>
          </w:p>
        </w:tc>
        <w:tc>
          <w:tcPr>
            <w:tcW w:w="816" w:type="dxa"/>
            <w:tcBorders>
              <w:top w:val="nil"/>
              <w:left w:val="nil"/>
              <w:bottom w:val="nil"/>
              <w:right w:val="nil"/>
            </w:tcBorders>
            <w:shd w:val="clear" w:color="000000" w:fill="F2F2F2"/>
            <w:noWrap/>
            <w:vAlign w:val="center"/>
            <w:hideMark/>
          </w:tcPr>
          <w:p w14:paraId="1C5083B0"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 xml:space="preserve"> 524 </w:t>
            </w:r>
          </w:p>
        </w:tc>
        <w:tc>
          <w:tcPr>
            <w:tcW w:w="816" w:type="dxa"/>
            <w:tcBorders>
              <w:top w:val="nil"/>
              <w:left w:val="nil"/>
              <w:bottom w:val="nil"/>
              <w:right w:val="nil"/>
            </w:tcBorders>
            <w:shd w:val="clear" w:color="000000" w:fill="F2F2F2"/>
            <w:noWrap/>
            <w:vAlign w:val="center"/>
            <w:hideMark/>
          </w:tcPr>
          <w:p w14:paraId="57D8B01B"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 xml:space="preserve"> 586 </w:t>
            </w:r>
          </w:p>
        </w:tc>
        <w:tc>
          <w:tcPr>
            <w:tcW w:w="816" w:type="dxa"/>
            <w:tcBorders>
              <w:top w:val="nil"/>
              <w:left w:val="nil"/>
              <w:bottom w:val="nil"/>
              <w:right w:val="nil"/>
            </w:tcBorders>
            <w:shd w:val="clear" w:color="000000" w:fill="F2F2F2"/>
            <w:noWrap/>
            <w:vAlign w:val="center"/>
            <w:hideMark/>
          </w:tcPr>
          <w:p w14:paraId="2EE8EC5A"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 xml:space="preserve"> 611 </w:t>
            </w:r>
          </w:p>
        </w:tc>
        <w:tc>
          <w:tcPr>
            <w:tcW w:w="816" w:type="dxa"/>
            <w:tcBorders>
              <w:top w:val="nil"/>
              <w:left w:val="nil"/>
              <w:bottom w:val="nil"/>
              <w:right w:val="nil"/>
            </w:tcBorders>
            <w:shd w:val="clear" w:color="000000" w:fill="F2F2F2"/>
            <w:noWrap/>
            <w:vAlign w:val="center"/>
            <w:hideMark/>
          </w:tcPr>
          <w:p w14:paraId="38C00BCB"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 xml:space="preserve"> 703 </w:t>
            </w:r>
          </w:p>
        </w:tc>
        <w:tc>
          <w:tcPr>
            <w:tcW w:w="816" w:type="dxa"/>
            <w:tcBorders>
              <w:top w:val="nil"/>
              <w:left w:val="nil"/>
              <w:bottom w:val="nil"/>
              <w:right w:val="nil"/>
            </w:tcBorders>
            <w:shd w:val="clear" w:color="000000" w:fill="F2F2F2"/>
            <w:noWrap/>
            <w:vAlign w:val="center"/>
            <w:hideMark/>
          </w:tcPr>
          <w:p w14:paraId="3A912F15"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 xml:space="preserve"> 733 </w:t>
            </w:r>
          </w:p>
        </w:tc>
        <w:tc>
          <w:tcPr>
            <w:tcW w:w="1200" w:type="dxa"/>
            <w:tcBorders>
              <w:top w:val="nil"/>
              <w:left w:val="nil"/>
              <w:bottom w:val="nil"/>
              <w:right w:val="nil"/>
            </w:tcBorders>
            <w:shd w:val="clear" w:color="000000" w:fill="FFFFFF"/>
            <w:vAlign w:val="center"/>
            <w:hideMark/>
          </w:tcPr>
          <w:p w14:paraId="6EC80547" w14:textId="77777777" w:rsidR="0030310C" w:rsidRPr="007112E7" w:rsidRDefault="0030310C" w:rsidP="00D3046B">
            <w:pPr>
              <w:jc w:val="center"/>
              <w:rPr>
                <w:rFonts w:ascii="Arial" w:hAnsi="Arial" w:cs="Arial"/>
                <w:sz w:val="16"/>
                <w:szCs w:val="16"/>
                <w:lang w:eastAsia="en-AU"/>
              </w:rPr>
            </w:pPr>
            <w:r w:rsidRPr="007112E7">
              <w:rPr>
                <w:rFonts w:ascii="Arial" w:hAnsi="Arial" w:cs="Arial"/>
                <w:sz w:val="16"/>
                <w:szCs w:val="16"/>
                <w:lang w:eastAsia="en-AU"/>
              </w:rPr>
              <w:t>8.8</w:t>
            </w:r>
          </w:p>
        </w:tc>
      </w:tr>
      <w:tr w:rsidR="00E61986" w:rsidRPr="00E61986" w14:paraId="32E76092" w14:textId="77777777" w:rsidTr="00D3046B">
        <w:trPr>
          <w:trHeight w:val="240"/>
        </w:trPr>
        <w:tc>
          <w:tcPr>
            <w:tcW w:w="3724" w:type="dxa"/>
            <w:tcBorders>
              <w:top w:val="nil"/>
              <w:left w:val="nil"/>
              <w:bottom w:val="nil"/>
              <w:right w:val="nil"/>
            </w:tcBorders>
            <w:shd w:val="clear" w:color="000000" w:fill="FFFFFF"/>
            <w:vAlign w:val="center"/>
            <w:hideMark/>
          </w:tcPr>
          <w:p w14:paraId="55ACD87C" w14:textId="77777777" w:rsidR="0030310C" w:rsidRPr="00E61986" w:rsidRDefault="0030310C" w:rsidP="00D3046B">
            <w:pPr>
              <w:rPr>
                <w:rFonts w:ascii="Arial" w:hAnsi="Arial" w:cs="Arial"/>
                <w:b/>
                <w:bCs/>
                <w:color w:val="0079B9"/>
                <w:sz w:val="16"/>
                <w:szCs w:val="16"/>
                <w:lang w:eastAsia="en-AU"/>
              </w:rPr>
            </w:pPr>
            <w:r w:rsidRPr="00E61986">
              <w:rPr>
                <w:rFonts w:ascii="Arial" w:hAnsi="Arial" w:cs="Arial"/>
                <w:b/>
                <w:bCs/>
                <w:color w:val="0079B9"/>
                <w:sz w:val="16"/>
                <w:szCs w:val="16"/>
                <w:lang w:eastAsia="en-AU"/>
              </w:rPr>
              <w:t>Total Commonwealth grants</w:t>
            </w:r>
          </w:p>
        </w:tc>
        <w:tc>
          <w:tcPr>
            <w:tcW w:w="816" w:type="dxa"/>
            <w:tcBorders>
              <w:top w:val="nil"/>
              <w:left w:val="nil"/>
              <w:bottom w:val="nil"/>
              <w:right w:val="nil"/>
            </w:tcBorders>
            <w:shd w:val="clear" w:color="000000" w:fill="FFFFFF"/>
            <w:noWrap/>
            <w:vAlign w:val="center"/>
            <w:hideMark/>
          </w:tcPr>
          <w:p w14:paraId="62F9F3FF" w14:textId="77777777" w:rsidR="0030310C" w:rsidRPr="00E61986" w:rsidRDefault="0030310C" w:rsidP="00D3046B">
            <w:pPr>
              <w:jc w:val="right"/>
              <w:rPr>
                <w:rFonts w:ascii="Arial" w:hAnsi="Arial" w:cs="Arial"/>
                <w:b/>
                <w:bCs/>
                <w:color w:val="0079B9"/>
                <w:sz w:val="16"/>
                <w:szCs w:val="16"/>
                <w:lang w:eastAsia="en-AU"/>
              </w:rPr>
            </w:pPr>
            <w:r w:rsidRPr="00E61986">
              <w:rPr>
                <w:rFonts w:ascii="Arial" w:hAnsi="Arial" w:cs="Arial"/>
                <w:b/>
                <w:bCs/>
                <w:color w:val="0079B9"/>
                <w:sz w:val="16"/>
                <w:szCs w:val="16"/>
                <w:lang w:eastAsia="en-AU"/>
              </w:rPr>
              <w:t>34,965</w:t>
            </w:r>
          </w:p>
        </w:tc>
        <w:tc>
          <w:tcPr>
            <w:tcW w:w="816" w:type="dxa"/>
            <w:tcBorders>
              <w:top w:val="nil"/>
              <w:left w:val="nil"/>
              <w:bottom w:val="nil"/>
              <w:right w:val="nil"/>
            </w:tcBorders>
            <w:shd w:val="clear" w:color="000000" w:fill="F2F2F2"/>
            <w:noWrap/>
            <w:vAlign w:val="center"/>
            <w:hideMark/>
          </w:tcPr>
          <w:p w14:paraId="2A126D82" w14:textId="77777777" w:rsidR="0030310C" w:rsidRPr="00E61986" w:rsidRDefault="0030310C" w:rsidP="00D3046B">
            <w:pPr>
              <w:jc w:val="right"/>
              <w:rPr>
                <w:rFonts w:ascii="Arial" w:hAnsi="Arial" w:cs="Arial"/>
                <w:b/>
                <w:bCs/>
                <w:color w:val="0079B9"/>
                <w:sz w:val="16"/>
                <w:szCs w:val="16"/>
                <w:lang w:eastAsia="en-AU"/>
              </w:rPr>
            </w:pPr>
            <w:r w:rsidRPr="00E61986">
              <w:rPr>
                <w:rFonts w:ascii="Arial" w:hAnsi="Arial" w:cs="Arial"/>
                <w:b/>
                <w:bCs/>
                <w:color w:val="0079B9"/>
                <w:sz w:val="16"/>
                <w:szCs w:val="16"/>
                <w:lang w:eastAsia="en-AU"/>
              </w:rPr>
              <w:t>44,141</w:t>
            </w:r>
          </w:p>
        </w:tc>
        <w:tc>
          <w:tcPr>
            <w:tcW w:w="816" w:type="dxa"/>
            <w:tcBorders>
              <w:top w:val="nil"/>
              <w:left w:val="nil"/>
              <w:bottom w:val="nil"/>
              <w:right w:val="nil"/>
            </w:tcBorders>
            <w:shd w:val="clear" w:color="000000" w:fill="F2F2F2"/>
            <w:noWrap/>
            <w:vAlign w:val="center"/>
            <w:hideMark/>
          </w:tcPr>
          <w:p w14:paraId="1FFFCEF9" w14:textId="77777777" w:rsidR="0030310C" w:rsidRPr="00E61986" w:rsidRDefault="0030310C" w:rsidP="00D3046B">
            <w:pPr>
              <w:jc w:val="right"/>
              <w:rPr>
                <w:rFonts w:ascii="Arial" w:hAnsi="Arial" w:cs="Arial"/>
                <w:b/>
                <w:bCs/>
                <w:color w:val="0079B9"/>
                <w:sz w:val="16"/>
                <w:szCs w:val="16"/>
                <w:lang w:eastAsia="en-AU"/>
              </w:rPr>
            </w:pPr>
            <w:r w:rsidRPr="00E61986">
              <w:rPr>
                <w:rFonts w:ascii="Arial" w:hAnsi="Arial" w:cs="Arial"/>
                <w:b/>
                <w:bCs/>
                <w:color w:val="0079B9"/>
                <w:sz w:val="16"/>
                <w:szCs w:val="16"/>
                <w:lang w:eastAsia="en-AU"/>
              </w:rPr>
              <w:t>42,102</w:t>
            </w:r>
          </w:p>
        </w:tc>
        <w:tc>
          <w:tcPr>
            <w:tcW w:w="816" w:type="dxa"/>
            <w:tcBorders>
              <w:top w:val="nil"/>
              <w:left w:val="nil"/>
              <w:bottom w:val="nil"/>
              <w:right w:val="nil"/>
            </w:tcBorders>
            <w:shd w:val="clear" w:color="000000" w:fill="F2F2F2"/>
            <w:noWrap/>
            <w:vAlign w:val="center"/>
            <w:hideMark/>
          </w:tcPr>
          <w:p w14:paraId="33B3E985" w14:textId="77777777" w:rsidR="0030310C" w:rsidRPr="00E61986" w:rsidRDefault="0030310C" w:rsidP="00D3046B">
            <w:pPr>
              <w:jc w:val="right"/>
              <w:rPr>
                <w:rFonts w:ascii="Arial" w:hAnsi="Arial" w:cs="Arial"/>
                <w:b/>
                <w:bCs/>
                <w:color w:val="0079B9"/>
                <w:sz w:val="16"/>
                <w:szCs w:val="16"/>
                <w:lang w:eastAsia="en-AU"/>
              </w:rPr>
            </w:pPr>
            <w:r w:rsidRPr="00E61986">
              <w:rPr>
                <w:rFonts w:ascii="Arial" w:hAnsi="Arial" w:cs="Arial"/>
                <w:b/>
                <w:bCs/>
                <w:color w:val="0079B9"/>
                <w:sz w:val="16"/>
                <w:szCs w:val="16"/>
                <w:lang w:eastAsia="en-AU"/>
              </w:rPr>
              <w:t>45,238</w:t>
            </w:r>
          </w:p>
        </w:tc>
        <w:tc>
          <w:tcPr>
            <w:tcW w:w="816" w:type="dxa"/>
            <w:tcBorders>
              <w:top w:val="nil"/>
              <w:left w:val="nil"/>
              <w:bottom w:val="nil"/>
              <w:right w:val="nil"/>
            </w:tcBorders>
            <w:shd w:val="clear" w:color="000000" w:fill="F2F2F2"/>
            <w:noWrap/>
            <w:vAlign w:val="center"/>
            <w:hideMark/>
          </w:tcPr>
          <w:p w14:paraId="18125C99" w14:textId="77777777" w:rsidR="0030310C" w:rsidRPr="00E61986" w:rsidRDefault="0030310C" w:rsidP="00D3046B">
            <w:pPr>
              <w:jc w:val="right"/>
              <w:rPr>
                <w:rFonts w:ascii="Arial" w:hAnsi="Arial" w:cs="Arial"/>
                <w:b/>
                <w:bCs/>
                <w:color w:val="0079B9"/>
                <w:sz w:val="16"/>
                <w:szCs w:val="16"/>
                <w:lang w:eastAsia="en-AU"/>
              </w:rPr>
            </w:pPr>
            <w:r w:rsidRPr="00E61986">
              <w:rPr>
                <w:rFonts w:ascii="Arial" w:hAnsi="Arial" w:cs="Arial"/>
                <w:b/>
                <w:bCs/>
                <w:color w:val="0079B9"/>
                <w:sz w:val="16"/>
                <w:szCs w:val="16"/>
                <w:lang w:eastAsia="en-AU"/>
              </w:rPr>
              <w:t>47,261</w:t>
            </w:r>
          </w:p>
        </w:tc>
        <w:tc>
          <w:tcPr>
            <w:tcW w:w="816" w:type="dxa"/>
            <w:tcBorders>
              <w:top w:val="nil"/>
              <w:left w:val="nil"/>
              <w:bottom w:val="nil"/>
              <w:right w:val="nil"/>
            </w:tcBorders>
            <w:shd w:val="clear" w:color="000000" w:fill="F2F2F2"/>
            <w:noWrap/>
            <w:vAlign w:val="center"/>
            <w:hideMark/>
          </w:tcPr>
          <w:p w14:paraId="137725CA" w14:textId="77777777" w:rsidR="0030310C" w:rsidRPr="00E61986" w:rsidRDefault="0030310C" w:rsidP="00D3046B">
            <w:pPr>
              <w:jc w:val="right"/>
              <w:rPr>
                <w:rFonts w:ascii="Arial" w:hAnsi="Arial" w:cs="Arial"/>
                <w:b/>
                <w:bCs/>
                <w:color w:val="0079B9"/>
                <w:sz w:val="16"/>
                <w:szCs w:val="16"/>
                <w:lang w:eastAsia="en-AU"/>
              </w:rPr>
            </w:pPr>
            <w:r w:rsidRPr="00E61986">
              <w:rPr>
                <w:rFonts w:ascii="Arial" w:hAnsi="Arial" w:cs="Arial"/>
                <w:b/>
                <w:bCs/>
                <w:color w:val="0079B9"/>
                <w:sz w:val="16"/>
                <w:szCs w:val="16"/>
                <w:lang w:eastAsia="en-AU"/>
              </w:rPr>
              <w:t>47,982</w:t>
            </w:r>
          </w:p>
        </w:tc>
        <w:tc>
          <w:tcPr>
            <w:tcW w:w="1200" w:type="dxa"/>
            <w:tcBorders>
              <w:top w:val="nil"/>
              <w:left w:val="nil"/>
              <w:bottom w:val="nil"/>
              <w:right w:val="nil"/>
            </w:tcBorders>
            <w:shd w:val="clear" w:color="000000" w:fill="FFFFFF"/>
            <w:vAlign w:val="center"/>
            <w:hideMark/>
          </w:tcPr>
          <w:p w14:paraId="5CF15F71" w14:textId="77777777" w:rsidR="0030310C" w:rsidRPr="00E61986" w:rsidRDefault="0030310C" w:rsidP="00D3046B">
            <w:pPr>
              <w:jc w:val="center"/>
              <w:rPr>
                <w:rFonts w:ascii="Arial" w:hAnsi="Arial" w:cs="Arial"/>
                <w:color w:val="0079B9"/>
                <w:sz w:val="16"/>
                <w:szCs w:val="16"/>
                <w:lang w:eastAsia="en-AU"/>
              </w:rPr>
            </w:pPr>
            <w:r w:rsidRPr="00E61986">
              <w:rPr>
                <w:rFonts w:ascii="Arial" w:hAnsi="Arial" w:cs="Arial"/>
                <w:color w:val="0079B9"/>
                <w:sz w:val="16"/>
                <w:szCs w:val="16"/>
                <w:lang w:eastAsia="en-AU"/>
              </w:rPr>
              <w:t>2.1</w:t>
            </w:r>
          </w:p>
        </w:tc>
      </w:tr>
      <w:tr w:rsidR="0030310C" w:rsidRPr="007112E7" w14:paraId="73F6F65E" w14:textId="77777777" w:rsidTr="00D3046B">
        <w:trPr>
          <w:trHeight w:val="319"/>
        </w:trPr>
        <w:tc>
          <w:tcPr>
            <w:tcW w:w="3724" w:type="dxa"/>
            <w:tcBorders>
              <w:top w:val="nil"/>
              <w:left w:val="nil"/>
              <w:bottom w:val="nil"/>
              <w:right w:val="nil"/>
            </w:tcBorders>
            <w:shd w:val="clear" w:color="000000" w:fill="FFFFFF"/>
            <w:vAlign w:val="bottom"/>
            <w:hideMark/>
          </w:tcPr>
          <w:p w14:paraId="717097CE" w14:textId="77777777" w:rsidR="0030310C" w:rsidRPr="007112E7" w:rsidRDefault="0030310C" w:rsidP="00D3046B">
            <w:pPr>
              <w:rPr>
                <w:rFonts w:ascii="Arial" w:hAnsi="Arial" w:cs="Arial"/>
                <w:i/>
                <w:iCs/>
                <w:sz w:val="16"/>
                <w:szCs w:val="16"/>
                <w:lang w:eastAsia="en-AU"/>
              </w:rPr>
            </w:pPr>
            <w:r w:rsidRPr="007112E7">
              <w:rPr>
                <w:rFonts w:ascii="Arial" w:hAnsi="Arial" w:cs="Arial"/>
                <w:i/>
                <w:iCs/>
                <w:sz w:val="16"/>
                <w:szCs w:val="16"/>
                <w:lang w:eastAsia="en-AU"/>
              </w:rPr>
              <w:t>Annual change in Commonwealth grants</w:t>
            </w:r>
          </w:p>
        </w:tc>
        <w:tc>
          <w:tcPr>
            <w:tcW w:w="816" w:type="dxa"/>
            <w:tcBorders>
              <w:top w:val="nil"/>
              <w:left w:val="nil"/>
              <w:bottom w:val="nil"/>
              <w:right w:val="nil"/>
            </w:tcBorders>
            <w:shd w:val="clear" w:color="000000" w:fill="FFFFFF"/>
            <w:noWrap/>
            <w:vAlign w:val="bottom"/>
            <w:hideMark/>
          </w:tcPr>
          <w:p w14:paraId="077CA0B7" w14:textId="77777777" w:rsidR="0030310C" w:rsidRPr="007112E7" w:rsidRDefault="0030310C" w:rsidP="00D3046B">
            <w:pPr>
              <w:jc w:val="right"/>
              <w:rPr>
                <w:rFonts w:ascii="Arial" w:hAnsi="Arial" w:cs="Arial"/>
                <w:i/>
                <w:iCs/>
                <w:sz w:val="16"/>
                <w:szCs w:val="16"/>
                <w:lang w:eastAsia="en-AU"/>
              </w:rPr>
            </w:pPr>
            <w:r w:rsidRPr="007112E7">
              <w:rPr>
                <w:rFonts w:ascii="Arial" w:hAnsi="Arial" w:cs="Arial"/>
                <w:i/>
                <w:iCs/>
                <w:sz w:val="16"/>
                <w:szCs w:val="16"/>
                <w:lang w:eastAsia="en-AU"/>
              </w:rPr>
              <w:t>3.8%</w:t>
            </w:r>
          </w:p>
        </w:tc>
        <w:tc>
          <w:tcPr>
            <w:tcW w:w="816" w:type="dxa"/>
            <w:tcBorders>
              <w:top w:val="nil"/>
              <w:left w:val="nil"/>
              <w:bottom w:val="nil"/>
              <w:right w:val="nil"/>
            </w:tcBorders>
            <w:shd w:val="clear" w:color="000000" w:fill="F2F2F2"/>
            <w:noWrap/>
            <w:vAlign w:val="bottom"/>
            <w:hideMark/>
          </w:tcPr>
          <w:p w14:paraId="532E4F17" w14:textId="77777777" w:rsidR="0030310C" w:rsidRPr="007112E7" w:rsidRDefault="0030310C" w:rsidP="00D3046B">
            <w:pPr>
              <w:jc w:val="right"/>
              <w:rPr>
                <w:rFonts w:ascii="Arial" w:hAnsi="Arial" w:cs="Arial"/>
                <w:i/>
                <w:iCs/>
                <w:sz w:val="16"/>
                <w:szCs w:val="16"/>
                <w:lang w:eastAsia="en-AU"/>
              </w:rPr>
            </w:pPr>
            <w:r w:rsidRPr="007112E7">
              <w:rPr>
                <w:rFonts w:ascii="Arial" w:hAnsi="Arial" w:cs="Arial"/>
                <w:i/>
                <w:iCs/>
                <w:sz w:val="16"/>
                <w:szCs w:val="16"/>
                <w:lang w:eastAsia="en-AU"/>
              </w:rPr>
              <w:t>26.2%</w:t>
            </w:r>
          </w:p>
        </w:tc>
        <w:tc>
          <w:tcPr>
            <w:tcW w:w="816" w:type="dxa"/>
            <w:tcBorders>
              <w:top w:val="nil"/>
              <w:left w:val="nil"/>
              <w:bottom w:val="nil"/>
              <w:right w:val="nil"/>
            </w:tcBorders>
            <w:shd w:val="clear" w:color="000000" w:fill="F2F2F2"/>
            <w:noWrap/>
            <w:vAlign w:val="bottom"/>
            <w:hideMark/>
          </w:tcPr>
          <w:p w14:paraId="329D118E" w14:textId="77777777" w:rsidR="0030310C" w:rsidRPr="007112E7" w:rsidRDefault="0030310C" w:rsidP="00D3046B">
            <w:pPr>
              <w:jc w:val="right"/>
              <w:rPr>
                <w:rFonts w:ascii="Arial" w:hAnsi="Arial" w:cs="Arial"/>
                <w:i/>
                <w:iCs/>
                <w:sz w:val="16"/>
                <w:szCs w:val="16"/>
                <w:lang w:eastAsia="en-AU"/>
              </w:rPr>
            </w:pPr>
            <w:r w:rsidRPr="007112E7">
              <w:rPr>
                <w:rFonts w:ascii="Arial" w:hAnsi="Arial" w:cs="Arial"/>
                <w:i/>
                <w:iCs/>
                <w:sz w:val="16"/>
                <w:szCs w:val="16"/>
                <w:lang w:eastAsia="en-AU"/>
              </w:rPr>
              <w:t>-4.6%</w:t>
            </w:r>
          </w:p>
        </w:tc>
        <w:tc>
          <w:tcPr>
            <w:tcW w:w="816" w:type="dxa"/>
            <w:tcBorders>
              <w:top w:val="nil"/>
              <w:left w:val="nil"/>
              <w:bottom w:val="nil"/>
              <w:right w:val="nil"/>
            </w:tcBorders>
            <w:shd w:val="clear" w:color="000000" w:fill="F2F2F2"/>
            <w:noWrap/>
            <w:vAlign w:val="bottom"/>
            <w:hideMark/>
          </w:tcPr>
          <w:p w14:paraId="4EB73327" w14:textId="77777777" w:rsidR="0030310C" w:rsidRPr="007112E7" w:rsidRDefault="0030310C" w:rsidP="00D3046B">
            <w:pPr>
              <w:jc w:val="right"/>
              <w:rPr>
                <w:rFonts w:ascii="Arial" w:hAnsi="Arial" w:cs="Arial"/>
                <w:i/>
                <w:iCs/>
                <w:sz w:val="16"/>
                <w:szCs w:val="16"/>
                <w:lang w:eastAsia="en-AU"/>
              </w:rPr>
            </w:pPr>
            <w:r w:rsidRPr="007112E7">
              <w:rPr>
                <w:rFonts w:ascii="Arial" w:hAnsi="Arial" w:cs="Arial"/>
                <w:i/>
                <w:iCs/>
                <w:sz w:val="16"/>
                <w:szCs w:val="16"/>
                <w:lang w:eastAsia="en-AU"/>
              </w:rPr>
              <w:t>7.4%</w:t>
            </w:r>
          </w:p>
        </w:tc>
        <w:tc>
          <w:tcPr>
            <w:tcW w:w="816" w:type="dxa"/>
            <w:tcBorders>
              <w:top w:val="nil"/>
              <w:left w:val="nil"/>
              <w:bottom w:val="nil"/>
              <w:right w:val="nil"/>
            </w:tcBorders>
            <w:shd w:val="clear" w:color="000000" w:fill="F2F2F2"/>
            <w:noWrap/>
            <w:vAlign w:val="bottom"/>
            <w:hideMark/>
          </w:tcPr>
          <w:p w14:paraId="65322C58" w14:textId="77777777" w:rsidR="0030310C" w:rsidRPr="007112E7" w:rsidRDefault="0030310C" w:rsidP="00D3046B">
            <w:pPr>
              <w:jc w:val="right"/>
              <w:rPr>
                <w:rFonts w:ascii="Arial" w:hAnsi="Arial" w:cs="Arial"/>
                <w:i/>
                <w:iCs/>
                <w:sz w:val="16"/>
                <w:szCs w:val="16"/>
                <w:lang w:eastAsia="en-AU"/>
              </w:rPr>
            </w:pPr>
            <w:r w:rsidRPr="007112E7">
              <w:rPr>
                <w:rFonts w:ascii="Arial" w:hAnsi="Arial" w:cs="Arial"/>
                <w:i/>
                <w:iCs/>
                <w:sz w:val="16"/>
                <w:szCs w:val="16"/>
                <w:lang w:eastAsia="en-AU"/>
              </w:rPr>
              <w:t>4.5%</w:t>
            </w:r>
          </w:p>
        </w:tc>
        <w:tc>
          <w:tcPr>
            <w:tcW w:w="816" w:type="dxa"/>
            <w:tcBorders>
              <w:top w:val="nil"/>
              <w:left w:val="nil"/>
              <w:bottom w:val="nil"/>
              <w:right w:val="nil"/>
            </w:tcBorders>
            <w:shd w:val="clear" w:color="000000" w:fill="F2F2F2"/>
            <w:noWrap/>
            <w:vAlign w:val="bottom"/>
            <w:hideMark/>
          </w:tcPr>
          <w:p w14:paraId="50DC0941" w14:textId="77777777" w:rsidR="0030310C" w:rsidRPr="007112E7" w:rsidRDefault="0030310C" w:rsidP="00D3046B">
            <w:pPr>
              <w:jc w:val="right"/>
              <w:rPr>
                <w:rFonts w:ascii="Arial" w:hAnsi="Arial" w:cs="Arial"/>
                <w:i/>
                <w:iCs/>
                <w:sz w:val="16"/>
                <w:szCs w:val="16"/>
                <w:lang w:eastAsia="en-AU"/>
              </w:rPr>
            </w:pPr>
            <w:r w:rsidRPr="007112E7">
              <w:rPr>
                <w:rFonts w:ascii="Arial" w:hAnsi="Arial" w:cs="Arial"/>
                <w:i/>
                <w:iCs/>
                <w:sz w:val="16"/>
                <w:szCs w:val="16"/>
                <w:lang w:eastAsia="en-AU"/>
              </w:rPr>
              <w:t>1.5%</w:t>
            </w:r>
          </w:p>
        </w:tc>
        <w:tc>
          <w:tcPr>
            <w:tcW w:w="1200" w:type="dxa"/>
            <w:tcBorders>
              <w:top w:val="nil"/>
              <w:left w:val="nil"/>
              <w:bottom w:val="nil"/>
              <w:right w:val="nil"/>
            </w:tcBorders>
            <w:shd w:val="clear" w:color="000000" w:fill="FFFFFF"/>
            <w:vAlign w:val="center"/>
            <w:hideMark/>
          </w:tcPr>
          <w:p w14:paraId="245BE1ED" w14:textId="77777777" w:rsidR="0030310C" w:rsidRPr="007112E7" w:rsidRDefault="0030310C" w:rsidP="00D3046B">
            <w:pPr>
              <w:jc w:val="center"/>
              <w:rPr>
                <w:rFonts w:ascii="Arial" w:hAnsi="Arial" w:cs="Arial"/>
                <w:sz w:val="16"/>
                <w:szCs w:val="16"/>
                <w:lang w:eastAsia="en-AU"/>
              </w:rPr>
            </w:pPr>
            <w:r w:rsidRPr="007112E7">
              <w:rPr>
                <w:rFonts w:ascii="Arial" w:hAnsi="Arial" w:cs="Arial"/>
                <w:sz w:val="16"/>
                <w:szCs w:val="16"/>
                <w:lang w:eastAsia="en-AU"/>
              </w:rPr>
              <w:t> </w:t>
            </w:r>
          </w:p>
        </w:tc>
      </w:tr>
      <w:tr w:rsidR="0030310C" w:rsidRPr="007112E7" w14:paraId="7B7FD778" w14:textId="77777777" w:rsidTr="00D3046B">
        <w:trPr>
          <w:trHeight w:val="240"/>
        </w:trPr>
        <w:tc>
          <w:tcPr>
            <w:tcW w:w="3724" w:type="dxa"/>
            <w:tcBorders>
              <w:top w:val="nil"/>
              <w:left w:val="nil"/>
              <w:bottom w:val="nil"/>
              <w:right w:val="nil"/>
            </w:tcBorders>
            <w:shd w:val="clear" w:color="000000" w:fill="FFFFFF"/>
            <w:vAlign w:val="center"/>
            <w:hideMark/>
          </w:tcPr>
          <w:p w14:paraId="645679F8" w14:textId="77777777" w:rsidR="0030310C" w:rsidRPr="007112E7" w:rsidRDefault="0030310C" w:rsidP="00D3046B">
            <w:pPr>
              <w:rPr>
                <w:rFonts w:ascii="Arial" w:hAnsi="Arial" w:cs="Arial"/>
                <w:sz w:val="16"/>
                <w:szCs w:val="16"/>
                <w:lang w:eastAsia="en-AU"/>
              </w:rPr>
            </w:pPr>
            <w:r w:rsidRPr="007112E7">
              <w:rPr>
                <w:rFonts w:ascii="Arial" w:hAnsi="Arial" w:cs="Arial"/>
                <w:sz w:val="16"/>
                <w:szCs w:val="16"/>
                <w:lang w:eastAsia="en-AU"/>
              </w:rPr>
              <w:t xml:space="preserve">Other grants </w:t>
            </w:r>
          </w:p>
        </w:tc>
        <w:tc>
          <w:tcPr>
            <w:tcW w:w="816" w:type="dxa"/>
            <w:tcBorders>
              <w:top w:val="nil"/>
              <w:left w:val="nil"/>
              <w:bottom w:val="nil"/>
              <w:right w:val="nil"/>
            </w:tcBorders>
            <w:shd w:val="clear" w:color="000000" w:fill="FFFFFF"/>
            <w:noWrap/>
            <w:vAlign w:val="center"/>
            <w:hideMark/>
          </w:tcPr>
          <w:p w14:paraId="649208D1"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 xml:space="preserve"> 681 </w:t>
            </w:r>
          </w:p>
        </w:tc>
        <w:tc>
          <w:tcPr>
            <w:tcW w:w="816" w:type="dxa"/>
            <w:tcBorders>
              <w:top w:val="nil"/>
              <w:left w:val="nil"/>
              <w:bottom w:val="nil"/>
              <w:right w:val="nil"/>
            </w:tcBorders>
            <w:shd w:val="clear" w:color="000000" w:fill="F2F2F2"/>
            <w:noWrap/>
            <w:vAlign w:val="center"/>
            <w:hideMark/>
          </w:tcPr>
          <w:p w14:paraId="51691F14"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 xml:space="preserve"> 783 </w:t>
            </w:r>
          </w:p>
        </w:tc>
        <w:tc>
          <w:tcPr>
            <w:tcW w:w="816" w:type="dxa"/>
            <w:tcBorders>
              <w:top w:val="nil"/>
              <w:left w:val="nil"/>
              <w:bottom w:val="nil"/>
              <w:right w:val="nil"/>
            </w:tcBorders>
            <w:shd w:val="clear" w:color="000000" w:fill="F2F2F2"/>
            <w:noWrap/>
            <w:vAlign w:val="center"/>
            <w:hideMark/>
          </w:tcPr>
          <w:p w14:paraId="48DA2459"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 xml:space="preserve"> 826 </w:t>
            </w:r>
          </w:p>
        </w:tc>
        <w:tc>
          <w:tcPr>
            <w:tcW w:w="816" w:type="dxa"/>
            <w:tcBorders>
              <w:top w:val="nil"/>
              <w:left w:val="nil"/>
              <w:bottom w:val="nil"/>
              <w:right w:val="nil"/>
            </w:tcBorders>
            <w:shd w:val="clear" w:color="000000" w:fill="F2F2F2"/>
            <w:noWrap/>
            <w:vAlign w:val="center"/>
            <w:hideMark/>
          </w:tcPr>
          <w:p w14:paraId="73B13B40"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 xml:space="preserve"> 786 </w:t>
            </w:r>
          </w:p>
        </w:tc>
        <w:tc>
          <w:tcPr>
            <w:tcW w:w="816" w:type="dxa"/>
            <w:tcBorders>
              <w:top w:val="nil"/>
              <w:left w:val="nil"/>
              <w:bottom w:val="nil"/>
              <w:right w:val="nil"/>
            </w:tcBorders>
            <w:shd w:val="clear" w:color="000000" w:fill="F2F2F2"/>
            <w:noWrap/>
            <w:vAlign w:val="center"/>
            <w:hideMark/>
          </w:tcPr>
          <w:p w14:paraId="713B0D0B"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 xml:space="preserve"> 630 </w:t>
            </w:r>
          </w:p>
        </w:tc>
        <w:tc>
          <w:tcPr>
            <w:tcW w:w="816" w:type="dxa"/>
            <w:tcBorders>
              <w:top w:val="nil"/>
              <w:left w:val="nil"/>
              <w:bottom w:val="nil"/>
              <w:right w:val="nil"/>
            </w:tcBorders>
            <w:shd w:val="clear" w:color="000000" w:fill="F2F2F2"/>
            <w:noWrap/>
            <w:vAlign w:val="center"/>
            <w:hideMark/>
          </w:tcPr>
          <w:p w14:paraId="01705683" w14:textId="77777777" w:rsidR="0030310C" w:rsidRPr="007112E7" w:rsidRDefault="0030310C" w:rsidP="00D3046B">
            <w:pPr>
              <w:jc w:val="right"/>
              <w:rPr>
                <w:rFonts w:ascii="Arial" w:hAnsi="Arial" w:cs="Arial"/>
                <w:sz w:val="16"/>
                <w:szCs w:val="16"/>
                <w:lang w:eastAsia="en-AU"/>
              </w:rPr>
            </w:pPr>
            <w:r w:rsidRPr="007112E7">
              <w:rPr>
                <w:rFonts w:ascii="Arial" w:hAnsi="Arial" w:cs="Arial"/>
                <w:sz w:val="16"/>
                <w:szCs w:val="16"/>
                <w:lang w:eastAsia="en-AU"/>
              </w:rPr>
              <w:t xml:space="preserve"> 643 </w:t>
            </w:r>
          </w:p>
        </w:tc>
        <w:tc>
          <w:tcPr>
            <w:tcW w:w="1200" w:type="dxa"/>
            <w:tcBorders>
              <w:top w:val="nil"/>
              <w:left w:val="nil"/>
              <w:bottom w:val="nil"/>
              <w:right w:val="nil"/>
            </w:tcBorders>
            <w:shd w:val="clear" w:color="000000" w:fill="FFFFFF"/>
            <w:vAlign w:val="center"/>
            <w:hideMark/>
          </w:tcPr>
          <w:p w14:paraId="4DB38847" w14:textId="77777777" w:rsidR="0030310C" w:rsidRPr="007112E7" w:rsidRDefault="0030310C" w:rsidP="00D3046B">
            <w:pPr>
              <w:jc w:val="center"/>
              <w:rPr>
                <w:rFonts w:ascii="Arial" w:hAnsi="Arial" w:cs="Arial"/>
                <w:sz w:val="16"/>
                <w:szCs w:val="16"/>
                <w:lang w:eastAsia="en-AU"/>
              </w:rPr>
            </w:pPr>
            <w:r w:rsidRPr="007112E7">
              <w:rPr>
                <w:rFonts w:ascii="Arial" w:hAnsi="Arial" w:cs="Arial"/>
                <w:sz w:val="16"/>
                <w:szCs w:val="16"/>
                <w:lang w:eastAsia="en-AU"/>
              </w:rPr>
              <w:t>(4.8)</w:t>
            </w:r>
          </w:p>
        </w:tc>
      </w:tr>
      <w:tr w:rsidR="00E61986" w:rsidRPr="00E61986" w14:paraId="30CDE45A" w14:textId="77777777" w:rsidTr="00D3046B">
        <w:trPr>
          <w:trHeight w:val="319"/>
        </w:trPr>
        <w:tc>
          <w:tcPr>
            <w:tcW w:w="3724" w:type="dxa"/>
            <w:tcBorders>
              <w:top w:val="single" w:sz="4" w:space="0" w:color="auto"/>
              <w:left w:val="nil"/>
              <w:bottom w:val="single" w:sz="4" w:space="0" w:color="auto"/>
              <w:right w:val="nil"/>
            </w:tcBorders>
            <w:shd w:val="clear" w:color="000000" w:fill="FFFFFF"/>
            <w:noWrap/>
            <w:vAlign w:val="center"/>
            <w:hideMark/>
          </w:tcPr>
          <w:p w14:paraId="727A0D6D" w14:textId="77777777" w:rsidR="0030310C" w:rsidRPr="00E61986" w:rsidRDefault="0030310C" w:rsidP="00D3046B">
            <w:pPr>
              <w:rPr>
                <w:rFonts w:ascii="Arial" w:hAnsi="Arial" w:cs="Arial"/>
                <w:b/>
                <w:bCs/>
                <w:color w:val="0079B9"/>
                <w:sz w:val="16"/>
                <w:szCs w:val="16"/>
                <w:lang w:eastAsia="en-AU"/>
              </w:rPr>
            </w:pPr>
            <w:r w:rsidRPr="00E61986">
              <w:rPr>
                <w:rFonts w:ascii="Arial" w:hAnsi="Arial" w:cs="Arial"/>
                <w:b/>
                <w:bCs/>
                <w:color w:val="0079B9"/>
                <w:sz w:val="16"/>
                <w:szCs w:val="16"/>
                <w:lang w:eastAsia="en-AU"/>
              </w:rPr>
              <w:t>Total grant revenue</w:t>
            </w:r>
          </w:p>
        </w:tc>
        <w:tc>
          <w:tcPr>
            <w:tcW w:w="816" w:type="dxa"/>
            <w:tcBorders>
              <w:top w:val="single" w:sz="4" w:space="0" w:color="auto"/>
              <w:left w:val="nil"/>
              <w:bottom w:val="single" w:sz="4" w:space="0" w:color="auto"/>
              <w:right w:val="nil"/>
            </w:tcBorders>
            <w:shd w:val="clear" w:color="000000" w:fill="FFFFFF"/>
            <w:noWrap/>
            <w:vAlign w:val="center"/>
            <w:hideMark/>
          </w:tcPr>
          <w:p w14:paraId="4F621219" w14:textId="77777777" w:rsidR="0030310C" w:rsidRPr="00E61986" w:rsidRDefault="0030310C" w:rsidP="00D3046B">
            <w:pPr>
              <w:jc w:val="right"/>
              <w:rPr>
                <w:rFonts w:ascii="Arial" w:hAnsi="Arial" w:cs="Arial"/>
                <w:b/>
                <w:bCs/>
                <w:color w:val="0079B9"/>
                <w:sz w:val="16"/>
                <w:szCs w:val="16"/>
                <w:lang w:eastAsia="en-AU"/>
              </w:rPr>
            </w:pPr>
            <w:r w:rsidRPr="00E61986">
              <w:rPr>
                <w:rFonts w:ascii="Arial" w:hAnsi="Arial" w:cs="Arial"/>
                <w:b/>
                <w:bCs/>
                <w:color w:val="0079B9"/>
                <w:sz w:val="16"/>
                <w:szCs w:val="16"/>
                <w:lang w:eastAsia="en-AU"/>
              </w:rPr>
              <w:t>35,646</w:t>
            </w:r>
          </w:p>
        </w:tc>
        <w:tc>
          <w:tcPr>
            <w:tcW w:w="816" w:type="dxa"/>
            <w:tcBorders>
              <w:top w:val="single" w:sz="4" w:space="0" w:color="auto"/>
              <w:left w:val="nil"/>
              <w:bottom w:val="single" w:sz="4" w:space="0" w:color="auto"/>
              <w:right w:val="nil"/>
            </w:tcBorders>
            <w:shd w:val="clear" w:color="000000" w:fill="F2F2F2"/>
            <w:noWrap/>
            <w:vAlign w:val="center"/>
            <w:hideMark/>
          </w:tcPr>
          <w:p w14:paraId="005D1A89" w14:textId="77777777" w:rsidR="0030310C" w:rsidRPr="00E61986" w:rsidRDefault="0030310C" w:rsidP="00D3046B">
            <w:pPr>
              <w:jc w:val="right"/>
              <w:rPr>
                <w:rFonts w:ascii="Arial" w:hAnsi="Arial" w:cs="Arial"/>
                <w:b/>
                <w:bCs/>
                <w:color w:val="0079B9"/>
                <w:sz w:val="16"/>
                <w:szCs w:val="16"/>
                <w:lang w:eastAsia="en-AU"/>
              </w:rPr>
            </w:pPr>
            <w:r w:rsidRPr="00E61986">
              <w:rPr>
                <w:rFonts w:ascii="Arial" w:hAnsi="Arial" w:cs="Arial"/>
                <w:b/>
                <w:bCs/>
                <w:color w:val="0079B9"/>
                <w:sz w:val="16"/>
                <w:szCs w:val="16"/>
                <w:lang w:eastAsia="en-AU"/>
              </w:rPr>
              <w:t>44,924</w:t>
            </w:r>
          </w:p>
        </w:tc>
        <w:tc>
          <w:tcPr>
            <w:tcW w:w="816" w:type="dxa"/>
            <w:tcBorders>
              <w:top w:val="single" w:sz="4" w:space="0" w:color="auto"/>
              <w:left w:val="nil"/>
              <w:bottom w:val="single" w:sz="4" w:space="0" w:color="auto"/>
              <w:right w:val="nil"/>
            </w:tcBorders>
            <w:shd w:val="clear" w:color="000000" w:fill="F2F2F2"/>
            <w:noWrap/>
            <w:vAlign w:val="center"/>
            <w:hideMark/>
          </w:tcPr>
          <w:p w14:paraId="0ECF97E5" w14:textId="77777777" w:rsidR="0030310C" w:rsidRPr="00E61986" w:rsidRDefault="0030310C" w:rsidP="00D3046B">
            <w:pPr>
              <w:jc w:val="right"/>
              <w:rPr>
                <w:rFonts w:ascii="Arial" w:hAnsi="Arial" w:cs="Arial"/>
                <w:b/>
                <w:bCs/>
                <w:color w:val="0079B9"/>
                <w:sz w:val="16"/>
                <w:szCs w:val="16"/>
                <w:lang w:eastAsia="en-AU"/>
              </w:rPr>
            </w:pPr>
            <w:r w:rsidRPr="00E61986">
              <w:rPr>
                <w:rFonts w:ascii="Arial" w:hAnsi="Arial" w:cs="Arial"/>
                <w:b/>
                <w:bCs/>
                <w:color w:val="0079B9"/>
                <w:sz w:val="16"/>
                <w:szCs w:val="16"/>
                <w:lang w:eastAsia="en-AU"/>
              </w:rPr>
              <w:t>42,928</w:t>
            </w:r>
          </w:p>
        </w:tc>
        <w:tc>
          <w:tcPr>
            <w:tcW w:w="816" w:type="dxa"/>
            <w:tcBorders>
              <w:top w:val="single" w:sz="4" w:space="0" w:color="auto"/>
              <w:left w:val="nil"/>
              <w:bottom w:val="single" w:sz="4" w:space="0" w:color="auto"/>
              <w:right w:val="nil"/>
            </w:tcBorders>
            <w:shd w:val="clear" w:color="000000" w:fill="F2F2F2"/>
            <w:noWrap/>
            <w:vAlign w:val="center"/>
            <w:hideMark/>
          </w:tcPr>
          <w:p w14:paraId="4D02E06B" w14:textId="77777777" w:rsidR="0030310C" w:rsidRPr="00E61986" w:rsidRDefault="0030310C" w:rsidP="00D3046B">
            <w:pPr>
              <w:jc w:val="right"/>
              <w:rPr>
                <w:rFonts w:ascii="Arial" w:hAnsi="Arial" w:cs="Arial"/>
                <w:b/>
                <w:bCs/>
                <w:color w:val="0079B9"/>
                <w:sz w:val="16"/>
                <w:szCs w:val="16"/>
                <w:lang w:eastAsia="en-AU"/>
              </w:rPr>
            </w:pPr>
            <w:r w:rsidRPr="00E61986">
              <w:rPr>
                <w:rFonts w:ascii="Arial" w:hAnsi="Arial" w:cs="Arial"/>
                <w:b/>
                <w:bCs/>
                <w:color w:val="0079B9"/>
                <w:sz w:val="16"/>
                <w:szCs w:val="16"/>
                <w:lang w:eastAsia="en-AU"/>
              </w:rPr>
              <w:t>46,024</w:t>
            </w:r>
          </w:p>
        </w:tc>
        <w:tc>
          <w:tcPr>
            <w:tcW w:w="816" w:type="dxa"/>
            <w:tcBorders>
              <w:top w:val="single" w:sz="4" w:space="0" w:color="auto"/>
              <w:left w:val="nil"/>
              <w:bottom w:val="single" w:sz="4" w:space="0" w:color="auto"/>
              <w:right w:val="nil"/>
            </w:tcBorders>
            <w:shd w:val="clear" w:color="000000" w:fill="F2F2F2"/>
            <w:noWrap/>
            <w:vAlign w:val="center"/>
            <w:hideMark/>
          </w:tcPr>
          <w:p w14:paraId="026841DF" w14:textId="77777777" w:rsidR="0030310C" w:rsidRPr="00E61986" w:rsidRDefault="0030310C" w:rsidP="00D3046B">
            <w:pPr>
              <w:jc w:val="right"/>
              <w:rPr>
                <w:rFonts w:ascii="Arial" w:hAnsi="Arial" w:cs="Arial"/>
                <w:b/>
                <w:bCs/>
                <w:color w:val="0079B9"/>
                <w:sz w:val="16"/>
                <w:szCs w:val="16"/>
                <w:lang w:eastAsia="en-AU"/>
              </w:rPr>
            </w:pPr>
            <w:r w:rsidRPr="00E61986">
              <w:rPr>
                <w:rFonts w:ascii="Arial" w:hAnsi="Arial" w:cs="Arial"/>
                <w:b/>
                <w:bCs/>
                <w:color w:val="0079B9"/>
                <w:sz w:val="16"/>
                <w:szCs w:val="16"/>
                <w:lang w:eastAsia="en-AU"/>
              </w:rPr>
              <w:t>47,891</w:t>
            </w:r>
          </w:p>
        </w:tc>
        <w:tc>
          <w:tcPr>
            <w:tcW w:w="816" w:type="dxa"/>
            <w:tcBorders>
              <w:top w:val="single" w:sz="4" w:space="0" w:color="auto"/>
              <w:left w:val="nil"/>
              <w:bottom w:val="single" w:sz="4" w:space="0" w:color="auto"/>
              <w:right w:val="nil"/>
            </w:tcBorders>
            <w:shd w:val="clear" w:color="000000" w:fill="F2F2F2"/>
            <w:noWrap/>
            <w:vAlign w:val="center"/>
            <w:hideMark/>
          </w:tcPr>
          <w:p w14:paraId="74B3BB43" w14:textId="77777777" w:rsidR="0030310C" w:rsidRPr="00E61986" w:rsidRDefault="0030310C" w:rsidP="00D3046B">
            <w:pPr>
              <w:jc w:val="right"/>
              <w:rPr>
                <w:rFonts w:ascii="Arial" w:hAnsi="Arial" w:cs="Arial"/>
                <w:b/>
                <w:bCs/>
                <w:color w:val="0079B9"/>
                <w:sz w:val="16"/>
                <w:szCs w:val="16"/>
                <w:lang w:eastAsia="en-AU"/>
              </w:rPr>
            </w:pPr>
            <w:r w:rsidRPr="00E61986">
              <w:rPr>
                <w:rFonts w:ascii="Arial" w:hAnsi="Arial" w:cs="Arial"/>
                <w:b/>
                <w:bCs/>
                <w:color w:val="0079B9"/>
                <w:sz w:val="16"/>
                <w:szCs w:val="16"/>
                <w:lang w:eastAsia="en-AU"/>
              </w:rPr>
              <w:t>48,625</w:t>
            </w:r>
          </w:p>
        </w:tc>
        <w:tc>
          <w:tcPr>
            <w:tcW w:w="1200" w:type="dxa"/>
            <w:tcBorders>
              <w:top w:val="single" w:sz="4" w:space="0" w:color="auto"/>
              <w:left w:val="nil"/>
              <w:bottom w:val="single" w:sz="4" w:space="0" w:color="auto"/>
              <w:right w:val="nil"/>
            </w:tcBorders>
            <w:shd w:val="clear" w:color="000000" w:fill="FFFFFF"/>
            <w:noWrap/>
            <w:vAlign w:val="center"/>
            <w:hideMark/>
          </w:tcPr>
          <w:p w14:paraId="2E23DC79" w14:textId="77777777" w:rsidR="0030310C" w:rsidRPr="00E61986" w:rsidRDefault="0030310C" w:rsidP="00D3046B">
            <w:pPr>
              <w:jc w:val="center"/>
              <w:rPr>
                <w:rFonts w:ascii="Arial" w:hAnsi="Arial" w:cs="Arial"/>
                <w:b/>
                <w:bCs/>
                <w:color w:val="0079B9"/>
                <w:sz w:val="16"/>
                <w:szCs w:val="16"/>
                <w:lang w:eastAsia="en-AU"/>
              </w:rPr>
            </w:pPr>
            <w:r w:rsidRPr="00E61986">
              <w:rPr>
                <w:rFonts w:ascii="Arial" w:hAnsi="Arial" w:cs="Arial"/>
                <w:b/>
                <w:bCs/>
                <w:color w:val="0079B9"/>
                <w:sz w:val="16"/>
                <w:szCs w:val="16"/>
                <w:lang w:eastAsia="en-AU"/>
              </w:rPr>
              <w:t>2.0</w:t>
            </w:r>
          </w:p>
        </w:tc>
      </w:tr>
    </w:tbl>
    <w:p w14:paraId="006A69CA" w14:textId="665182EF" w:rsidR="00ED6A17" w:rsidRDefault="00ED6A17" w:rsidP="0061304B">
      <w:pPr>
        <w:pStyle w:val="Heading3"/>
        <w:numPr>
          <w:ilvl w:val="2"/>
          <w:numId w:val="0"/>
        </w:numPr>
        <w:ind w:left="720" w:hanging="720"/>
        <w:rPr>
          <w:rFonts w:eastAsia="Arial Unicode MS"/>
        </w:rPr>
      </w:pPr>
    </w:p>
    <w:p w14:paraId="6018E8F8" w14:textId="77777777" w:rsidR="00ED6A17" w:rsidRDefault="00ED6A17">
      <w:pPr>
        <w:spacing w:after="200" w:line="276" w:lineRule="auto"/>
        <w:rPr>
          <w:rFonts w:ascii="Arial Bold" w:eastAsia="Arial Unicode MS" w:hAnsi="Arial Bold"/>
          <w:b/>
          <w:kern w:val="28"/>
          <w:sz w:val="26"/>
          <w:szCs w:val="36"/>
        </w:rPr>
      </w:pPr>
      <w:r>
        <w:rPr>
          <w:rFonts w:eastAsia="Arial Unicode MS"/>
        </w:rPr>
        <w:br w:type="page"/>
      </w:r>
    </w:p>
    <w:p w14:paraId="1D756840" w14:textId="212415F0" w:rsidR="002869CF" w:rsidRPr="0001455D" w:rsidRDefault="0061304B" w:rsidP="0061304B">
      <w:pPr>
        <w:pStyle w:val="Heading3"/>
        <w:numPr>
          <w:ilvl w:val="2"/>
          <w:numId w:val="0"/>
        </w:numPr>
        <w:ind w:left="720" w:hanging="720"/>
        <w:rPr>
          <w:rFonts w:eastAsia="Arial Unicode MS"/>
        </w:rPr>
      </w:pPr>
      <w:r w:rsidRPr="0001455D">
        <w:rPr>
          <w:rFonts w:eastAsia="Arial Unicode MS"/>
        </w:rPr>
        <w:t>General purpose grants</w:t>
      </w:r>
    </w:p>
    <w:p w14:paraId="30D19E38" w14:textId="1362F050" w:rsidR="00D15C66" w:rsidRPr="0001455D" w:rsidRDefault="00275D26" w:rsidP="003426A4">
      <w:pPr>
        <w:pStyle w:val="BodyText"/>
        <w:rPr>
          <w:i/>
        </w:rPr>
      </w:pPr>
      <w:r w:rsidRPr="0001455D">
        <w:t xml:space="preserve">New South Wales </w:t>
      </w:r>
      <w:r w:rsidR="00BE39FF" w:rsidRPr="0001455D">
        <w:t xml:space="preserve">will </w:t>
      </w:r>
      <w:r w:rsidR="00BE39FF" w:rsidRPr="000B5EDC">
        <w:t>receive $</w:t>
      </w:r>
      <w:r w:rsidR="0001455D" w:rsidRPr="000B5EDC">
        <w:t>23.3</w:t>
      </w:r>
      <w:r w:rsidR="00BE39FF" w:rsidRPr="000B5EDC">
        <w:t xml:space="preserve"> </w:t>
      </w:r>
      <w:r w:rsidR="00E3091F" w:rsidRPr="000B5EDC">
        <w:t xml:space="preserve">billion in </w:t>
      </w:r>
      <w:r w:rsidRPr="000B5EDC">
        <w:t xml:space="preserve">GST revenue </w:t>
      </w:r>
      <w:r w:rsidR="00E3091F" w:rsidRPr="000B5EDC">
        <w:t>in 202</w:t>
      </w:r>
      <w:r w:rsidR="00BD5D26" w:rsidRPr="000B5EDC">
        <w:t>1</w:t>
      </w:r>
      <w:r w:rsidR="00E3091F" w:rsidRPr="000B5EDC">
        <w:t>-2</w:t>
      </w:r>
      <w:r w:rsidR="00BD5D26" w:rsidRPr="000B5EDC">
        <w:t>2</w:t>
      </w:r>
      <w:r w:rsidR="00E3091F" w:rsidRPr="000B5EDC">
        <w:t>,</w:t>
      </w:r>
      <w:r w:rsidR="000A3B25" w:rsidRPr="000B5EDC">
        <w:t xml:space="preserve"> </w:t>
      </w:r>
      <w:r w:rsidR="0073476C" w:rsidRPr="000B5EDC">
        <w:t xml:space="preserve">which is </w:t>
      </w:r>
      <w:r w:rsidR="00D368DD" w:rsidRPr="000B5EDC">
        <w:t>$</w:t>
      </w:r>
      <w:r w:rsidR="0001455D" w:rsidRPr="000B5EDC">
        <w:t>253.0 m</w:t>
      </w:r>
      <w:r w:rsidR="00D368DD" w:rsidRPr="000B5EDC">
        <w:t>illion</w:t>
      </w:r>
      <w:r w:rsidR="00182A81" w:rsidRPr="000B5EDC">
        <w:t xml:space="preserve"> </w:t>
      </w:r>
      <w:r w:rsidR="00182A81" w:rsidRPr="000B5EDC">
        <w:rPr>
          <w:rFonts w:eastAsiaTheme="minorEastAsia"/>
        </w:rPr>
        <w:t>(</w:t>
      </w:r>
      <w:r w:rsidR="0001455D" w:rsidRPr="000B5EDC">
        <w:rPr>
          <w:rFonts w:eastAsiaTheme="minorEastAsia"/>
        </w:rPr>
        <w:t>1.1</w:t>
      </w:r>
      <w:r w:rsidR="00182A81" w:rsidRPr="000B5EDC">
        <w:rPr>
          <w:rFonts w:eastAsiaTheme="minorEastAsia"/>
        </w:rPr>
        <w:t xml:space="preserve"> per cent)</w:t>
      </w:r>
      <w:r w:rsidR="00D368DD" w:rsidRPr="000B5EDC">
        <w:t xml:space="preserve"> higher than forecast at the 202</w:t>
      </w:r>
      <w:r w:rsidR="0001455D" w:rsidRPr="000B5EDC">
        <w:t>1</w:t>
      </w:r>
      <w:r w:rsidR="00D368DD" w:rsidRPr="000B5EDC">
        <w:t>-2</w:t>
      </w:r>
      <w:r w:rsidR="0001455D" w:rsidRPr="000B5EDC">
        <w:t>2</w:t>
      </w:r>
      <w:r w:rsidR="00D368DD" w:rsidRPr="000B5EDC">
        <w:t xml:space="preserve"> Half-Yearly Review. The increase </w:t>
      </w:r>
      <w:r w:rsidR="009D6F36" w:rsidRPr="000B5EDC">
        <w:t xml:space="preserve">reflects </w:t>
      </w:r>
      <w:r w:rsidR="00715E9F" w:rsidRPr="000B5EDC">
        <w:t>an</w:t>
      </w:r>
      <w:r w:rsidR="009D6F36" w:rsidRPr="000B5EDC">
        <w:t xml:space="preserve"> upgrade</w:t>
      </w:r>
      <w:r w:rsidR="0025405D" w:rsidRPr="000B5EDC">
        <w:t xml:space="preserve"> in the Commonwealth’s forecasts for the </w:t>
      </w:r>
      <w:r w:rsidR="002300B3" w:rsidRPr="000B5EDC">
        <w:t>n</w:t>
      </w:r>
      <w:r w:rsidR="0025405D" w:rsidRPr="000B5EDC">
        <w:t>ational</w:t>
      </w:r>
      <w:r w:rsidR="0025405D" w:rsidRPr="0001455D">
        <w:t xml:space="preserve"> GST pool at the 202</w:t>
      </w:r>
      <w:r w:rsidR="0001455D" w:rsidRPr="0001455D">
        <w:t>2</w:t>
      </w:r>
      <w:r w:rsidR="0025405D" w:rsidRPr="0001455D">
        <w:t>-2</w:t>
      </w:r>
      <w:r w:rsidR="0001455D" w:rsidRPr="0001455D">
        <w:t>3</w:t>
      </w:r>
      <w:r w:rsidR="0025405D" w:rsidRPr="0001455D">
        <w:t xml:space="preserve"> Budget</w:t>
      </w:r>
      <w:r w:rsidR="0001455D" w:rsidRPr="0001455D">
        <w:t xml:space="preserve">, reflecting stronger than expected nominal consumption. </w:t>
      </w:r>
    </w:p>
    <w:p w14:paraId="4573F2FC" w14:textId="23B4E4D7" w:rsidR="00800422" w:rsidRDefault="00187DE7" w:rsidP="003426A4">
      <w:pPr>
        <w:pStyle w:val="BodyText"/>
      </w:pPr>
      <w:r w:rsidRPr="0001455D">
        <w:t>Over the four years to 202</w:t>
      </w:r>
      <w:r w:rsidR="0001455D" w:rsidRPr="0001455D">
        <w:t>5</w:t>
      </w:r>
      <w:r w:rsidRPr="0001455D">
        <w:t>-2</w:t>
      </w:r>
      <w:r w:rsidR="0001455D" w:rsidRPr="0001455D">
        <w:t>6</w:t>
      </w:r>
      <w:r w:rsidRPr="0001455D">
        <w:t xml:space="preserve">, </w:t>
      </w:r>
      <w:r w:rsidR="00AB441E" w:rsidRPr="0001455D">
        <w:t xml:space="preserve">GST revenue </w:t>
      </w:r>
      <w:r w:rsidR="00882696" w:rsidRPr="0001455D">
        <w:t xml:space="preserve">is forecast to grow by an average </w:t>
      </w:r>
      <w:r w:rsidR="00882696" w:rsidRPr="0015124E">
        <w:t xml:space="preserve">of </w:t>
      </w:r>
      <w:r w:rsidR="0025704E" w:rsidRPr="0015124E">
        <w:t>4.</w:t>
      </w:r>
      <w:r w:rsidR="00A417DB" w:rsidRPr="0015124E">
        <w:t>8</w:t>
      </w:r>
      <w:r w:rsidR="00882696" w:rsidRPr="0015124E">
        <w:t xml:space="preserve"> per cent</w:t>
      </w:r>
      <w:r w:rsidR="002269D9" w:rsidRPr="0001455D">
        <w:t xml:space="preserve"> </w:t>
      </w:r>
      <w:r w:rsidR="00854F6C" w:rsidRPr="0001455D">
        <w:t>per year</w:t>
      </w:r>
      <w:r w:rsidRPr="0001455D">
        <w:t xml:space="preserve">, </w:t>
      </w:r>
      <w:r w:rsidR="00AA5DB6" w:rsidRPr="0001455D">
        <w:t>resulting</w:t>
      </w:r>
      <w:r w:rsidR="003B56B5" w:rsidRPr="0001455D">
        <w:t xml:space="preserve"> in </w:t>
      </w:r>
      <w:r w:rsidR="00917C7E" w:rsidRPr="0001455D">
        <w:t xml:space="preserve">an additional </w:t>
      </w:r>
      <w:r w:rsidR="002269D9" w:rsidRPr="00FC6B48">
        <w:t>$</w:t>
      </w:r>
      <w:r w:rsidR="00A417DB" w:rsidRPr="00FC6B48">
        <w:t>11.5</w:t>
      </w:r>
      <w:r w:rsidR="002269D9" w:rsidRPr="00FC6B48">
        <w:t xml:space="preserve"> billion</w:t>
      </w:r>
      <w:r w:rsidR="00182A81" w:rsidRPr="00FC6B48">
        <w:t xml:space="preserve"> </w:t>
      </w:r>
      <w:r w:rsidR="00182A81" w:rsidRPr="00FC6B48">
        <w:rPr>
          <w:rFonts w:eastAsiaTheme="minorEastAsia"/>
        </w:rPr>
        <w:t>(</w:t>
      </w:r>
      <w:r w:rsidR="0001455D" w:rsidRPr="00FC6B48">
        <w:rPr>
          <w:rFonts w:eastAsiaTheme="minorEastAsia"/>
        </w:rPr>
        <w:t>1</w:t>
      </w:r>
      <w:r w:rsidR="00A417DB" w:rsidRPr="00FC6B48">
        <w:rPr>
          <w:rFonts w:eastAsiaTheme="minorEastAsia"/>
        </w:rPr>
        <w:t>2.1</w:t>
      </w:r>
      <w:r w:rsidR="00182A81" w:rsidRPr="00FC6B48">
        <w:rPr>
          <w:rFonts w:eastAsiaTheme="minorEastAsia"/>
        </w:rPr>
        <w:t xml:space="preserve"> per cent)</w:t>
      </w:r>
      <w:r w:rsidR="00182A81" w:rsidRPr="00FC6B48">
        <w:t xml:space="preserve"> </w:t>
      </w:r>
      <w:r w:rsidR="003B56B5" w:rsidRPr="00FC6B48">
        <w:t>over</w:t>
      </w:r>
      <w:r w:rsidR="003B56B5" w:rsidRPr="0001455D">
        <w:t xml:space="preserve"> the </w:t>
      </w:r>
      <w:r w:rsidR="00917C7E" w:rsidRPr="0001455D">
        <w:t xml:space="preserve">same </w:t>
      </w:r>
      <w:r w:rsidR="003B56B5" w:rsidRPr="0001455D">
        <w:t xml:space="preserve">period </w:t>
      </w:r>
      <w:r w:rsidR="002269D9" w:rsidRPr="0001455D">
        <w:t>than</w:t>
      </w:r>
      <w:r w:rsidR="003B1CDD" w:rsidRPr="0001455D">
        <w:t xml:space="preserve"> </w:t>
      </w:r>
      <w:r w:rsidR="002269D9" w:rsidRPr="0001455D">
        <w:t xml:space="preserve">expected at the </w:t>
      </w:r>
      <w:r w:rsidR="00AB441E" w:rsidRPr="0001455D">
        <w:t>20</w:t>
      </w:r>
      <w:r w:rsidR="00D97847" w:rsidRPr="0001455D">
        <w:t>2</w:t>
      </w:r>
      <w:r w:rsidR="0001455D" w:rsidRPr="0001455D">
        <w:t>1</w:t>
      </w:r>
      <w:r w:rsidR="00D97847" w:rsidRPr="0001455D">
        <w:t>-2</w:t>
      </w:r>
      <w:r w:rsidR="0001455D" w:rsidRPr="0001455D">
        <w:t>2</w:t>
      </w:r>
      <w:r w:rsidR="00AB441E" w:rsidRPr="0001455D">
        <w:t xml:space="preserve"> </w:t>
      </w:r>
      <w:r w:rsidR="009F7B3E" w:rsidRPr="0001455D">
        <w:t>Half</w:t>
      </w:r>
      <w:r w:rsidR="00874424" w:rsidRPr="0001455D">
        <w:noBreakHyphen/>
      </w:r>
      <w:r w:rsidR="009F7B3E" w:rsidRPr="0001455D">
        <w:t>Yearly</w:t>
      </w:r>
      <w:r w:rsidR="00AB441E" w:rsidRPr="0001455D">
        <w:t xml:space="preserve"> Review.</w:t>
      </w:r>
      <w:r w:rsidR="002A7122" w:rsidRPr="0001455D">
        <w:t xml:space="preserve"> </w:t>
      </w:r>
      <w:r w:rsidR="00AF5F82" w:rsidRPr="0001455D">
        <w:t>Th</w:t>
      </w:r>
      <w:r w:rsidR="00F6736F" w:rsidRPr="0001455D">
        <w:t xml:space="preserve">is </w:t>
      </w:r>
      <w:r w:rsidR="00AF5F82" w:rsidRPr="0001455D">
        <w:t>reflects</w:t>
      </w:r>
      <w:r w:rsidR="009455FD" w:rsidRPr="0001455D">
        <w:t xml:space="preserve"> </w:t>
      </w:r>
      <w:r w:rsidR="0001455D" w:rsidRPr="0001455D">
        <w:t>substantial increases</w:t>
      </w:r>
      <w:r w:rsidR="00AF5F82" w:rsidRPr="0001455D">
        <w:t xml:space="preserve"> in</w:t>
      </w:r>
      <w:r w:rsidR="009455FD" w:rsidRPr="0001455D">
        <w:t xml:space="preserve"> both</w:t>
      </w:r>
      <w:r w:rsidR="00AF5F82" w:rsidRPr="0001455D">
        <w:t xml:space="preserve"> the </w:t>
      </w:r>
      <w:r w:rsidR="00E334C5" w:rsidRPr="0001455D">
        <w:t>size of th</w:t>
      </w:r>
      <w:r w:rsidR="0016426E" w:rsidRPr="0001455D">
        <w:t xml:space="preserve">e </w:t>
      </w:r>
      <w:r w:rsidR="00AC7A58" w:rsidRPr="0001455D">
        <w:t>n</w:t>
      </w:r>
      <w:r w:rsidR="0016426E" w:rsidRPr="0001455D">
        <w:t xml:space="preserve">ational GST pool and </w:t>
      </w:r>
      <w:r w:rsidR="00D30EE6">
        <w:t xml:space="preserve">New South </w:t>
      </w:r>
      <w:proofErr w:type="spellStart"/>
      <w:r w:rsidR="00D30EE6">
        <w:t>Wales</w:t>
      </w:r>
      <w:r w:rsidR="009455FD" w:rsidRPr="0001455D">
        <w:t>’</w:t>
      </w:r>
      <w:proofErr w:type="spellEnd"/>
      <w:r w:rsidR="00874424" w:rsidRPr="0001455D">
        <w:t xml:space="preserve"> </w:t>
      </w:r>
      <w:r w:rsidR="001F100B" w:rsidRPr="0001455D">
        <w:t>GST</w:t>
      </w:r>
      <w:r w:rsidR="009455FD" w:rsidRPr="0001455D">
        <w:t xml:space="preserve"> share</w:t>
      </w:r>
      <w:r w:rsidR="00F43F89">
        <w:t xml:space="preserve">. </w:t>
      </w:r>
      <w:r w:rsidR="0001455D" w:rsidRPr="0001455D">
        <w:t xml:space="preserve">The national GST pool is expected to be </w:t>
      </w:r>
      <w:r w:rsidR="0001455D" w:rsidRPr="00E75FE3">
        <w:t>$</w:t>
      </w:r>
      <w:r w:rsidR="00800422" w:rsidRPr="00E75FE3">
        <w:t>12.</w:t>
      </w:r>
      <w:r w:rsidR="00C43F14">
        <w:t>1</w:t>
      </w:r>
      <w:r w:rsidR="00C43F14" w:rsidRPr="00E75FE3">
        <w:t xml:space="preserve"> </w:t>
      </w:r>
      <w:r w:rsidR="0001455D" w:rsidRPr="00E75FE3">
        <w:t>billion</w:t>
      </w:r>
      <w:r w:rsidR="0001455D" w:rsidRPr="0001455D">
        <w:t xml:space="preserve"> higher over the </w:t>
      </w:r>
      <w:r w:rsidR="00C43F14">
        <w:t>four</w:t>
      </w:r>
      <w:r w:rsidR="00C43F14" w:rsidRPr="0001455D">
        <w:t xml:space="preserve"> </w:t>
      </w:r>
      <w:r w:rsidR="0001455D" w:rsidRPr="0001455D">
        <w:t xml:space="preserve">years to </w:t>
      </w:r>
      <w:r w:rsidR="0001455D">
        <w:t>2025-26</w:t>
      </w:r>
      <w:r w:rsidR="0001455D" w:rsidRPr="0001455D">
        <w:t xml:space="preserve"> compared to the forecast at the 202</w:t>
      </w:r>
      <w:r w:rsidR="0001455D">
        <w:t>1</w:t>
      </w:r>
      <w:r w:rsidR="007A3B27">
        <w:noBreakHyphen/>
      </w:r>
      <w:r w:rsidR="0001455D" w:rsidRPr="0001455D">
        <w:t>2</w:t>
      </w:r>
      <w:r w:rsidR="0001455D">
        <w:t>2</w:t>
      </w:r>
      <w:r w:rsidR="0001455D" w:rsidRPr="0001455D">
        <w:t xml:space="preserve"> Half-Yearly Review</w:t>
      </w:r>
      <w:r w:rsidR="00800422">
        <w:t xml:space="preserve">, largely driven by expectations for higher prices, which will boost nominal consumption and dwelling investment. Improvements in the labour market will also support GST collections by allowing consumers to absorb higher prices and continue to increase consumption volumes. </w:t>
      </w:r>
    </w:p>
    <w:p w14:paraId="41C44C0D" w14:textId="6817712B" w:rsidR="0001455D" w:rsidRDefault="00C437BD" w:rsidP="003426A4">
      <w:pPr>
        <w:pStyle w:val="BodyText"/>
      </w:pPr>
      <w:r>
        <w:t>NSW’s</w:t>
      </w:r>
      <w:r w:rsidR="0001455D" w:rsidRPr="0001455D">
        <w:t xml:space="preserve"> relativity is</w:t>
      </w:r>
      <w:r w:rsidR="00800422">
        <w:t xml:space="preserve"> also</w:t>
      </w:r>
      <w:r w:rsidR="0001455D" w:rsidRPr="0001455D">
        <w:t xml:space="preserve"> expected to be</w:t>
      </w:r>
      <w:r w:rsidR="00800422">
        <w:t xml:space="preserve"> considerably</w:t>
      </w:r>
      <w:r w:rsidR="0001455D" w:rsidRPr="0001455D">
        <w:t xml:space="preserve"> higher over the forecast period. The </w:t>
      </w:r>
      <w:r w:rsidR="00EA4EC4" w:rsidRPr="00EA4EC4">
        <w:t>Commonwealth Grants Commission</w:t>
      </w:r>
      <w:r w:rsidR="00EA4EC4">
        <w:t>’</w:t>
      </w:r>
      <w:r w:rsidR="00641EAB">
        <w:t>s</w:t>
      </w:r>
      <w:r w:rsidR="0001455D" w:rsidRPr="0001455D">
        <w:t xml:space="preserve"> most recent recommendation for the State’s relativity in 202</w:t>
      </w:r>
      <w:r w:rsidR="00800422">
        <w:t>2-23</w:t>
      </w:r>
      <w:r w:rsidR="0001455D" w:rsidRPr="0001455D">
        <w:t xml:space="preserve"> was</w:t>
      </w:r>
      <w:r w:rsidR="00800422">
        <w:t xml:space="preserve"> </w:t>
      </w:r>
      <w:r w:rsidR="0001455D" w:rsidRPr="0001455D">
        <w:t>higher than expected at the 20</w:t>
      </w:r>
      <w:r w:rsidR="00800422">
        <w:t>21-22</w:t>
      </w:r>
      <w:r w:rsidR="0001455D" w:rsidRPr="0001455D">
        <w:t xml:space="preserve"> Half-Yearly Review. This has resulted in </w:t>
      </w:r>
      <w:r w:rsidR="00166B94">
        <w:t xml:space="preserve">upwards revisions </w:t>
      </w:r>
      <w:r w:rsidR="0001455D" w:rsidRPr="0001455D">
        <w:t xml:space="preserve">in </w:t>
      </w:r>
      <w:r w:rsidR="00166B94">
        <w:t>projections</w:t>
      </w:r>
      <w:r w:rsidR="00166B94" w:rsidRPr="0001455D">
        <w:t xml:space="preserve"> </w:t>
      </w:r>
      <w:r w:rsidR="0001455D" w:rsidRPr="0001455D">
        <w:t>for</w:t>
      </w:r>
      <w:r w:rsidR="008C1A91">
        <w:t xml:space="preserve"> the</w:t>
      </w:r>
      <w:r w:rsidR="0001455D" w:rsidRPr="0001455D">
        <w:t xml:space="preserve"> </w:t>
      </w:r>
      <w:r w:rsidR="001E3A29">
        <w:t>NSW</w:t>
      </w:r>
      <w:r w:rsidR="0001455D" w:rsidRPr="0001455D">
        <w:t xml:space="preserve"> GST relativity over the four years to 202</w:t>
      </w:r>
      <w:r w:rsidR="0062776B">
        <w:t>5</w:t>
      </w:r>
      <w:r w:rsidR="0001455D" w:rsidRPr="0001455D">
        <w:t>-2</w:t>
      </w:r>
      <w:r w:rsidR="0062776B">
        <w:t>6</w:t>
      </w:r>
      <w:r w:rsidR="0001455D" w:rsidRPr="0001455D">
        <w:t xml:space="preserve">. </w:t>
      </w:r>
      <w:r w:rsidR="00800422">
        <w:t>Higher</w:t>
      </w:r>
      <w:r w:rsidR="00430199">
        <w:t xml:space="preserve"> </w:t>
      </w:r>
      <w:r w:rsidR="00800422">
        <w:t>th</w:t>
      </w:r>
      <w:r w:rsidR="0062776B">
        <w:t>a</w:t>
      </w:r>
      <w:r w:rsidR="00800422">
        <w:t>n</w:t>
      </w:r>
      <w:r w:rsidR="00430199">
        <w:t xml:space="preserve"> </w:t>
      </w:r>
      <w:r w:rsidR="00800422">
        <w:t>expected iron ore prices in 2021-22 will also support NSW’s relativity from 2023</w:t>
      </w:r>
      <w:r w:rsidR="002C1EF5">
        <w:noBreakHyphen/>
      </w:r>
      <w:r w:rsidR="00800422">
        <w:t xml:space="preserve">24. </w:t>
      </w:r>
    </w:p>
    <w:p w14:paraId="3A752B04" w14:textId="0238C055" w:rsidR="00CA221A" w:rsidRPr="00042740" w:rsidRDefault="00CA221A" w:rsidP="002C1EF5">
      <w:pPr>
        <w:pStyle w:val="Table4X"/>
      </w:pPr>
      <w:r w:rsidRPr="00042740">
        <w:t>GST (including “no worse off”) revenues to N</w:t>
      </w:r>
      <w:r w:rsidR="00D05531" w:rsidRPr="00042740">
        <w:t xml:space="preserve">ew South Wales </w:t>
      </w:r>
      <w:r w:rsidRPr="00042740">
        <w:t>– reconciliation statement</w:t>
      </w:r>
      <w:r w:rsidRPr="00042740">
        <w:rPr>
          <w:vertAlign w:val="superscript"/>
        </w:rPr>
        <w:t>(a)</w:t>
      </w:r>
      <w:r w:rsidR="00CD2F96" w:rsidRPr="00042740">
        <w:t xml:space="preserve"> </w:t>
      </w:r>
    </w:p>
    <w:tbl>
      <w:tblPr>
        <w:tblW w:w="9482" w:type="dxa"/>
        <w:tblLook w:val="04A0" w:firstRow="1" w:lastRow="0" w:firstColumn="1" w:lastColumn="0" w:noHBand="0" w:noVBand="1"/>
        <w:tblCaption w:val="Table 4.6: GST (including “no worse off”) revenues to New South Wales – reconciliation statement("/>
        <w:tblDescription w:val="Table 4.6: GST (including “no worse off”) revenues to New South Wales – reconciliation statement("/>
      </w:tblPr>
      <w:tblGrid>
        <w:gridCol w:w="3863"/>
        <w:gridCol w:w="1062"/>
        <w:gridCol w:w="878"/>
        <w:gridCol w:w="878"/>
        <w:gridCol w:w="878"/>
        <w:gridCol w:w="880"/>
        <w:gridCol w:w="1043"/>
      </w:tblGrid>
      <w:tr w:rsidR="00A417DB" w:rsidRPr="00A417DB" w14:paraId="33474343" w14:textId="77777777" w:rsidTr="00A417DB">
        <w:trPr>
          <w:trHeight w:val="290"/>
        </w:trPr>
        <w:tc>
          <w:tcPr>
            <w:tcW w:w="3863" w:type="dxa"/>
            <w:tcBorders>
              <w:top w:val="nil"/>
              <w:left w:val="nil"/>
              <w:bottom w:val="nil"/>
              <w:right w:val="nil"/>
            </w:tcBorders>
            <w:shd w:val="clear" w:color="000000" w:fill="008EBA"/>
            <w:vAlign w:val="bottom"/>
            <w:hideMark/>
          </w:tcPr>
          <w:p w14:paraId="0D5BA537" w14:textId="77777777" w:rsidR="00A417DB" w:rsidRPr="00A417DB" w:rsidRDefault="00A417DB" w:rsidP="00A417DB">
            <w:pPr>
              <w:rPr>
                <w:rFonts w:ascii="Arial" w:hAnsi="Arial" w:cs="Arial"/>
                <w:color w:val="FFFFFF"/>
                <w:sz w:val="16"/>
                <w:szCs w:val="16"/>
                <w:lang w:eastAsia="en-AU"/>
              </w:rPr>
            </w:pPr>
            <w:r w:rsidRPr="00A417DB">
              <w:rPr>
                <w:rFonts w:ascii="Arial" w:hAnsi="Arial" w:cs="Arial"/>
                <w:color w:val="FFFFFF"/>
                <w:sz w:val="16"/>
                <w:szCs w:val="16"/>
                <w:lang w:eastAsia="en-AU"/>
              </w:rPr>
              <w:t> </w:t>
            </w:r>
          </w:p>
        </w:tc>
        <w:tc>
          <w:tcPr>
            <w:tcW w:w="1062" w:type="dxa"/>
            <w:tcBorders>
              <w:top w:val="nil"/>
              <w:left w:val="nil"/>
              <w:bottom w:val="nil"/>
              <w:right w:val="nil"/>
            </w:tcBorders>
            <w:shd w:val="clear" w:color="000000" w:fill="008EBA"/>
            <w:vAlign w:val="center"/>
            <w:hideMark/>
          </w:tcPr>
          <w:p w14:paraId="0FDDF8A3" w14:textId="77777777" w:rsidR="00A417DB" w:rsidRPr="00A417DB" w:rsidRDefault="00A417DB" w:rsidP="00A417DB">
            <w:pPr>
              <w:jc w:val="center"/>
              <w:rPr>
                <w:rFonts w:ascii="Arial" w:hAnsi="Arial" w:cs="Arial"/>
                <w:color w:val="FFFFFF"/>
                <w:sz w:val="16"/>
                <w:szCs w:val="16"/>
                <w:lang w:eastAsia="en-AU"/>
              </w:rPr>
            </w:pPr>
            <w:r w:rsidRPr="00A417DB">
              <w:rPr>
                <w:rFonts w:ascii="Arial" w:hAnsi="Arial" w:cs="Arial"/>
                <w:color w:val="FFFFFF"/>
                <w:sz w:val="16"/>
                <w:szCs w:val="16"/>
                <w:lang w:eastAsia="en-AU"/>
              </w:rPr>
              <w:t>2021-22</w:t>
            </w:r>
          </w:p>
        </w:tc>
        <w:tc>
          <w:tcPr>
            <w:tcW w:w="878" w:type="dxa"/>
            <w:tcBorders>
              <w:top w:val="nil"/>
              <w:left w:val="nil"/>
              <w:bottom w:val="nil"/>
              <w:right w:val="nil"/>
            </w:tcBorders>
            <w:shd w:val="clear" w:color="000000" w:fill="008EBA"/>
            <w:vAlign w:val="center"/>
            <w:hideMark/>
          </w:tcPr>
          <w:p w14:paraId="51984DE5" w14:textId="77777777" w:rsidR="00A417DB" w:rsidRPr="00A417DB" w:rsidRDefault="00A417DB" w:rsidP="00A417DB">
            <w:pPr>
              <w:jc w:val="center"/>
              <w:rPr>
                <w:rFonts w:ascii="Arial" w:hAnsi="Arial" w:cs="Arial"/>
                <w:color w:val="FFFFFF"/>
                <w:sz w:val="16"/>
                <w:szCs w:val="16"/>
                <w:lang w:eastAsia="en-AU"/>
              </w:rPr>
            </w:pPr>
            <w:r w:rsidRPr="00A417DB">
              <w:rPr>
                <w:rFonts w:ascii="Arial" w:hAnsi="Arial" w:cs="Arial"/>
                <w:color w:val="FFFFFF"/>
                <w:sz w:val="16"/>
                <w:szCs w:val="16"/>
                <w:lang w:eastAsia="en-AU"/>
              </w:rPr>
              <w:t>2022-23</w:t>
            </w:r>
          </w:p>
        </w:tc>
        <w:tc>
          <w:tcPr>
            <w:tcW w:w="878" w:type="dxa"/>
            <w:tcBorders>
              <w:top w:val="nil"/>
              <w:left w:val="nil"/>
              <w:bottom w:val="nil"/>
              <w:right w:val="nil"/>
            </w:tcBorders>
            <w:shd w:val="clear" w:color="000000" w:fill="008EBA"/>
            <w:vAlign w:val="center"/>
            <w:hideMark/>
          </w:tcPr>
          <w:p w14:paraId="5AF12B5F" w14:textId="77777777" w:rsidR="00A417DB" w:rsidRPr="00A417DB" w:rsidRDefault="00A417DB" w:rsidP="00A417DB">
            <w:pPr>
              <w:jc w:val="center"/>
              <w:rPr>
                <w:rFonts w:ascii="Arial" w:hAnsi="Arial" w:cs="Arial"/>
                <w:color w:val="FFFFFF"/>
                <w:sz w:val="16"/>
                <w:szCs w:val="16"/>
                <w:lang w:eastAsia="en-AU"/>
              </w:rPr>
            </w:pPr>
            <w:r w:rsidRPr="00A417DB">
              <w:rPr>
                <w:rFonts w:ascii="Arial" w:hAnsi="Arial" w:cs="Arial"/>
                <w:color w:val="FFFFFF"/>
                <w:sz w:val="16"/>
                <w:szCs w:val="16"/>
                <w:lang w:eastAsia="en-AU"/>
              </w:rPr>
              <w:t>2023-24</w:t>
            </w:r>
          </w:p>
        </w:tc>
        <w:tc>
          <w:tcPr>
            <w:tcW w:w="878" w:type="dxa"/>
            <w:tcBorders>
              <w:top w:val="nil"/>
              <w:left w:val="nil"/>
              <w:bottom w:val="nil"/>
              <w:right w:val="nil"/>
            </w:tcBorders>
            <w:shd w:val="clear" w:color="000000" w:fill="008EBA"/>
            <w:vAlign w:val="center"/>
            <w:hideMark/>
          </w:tcPr>
          <w:p w14:paraId="7119CBE7" w14:textId="77777777" w:rsidR="00A417DB" w:rsidRPr="00A417DB" w:rsidRDefault="00A417DB" w:rsidP="00A417DB">
            <w:pPr>
              <w:jc w:val="center"/>
              <w:rPr>
                <w:rFonts w:ascii="Arial" w:hAnsi="Arial" w:cs="Arial"/>
                <w:color w:val="FFFFFF"/>
                <w:sz w:val="16"/>
                <w:szCs w:val="16"/>
                <w:lang w:eastAsia="en-AU"/>
              </w:rPr>
            </w:pPr>
            <w:r w:rsidRPr="00A417DB">
              <w:rPr>
                <w:rFonts w:ascii="Arial" w:hAnsi="Arial" w:cs="Arial"/>
                <w:color w:val="FFFFFF"/>
                <w:sz w:val="16"/>
                <w:szCs w:val="16"/>
                <w:lang w:eastAsia="en-AU"/>
              </w:rPr>
              <w:t>2024-25</w:t>
            </w:r>
          </w:p>
        </w:tc>
        <w:tc>
          <w:tcPr>
            <w:tcW w:w="878" w:type="dxa"/>
            <w:tcBorders>
              <w:top w:val="nil"/>
              <w:left w:val="nil"/>
              <w:bottom w:val="nil"/>
              <w:right w:val="nil"/>
            </w:tcBorders>
            <w:shd w:val="clear" w:color="000000" w:fill="008EBA"/>
            <w:vAlign w:val="center"/>
            <w:hideMark/>
          </w:tcPr>
          <w:p w14:paraId="05B04872" w14:textId="77777777" w:rsidR="00A417DB" w:rsidRPr="00A417DB" w:rsidRDefault="00A417DB" w:rsidP="00A417DB">
            <w:pPr>
              <w:jc w:val="center"/>
              <w:rPr>
                <w:rFonts w:ascii="Arial" w:hAnsi="Arial" w:cs="Arial"/>
                <w:color w:val="FFFFFF"/>
                <w:sz w:val="16"/>
                <w:szCs w:val="16"/>
                <w:lang w:eastAsia="en-AU"/>
              </w:rPr>
            </w:pPr>
            <w:r w:rsidRPr="00A417DB">
              <w:rPr>
                <w:rFonts w:ascii="Arial" w:hAnsi="Arial" w:cs="Arial"/>
                <w:color w:val="FFFFFF"/>
                <w:sz w:val="16"/>
                <w:szCs w:val="16"/>
                <w:lang w:eastAsia="en-AU"/>
              </w:rPr>
              <w:t>2025-26</w:t>
            </w:r>
          </w:p>
        </w:tc>
        <w:tc>
          <w:tcPr>
            <w:tcW w:w="1043" w:type="dxa"/>
            <w:vMerge w:val="restart"/>
            <w:tcBorders>
              <w:top w:val="nil"/>
              <w:left w:val="nil"/>
              <w:bottom w:val="nil"/>
              <w:right w:val="nil"/>
            </w:tcBorders>
            <w:shd w:val="clear" w:color="000000" w:fill="008EBA"/>
            <w:vAlign w:val="center"/>
            <w:hideMark/>
          </w:tcPr>
          <w:p w14:paraId="56D7E3B4" w14:textId="77777777" w:rsidR="00A417DB" w:rsidRPr="00A417DB" w:rsidRDefault="00A417DB" w:rsidP="00A417DB">
            <w:pPr>
              <w:jc w:val="center"/>
              <w:rPr>
                <w:rFonts w:ascii="Arial" w:hAnsi="Arial" w:cs="Arial"/>
                <w:color w:val="FFFFFF"/>
                <w:sz w:val="16"/>
                <w:szCs w:val="16"/>
                <w:lang w:eastAsia="en-AU"/>
              </w:rPr>
            </w:pPr>
            <w:r w:rsidRPr="00A417DB">
              <w:rPr>
                <w:rFonts w:ascii="Arial" w:hAnsi="Arial" w:cs="Arial"/>
                <w:color w:val="FFFFFF"/>
                <w:sz w:val="16"/>
                <w:szCs w:val="16"/>
                <w:lang w:eastAsia="en-AU"/>
              </w:rPr>
              <w:t>Four years to 2025-26</w:t>
            </w:r>
          </w:p>
        </w:tc>
      </w:tr>
      <w:tr w:rsidR="00A417DB" w:rsidRPr="00A417DB" w14:paraId="783669A4" w14:textId="77777777" w:rsidTr="003A01B1">
        <w:trPr>
          <w:trHeight w:val="300"/>
        </w:trPr>
        <w:tc>
          <w:tcPr>
            <w:tcW w:w="3863" w:type="dxa"/>
            <w:tcBorders>
              <w:top w:val="nil"/>
              <w:left w:val="nil"/>
              <w:bottom w:val="nil"/>
              <w:right w:val="nil"/>
            </w:tcBorders>
            <w:shd w:val="clear" w:color="000000" w:fill="008EBA"/>
            <w:vAlign w:val="center"/>
            <w:hideMark/>
          </w:tcPr>
          <w:p w14:paraId="4FEC3722" w14:textId="77777777" w:rsidR="00A417DB" w:rsidRPr="00A417DB" w:rsidRDefault="00A417DB" w:rsidP="00A417DB">
            <w:pPr>
              <w:jc w:val="center"/>
              <w:rPr>
                <w:rFonts w:ascii="Arial" w:hAnsi="Arial" w:cs="Arial"/>
                <w:color w:val="FFFFFF"/>
                <w:sz w:val="16"/>
                <w:szCs w:val="16"/>
                <w:lang w:eastAsia="en-AU"/>
              </w:rPr>
            </w:pPr>
            <w:r w:rsidRPr="00A417DB">
              <w:rPr>
                <w:rFonts w:ascii="Arial" w:hAnsi="Arial" w:cs="Arial"/>
                <w:color w:val="FFFFFF"/>
                <w:sz w:val="16"/>
                <w:szCs w:val="16"/>
                <w:lang w:eastAsia="en-AU"/>
              </w:rPr>
              <w:t> </w:t>
            </w:r>
          </w:p>
        </w:tc>
        <w:tc>
          <w:tcPr>
            <w:tcW w:w="1062" w:type="dxa"/>
            <w:tcBorders>
              <w:top w:val="nil"/>
              <w:left w:val="nil"/>
              <w:bottom w:val="nil"/>
              <w:right w:val="nil"/>
            </w:tcBorders>
            <w:shd w:val="clear" w:color="000000" w:fill="008EBA"/>
            <w:vAlign w:val="center"/>
            <w:hideMark/>
          </w:tcPr>
          <w:p w14:paraId="340BEC5E" w14:textId="77777777" w:rsidR="00A417DB" w:rsidRPr="00A417DB" w:rsidRDefault="00A417DB" w:rsidP="00A417DB">
            <w:pPr>
              <w:jc w:val="center"/>
              <w:rPr>
                <w:rFonts w:ascii="Arial" w:hAnsi="Arial" w:cs="Arial"/>
                <w:color w:val="FFFFFF"/>
                <w:sz w:val="16"/>
                <w:szCs w:val="16"/>
                <w:lang w:eastAsia="en-AU"/>
              </w:rPr>
            </w:pPr>
            <w:r w:rsidRPr="00A417DB">
              <w:rPr>
                <w:rFonts w:ascii="Arial" w:hAnsi="Arial" w:cs="Arial"/>
                <w:color w:val="FFFFFF"/>
                <w:sz w:val="16"/>
                <w:szCs w:val="16"/>
                <w:lang w:eastAsia="en-AU"/>
              </w:rPr>
              <w:t>Revised</w:t>
            </w:r>
          </w:p>
        </w:tc>
        <w:tc>
          <w:tcPr>
            <w:tcW w:w="878" w:type="dxa"/>
            <w:tcBorders>
              <w:top w:val="nil"/>
              <w:left w:val="nil"/>
              <w:bottom w:val="nil"/>
              <w:right w:val="nil"/>
            </w:tcBorders>
            <w:shd w:val="clear" w:color="000000" w:fill="008EBA"/>
            <w:vAlign w:val="center"/>
            <w:hideMark/>
          </w:tcPr>
          <w:p w14:paraId="4877A3E5" w14:textId="77777777" w:rsidR="00A417DB" w:rsidRPr="00A417DB" w:rsidRDefault="00A417DB" w:rsidP="00A417DB">
            <w:pPr>
              <w:jc w:val="center"/>
              <w:rPr>
                <w:rFonts w:ascii="Arial" w:hAnsi="Arial" w:cs="Arial"/>
                <w:color w:val="FFFFFF"/>
                <w:sz w:val="16"/>
                <w:szCs w:val="16"/>
                <w:lang w:eastAsia="en-AU"/>
              </w:rPr>
            </w:pPr>
            <w:r w:rsidRPr="00A417DB">
              <w:rPr>
                <w:rFonts w:ascii="Arial" w:hAnsi="Arial" w:cs="Arial"/>
                <w:color w:val="FFFFFF"/>
                <w:sz w:val="16"/>
                <w:szCs w:val="16"/>
                <w:lang w:eastAsia="en-AU"/>
              </w:rPr>
              <w:t>Budget</w:t>
            </w:r>
          </w:p>
        </w:tc>
        <w:tc>
          <w:tcPr>
            <w:tcW w:w="2636" w:type="dxa"/>
            <w:gridSpan w:val="3"/>
            <w:tcBorders>
              <w:top w:val="nil"/>
              <w:left w:val="nil"/>
              <w:bottom w:val="nil"/>
              <w:right w:val="nil"/>
            </w:tcBorders>
            <w:shd w:val="clear" w:color="000000" w:fill="008EBA"/>
            <w:vAlign w:val="center"/>
            <w:hideMark/>
          </w:tcPr>
          <w:p w14:paraId="30D7688D" w14:textId="77777777" w:rsidR="00A417DB" w:rsidRPr="00A417DB" w:rsidRDefault="00A417DB" w:rsidP="00A417DB">
            <w:pPr>
              <w:jc w:val="center"/>
              <w:rPr>
                <w:rFonts w:ascii="Arial" w:hAnsi="Arial" w:cs="Arial"/>
                <w:color w:val="FFFFFF"/>
                <w:sz w:val="16"/>
                <w:szCs w:val="16"/>
                <w:lang w:eastAsia="en-AU"/>
              </w:rPr>
            </w:pPr>
            <w:r w:rsidRPr="00A417DB">
              <w:rPr>
                <w:rFonts w:ascii="Arial" w:hAnsi="Arial" w:cs="Arial"/>
                <w:color w:val="FFFFFF"/>
                <w:sz w:val="16"/>
                <w:szCs w:val="16"/>
                <w:lang w:eastAsia="en-AU"/>
              </w:rPr>
              <w:t>Forward Estimates</w:t>
            </w:r>
          </w:p>
        </w:tc>
        <w:tc>
          <w:tcPr>
            <w:tcW w:w="1043" w:type="dxa"/>
            <w:vMerge/>
            <w:tcBorders>
              <w:top w:val="nil"/>
              <w:left w:val="nil"/>
              <w:bottom w:val="nil"/>
              <w:right w:val="nil"/>
            </w:tcBorders>
            <w:vAlign w:val="center"/>
            <w:hideMark/>
          </w:tcPr>
          <w:p w14:paraId="52D2B353" w14:textId="77777777" w:rsidR="00A417DB" w:rsidRPr="00A417DB" w:rsidRDefault="00A417DB" w:rsidP="00A417DB">
            <w:pPr>
              <w:rPr>
                <w:rFonts w:ascii="Arial" w:hAnsi="Arial" w:cs="Arial"/>
                <w:color w:val="FFFFFF"/>
                <w:sz w:val="16"/>
                <w:szCs w:val="16"/>
                <w:lang w:eastAsia="en-AU"/>
              </w:rPr>
            </w:pPr>
          </w:p>
        </w:tc>
      </w:tr>
      <w:tr w:rsidR="00A417DB" w:rsidRPr="00A417DB" w14:paraId="204B02B2" w14:textId="77777777" w:rsidTr="00A417DB">
        <w:trPr>
          <w:trHeight w:val="290"/>
        </w:trPr>
        <w:tc>
          <w:tcPr>
            <w:tcW w:w="3863" w:type="dxa"/>
            <w:tcBorders>
              <w:top w:val="nil"/>
              <w:left w:val="nil"/>
              <w:bottom w:val="nil"/>
              <w:right w:val="nil"/>
            </w:tcBorders>
            <w:shd w:val="clear" w:color="000000" w:fill="00426F"/>
            <w:vAlign w:val="bottom"/>
            <w:hideMark/>
          </w:tcPr>
          <w:p w14:paraId="5A7FA765" w14:textId="77777777" w:rsidR="00A417DB" w:rsidRPr="00A417DB" w:rsidRDefault="00A417DB" w:rsidP="00A417DB">
            <w:pPr>
              <w:rPr>
                <w:rFonts w:ascii="Arial" w:hAnsi="Arial" w:cs="Arial"/>
                <w:color w:val="FFFFFF"/>
                <w:sz w:val="16"/>
                <w:szCs w:val="16"/>
                <w:lang w:eastAsia="en-AU"/>
              </w:rPr>
            </w:pPr>
            <w:r w:rsidRPr="00A417DB">
              <w:rPr>
                <w:rFonts w:ascii="Arial" w:hAnsi="Arial" w:cs="Arial"/>
                <w:color w:val="FFFFFF"/>
                <w:sz w:val="16"/>
                <w:szCs w:val="16"/>
                <w:lang w:eastAsia="en-AU"/>
              </w:rPr>
              <w:t> </w:t>
            </w:r>
          </w:p>
        </w:tc>
        <w:tc>
          <w:tcPr>
            <w:tcW w:w="1062" w:type="dxa"/>
            <w:tcBorders>
              <w:top w:val="nil"/>
              <w:left w:val="nil"/>
              <w:bottom w:val="single" w:sz="4" w:space="0" w:color="0579B9"/>
              <w:right w:val="nil"/>
            </w:tcBorders>
            <w:shd w:val="clear" w:color="000000" w:fill="00426F"/>
            <w:vAlign w:val="bottom"/>
            <w:hideMark/>
          </w:tcPr>
          <w:p w14:paraId="6E45C067" w14:textId="77777777" w:rsidR="00A417DB" w:rsidRPr="00A417DB" w:rsidRDefault="00A417DB" w:rsidP="00A417DB">
            <w:pPr>
              <w:rPr>
                <w:rFonts w:ascii="Arial" w:hAnsi="Arial" w:cs="Arial"/>
                <w:color w:val="FFFFFF"/>
                <w:sz w:val="16"/>
                <w:szCs w:val="16"/>
                <w:lang w:eastAsia="en-AU"/>
              </w:rPr>
            </w:pPr>
            <w:r w:rsidRPr="00A417DB">
              <w:rPr>
                <w:rFonts w:ascii="Arial" w:hAnsi="Arial" w:cs="Arial"/>
                <w:color w:val="FFFFFF"/>
                <w:sz w:val="16"/>
                <w:szCs w:val="16"/>
                <w:lang w:eastAsia="en-AU"/>
              </w:rPr>
              <w:t>$m</w:t>
            </w:r>
          </w:p>
        </w:tc>
        <w:tc>
          <w:tcPr>
            <w:tcW w:w="878" w:type="dxa"/>
            <w:tcBorders>
              <w:top w:val="nil"/>
              <w:left w:val="nil"/>
              <w:bottom w:val="single" w:sz="4" w:space="0" w:color="0579B9"/>
              <w:right w:val="nil"/>
            </w:tcBorders>
            <w:shd w:val="clear" w:color="000000" w:fill="00426F"/>
            <w:vAlign w:val="bottom"/>
            <w:hideMark/>
          </w:tcPr>
          <w:p w14:paraId="04F33325" w14:textId="77777777" w:rsidR="00A417DB" w:rsidRPr="00A417DB" w:rsidRDefault="00A417DB" w:rsidP="00A417DB">
            <w:pPr>
              <w:rPr>
                <w:rFonts w:ascii="Arial" w:hAnsi="Arial" w:cs="Arial"/>
                <w:color w:val="FFFFFF"/>
                <w:sz w:val="16"/>
                <w:szCs w:val="16"/>
                <w:lang w:eastAsia="en-AU"/>
              </w:rPr>
            </w:pPr>
            <w:r w:rsidRPr="00A417DB">
              <w:rPr>
                <w:rFonts w:ascii="Arial" w:hAnsi="Arial" w:cs="Arial"/>
                <w:color w:val="FFFFFF"/>
                <w:sz w:val="16"/>
                <w:szCs w:val="16"/>
                <w:lang w:eastAsia="en-AU"/>
              </w:rPr>
              <w:t>$m</w:t>
            </w:r>
          </w:p>
        </w:tc>
        <w:tc>
          <w:tcPr>
            <w:tcW w:w="878" w:type="dxa"/>
            <w:tcBorders>
              <w:top w:val="nil"/>
              <w:left w:val="nil"/>
              <w:bottom w:val="single" w:sz="4" w:space="0" w:color="0579B9"/>
              <w:right w:val="nil"/>
            </w:tcBorders>
            <w:shd w:val="clear" w:color="000000" w:fill="00426F"/>
            <w:vAlign w:val="bottom"/>
            <w:hideMark/>
          </w:tcPr>
          <w:p w14:paraId="00FDD282" w14:textId="77777777" w:rsidR="00A417DB" w:rsidRPr="00A417DB" w:rsidRDefault="00A417DB" w:rsidP="00A417DB">
            <w:pPr>
              <w:rPr>
                <w:rFonts w:ascii="Arial" w:hAnsi="Arial" w:cs="Arial"/>
                <w:color w:val="FFFFFF"/>
                <w:sz w:val="16"/>
                <w:szCs w:val="16"/>
                <w:lang w:eastAsia="en-AU"/>
              </w:rPr>
            </w:pPr>
            <w:r w:rsidRPr="00A417DB">
              <w:rPr>
                <w:rFonts w:ascii="Arial" w:hAnsi="Arial" w:cs="Arial"/>
                <w:color w:val="FFFFFF"/>
                <w:sz w:val="16"/>
                <w:szCs w:val="16"/>
                <w:lang w:eastAsia="en-AU"/>
              </w:rPr>
              <w:t>$m</w:t>
            </w:r>
          </w:p>
        </w:tc>
        <w:tc>
          <w:tcPr>
            <w:tcW w:w="878" w:type="dxa"/>
            <w:tcBorders>
              <w:top w:val="nil"/>
              <w:left w:val="nil"/>
              <w:bottom w:val="single" w:sz="4" w:space="0" w:color="0579B9"/>
              <w:right w:val="nil"/>
            </w:tcBorders>
            <w:shd w:val="clear" w:color="000000" w:fill="00426F"/>
            <w:vAlign w:val="bottom"/>
            <w:hideMark/>
          </w:tcPr>
          <w:p w14:paraId="24818451" w14:textId="77777777" w:rsidR="00A417DB" w:rsidRPr="00A417DB" w:rsidRDefault="00A417DB" w:rsidP="00A417DB">
            <w:pPr>
              <w:rPr>
                <w:rFonts w:ascii="Arial" w:hAnsi="Arial" w:cs="Arial"/>
                <w:color w:val="FFFFFF"/>
                <w:sz w:val="16"/>
                <w:szCs w:val="16"/>
                <w:lang w:eastAsia="en-AU"/>
              </w:rPr>
            </w:pPr>
            <w:r w:rsidRPr="00A417DB">
              <w:rPr>
                <w:rFonts w:ascii="Arial" w:hAnsi="Arial" w:cs="Arial"/>
                <w:color w:val="FFFFFF"/>
                <w:sz w:val="16"/>
                <w:szCs w:val="16"/>
                <w:lang w:eastAsia="en-AU"/>
              </w:rPr>
              <w:t>$m</w:t>
            </w:r>
          </w:p>
        </w:tc>
        <w:tc>
          <w:tcPr>
            <w:tcW w:w="878" w:type="dxa"/>
            <w:tcBorders>
              <w:top w:val="nil"/>
              <w:left w:val="nil"/>
              <w:bottom w:val="single" w:sz="4" w:space="0" w:color="0579B9"/>
              <w:right w:val="nil"/>
            </w:tcBorders>
            <w:shd w:val="clear" w:color="000000" w:fill="00426F"/>
            <w:vAlign w:val="bottom"/>
            <w:hideMark/>
          </w:tcPr>
          <w:p w14:paraId="17BDEF05" w14:textId="77777777" w:rsidR="00A417DB" w:rsidRPr="00A417DB" w:rsidRDefault="00A417DB" w:rsidP="00A417DB">
            <w:pPr>
              <w:rPr>
                <w:rFonts w:ascii="Arial" w:hAnsi="Arial" w:cs="Arial"/>
                <w:color w:val="FFFFFF"/>
                <w:sz w:val="16"/>
                <w:szCs w:val="16"/>
                <w:lang w:eastAsia="en-AU"/>
              </w:rPr>
            </w:pPr>
            <w:r w:rsidRPr="00A417DB">
              <w:rPr>
                <w:rFonts w:ascii="Arial" w:hAnsi="Arial" w:cs="Arial"/>
                <w:color w:val="FFFFFF"/>
                <w:sz w:val="16"/>
                <w:szCs w:val="16"/>
                <w:lang w:eastAsia="en-AU"/>
              </w:rPr>
              <w:t> </w:t>
            </w:r>
          </w:p>
        </w:tc>
        <w:tc>
          <w:tcPr>
            <w:tcW w:w="1043" w:type="dxa"/>
            <w:tcBorders>
              <w:top w:val="nil"/>
              <w:left w:val="nil"/>
              <w:bottom w:val="single" w:sz="4" w:space="0" w:color="0579B9"/>
              <w:right w:val="nil"/>
            </w:tcBorders>
            <w:shd w:val="clear" w:color="000000" w:fill="00426F"/>
            <w:vAlign w:val="bottom"/>
            <w:hideMark/>
          </w:tcPr>
          <w:p w14:paraId="6C875EC1" w14:textId="77777777" w:rsidR="00A417DB" w:rsidRPr="00A417DB" w:rsidRDefault="00A417DB" w:rsidP="00A417DB">
            <w:pPr>
              <w:rPr>
                <w:rFonts w:ascii="Arial" w:hAnsi="Arial" w:cs="Arial"/>
                <w:color w:val="FFFFFF"/>
                <w:sz w:val="16"/>
                <w:szCs w:val="16"/>
                <w:lang w:eastAsia="en-AU"/>
              </w:rPr>
            </w:pPr>
            <w:r w:rsidRPr="00A417DB">
              <w:rPr>
                <w:rFonts w:ascii="Arial" w:hAnsi="Arial" w:cs="Arial"/>
                <w:color w:val="FFFFFF"/>
                <w:sz w:val="16"/>
                <w:szCs w:val="16"/>
                <w:lang w:eastAsia="en-AU"/>
              </w:rPr>
              <w:t>$m</w:t>
            </w:r>
          </w:p>
        </w:tc>
      </w:tr>
      <w:tr w:rsidR="00A417DB" w:rsidRPr="00A417DB" w14:paraId="1ACCFBE8" w14:textId="77777777" w:rsidTr="00A417DB">
        <w:trPr>
          <w:trHeight w:val="290"/>
        </w:trPr>
        <w:tc>
          <w:tcPr>
            <w:tcW w:w="3863" w:type="dxa"/>
            <w:tcBorders>
              <w:top w:val="nil"/>
              <w:left w:val="nil"/>
              <w:bottom w:val="single" w:sz="4" w:space="0" w:color="auto"/>
              <w:right w:val="nil"/>
            </w:tcBorders>
            <w:shd w:val="clear" w:color="000000" w:fill="FFFFFF"/>
            <w:vAlign w:val="center"/>
            <w:hideMark/>
          </w:tcPr>
          <w:p w14:paraId="78B32A2C" w14:textId="77777777" w:rsidR="00A417DB" w:rsidRPr="00A417DB" w:rsidRDefault="00A417DB" w:rsidP="00A417DB">
            <w:pPr>
              <w:rPr>
                <w:rFonts w:ascii="Arial" w:hAnsi="Arial" w:cs="Arial"/>
                <w:b/>
                <w:bCs/>
                <w:color w:val="0579B9"/>
                <w:sz w:val="16"/>
                <w:szCs w:val="16"/>
                <w:lang w:eastAsia="en-AU"/>
              </w:rPr>
            </w:pPr>
            <w:r w:rsidRPr="00A417DB">
              <w:rPr>
                <w:rFonts w:ascii="Arial" w:hAnsi="Arial" w:cs="Arial"/>
                <w:b/>
                <w:bCs/>
                <w:color w:val="0579B9"/>
                <w:sz w:val="16"/>
                <w:szCs w:val="16"/>
                <w:lang w:eastAsia="en-AU"/>
              </w:rPr>
              <w:t>2021-22 Budget</w:t>
            </w:r>
          </w:p>
        </w:tc>
        <w:tc>
          <w:tcPr>
            <w:tcW w:w="1062" w:type="dxa"/>
            <w:tcBorders>
              <w:top w:val="single" w:sz="4" w:space="0" w:color="auto"/>
              <w:left w:val="nil"/>
              <w:bottom w:val="single" w:sz="4" w:space="0" w:color="auto"/>
              <w:right w:val="nil"/>
            </w:tcBorders>
            <w:shd w:val="clear" w:color="000000" w:fill="FFFFFF"/>
            <w:noWrap/>
            <w:vAlign w:val="center"/>
            <w:hideMark/>
          </w:tcPr>
          <w:p w14:paraId="0C65CD14" w14:textId="77777777" w:rsidR="00A417DB" w:rsidRPr="00A417DB" w:rsidRDefault="00A417DB" w:rsidP="00A417DB">
            <w:pPr>
              <w:jc w:val="center"/>
              <w:rPr>
                <w:rFonts w:ascii="Arial" w:hAnsi="Arial" w:cs="Arial"/>
                <w:b/>
                <w:bCs/>
                <w:color w:val="0579B9"/>
                <w:sz w:val="16"/>
                <w:szCs w:val="16"/>
                <w:lang w:eastAsia="en-AU"/>
              </w:rPr>
            </w:pPr>
            <w:r w:rsidRPr="00A417DB">
              <w:rPr>
                <w:rFonts w:ascii="Arial" w:hAnsi="Arial" w:cs="Arial"/>
                <w:b/>
                <w:bCs/>
                <w:color w:val="0579B9"/>
                <w:sz w:val="16"/>
                <w:szCs w:val="16"/>
                <w:lang w:eastAsia="en-AU"/>
              </w:rPr>
              <w:t xml:space="preserve">21,784 </w:t>
            </w:r>
          </w:p>
        </w:tc>
        <w:tc>
          <w:tcPr>
            <w:tcW w:w="878" w:type="dxa"/>
            <w:tcBorders>
              <w:top w:val="single" w:sz="4" w:space="0" w:color="auto"/>
              <w:left w:val="nil"/>
              <w:bottom w:val="single" w:sz="4" w:space="0" w:color="auto"/>
              <w:right w:val="nil"/>
            </w:tcBorders>
            <w:shd w:val="clear" w:color="000000" w:fill="FFFFFF"/>
            <w:noWrap/>
            <w:vAlign w:val="center"/>
            <w:hideMark/>
          </w:tcPr>
          <w:p w14:paraId="38792BBE" w14:textId="77777777" w:rsidR="00A417DB" w:rsidRPr="00A417DB" w:rsidRDefault="00A417DB" w:rsidP="00A417DB">
            <w:pPr>
              <w:jc w:val="center"/>
              <w:rPr>
                <w:rFonts w:ascii="Arial" w:hAnsi="Arial" w:cs="Arial"/>
                <w:b/>
                <w:bCs/>
                <w:color w:val="0579B9"/>
                <w:sz w:val="16"/>
                <w:szCs w:val="16"/>
                <w:lang w:eastAsia="en-AU"/>
              </w:rPr>
            </w:pPr>
            <w:r w:rsidRPr="00A417DB">
              <w:rPr>
                <w:rFonts w:ascii="Arial" w:hAnsi="Arial" w:cs="Arial"/>
                <w:b/>
                <w:bCs/>
                <w:color w:val="0579B9"/>
                <w:sz w:val="16"/>
                <w:szCs w:val="16"/>
                <w:lang w:eastAsia="en-AU"/>
              </w:rPr>
              <w:t xml:space="preserve">22,274 </w:t>
            </w:r>
          </w:p>
        </w:tc>
        <w:tc>
          <w:tcPr>
            <w:tcW w:w="878" w:type="dxa"/>
            <w:tcBorders>
              <w:top w:val="single" w:sz="4" w:space="0" w:color="auto"/>
              <w:left w:val="nil"/>
              <w:bottom w:val="single" w:sz="4" w:space="0" w:color="auto"/>
              <w:right w:val="nil"/>
            </w:tcBorders>
            <w:shd w:val="clear" w:color="000000" w:fill="FFFFFF"/>
            <w:noWrap/>
            <w:vAlign w:val="center"/>
            <w:hideMark/>
          </w:tcPr>
          <w:p w14:paraId="1B8FE9B3" w14:textId="77777777" w:rsidR="00A417DB" w:rsidRPr="00A417DB" w:rsidRDefault="00A417DB" w:rsidP="00A417DB">
            <w:pPr>
              <w:jc w:val="center"/>
              <w:rPr>
                <w:rFonts w:ascii="Arial" w:hAnsi="Arial" w:cs="Arial"/>
                <w:b/>
                <w:bCs/>
                <w:color w:val="0579B9"/>
                <w:sz w:val="16"/>
                <w:szCs w:val="16"/>
                <w:lang w:eastAsia="en-AU"/>
              </w:rPr>
            </w:pPr>
            <w:r w:rsidRPr="00A417DB">
              <w:rPr>
                <w:rFonts w:ascii="Arial" w:hAnsi="Arial" w:cs="Arial"/>
                <w:b/>
                <w:bCs/>
                <w:color w:val="0579B9"/>
                <w:sz w:val="16"/>
                <w:szCs w:val="16"/>
                <w:lang w:eastAsia="en-AU"/>
              </w:rPr>
              <w:t xml:space="preserve">22,263 </w:t>
            </w:r>
          </w:p>
        </w:tc>
        <w:tc>
          <w:tcPr>
            <w:tcW w:w="878" w:type="dxa"/>
            <w:tcBorders>
              <w:top w:val="single" w:sz="4" w:space="0" w:color="auto"/>
              <w:left w:val="nil"/>
              <w:bottom w:val="single" w:sz="4" w:space="0" w:color="auto"/>
              <w:right w:val="nil"/>
            </w:tcBorders>
            <w:shd w:val="clear" w:color="000000" w:fill="FFFFFF"/>
            <w:noWrap/>
            <w:vAlign w:val="center"/>
            <w:hideMark/>
          </w:tcPr>
          <w:p w14:paraId="7B052B0D" w14:textId="77777777" w:rsidR="00A417DB" w:rsidRPr="00A417DB" w:rsidRDefault="00A417DB" w:rsidP="00A417DB">
            <w:pPr>
              <w:jc w:val="center"/>
              <w:rPr>
                <w:rFonts w:ascii="Arial" w:hAnsi="Arial" w:cs="Arial"/>
                <w:b/>
                <w:bCs/>
                <w:color w:val="0579B9"/>
                <w:sz w:val="16"/>
                <w:szCs w:val="16"/>
                <w:lang w:eastAsia="en-AU"/>
              </w:rPr>
            </w:pPr>
            <w:r w:rsidRPr="00A417DB">
              <w:rPr>
                <w:rFonts w:ascii="Arial" w:hAnsi="Arial" w:cs="Arial"/>
                <w:b/>
                <w:bCs/>
                <w:color w:val="0579B9"/>
                <w:sz w:val="16"/>
                <w:szCs w:val="16"/>
                <w:lang w:eastAsia="en-AU"/>
              </w:rPr>
              <w:t xml:space="preserve">22,432 </w:t>
            </w:r>
          </w:p>
        </w:tc>
        <w:tc>
          <w:tcPr>
            <w:tcW w:w="878" w:type="dxa"/>
            <w:tcBorders>
              <w:top w:val="nil"/>
              <w:left w:val="nil"/>
              <w:bottom w:val="single" w:sz="4" w:space="0" w:color="auto"/>
              <w:right w:val="nil"/>
            </w:tcBorders>
            <w:shd w:val="clear" w:color="000000" w:fill="FFFFFF"/>
            <w:noWrap/>
            <w:vAlign w:val="center"/>
            <w:hideMark/>
          </w:tcPr>
          <w:p w14:paraId="10518650" w14:textId="77777777" w:rsidR="00A417DB" w:rsidRPr="00A417DB" w:rsidRDefault="00A417DB" w:rsidP="00A417DB">
            <w:pPr>
              <w:jc w:val="center"/>
              <w:rPr>
                <w:rFonts w:ascii="Arial" w:hAnsi="Arial" w:cs="Arial"/>
                <w:b/>
                <w:bCs/>
                <w:color w:val="0579B9"/>
                <w:sz w:val="16"/>
                <w:szCs w:val="16"/>
                <w:lang w:eastAsia="en-AU"/>
              </w:rPr>
            </w:pPr>
            <w:r w:rsidRPr="00A417DB">
              <w:rPr>
                <w:rFonts w:ascii="Arial" w:hAnsi="Arial" w:cs="Arial"/>
                <w:b/>
                <w:bCs/>
                <w:color w:val="0579B9"/>
                <w:sz w:val="16"/>
                <w:szCs w:val="16"/>
                <w:lang w:eastAsia="en-AU"/>
              </w:rPr>
              <w:t xml:space="preserve">23,000 </w:t>
            </w:r>
          </w:p>
        </w:tc>
        <w:tc>
          <w:tcPr>
            <w:tcW w:w="1043" w:type="dxa"/>
            <w:tcBorders>
              <w:top w:val="nil"/>
              <w:left w:val="nil"/>
              <w:bottom w:val="single" w:sz="4" w:space="0" w:color="auto"/>
              <w:right w:val="nil"/>
            </w:tcBorders>
            <w:shd w:val="clear" w:color="000000" w:fill="FFFFFF"/>
            <w:noWrap/>
            <w:vAlign w:val="center"/>
            <w:hideMark/>
          </w:tcPr>
          <w:p w14:paraId="229A76D1" w14:textId="77777777" w:rsidR="00A417DB" w:rsidRPr="00A417DB" w:rsidRDefault="00A417DB" w:rsidP="00A417DB">
            <w:pPr>
              <w:jc w:val="center"/>
              <w:rPr>
                <w:rFonts w:ascii="Arial" w:hAnsi="Arial" w:cs="Arial"/>
                <w:b/>
                <w:bCs/>
                <w:color w:val="0579B9"/>
                <w:sz w:val="16"/>
                <w:szCs w:val="16"/>
                <w:lang w:eastAsia="en-AU"/>
              </w:rPr>
            </w:pPr>
            <w:r w:rsidRPr="00A417DB">
              <w:rPr>
                <w:rFonts w:ascii="Arial" w:hAnsi="Arial" w:cs="Arial"/>
                <w:b/>
                <w:bCs/>
                <w:color w:val="0579B9"/>
                <w:sz w:val="16"/>
                <w:szCs w:val="16"/>
                <w:lang w:eastAsia="en-AU"/>
              </w:rPr>
              <w:t xml:space="preserve">89,969 </w:t>
            </w:r>
          </w:p>
        </w:tc>
      </w:tr>
      <w:tr w:rsidR="00A417DB" w:rsidRPr="00A417DB" w14:paraId="4F3D3817" w14:textId="77777777" w:rsidTr="00A417DB">
        <w:trPr>
          <w:trHeight w:val="290"/>
        </w:trPr>
        <w:tc>
          <w:tcPr>
            <w:tcW w:w="3863" w:type="dxa"/>
            <w:tcBorders>
              <w:top w:val="nil"/>
              <w:left w:val="nil"/>
              <w:bottom w:val="nil"/>
              <w:right w:val="nil"/>
            </w:tcBorders>
            <w:shd w:val="clear" w:color="000000" w:fill="FFFFFF"/>
            <w:noWrap/>
            <w:vAlign w:val="center"/>
            <w:hideMark/>
          </w:tcPr>
          <w:p w14:paraId="44E8ADCD" w14:textId="77777777" w:rsidR="00A417DB" w:rsidRPr="00A417DB" w:rsidRDefault="00A417DB" w:rsidP="00A417DB">
            <w:pPr>
              <w:rPr>
                <w:rFonts w:ascii="Arial" w:hAnsi="Arial" w:cs="Arial"/>
                <w:color w:val="000000"/>
                <w:sz w:val="16"/>
                <w:szCs w:val="16"/>
                <w:lang w:eastAsia="en-AU"/>
              </w:rPr>
            </w:pPr>
            <w:r w:rsidRPr="00A417DB">
              <w:rPr>
                <w:rFonts w:ascii="Arial" w:hAnsi="Arial" w:cs="Arial"/>
                <w:color w:val="000000"/>
                <w:sz w:val="16"/>
                <w:szCs w:val="16"/>
                <w:lang w:eastAsia="en-AU"/>
              </w:rPr>
              <w:t>Change due to:</w:t>
            </w:r>
          </w:p>
        </w:tc>
        <w:tc>
          <w:tcPr>
            <w:tcW w:w="1062" w:type="dxa"/>
            <w:tcBorders>
              <w:top w:val="nil"/>
              <w:left w:val="nil"/>
              <w:bottom w:val="nil"/>
              <w:right w:val="nil"/>
            </w:tcBorders>
            <w:shd w:val="clear" w:color="000000" w:fill="FFFFFF"/>
            <w:noWrap/>
            <w:vAlign w:val="center"/>
            <w:hideMark/>
          </w:tcPr>
          <w:p w14:paraId="2D6065FE" w14:textId="77777777" w:rsidR="00A417DB" w:rsidRPr="00A417DB" w:rsidRDefault="00A417DB" w:rsidP="00A417DB">
            <w:pPr>
              <w:jc w:val="right"/>
              <w:rPr>
                <w:rFonts w:ascii="Arial" w:hAnsi="Arial" w:cs="Arial"/>
                <w:color w:val="000000"/>
                <w:sz w:val="16"/>
                <w:szCs w:val="16"/>
                <w:lang w:eastAsia="en-AU"/>
              </w:rPr>
            </w:pPr>
            <w:r w:rsidRPr="00A417DB">
              <w:rPr>
                <w:rFonts w:ascii="Arial" w:hAnsi="Arial" w:cs="Arial"/>
                <w:color w:val="000000"/>
                <w:sz w:val="16"/>
                <w:szCs w:val="16"/>
                <w:lang w:eastAsia="en-AU"/>
              </w:rPr>
              <w:t> </w:t>
            </w:r>
          </w:p>
        </w:tc>
        <w:tc>
          <w:tcPr>
            <w:tcW w:w="878" w:type="dxa"/>
            <w:tcBorders>
              <w:top w:val="nil"/>
              <w:left w:val="nil"/>
              <w:bottom w:val="nil"/>
              <w:right w:val="nil"/>
            </w:tcBorders>
            <w:shd w:val="clear" w:color="000000" w:fill="FFFFFF"/>
            <w:noWrap/>
            <w:vAlign w:val="center"/>
            <w:hideMark/>
          </w:tcPr>
          <w:p w14:paraId="663596EA" w14:textId="77777777" w:rsidR="00A417DB" w:rsidRPr="00A417DB" w:rsidRDefault="00A417DB" w:rsidP="00A417DB">
            <w:pPr>
              <w:jc w:val="right"/>
              <w:rPr>
                <w:rFonts w:ascii="Arial" w:hAnsi="Arial" w:cs="Arial"/>
                <w:color w:val="000000"/>
                <w:sz w:val="16"/>
                <w:szCs w:val="16"/>
                <w:lang w:eastAsia="en-AU"/>
              </w:rPr>
            </w:pPr>
            <w:r w:rsidRPr="00A417DB">
              <w:rPr>
                <w:rFonts w:ascii="Arial" w:hAnsi="Arial" w:cs="Arial"/>
                <w:color w:val="000000"/>
                <w:sz w:val="16"/>
                <w:szCs w:val="16"/>
                <w:lang w:eastAsia="en-AU"/>
              </w:rPr>
              <w:t> </w:t>
            </w:r>
          </w:p>
        </w:tc>
        <w:tc>
          <w:tcPr>
            <w:tcW w:w="878" w:type="dxa"/>
            <w:tcBorders>
              <w:top w:val="nil"/>
              <w:left w:val="nil"/>
              <w:bottom w:val="nil"/>
              <w:right w:val="nil"/>
            </w:tcBorders>
            <w:shd w:val="clear" w:color="000000" w:fill="FFFFFF"/>
            <w:noWrap/>
            <w:vAlign w:val="center"/>
            <w:hideMark/>
          </w:tcPr>
          <w:p w14:paraId="30EB8073" w14:textId="77777777" w:rsidR="00A417DB" w:rsidRPr="00A417DB" w:rsidRDefault="00A417DB" w:rsidP="00A417DB">
            <w:pPr>
              <w:jc w:val="right"/>
              <w:rPr>
                <w:rFonts w:ascii="Arial" w:hAnsi="Arial" w:cs="Arial"/>
                <w:color w:val="000000"/>
                <w:sz w:val="16"/>
                <w:szCs w:val="16"/>
                <w:lang w:eastAsia="en-AU"/>
              </w:rPr>
            </w:pPr>
            <w:r w:rsidRPr="00A417DB">
              <w:rPr>
                <w:rFonts w:ascii="Arial" w:hAnsi="Arial" w:cs="Arial"/>
                <w:color w:val="000000"/>
                <w:sz w:val="16"/>
                <w:szCs w:val="16"/>
                <w:lang w:eastAsia="en-AU"/>
              </w:rPr>
              <w:t> </w:t>
            </w:r>
          </w:p>
        </w:tc>
        <w:tc>
          <w:tcPr>
            <w:tcW w:w="878" w:type="dxa"/>
            <w:tcBorders>
              <w:top w:val="nil"/>
              <w:left w:val="nil"/>
              <w:bottom w:val="nil"/>
              <w:right w:val="nil"/>
            </w:tcBorders>
            <w:shd w:val="clear" w:color="000000" w:fill="FFFFFF"/>
            <w:noWrap/>
            <w:vAlign w:val="center"/>
            <w:hideMark/>
          </w:tcPr>
          <w:p w14:paraId="55AB95C4" w14:textId="77777777" w:rsidR="00A417DB" w:rsidRPr="00A417DB" w:rsidRDefault="00A417DB" w:rsidP="00A417DB">
            <w:pPr>
              <w:jc w:val="right"/>
              <w:rPr>
                <w:rFonts w:ascii="Arial" w:hAnsi="Arial" w:cs="Arial"/>
                <w:color w:val="000000"/>
                <w:sz w:val="16"/>
                <w:szCs w:val="16"/>
                <w:lang w:eastAsia="en-AU"/>
              </w:rPr>
            </w:pPr>
            <w:r w:rsidRPr="00A417DB">
              <w:rPr>
                <w:rFonts w:ascii="Arial" w:hAnsi="Arial" w:cs="Arial"/>
                <w:color w:val="000000"/>
                <w:sz w:val="16"/>
                <w:szCs w:val="16"/>
                <w:lang w:eastAsia="en-AU"/>
              </w:rPr>
              <w:t> </w:t>
            </w:r>
          </w:p>
        </w:tc>
        <w:tc>
          <w:tcPr>
            <w:tcW w:w="878" w:type="dxa"/>
            <w:tcBorders>
              <w:top w:val="nil"/>
              <w:left w:val="nil"/>
              <w:bottom w:val="nil"/>
              <w:right w:val="nil"/>
            </w:tcBorders>
            <w:shd w:val="clear" w:color="000000" w:fill="FFFFFF"/>
            <w:noWrap/>
            <w:vAlign w:val="center"/>
            <w:hideMark/>
          </w:tcPr>
          <w:p w14:paraId="329D5FD0" w14:textId="77777777" w:rsidR="00A417DB" w:rsidRPr="00A417DB" w:rsidRDefault="00A417DB" w:rsidP="00A417DB">
            <w:pPr>
              <w:jc w:val="right"/>
              <w:rPr>
                <w:rFonts w:ascii="Arial" w:hAnsi="Arial" w:cs="Arial"/>
                <w:color w:val="000000"/>
                <w:sz w:val="16"/>
                <w:szCs w:val="16"/>
                <w:lang w:eastAsia="en-AU"/>
              </w:rPr>
            </w:pPr>
            <w:r w:rsidRPr="00A417DB">
              <w:rPr>
                <w:rFonts w:ascii="Arial" w:hAnsi="Arial" w:cs="Arial"/>
                <w:color w:val="000000"/>
                <w:sz w:val="16"/>
                <w:szCs w:val="16"/>
                <w:lang w:eastAsia="en-AU"/>
              </w:rPr>
              <w:t> </w:t>
            </w:r>
          </w:p>
        </w:tc>
        <w:tc>
          <w:tcPr>
            <w:tcW w:w="1043" w:type="dxa"/>
            <w:tcBorders>
              <w:top w:val="nil"/>
              <w:left w:val="nil"/>
              <w:bottom w:val="nil"/>
              <w:right w:val="nil"/>
            </w:tcBorders>
            <w:shd w:val="clear" w:color="000000" w:fill="FFFFFF"/>
            <w:noWrap/>
            <w:vAlign w:val="center"/>
            <w:hideMark/>
          </w:tcPr>
          <w:p w14:paraId="5A717FB5" w14:textId="77777777" w:rsidR="00A417DB" w:rsidRPr="00A417DB" w:rsidRDefault="00A417DB" w:rsidP="00A417DB">
            <w:pPr>
              <w:jc w:val="right"/>
              <w:rPr>
                <w:rFonts w:ascii="Arial" w:hAnsi="Arial" w:cs="Arial"/>
                <w:color w:val="000000"/>
                <w:sz w:val="16"/>
                <w:szCs w:val="16"/>
                <w:lang w:eastAsia="en-AU"/>
              </w:rPr>
            </w:pPr>
            <w:r w:rsidRPr="00A417DB">
              <w:rPr>
                <w:rFonts w:ascii="Arial" w:hAnsi="Arial" w:cs="Arial"/>
                <w:color w:val="000000"/>
                <w:sz w:val="16"/>
                <w:szCs w:val="16"/>
                <w:lang w:eastAsia="en-AU"/>
              </w:rPr>
              <w:t> </w:t>
            </w:r>
          </w:p>
        </w:tc>
      </w:tr>
      <w:tr w:rsidR="00A417DB" w:rsidRPr="00A417DB" w14:paraId="199F6FE6" w14:textId="77777777" w:rsidTr="00A417DB">
        <w:trPr>
          <w:trHeight w:val="290"/>
        </w:trPr>
        <w:tc>
          <w:tcPr>
            <w:tcW w:w="3863" w:type="dxa"/>
            <w:tcBorders>
              <w:top w:val="nil"/>
              <w:left w:val="nil"/>
              <w:bottom w:val="nil"/>
              <w:right w:val="nil"/>
            </w:tcBorders>
            <w:shd w:val="clear" w:color="000000" w:fill="FFFFFF"/>
            <w:noWrap/>
            <w:vAlign w:val="bottom"/>
            <w:hideMark/>
          </w:tcPr>
          <w:p w14:paraId="7A9DB56D" w14:textId="77777777" w:rsidR="00A417DB" w:rsidRPr="00A417DB" w:rsidRDefault="00A417DB" w:rsidP="00A417DB">
            <w:pPr>
              <w:ind w:firstLineChars="100" w:firstLine="160"/>
              <w:rPr>
                <w:rFonts w:ascii="Arial" w:hAnsi="Arial" w:cs="Arial"/>
                <w:color w:val="000000"/>
                <w:sz w:val="16"/>
                <w:szCs w:val="16"/>
                <w:lang w:eastAsia="en-AU"/>
              </w:rPr>
            </w:pPr>
            <w:r w:rsidRPr="00A417DB">
              <w:rPr>
                <w:rFonts w:ascii="Arial" w:hAnsi="Arial" w:cs="Arial"/>
                <w:color w:val="000000"/>
                <w:sz w:val="16"/>
                <w:szCs w:val="16"/>
                <w:lang w:eastAsia="en-AU"/>
              </w:rPr>
              <w:t>Change in population</w:t>
            </w:r>
          </w:p>
        </w:tc>
        <w:tc>
          <w:tcPr>
            <w:tcW w:w="1062" w:type="dxa"/>
            <w:tcBorders>
              <w:top w:val="nil"/>
              <w:left w:val="nil"/>
              <w:bottom w:val="nil"/>
              <w:right w:val="nil"/>
            </w:tcBorders>
            <w:shd w:val="clear" w:color="000000" w:fill="FFFFFF"/>
            <w:noWrap/>
            <w:vAlign w:val="center"/>
            <w:hideMark/>
          </w:tcPr>
          <w:p w14:paraId="0F460618"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50 </w:t>
            </w:r>
          </w:p>
        </w:tc>
        <w:tc>
          <w:tcPr>
            <w:tcW w:w="878" w:type="dxa"/>
            <w:tcBorders>
              <w:top w:val="nil"/>
              <w:left w:val="nil"/>
              <w:bottom w:val="nil"/>
              <w:right w:val="nil"/>
            </w:tcBorders>
            <w:shd w:val="clear" w:color="000000" w:fill="FFFFFF"/>
            <w:noWrap/>
            <w:vAlign w:val="center"/>
            <w:hideMark/>
          </w:tcPr>
          <w:p w14:paraId="0C6484FD"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49 </w:t>
            </w:r>
          </w:p>
        </w:tc>
        <w:tc>
          <w:tcPr>
            <w:tcW w:w="878" w:type="dxa"/>
            <w:tcBorders>
              <w:top w:val="nil"/>
              <w:left w:val="nil"/>
              <w:bottom w:val="nil"/>
              <w:right w:val="nil"/>
            </w:tcBorders>
            <w:shd w:val="clear" w:color="000000" w:fill="FFFFFF"/>
            <w:noWrap/>
            <w:vAlign w:val="center"/>
            <w:hideMark/>
          </w:tcPr>
          <w:p w14:paraId="074E8F37"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49 </w:t>
            </w:r>
          </w:p>
        </w:tc>
        <w:tc>
          <w:tcPr>
            <w:tcW w:w="878" w:type="dxa"/>
            <w:tcBorders>
              <w:top w:val="nil"/>
              <w:left w:val="nil"/>
              <w:bottom w:val="nil"/>
              <w:right w:val="nil"/>
            </w:tcBorders>
            <w:shd w:val="clear" w:color="000000" w:fill="FFFFFF"/>
            <w:noWrap/>
            <w:vAlign w:val="center"/>
            <w:hideMark/>
          </w:tcPr>
          <w:p w14:paraId="6BD8F863"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50 </w:t>
            </w:r>
          </w:p>
        </w:tc>
        <w:tc>
          <w:tcPr>
            <w:tcW w:w="878" w:type="dxa"/>
            <w:tcBorders>
              <w:top w:val="nil"/>
              <w:left w:val="nil"/>
              <w:bottom w:val="nil"/>
              <w:right w:val="nil"/>
            </w:tcBorders>
            <w:shd w:val="clear" w:color="000000" w:fill="FFFFFF"/>
            <w:noWrap/>
            <w:vAlign w:val="center"/>
            <w:hideMark/>
          </w:tcPr>
          <w:p w14:paraId="7DBDCBC6"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53 </w:t>
            </w:r>
          </w:p>
        </w:tc>
        <w:tc>
          <w:tcPr>
            <w:tcW w:w="1043" w:type="dxa"/>
            <w:tcBorders>
              <w:top w:val="nil"/>
              <w:left w:val="nil"/>
              <w:bottom w:val="nil"/>
              <w:right w:val="nil"/>
            </w:tcBorders>
            <w:shd w:val="clear" w:color="000000" w:fill="FFFFFF"/>
            <w:noWrap/>
            <w:vAlign w:val="center"/>
            <w:hideMark/>
          </w:tcPr>
          <w:p w14:paraId="753F54A7"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201 </w:t>
            </w:r>
          </w:p>
        </w:tc>
      </w:tr>
      <w:tr w:rsidR="00A417DB" w:rsidRPr="00A417DB" w14:paraId="7986881D" w14:textId="77777777" w:rsidTr="00A417DB">
        <w:trPr>
          <w:trHeight w:val="290"/>
        </w:trPr>
        <w:tc>
          <w:tcPr>
            <w:tcW w:w="3863" w:type="dxa"/>
            <w:tcBorders>
              <w:top w:val="nil"/>
              <w:left w:val="nil"/>
              <w:bottom w:val="nil"/>
              <w:right w:val="nil"/>
            </w:tcBorders>
            <w:shd w:val="clear" w:color="000000" w:fill="FFFFFF"/>
            <w:noWrap/>
            <w:vAlign w:val="bottom"/>
            <w:hideMark/>
          </w:tcPr>
          <w:p w14:paraId="14948D52" w14:textId="77777777" w:rsidR="00A417DB" w:rsidRPr="00A417DB" w:rsidRDefault="00A417DB" w:rsidP="00A417DB">
            <w:pPr>
              <w:ind w:firstLineChars="100" w:firstLine="160"/>
              <w:rPr>
                <w:rFonts w:ascii="Arial" w:hAnsi="Arial" w:cs="Arial"/>
                <w:color w:val="000000"/>
                <w:sz w:val="16"/>
                <w:szCs w:val="16"/>
                <w:lang w:eastAsia="en-AU"/>
              </w:rPr>
            </w:pPr>
            <w:r w:rsidRPr="00A417DB">
              <w:rPr>
                <w:rFonts w:ascii="Arial" w:hAnsi="Arial" w:cs="Arial"/>
                <w:color w:val="000000"/>
                <w:sz w:val="16"/>
                <w:szCs w:val="16"/>
                <w:lang w:eastAsia="en-AU"/>
              </w:rPr>
              <w:t>Change in pool</w:t>
            </w:r>
          </w:p>
        </w:tc>
        <w:tc>
          <w:tcPr>
            <w:tcW w:w="1062" w:type="dxa"/>
            <w:tcBorders>
              <w:top w:val="nil"/>
              <w:left w:val="nil"/>
              <w:bottom w:val="nil"/>
              <w:right w:val="nil"/>
            </w:tcBorders>
            <w:shd w:val="clear" w:color="000000" w:fill="FFFFFF"/>
            <w:noWrap/>
            <w:vAlign w:val="center"/>
            <w:hideMark/>
          </w:tcPr>
          <w:p w14:paraId="21FE3033"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1,210 </w:t>
            </w:r>
          </w:p>
        </w:tc>
        <w:tc>
          <w:tcPr>
            <w:tcW w:w="878" w:type="dxa"/>
            <w:tcBorders>
              <w:top w:val="nil"/>
              <w:left w:val="nil"/>
              <w:bottom w:val="nil"/>
              <w:right w:val="nil"/>
            </w:tcBorders>
            <w:shd w:val="clear" w:color="000000" w:fill="FFFFFF"/>
            <w:noWrap/>
            <w:vAlign w:val="center"/>
            <w:hideMark/>
          </w:tcPr>
          <w:p w14:paraId="2F8BCADA"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592 </w:t>
            </w:r>
          </w:p>
        </w:tc>
        <w:tc>
          <w:tcPr>
            <w:tcW w:w="878" w:type="dxa"/>
            <w:tcBorders>
              <w:top w:val="nil"/>
              <w:left w:val="nil"/>
              <w:bottom w:val="nil"/>
              <w:right w:val="nil"/>
            </w:tcBorders>
            <w:shd w:val="clear" w:color="000000" w:fill="FFFFFF"/>
            <w:noWrap/>
            <w:vAlign w:val="center"/>
            <w:hideMark/>
          </w:tcPr>
          <w:p w14:paraId="20F1DB1F"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587 </w:t>
            </w:r>
          </w:p>
        </w:tc>
        <w:tc>
          <w:tcPr>
            <w:tcW w:w="878" w:type="dxa"/>
            <w:tcBorders>
              <w:top w:val="nil"/>
              <w:left w:val="nil"/>
              <w:bottom w:val="nil"/>
              <w:right w:val="nil"/>
            </w:tcBorders>
            <w:shd w:val="clear" w:color="000000" w:fill="FFFFFF"/>
            <w:noWrap/>
            <w:vAlign w:val="center"/>
            <w:hideMark/>
          </w:tcPr>
          <w:p w14:paraId="79700A80"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665 </w:t>
            </w:r>
          </w:p>
        </w:tc>
        <w:tc>
          <w:tcPr>
            <w:tcW w:w="878" w:type="dxa"/>
            <w:tcBorders>
              <w:top w:val="nil"/>
              <w:left w:val="nil"/>
              <w:bottom w:val="nil"/>
              <w:right w:val="nil"/>
            </w:tcBorders>
            <w:shd w:val="clear" w:color="000000" w:fill="FFFFFF"/>
            <w:noWrap/>
            <w:vAlign w:val="center"/>
            <w:hideMark/>
          </w:tcPr>
          <w:p w14:paraId="5A4FD353"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1,092 </w:t>
            </w:r>
          </w:p>
        </w:tc>
        <w:tc>
          <w:tcPr>
            <w:tcW w:w="1043" w:type="dxa"/>
            <w:tcBorders>
              <w:top w:val="nil"/>
              <w:left w:val="nil"/>
              <w:bottom w:val="nil"/>
              <w:right w:val="nil"/>
            </w:tcBorders>
            <w:shd w:val="clear" w:color="000000" w:fill="FFFFFF"/>
            <w:noWrap/>
            <w:vAlign w:val="center"/>
            <w:hideMark/>
          </w:tcPr>
          <w:p w14:paraId="436AF6B0"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2,935 </w:t>
            </w:r>
          </w:p>
        </w:tc>
      </w:tr>
      <w:tr w:rsidR="00A417DB" w:rsidRPr="00A417DB" w14:paraId="602C44FC" w14:textId="77777777" w:rsidTr="00A417DB">
        <w:trPr>
          <w:trHeight w:val="290"/>
        </w:trPr>
        <w:tc>
          <w:tcPr>
            <w:tcW w:w="3863" w:type="dxa"/>
            <w:tcBorders>
              <w:top w:val="nil"/>
              <w:left w:val="nil"/>
              <w:bottom w:val="nil"/>
              <w:right w:val="nil"/>
            </w:tcBorders>
            <w:shd w:val="clear" w:color="000000" w:fill="FFFFFF"/>
            <w:noWrap/>
            <w:vAlign w:val="bottom"/>
            <w:hideMark/>
          </w:tcPr>
          <w:p w14:paraId="3920B9FF" w14:textId="77777777" w:rsidR="00A417DB" w:rsidRPr="00A417DB" w:rsidRDefault="00A417DB" w:rsidP="00A417DB">
            <w:pPr>
              <w:ind w:firstLineChars="100" w:firstLine="160"/>
              <w:rPr>
                <w:rFonts w:ascii="Arial" w:hAnsi="Arial" w:cs="Arial"/>
                <w:color w:val="000000"/>
                <w:sz w:val="16"/>
                <w:szCs w:val="16"/>
                <w:lang w:eastAsia="en-AU"/>
              </w:rPr>
            </w:pPr>
            <w:r w:rsidRPr="00A417DB">
              <w:rPr>
                <w:rFonts w:ascii="Arial" w:hAnsi="Arial" w:cs="Arial"/>
                <w:color w:val="000000"/>
                <w:sz w:val="16"/>
                <w:szCs w:val="16"/>
                <w:lang w:eastAsia="en-AU"/>
              </w:rPr>
              <w:t>Change in relativities</w:t>
            </w:r>
          </w:p>
        </w:tc>
        <w:tc>
          <w:tcPr>
            <w:tcW w:w="1062" w:type="dxa"/>
            <w:tcBorders>
              <w:top w:val="nil"/>
              <w:left w:val="nil"/>
              <w:bottom w:val="nil"/>
              <w:right w:val="nil"/>
            </w:tcBorders>
            <w:shd w:val="clear" w:color="000000" w:fill="FFFFFF"/>
            <w:noWrap/>
            <w:vAlign w:val="center"/>
            <w:hideMark/>
          </w:tcPr>
          <w:p w14:paraId="378C300C"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w:t>
            </w:r>
          </w:p>
        </w:tc>
        <w:tc>
          <w:tcPr>
            <w:tcW w:w="878" w:type="dxa"/>
            <w:tcBorders>
              <w:top w:val="nil"/>
              <w:left w:val="nil"/>
              <w:bottom w:val="nil"/>
              <w:right w:val="nil"/>
            </w:tcBorders>
            <w:shd w:val="clear" w:color="000000" w:fill="FFFFFF"/>
            <w:noWrap/>
            <w:vAlign w:val="center"/>
            <w:hideMark/>
          </w:tcPr>
          <w:p w14:paraId="181C0FFB"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518 </w:t>
            </w:r>
          </w:p>
        </w:tc>
        <w:tc>
          <w:tcPr>
            <w:tcW w:w="878" w:type="dxa"/>
            <w:tcBorders>
              <w:top w:val="nil"/>
              <w:left w:val="nil"/>
              <w:bottom w:val="nil"/>
              <w:right w:val="nil"/>
            </w:tcBorders>
            <w:shd w:val="clear" w:color="000000" w:fill="FFFFFF"/>
            <w:noWrap/>
            <w:vAlign w:val="center"/>
            <w:hideMark/>
          </w:tcPr>
          <w:p w14:paraId="079DDEF0"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459 </w:t>
            </w:r>
          </w:p>
        </w:tc>
        <w:tc>
          <w:tcPr>
            <w:tcW w:w="878" w:type="dxa"/>
            <w:tcBorders>
              <w:top w:val="nil"/>
              <w:left w:val="nil"/>
              <w:bottom w:val="nil"/>
              <w:right w:val="nil"/>
            </w:tcBorders>
            <w:shd w:val="clear" w:color="000000" w:fill="FFFFFF"/>
            <w:noWrap/>
            <w:vAlign w:val="center"/>
            <w:hideMark/>
          </w:tcPr>
          <w:p w14:paraId="4E7E4CFE"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618 </w:t>
            </w:r>
          </w:p>
        </w:tc>
        <w:tc>
          <w:tcPr>
            <w:tcW w:w="878" w:type="dxa"/>
            <w:tcBorders>
              <w:top w:val="nil"/>
              <w:left w:val="nil"/>
              <w:bottom w:val="nil"/>
              <w:right w:val="nil"/>
            </w:tcBorders>
            <w:shd w:val="clear" w:color="000000" w:fill="FFFFFF"/>
            <w:noWrap/>
            <w:vAlign w:val="center"/>
            <w:hideMark/>
          </w:tcPr>
          <w:p w14:paraId="5E5C81C4"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430 </w:t>
            </w:r>
          </w:p>
        </w:tc>
        <w:tc>
          <w:tcPr>
            <w:tcW w:w="1043" w:type="dxa"/>
            <w:tcBorders>
              <w:top w:val="nil"/>
              <w:left w:val="nil"/>
              <w:bottom w:val="nil"/>
              <w:right w:val="nil"/>
            </w:tcBorders>
            <w:shd w:val="clear" w:color="000000" w:fill="FFFFFF"/>
            <w:noWrap/>
            <w:vAlign w:val="center"/>
            <w:hideMark/>
          </w:tcPr>
          <w:p w14:paraId="1DEB1FB6"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2,025 </w:t>
            </w:r>
          </w:p>
        </w:tc>
      </w:tr>
      <w:tr w:rsidR="00A417DB" w:rsidRPr="00A417DB" w14:paraId="3B067D4F" w14:textId="77777777" w:rsidTr="00A417DB">
        <w:trPr>
          <w:trHeight w:val="290"/>
        </w:trPr>
        <w:tc>
          <w:tcPr>
            <w:tcW w:w="3863" w:type="dxa"/>
            <w:tcBorders>
              <w:top w:val="nil"/>
              <w:left w:val="nil"/>
              <w:bottom w:val="nil"/>
              <w:right w:val="nil"/>
            </w:tcBorders>
            <w:shd w:val="clear" w:color="000000" w:fill="FFFFFF"/>
            <w:noWrap/>
            <w:vAlign w:val="bottom"/>
            <w:hideMark/>
          </w:tcPr>
          <w:p w14:paraId="1D5F5669" w14:textId="77777777" w:rsidR="00A417DB" w:rsidRPr="00A417DB" w:rsidRDefault="00A417DB" w:rsidP="00A417DB">
            <w:pPr>
              <w:ind w:firstLineChars="100" w:firstLine="160"/>
              <w:rPr>
                <w:rFonts w:ascii="Arial" w:hAnsi="Arial" w:cs="Arial"/>
                <w:color w:val="000000"/>
                <w:sz w:val="16"/>
                <w:szCs w:val="16"/>
                <w:lang w:eastAsia="en-AU"/>
              </w:rPr>
            </w:pPr>
            <w:r w:rsidRPr="00A417DB">
              <w:rPr>
                <w:rFonts w:ascii="Arial" w:hAnsi="Arial" w:cs="Arial"/>
                <w:color w:val="000000"/>
                <w:sz w:val="16"/>
                <w:szCs w:val="16"/>
                <w:lang w:eastAsia="en-AU"/>
              </w:rPr>
              <w:t>'No worse off' payments</w:t>
            </w:r>
          </w:p>
        </w:tc>
        <w:tc>
          <w:tcPr>
            <w:tcW w:w="1062" w:type="dxa"/>
            <w:tcBorders>
              <w:top w:val="nil"/>
              <w:left w:val="nil"/>
              <w:bottom w:val="nil"/>
              <w:right w:val="nil"/>
            </w:tcBorders>
            <w:shd w:val="clear" w:color="000000" w:fill="FFFFFF"/>
            <w:noWrap/>
            <w:vAlign w:val="center"/>
            <w:hideMark/>
          </w:tcPr>
          <w:p w14:paraId="6D82ABF8"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3 </w:t>
            </w:r>
          </w:p>
        </w:tc>
        <w:tc>
          <w:tcPr>
            <w:tcW w:w="878" w:type="dxa"/>
            <w:tcBorders>
              <w:top w:val="nil"/>
              <w:left w:val="nil"/>
              <w:bottom w:val="nil"/>
              <w:right w:val="nil"/>
            </w:tcBorders>
            <w:shd w:val="clear" w:color="000000" w:fill="FFFFFF"/>
            <w:noWrap/>
            <w:vAlign w:val="center"/>
            <w:hideMark/>
          </w:tcPr>
          <w:p w14:paraId="490C4147"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(85) </w:t>
            </w:r>
          </w:p>
        </w:tc>
        <w:tc>
          <w:tcPr>
            <w:tcW w:w="878" w:type="dxa"/>
            <w:tcBorders>
              <w:top w:val="nil"/>
              <w:left w:val="nil"/>
              <w:bottom w:val="nil"/>
              <w:right w:val="nil"/>
            </w:tcBorders>
            <w:shd w:val="clear" w:color="000000" w:fill="FFFFFF"/>
            <w:noWrap/>
            <w:vAlign w:val="center"/>
            <w:hideMark/>
          </w:tcPr>
          <w:p w14:paraId="7631281E"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(18) </w:t>
            </w:r>
          </w:p>
        </w:tc>
        <w:tc>
          <w:tcPr>
            <w:tcW w:w="878" w:type="dxa"/>
            <w:tcBorders>
              <w:top w:val="nil"/>
              <w:left w:val="nil"/>
              <w:bottom w:val="nil"/>
              <w:right w:val="nil"/>
            </w:tcBorders>
            <w:shd w:val="clear" w:color="000000" w:fill="FFFFFF"/>
            <w:noWrap/>
            <w:vAlign w:val="center"/>
            <w:hideMark/>
          </w:tcPr>
          <w:p w14:paraId="56DCF33E"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135 </w:t>
            </w:r>
          </w:p>
        </w:tc>
        <w:tc>
          <w:tcPr>
            <w:tcW w:w="878" w:type="dxa"/>
            <w:tcBorders>
              <w:top w:val="nil"/>
              <w:left w:val="nil"/>
              <w:bottom w:val="nil"/>
              <w:right w:val="nil"/>
            </w:tcBorders>
            <w:shd w:val="clear" w:color="000000" w:fill="FFFFFF"/>
            <w:noWrap/>
            <w:vAlign w:val="center"/>
            <w:hideMark/>
          </w:tcPr>
          <w:p w14:paraId="756C8489"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378 </w:t>
            </w:r>
          </w:p>
        </w:tc>
        <w:tc>
          <w:tcPr>
            <w:tcW w:w="1043" w:type="dxa"/>
            <w:tcBorders>
              <w:top w:val="nil"/>
              <w:left w:val="nil"/>
              <w:bottom w:val="nil"/>
              <w:right w:val="nil"/>
            </w:tcBorders>
            <w:shd w:val="clear" w:color="000000" w:fill="FFFFFF"/>
            <w:noWrap/>
            <w:vAlign w:val="center"/>
            <w:hideMark/>
          </w:tcPr>
          <w:p w14:paraId="5F257500"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410 </w:t>
            </w:r>
          </w:p>
        </w:tc>
      </w:tr>
      <w:tr w:rsidR="00A417DB" w:rsidRPr="00A417DB" w14:paraId="47DE564A" w14:textId="77777777" w:rsidTr="00A417DB">
        <w:trPr>
          <w:trHeight w:val="290"/>
        </w:trPr>
        <w:tc>
          <w:tcPr>
            <w:tcW w:w="3863" w:type="dxa"/>
            <w:tcBorders>
              <w:top w:val="single" w:sz="4" w:space="0" w:color="auto"/>
              <w:left w:val="nil"/>
              <w:bottom w:val="single" w:sz="4" w:space="0" w:color="auto"/>
              <w:right w:val="nil"/>
            </w:tcBorders>
            <w:shd w:val="clear" w:color="000000" w:fill="FFFFFF"/>
            <w:vAlign w:val="center"/>
            <w:hideMark/>
          </w:tcPr>
          <w:p w14:paraId="0302004B" w14:textId="77777777" w:rsidR="00A417DB" w:rsidRPr="00A417DB" w:rsidRDefault="00A417DB" w:rsidP="00A417DB">
            <w:pPr>
              <w:rPr>
                <w:rFonts w:ascii="Arial" w:hAnsi="Arial" w:cs="Arial"/>
                <w:b/>
                <w:bCs/>
                <w:color w:val="0579B9"/>
                <w:sz w:val="16"/>
                <w:szCs w:val="16"/>
                <w:lang w:eastAsia="en-AU"/>
              </w:rPr>
            </w:pPr>
            <w:r w:rsidRPr="00A417DB">
              <w:rPr>
                <w:rFonts w:ascii="Arial" w:hAnsi="Arial" w:cs="Arial"/>
                <w:b/>
                <w:bCs/>
                <w:color w:val="0579B9"/>
                <w:sz w:val="16"/>
                <w:szCs w:val="16"/>
                <w:lang w:eastAsia="en-AU"/>
              </w:rPr>
              <w:t>2021-22 Half-Yearly Review</w:t>
            </w:r>
          </w:p>
        </w:tc>
        <w:tc>
          <w:tcPr>
            <w:tcW w:w="1062" w:type="dxa"/>
            <w:tcBorders>
              <w:top w:val="single" w:sz="4" w:space="0" w:color="auto"/>
              <w:left w:val="nil"/>
              <w:bottom w:val="single" w:sz="4" w:space="0" w:color="auto"/>
              <w:right w:val="nil"/>
            </w:tcBorders>
            <w:shd w:val="clear" w:color="000000" w:fill="FFFFFF"/>
            <w:noWrap/>
            <w:vAlign w:val="center"/>
            <w:hideMark/>
          </w:tcPr>
          <w:p w14:paraId="7ED1E062" w14:textId="77777777" w:rsidR="00A417DB" w:rsidRPr="00A417DB" w:rsidRDefault="00A417DB" w:rsidP="00A417DB">
            <w:pPr>
              <w:jc w:val="center"/>
              <w:rPr>
                <w:rFonts w:ascii="Arial" w:hAnsi="Arial" w:cs="Arial"/>
                <w:b/>
                <w:bCs/>
                <w:color w:val="0579B9"/>
                <w:sz w:val="16"/>
                <w:szCs w:val="16"/>
                <w:lang w:eastAsia="en-AU"/>
              </w:rPr>
            </w:pPr>
            <w:r w:rsidRPr="00A417DB">
              <w:rPr>
                <w:rFonts w:ascii="Arial" w:hAnsi="Arial" w:cs="Arial"/>
                <w:b/>
                <w:bCs/>
                <w:color w:val="0579B9"/>
                <w:sz w:val="16"/>
                <w:szCs w:val="16"/>
                <w:lang w:eastAsia="en-AU"/>
              </w:rPr>
              <w:t xml:space="preserve">23,044 </w:t>
            </w:r>
          </w:p>
        </w:tc>
        <w:tc>
          <w:tcPr>
            <w:tcW w:w="878" w:type="dxa"/>
            <w:tcBorders>
              <w:top w:val="single" w:sz="4" w:space="0" w:color="auto"/>
              <w:left w:val="nil"/>
              <w:bottom w:val="single" w:sz="4" w:space="0" w:color="auto"/>
              <w:right w:val="nil"/>
            </w:tcBorders>
            <w:shd w:val="clear" w:color="000000" w:fill="FFFFFF"/>
            <w:noWrap/>
            <w:vAlign w:val="center"/>
            <w:hideMark/>
          </w:tcPr>
          <w:p w14:paraId="549A1713" w14:textId="77777777" w:rsidR="00A417DB" w:rsidRPr="00A417DB" w:rsidRDefault="00A417DB" w:rsidP="00A417DB">
            <w:pPr>
              <w:jc w:val="center"/>
              <w:rPr>
                <w:rFonts w:ascii="Arial" w:hAnsi="Arial" w:cs="Arial"/>
                <w:b/>
                <w:bCs/>
                <w:color w:val="0579B9"/>
                <w:sz w:val="16"/>
                <w:szCs w:val="16"/>
                <w:lang w:eastAsia="en-AU"/>
              </w:rPr>
            </w:pPr>
            <w:r w:rsidRPr="00A417DB">
              <w:rPr>
                <w:rFonts w:ascii="Arial" w:hAnsi="Arial" w:cs="Arial"/>
                <w:b/>
                <w:bCs/>
                <w:color w:val="0579B9"/>
                <w:sz w:val="16"/>
                <w:szCs w:val="16"/>
                <w:lang w:eastAsia="en-AU"/>
              </w:rPr>
              <w:t xml:space="preserve">23,347 </w:t>
            </w:r>
          </w:p>
        </w:tc>
        <w:tc>
          <w:tcPr>
            <w:tcW w:w="878" w:type="dxa"/>
            <w:tcBorders>
              <w:top w:val="single" w:sz="4" w:space="0" w:color="auto"/>
              <w:left w:val="nil"/>
              <w:bottom w:val="single" w:sz="4" w:space="0" w:color="auto"/>
              <w:right w:val="nil"/>
            </w:tcBorders>
            <w:shd w:val="clear" w:color="000000" w:fill="FFFFFF"/>
            <w:noWrap/>
            <w:vAlign w:val="center"/>
            <w:hideMark/>
          </w:tcPr>
          <w:p w14:paraId="36740E0B" w14:textId="77777777" w:rsidR="00A417DB" w:rsidRPr="00A417DB" w:rsidRDefault="00A417DB" w:rsidP="00A417DB">
            <w:pPr>
              <w:jc w:val="center"/>
              <w:rPr>
                <w:rFonts w:ascii="Arial" w:hAnsi="Arial" w:cs="Arial"/>
                <w:b/>
                <w:bCs/>
                <w:color w:val="0579B9"/>
                <w:sz w:val="16"/>
                <w:szCs w:val="16"/>
                <w:lang w:eastAsia="en-AU"/>
              </w:rPr>
            </w:pPr>
            <w:r w:rsidRPr="00A417DB">
              <w:rPr>
                <w:rFonts w:ascii="Arial" w:hAnsi="Arial" w:cs="Arial"/>
                <w:b/>
                <w:bCs/>
                <w:color w:val="0579B9"/>
                <w:sz w:val="16"/>
                <w:szCs w:val="16"/>
                <w:lang w:eastAsia="en-AU"/>
              </w:rPr>
              <w:t xml:space="preserve">23,340 </w:t>
            </w:r>
          </w:p>
        </w:tc>
        <w:tc>
          <w:tcPr>
            <w:tcW w:w="878" w:type="dxa"/>
            <w:tcBorders>
              <w:top w:val="single" w:sz="4" w:space="0" w:color="auto"/>
              <w:left w:val="nil"/>
              <w:bottom w:val="single" w:sz="4" w:space="0" w:color="auto"/>
              <w:right w:val="nil"/>
            </w:tcBorders>
            <w:shd w:val="clear" w:color="000000" w:fill="FFFFFF"/>
            <w:noWrap/>
            <w:vAlign w:val="center"/>
            <w:hideMark/>
          </w:tcPr>
          <w:p w14:paraId="1D4B832E" w14:textId="77777777" w:rsidR="00A417DB" w:rsidRPr="00A417DB" w:rsidRDefault="00A417DB" w:rsidP="00A417DB">
            <w:pPr>
              <w:jc w:val="center"/>
              <w:rPr>
                <w:rFonts w:ascii="Arial" w:hAnsi="Arial" w:cs="Arial"/>
                <w:b/>
                <w:bCs/>
                <w:color w:val="0579B9"/>
                <w:sz w:val="16"/>
                <w:szCs w:val="16"/>
                <w:lang w:eastAsia="en-AU"/>
              </w:rPr>
            </w:pPr>
            <w:r w:rsidRPr="00A417DB">
              <w:rPr>
                <w:rFonts w:ascii="Arial" w:hAnsi="Arial" w:cs="Arial"/>
                <w:b/>
                <w:bCs/>
                <w:color w:val="0579B9"/>
                <w:sz w:val="16"/>
                <w:szCs w:val="16"/>
                <w:lang w:eastAsia="en-AU"/>
              </w:rPr>
              <w:t xml:space="preserve">23,900 </w:t>
            </w:r>
          </w:p>
        </w:tc>
        <w:tc>
          <w:tcPr>
            <w:tcW w:w="878" w:type="dxa"/>
            <w:tcBorders>
              <w:top w:val="single" w:sz="4" w:space="0" w:color="auto"/>
              <w:left w:val="nil"/>
              <w:bottom w:val="single" w:sz="4" w:space="0" w:color="auto"/>
              <w:right w:val="nil"/>
            </w:tcBorders>
            <w:shd w:val="clear" w:color="000000" w:fill="FFFFFF"/>
            <w:noWrap/>
            <w:vAlign w:val="center"/>
            <w:hideMark/>
          </w:tcPr>
          <w:p w14:paraId="74F4449D" w14:textId="77777777" w:rsidR="00A417DB" w:rsidRPr="00A417DB" w:rsidRDefault="00A417DB" w:rsidP="00A417DB">
            <w:pPr>
              <w:jc w:val="center"/>
              <w:rPr>
                <w:rFonts w:ascii="Arial" w:hAnsi="Arial" w:cs="Arial"/>
                <w:b/>
                <w:bCs/>
                <w:color w:val="0579B9"/>
                <w:sz w:val="16"/>
                <w:szCs w:val="16"/>
                <w:lang w:eastAsia="en-AU"/>
              </w:rPr>
            </w:pPr>
            <w:r w:rsidRPr="00A417DB">
              <w:rPr>
                <w:rFonts w:ascii="Arial" w:hAnsi="Arial" w:cs="Arial"/>
                <w:b/>
                <w:bCs/>
                <w:color w:val="0579B9"/>
                <w:sz w:val="16"/>
                <w:szCs w:val="16"/>
                <w:lang w:eastAsia="en-AU"/>
              </w:rPr>
              <w:t xml:space="preserve">24,953 </w:t>
            </w:r>
          </w:p>
        </w:tc>
        <w:tc>
          <w:tcPr>
            <w:tcW w:w="1043" w:type="dxa"/>
            <w:tcBorders>
              <w:top w:val="single" w:sz="4" w:space="0" w:color="auto"/>
              <w:left w:val="nil"/>
              <w:bottom w:val="single" w:sz="4" w:space="0" w:color="auto"/>
              <w:right w:val="nil"/>
            </w:tcBorders>
            <w:shd w:val="clear" w:color="000000" w:fill="FFFFFF"/>
            <w:noWrap/>
            <w:vAlign w:val="center"/>
            <w:hideMark/>
          </w:tcPr>
          <w:p w14:paraId="59F9311F" w14:textId="77777777" w:rsidR="00A417DB" w:rsidRPr="00A417DB" w:rsidRDefault="00A417DB" w:rsidP="00A417DB">
            <w:pPr>
              <w:jc w:val="center"/>
              <w:rPr>
                <w:rFonts w:ascii="Arial" w:hAnsi="Arial" w:cs="Arial"/>
                <w:b/>
                <w:bCs/>
                <w:color w:val="0579B9"/>
                <w:sz w:val="16"/>
                <w:szCs w:val="16"/>
                <w:lang w:eastAsia="en-AU"/>
              </w:rPr>
            </w:pPr>
            <w:r w:rsidRPr="00A417DB">
              <w:rPr>
                <w:rFonts w:ascii="Arial" w:hAnsi="Arial" w:cs="Arial"/>
                <w:b/>
                <w:bCs/>
                <w:color w:val="0579B9"/>
                <w:sz w:val="16"/>
                <w:szCs w:val="16"/>
                <w:lang w:eastAsia="en-AU"/>
              </w:rPr>
              <w:t xml:space="preserve">95,540 </w:t>
            </w:r>
          </w:p>
        </w:tc>
      </w:tr>
      <w:tr w:rsidR="00A417DB" w:rsidRPr="00A417DB" w14:paraId="3D75853A" w14:textId="77777777" w:rsidTr="00A417DB">
        <w:trPr>
          <w:trHeight w:val="290"/>
        </w:trPr>
        <w:tc>
          <w:tcPr>
            <w:tcW w:w="3863" w:type="dxa"/>
            <w:tcBorders>
              <w:top w:val="nil"/>
              <w:left w:val="nil"/>
              <w:bottom w:val="nil"/>
              <w:right w:val="nil"/>
            </w:tcBorders>
            <w:shd w:val="clear" w:color="000000" w:fill="FFFFFF"/>
            <w:noWrap/>
            <w:vAlign w:val="center"/>
            <w:hideMark/>
          </w:tcPr>
          <w:p w14:paraId="37A14188" w14:textId="77777777" w:rsidR="00A417DB" w:rsidRPr="00A417DB" w:rsidRDefault="00A417DB" w:rsidP="00A417DB">
            <w:pPr>
              <w:rPr>
                <w:rFonts w:ascii="Arial" w:hAnsi="Arial" w:cs="Arial"/>
                <w:color w:val="000000"/>
                <w:sz w:val="16"/>
                <w:szCs w:val="16"/>
                <w:lang w:eastAsia="en-AU"/>
              </w:rPr>
            </w:pPr>
            <w:r w:rsidRPr="00A417DB">
              <w:rPr>
                <w:rFonts w:ascii="Arial" w:hAnsi="Arial" w:cs="Arial"/>
                <w:color w:val="000000"/>
                <w:sz w:val="16"/>
                <w:szCs w:val="16"/>
                <w:lang w:eastAsia="en-AU"/>
              </w:rPr>
              <w:t>Change due to:</w:t>
            </w:r>
          </w:p>
        </w:tc>
        <w:tc>
          <w:tcPr>
            <w:tcW w:w="1062" w:type="dxa"/>
            <w:tcBorders>
              <w:top w:val="nil"/>
              <w:left w:val="nil"/>
              <w:bottom w:val="nil"/>
              <w:right w:val="nil"/>
            </w:tcBorders>
            <w:shd w:val="clear" w:color="000000" w:fill="FFFFFF"/>
            <w:noWrap/>
            <w:vAlign w:val="center"/>
            <w:hideMark/>
          </w:tcPr>
          <w:p w14:paraId="405BC06B"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w:t>
            </w:r>
          </w:p>
        </w:tc>
        <w:tc>
          <w:tcPr>
            <w:tcW w:w="878" w:type="dxa"/>
            <w:tcBorders>
              <w:top w:val="nil"/>
              <w:left w:val="nil"/>
              <w:bottom w:val="nil"/>
              <w:right w:val="nil"/>
            </w:tcBorders>
            <w:shd w:val="clear" w:color="000000" w:fill="FFFFFF"/>
            <w:noWrap/>
            <w:vAlign w:val="center"/>
            <w:hideMark/>
          </w:tcPr>
          <w:p w14:paraId="1AF1A3B0"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w:t>
            </w:r>
          </w:p>
        </w:tc>
        <w:tc>
          <w:tcPr>
            <w:tcW w:w="878" w:type="dxa"/>
            <w:tcBorders>
              <w:top w:val="nil"/>
              <w:left w:val="nil"/>
              <w:bottom w:val="nil"/>
              <w:right w:val="nil"/>
            </w:tcBorders>
            <w:shd w:val="clear" w:color="000000" w:fill="FFFFFF"/>
            <w:noWrap/>
            <w:vAlign w:val="center"/>
            <w:hideMark/>
          </w:tcPr>
          <w:p w14:paraId="4321501C"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w:t>
            </w:r>
          </w:p>
        </w:tc>
        <w:tc>
          <w:tcPr>
            <w:tcW w:w="878" w:type="dxa"/>
            <w:tcBorders>
              <w:top w:val="nil"/>
              <w:left w:val="nil"/>
              <w:bottom w:val="nil"/>
              <w:right w:val="nil"/>
            </w:tcBorders>
            <w:shd w:val="clear" w:color="000000" w:fill="FFFFFF"/>
            <w:noWrap/>
            <w:vAlign w:val="center"/>
            <w:hideMark/>
          </w:tcPr>
          <w:p w14:paraId="700B0C59"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w:t>
            </w:r>
          </w:p>
        </w:tc>
        <w:tc>
          <w:tcPr>
            <w:tcW w:w="878" w:type="dxa"/>
            <w:tcBorders>
              <w:top w:val="nil"/>
              <w:left w:val="nil"/>
              <w:bottom w:val="nil"/>
              <w:right w:val="nil"/>
            </w:tcBorders>
            <w:shd w:val="clear" w:color="000000" w:fill="FFFFFF"/>
            <w:noWrap/>
            <w:vAlign w:val="center"/>
            <w:hideMark/>
          </w:tcPr>
          <w:p w14:paraId="72E5ABCA"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w:t>
            </w:r>
          </w:p>
        </w:tc>
        <w:tc>
          <w:tcPr>
            <w:tcW w:w="1043" w:type="dxa"/>
            <w:tcBorders>
              <w:top w:val="nil"/>
              <w:left w:val="nil"/>
              <w:bottom w:val="nil"/>
              <w:right w:val="nil"/>
            </w:tcBorders>
            <w:shd w:val="clear" w:color="000000" w:fill="FFFFFF"/>
            <w:noWrap/>
            <w:vAlign w:val="center"/>
            <w:hideMark/>
          </w:tcPr>
          <w:p w14:paraId="6FFC4F27"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w:t>
            </w:r>
          </w:p>
        </w:tc>
      </w:tr>
      <w:tr w:rsidR="00A417DB" w:rsidRPr="00A417DB" w14:paraId="232B0E90" w14:textId="77777777" w:rsidTr="00A417DB">
        <w:trPr>
          <w:trHeight w:val="290"/>
        </w:trPr>
        <w:tc>
          <w:tcPr>
            <w:tcW w:w="3863" w:type="dxa"/>
            <w:tcBorders>
              <w:top w:val="nil"/>
              <w:left w:val="nil"/>
              <w:bottom w:val="nil"/>
              <w:right w:val="nil"/>
            </w:tcBorders>
            <w:shd w:val="clear" w:color="000000" w:fill="FFFFFF"/>
            <w:noWrap/>
            <w:vAlign w:val="bottom"/>
            <w:hideMark/>
          </w:tcPr>
          <w:p w14:paraId="6084D7DD" w14:textId="77777777" w:rsidR="00A417DB" w:rsidRPr="00A417DB" w:rsidRDefault="00A417DB" w:rsidP="00A417DB">
            <w:pPr>
              <w:ind w:firstLineChars="100" w:firstLine="160"/>
              <w:rPr>
                <w:rFonts w:ascii="Arial" w:hAnsi="Arial" w:cs="Arial"/>
                <w:color w:val="000000"/>
                <w:sz w:val="16"/>
                <w:szCs w:val="16"/>
                <w:lang w:eastAsia="en-AU"/>
              </w:rPr>
            </w:pPr>
            <w:r w:rsidRPr="00A417DB">
              <w:rPr>
                <w:rFonts w:ascii="Arial" w:hAnsi="Arial" w:cs="Arial"/>
                <w:color w:val="000000"/>
                <w:sz w:val="16"/>
                <w:szCs w:val="16"/>
                <w:lang w:eastAsia="en-AU"/>
              </w:rPr>
              <w:t>Change in population</w:t>
            </w:r>
          </w:p>
        </w:tc>
        <w:tc>
          <w:tcPr>
            <w:tcW w:w="1062" w:type="dxa"/>
            <w:tcBorders>
              <w:top w:val="nil"/>
              <w:left w:val="nil"/>
              <w:bottom w:val="nil"/>
              <w:right w:val="nil"/>
            </w:tcBorders>
            <w:shd w:val="clear" w:color="000000" w:fill="FFFFFF"/>
            <w:noWrap/>
            <w:vAlign w:val="center"/>
            <w:hideMark/>
          </w:tcPr>
          <w:p w14:paraId="635A124C"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36 </w:t>
            </w:r>
          </w:p>
        </w:tc>
        <w:tc>
          <w:tcPr>
            <w:tcW w:w="878" w:type="dxa"/>
            <w:tcBorders>
              <w:top w:val="nil"/>
              <w:left w:val="nil"/>
              <w:bottom w:val="nil"/>
              <w:right w:val="nil"/>
            </w:tcBorders>
            <w:shd w:val="clear" w:color="000000" w:fill="FFFFFF"/>
            <w:noWrap/>
            <w:vAlign w:val="center"/>
            <w:hideMark/>
          </w:tcPr>
          <w:p w14:paraId="117CE5B9"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30 </w:t>
            </w:r>
          </w:p>
        </w:tc>
        <w:tc>
          <w:tcPr>
            <w:tcW w:w="878" w:type="dxa"/>
            <w:tcBorders>
              <w:top w:val="nil"/>
              <w:left w:val="nil"/>
              <w:bottom w:val="nil"/>
              <w:right w:val="nil"/>
            </w:tcBorders>
            <w:shd w:val="clear" w:color="000000" w:fill="FFFFFF"/>
            <w:noWrap/>
            <w:vAlign w:val="center"/>
            <w:hideMark/>
          </w:tcPr>
          <w:p w14:paraId="7F85A433"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35 </w:t>
            </w:r>
          </w:p>
        </w:tc>
        <w:tc>
          <w:tcPr>
            <w:tcW w:w="878" w:type="dxa"/>
            <w:tcBorders>
              <w:top w:val="nil"/>
              <w:left w:val="nil"/>
              <w:bottom w:val="nil"/>
              <w:right w:val="nil"/>
            </w:tcBorders>
            <w:shd w:val="clear" w:color="000000" w:fill="FFFFFF"/>
            <w:noWrap/>
            <w:vAlign w:val="center"/>
            <w:hideMark/>
          </w:tcPr>
          <w:p w14:paraId="44F928FF"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45 </w:t>
            </w:r>
          </w:p>
        </w:tc>
        <w:tc>
          <w:tcPr>
            <w:tcW w:w="878" w:type="dxa"/>
            <w:tcBorders>
              <w:top w:val="nil"/>
              <w:left w:val="nil"/>
              <w:bottom w:val="nil"/>
              <w:right w:val="nil"/>
            </w:tcBorders>
            <w:shd w:val="clear" w:color="000000" w:fill="FFFFFF"/>
            <w:noWrap/>
            <w:vAlign w:val="center"/>
            <w:hideMark/>
          </w:tcPr>
          <w:p w14:paraId="25A68AD7"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55 </w:t>
            </w:r>
          </w:p>
        </w:tc>
        <w:tc>
          <w:tcPr>
            <w:tcW w:w="1043" w:type="dxa"/>
            <w:tcBorders>
              <w:top w:val="nil"/>
              <w:left w:val="nil"/>
              <w:bottom w:val="nil"/>
              <w:right w:val="nil"/>
            </w:tcBorders>
            <w:shd w:val="clear" w:color="000000" w:fill="FFFFFF"/>
            <w:noWrap/>
            <w:vAlign w:val="center"/>
            <w:hideMark/>
          </w:tcPr>
          <w:p w14:paraId="01292989"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165 </w:t>
            </w:r>
          </w:p>
        </w:tc>
      </w:tr>
      <w:tr w:rsidR="00A417DB" w:rsidRPr="00A417DB" w14:paraId="41C6B4EC" w14:textId="77777777" w:rsidTr="00A417DB">
        <w:trPr>
          <w:trHeight w:val="290"/>
        </w:trPr>
        <w:tc>
          <w:tcPr>
            <w:tcW w:w="3863" w:type="dxa"/>
            <w:tcBorders>
              <w:top w:val="nil"/>
              <w:left w:val="nil"/>
              <w:bottom w:val="nil"/>
              <w:right w:val="nil"/>
            </w:tcBorders>
            <w:shd w:val="clear" w:color="000000" w:fill="FFFFFF"/>
            <w:noWrap/>
            <w:vAlign w:val="bottom"/>
            <w:hideMark/>
          </w:tcPr>
          <w:p w14:paraId="45DA8115" w14:textId="77777777" w:rsidR="00A417DB" w:rsidRPr="00A417DB" w:rsidRDefault="00A417DB" w:rsidP="00A417DB">
            <w:pPr>
              <w:ind w:firstLineChars="100" w:firstLine="160"/>
              <w:rPr>
                <w:rFonts w:ascii="Arial" w:hAnsi="Arial" w:cs="Arial"/>
                <w:color w:val="000000"/>
                <w:sz w:val="16"/>
                <w:szCs w:val="16"/>
                <w:lang w:eastAsia="en-AU"/>
              </w:rPr>
            </w:pPr>
            <w:r w:rsidRPr="00A417DB">
              <w:rPr>
                <w:rFonts w:ascii="Arial" w:hAnsi="Arial" w:cs="Arial"/>
                <w:color w:val="000000"/>
                <w:sz w:val="16"/>
                <w:szCs w:val="16"/>
                <w:lang w:eastAsia="en-AU"/>
              </w:rPr>
              <w:t>Change in pool</w:t>
            </w:r>
          </w:p>
        </w:tc>
        <w:tc>
          <w:tcPr>
            <w:tcW w:w="1062" w:type="dxa"/>
            <w:tcBorders>
              <w:top w:val="nil"/>
              <w:left w:val="nil"/>
              <w:bottom w:val="nil"/>
              <w:right w:val="nil"/>
            </w:tcBorders>
            <w:shd w:val="clear" w:color="000000" w:fill="FFFFFF"/>
            <w:noWrap/>
            <w:vAlign w:val="center"/>
            <w:hideMark/>
          </w:tcPr>
          <w:p w14:paraId="6A96CEA4"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217 </w:t>
            </w:r>
          </w:p>
        </w:tc>
        <w:tc>
          <w:tcPr>
            <w:tcW w:w="878" w:type="dxa"/>
            <w:tcBorders>
              <w:top w:val="nil"/>
              <w:left w:val="nil"/>
              <w:bottom w:val="nil"/>
              <w:right w:val="nil"/>
            </w:tcBorders>
            <w:shd w:val="clear" w:color="000000" w:fill="FFFFFF"/>
            <w:noWrap/>
            <w:vAlign w:val="center"/>
            <w:hideMark/>
          </w:tcPr>
          <w:p w14:paraId="3682612A"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1,401 </w:t>
            </w:r>
          </w:p>
        </w:tc>
        <w:tc>
          <w:tcPr>
            <w:tcW w:w="878" w:type="dxa"/>
            <w:tcBorders>
              <w:top w:val="nil"/>
              <w:left w:val="nil"/>
              <w:bottom w:val="nil"/>
              <w:right w:val="nil"/>
            </w:tcBorders>
            <w:shd w:val="clear" w:color="000000" w:fill="FFFFFF"/>
            <w:noWrap/>
            <w:vAlign w:val="center"/>
            <w:hideMark/>
          </w:tcPr>
          <w:p w14:paraId="42D65E33"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1,222 </w:t>
            </w:r>
          </w:p>
        </w:tc>
        <w:tc>
          <w:tcPr>
            <w:tcW w:w="878" w:type="dxa"/>
            <w:tcBorders>
              <w:top w:val="nil"/>
              <w:left w:val="nil"/>
              <w:bottom w:val="nil"/>
              <w:right w:val="nil"/>
            </w:tcBorders>
            <w:shd w:val="clear" w:color="000000" w:fill="FFFFFF"/>
            <w:noWrap/>
            <w:vAlign w:val="center"/>
            <w:hideMark/>
          </w:tcPr>
          <w:p w14:paraId="34E8B17B"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667 </w:t>
            </w:r>
          </w:p>
        </w:tc>
        <w:tc>
          <w:tcPr>
            <w:tcW w:w="878" w:type="dxa"/>
            <w:tcBorders>
              <w:top w:val="nil"/>
              <w:left w:val="nil"/>
              <w:bottom w:val="nil"/>
              <w:right w:val="nil"/>
            </w:tcBorders>
            <w:shd w:val="clear" w:color="000000" w:fill="FFFFFF"/>
            <w:noWrap/>
            <w:vAlign w:val="center"/>
            <w:hideMark/>
          </w:tcPr>
          <w:p w14:paraId="5DED8530"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139 </w:t>
            </w:r>
          </w:p>
        </w:tc>
        <w:tc>
          <w:tcPr>
            <w:tcW w:w="1043" w:type="dxa"/>
            <w:tcBorders>
              <w:top w:val="nil"/>
              <w:left w:val="nil"/>
              <w:bottom w:val="nil"/>
              <w:right w:val="nil"/>
            </w:tcBorders>
            <w:shd w:val="clear" w:color="000000" w:fill="FFFFFF"/>
            <w:noWrap/>
            <w:vAlign w:val="center"/>
            <w:hideMark/>
          </w:tcPr>
          <w:p w14:paraId="7C1B638B"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3,430 </w:t>
            </w:r>
          </w:p>
        </w:tc>
      </w:tr>
      <w:tr w:rsidR="00A417DB" w:rsidRPr="00A417DB" w14:paraId="73B63831" w14:textId="77777777" w:rsidTr="00A417DB">
        <w:trPr>
          <w:trHeight w:val="290"/>
        </w:trPr>
        <w:tc>
          <w:tcPr>
            <w:tcW w:w="3863" w:type="dxa"/>
            <w:tcBorders>
              <w:top w:val="nil"/>
              <w:left w:val="nil"/>
              <w:bottom w:val="nil"/>
              <w:right w:val="nil"/>
            </w:tcBorders>
            <w:shd w:val="clear" w:color="000000" w:fill="FFFFFF"/>
            <w:noWrap/>
            <w:vAlign w:val="bottom"/>
            <w:hideMark/>
          </w:tcPr>
          <w:p w14:paraId="7F178B16" w14:textId="77777777" w:rsidR="00A417DB" w:rsidRPr="00A417DB" w:rsidRDefault="00A417DB" w:rsidP="00A417DB">
            <w:pPr>
              <w:ind w:firstLineChars="100" w:firstLine="160"/>
              <w:rPr>
                <w:rFonts w:ascii="Arial" w:hAnsi="Arial" w:cs="Arial"/>
                <w:color w:val="000000"/>
                <w:sz w:val="16"/>
                <w:szCs w:val="16"/>
                <w:lang w:eastAsia="en-AU"/>
              </w:rPr>
            </w:pPr>
            <w:r w:rsidRPr="00A417DB">
              <w:rPr>
                <w:rFonts w:ascii="Arial" w:hAnsi="Arial" w:cs="Arial"/>
                <w:color w:val="000000"/>
                <w:sz w:val="16"/>
                <w:szCs w:val="16"/>
                <w:lang w:eastAsia="en-AU"/>
              </w:rPr>
              <w:t>Change in relativities</w:t>
            </w:r>
          </w:p>
        </w:tc>
        <w:tc>
          <w:tcPr>
            <w:tcW w:w="1062" w:type="dxa"/>
            <w:tcBorders>
              <w:top w:val="nil"/>
              <w:left w:val="nil"/>
              <w:bottom w:val="nil"/>
              <w:right w:val="nil"/>
            </w:tcBorders>
            <w:shd w:val="clear" w:color="000000" w:fill="FFFFFF"/>
            <w:noWrap/>
            <w:vAlign w:val="center"/>
            <w:hideMark/>
          </w:tcPr>
          <w:p w14:paraId="453FC487"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w:t>
            </w:r>
          </w:p>
        </w:tc>
        <w:tc>
          <w:tcPr>
            <w:tcW w:w="878" w:type="dxa"/>
            <w:tcBorders>
              <w:top w:val="nil"/>
              <w:left w:val="nil"/>
              <w:bottom w:val="nil"/>
              <w:right w:val="nil"/>
            </w:tcBorders>
            <w:shd w:val="clear" w:color="000000" w:fill="FFFFFF"/>
            <w:noWrap/>
            <w:vAlign w:val="center"/>
            <w:hideMark/>
          </w:tcPr>
          <w:p w14:paraId="3A633A7F"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537 </w:t>
            </w:r>
          </w:p>
        </w:tc>
        <w:tc>
          <w:tcPr>
            <w:tcW w:w="878" w:type="dxa"/>
            <w:tcBorders>
              <w:top w:val="nil"/>
              <w:left w:val="nil"/>
              <w:bottom w:val="nil"/>
              <w:right w:val="nil"/>
            </w:tcBorders>
            <w:shd w:val="clear" w:color="000000" w:fill="FFFFFF"/>
            <w:noWrap/>
            <w:vAlign w:val="center"/>
            <w:hideMark/>
          </w:tcPr>
          <w:p w14:paraId="0BC7F09C"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1,259 </w:t>
            </w:r>
          </w:p>
        </w:tc>
        <w:tc>
          <w:tcPr>
            <w:tcW w:w="878" w:type="dxa"/>
            <w:tcBorders>
              <w:top w:val="nil"/>
              <w:left w:val="nil"/>
              <w:bottom w:val="nil"/>
              <w:right w:val="nil"/>
            </w:tcBorders>
            <w:shd w:val="clear" w:color="000000" w:fill="FFFFFF"/>
            <w:noWrap/>
            <w:vAlign w:val="center"/>
            <w:hideMark/>
          </w:tcPr>
          <w:p w14:paraId="10663551"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1,949 </w:t>
            </w:r>
          </w:p>
        </w:tc>
        <w:tc>
          <w:tcPr>
            <w:tcW w:w="878" w:type="dxa"/>
            <w:tcBorders>
              <w:top w:val="nil"/>
              <w:left w:val="nil"/>
              <w:bottom w:val="nil"/>
              <w:right w:val="nil"/>
            </w:tcBorders>
            <w:shd w:val="clear" w:color="000000" w:fill="FFFFFF"/>
            <w:noWrap/>
            <w:vAlign w:val="center"/>
            <w:hideMark/>
          </w:tcPr>
          <w:p w14:paraId="3C181115"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2,421 </w:t>
            </w:r>
          </w:p>
        </w:tc>
        <w:tc>
          <w:tcPr>
            <w:tcW w:w="1043" w:type="dxa"/>
            <w:tcBorders>
              <w:top w:val="nil"/>
              <w:left w:val="nil"/>
              <w:bottom w:val="nil"/>
              <w:right w:val="nil"/>
            </w:tcBorders>
            <w:shd w:val="clear" w:color="000000" w:fill="FFFFFF"/>
            <w:noWrap/>
            <w:vAlign w:val="center"/>
            <w:hideMark/>
          </w:tcPr>
          <w:p w14:paraId="0254365D"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6,167 </w:t>
            </w:r>
          </w:p>
        </w:tc>
      </w:tr>
      <w:tr w:rsidR="00A417DB" w:rsidRPr="00A417DB" w14:paraId="5E020950" w14:textId="77777777" w:rsidTr="00A417DB">
        <w:trPr>
          <w:trHeight w:val="290"/>
        </w:trPr>
        <w:tc>
          <w:tcPr>
            <w:tcW w:w="3863" w:type="dxa"/>
            <w:tcBorders>
              <w:top w:val="nil"/>
              <w:left w:val="nil"/>
              <w:bottom w:val="nil"/>
              <w:right w:val="nil"/>
            </w:tcBorders>
            <w:shd w:val="clear" w:color="000000" w:fill="FFFFFF"/>
            <w:noWrap/>
            <w:vAlign w:val="bottom"/>
            <w:hideMark/>
          </w:tcPr>
          <w:p w14:paraId="3096A8AA" w14:textId="77777777" w:rsidR="00A417DB" w:rsidRPr="00A417DB" w:rsidRDefault="00A417DB" w:rsidP="00A417DB">
            <w:pPr>
              <w:ind w:firstLineChars="100" w:firstLine="160"/>
              <w:rPr>
                <w:rFonts w:ascii="Arial" w:hAnsi="Arial" w:cs="Arial"/>
                <w:color w:val="000000"/>
                <w:sz w:val="16"/>
                <w:szCs w:val="16"/>
                <w:lang w:eastAsia="en-AU"/>
              </w:rPr>
            </w:pPr>
            <w:r w:rsidRPr="00A417DB">
              <w:rPr>
                <w:rFonts w:ascii="Arial" w:hAnsi="Arial" w:cs="Arial"/>
                <w:color w:val="000000"/>
                <w:sz w:val="16"/>
                <w:szCs w:val="16"/>
                <w:lang w:eastAsia="en-AU"/>
              </w:rPr>
              <w:t>'No worse off' payments</w:t>
            </w:r>
          </w:p>
        </w:tc>
        <w:tc>
          <w:tcPr>
            <w:tcW w:w="1062" w:type="dxa"/>
            <w:tcBorders>
              <w:top w:val="nil"/>
              <w:left w:val="nil"/>
              <w:bottom w:val="nil"/>
              <w:right w:val="nil"/>
            </w:tcBorders>
            <w:shd w:val="clear" w:color="000000" w:fill="FFFFFF"/>
            <w:noWrap/>
            <w:vAlign w:val="center"/>
            <w:hideMark/>
          </w:tcPr>
          <w:p w14:paraId="1ED14BB7"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(1) </w:t>
            </w:r>
          </w:p>
        </w:tc>
        <w:tc>
          <w:tcPr>
            <w:tcW w:w="878" w:type="dxa"/>
            <w:tcBorders>
              <w:top w:val="nil"/>
              <w:left w:val="nil"/>
              <w:bottom w:val="nil"/>
              <w:right w:val="nil"/>
            </w:tcBorders>
            <w:shd w:val="clear" w:color="000000" w:fill="FFFFFF"/>
            <w:noWrap/>
            <w:vAlign w:val="center"/>
            <w:hideMark/>
          </w:tcPr>
          <w:p w14:paraId="5E5269AB"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190 </w:t>
            </w:r>
          </w:p>
        </w:tc>
        <w:tc>
          <w:tcPr>
            <w:tcW w:w="878" w:type="dxa"/>
            <w:tcBorders>
              <w:top w:val="nil"/>
              <w:left w:val="nil"/>
              <w:bottom w:val="nil"/>
              <w:right w:val="nil"/>
            </w:tcBorders>
            <w:shd w:val="clear" w:color="000000" w:fill="FFFFFF"/>
            <w:noWrap/>
            <w:vAlign w:val="center"/>
            <w:hideMark/>
          </w:tcPr>
          <w:p w14:paraId="1AACBC2F"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440 </w:t>
            </w:r>
          </w:p>
        </w:tc>
        <w:tc>
          <w:tcPr>
            <w:tcW w:w="878" w:type="dxa"/>
            <w:tcBorders>
              <w:top w:val="nil"/>
              <w:left w:val="nil"/>
              <w:bottom w:val="nil"/>
              <w:right w:val="nil"/>
            </w:tcBorders>
            <w:shd w:val="clear" w:color="000000" w:fill="FFFFFF"/>
            <w:noWrap/>
            <w:vAlign w:val="center"/>
            <w:hideMark/>
          </w:tcPr>
          <w:p w14:paraId="6FBC2299"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573 </w:t>
            </w:r>
          </w:p>
        </w:tc>
        <w:tc>
          <w:tcPr>
            <w:tcW w:w="878" w:type="dxa"/>
            <w:tcBorders>
              <w:top w:val="nil"/>
              <w:left w:val="nil"/>
              <w:bottom w:val="nil"/>
              <w:right w:val="nil"/>
            </w:tcBorders>
            <w:shd w:val="clear" w:color="000000" w:fill="FFFFFF"/>
            <w:noWrap/>
            <w:vAlign w:val="center"/>
            <w:hideMark/>
          </w:tcPr>
          <w:p w14:paraId="1F884B62"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579 </w:t>
            </w:r>
          </w:p>
        </w:tc>
        <w:tc>
          <w:tcPr>
            <w:tcW w:w="1043" w:type="dxa"/>
            <w:tcBorders>
              <w:top w:val="nil"/>
              <w:left w:val="nil"/>
              <w:bottom w:val="nil"/>
              <w:right w:val="nil"/>
            </w:tcBorders>
            <w:shd w:val="clear" w:color="000000" w:fill="FFFFFF"/>
            <w:noWrap/>
            <w:vAlign w:val="center"/>
            <w:hideMark/>
          </w:tcPr>
          <w:p w14:paraId="4AC0B58F" w14:textId="77777777" w:rsidR="00A417DB" w:rsidRPr="00A417DB" w:rsidRDefault="00A417DB" w:rsidP="00A417DB">
            <w:pPr>
              <w:jc w:val="center"/>
              <w:rPr>
                <w:rFonts w:ascii="Arial" w:hAnsi="Arial" w:cs="Arial"/>
                <w:color w:val="000000"/>
                <w:sz w:val="16"/>
                <w:szCs w:val="16"/>
                <w:lang w:eastAsia="en-AU"/>
              </w:rPr>
            </w:pPr>
            <w:r w:rsidRPr="00A417DB">
              <w:rPr>
                <w:rFonts w:ascii="Arial" w:hAnsi="Arial" w:cs="Arial"/>
                <w:color w:val="000000"/>
                <w:sz w:val="16"/>
                <w:szCs w:val="16"/>
                <w:lang w:eastAsia="en-AU"/>
              </w:rPr>
              <w:t xml:space="preserve">1,782 </w:t>
            </w:r>
          </w:p>
        </w:tc>
      </w:tr>
      <w:tr w:rsidR="00A417DB" w:rsidRPr="00A417DB" w14:paraId="7381040C" w14:textId="77777777" w:rsidTr="00A417DB">
        <w:trPr>
          <w:trHeight w:val="290"/>
        </w:trPr>
        <w:tc>
          <w:tcPr>
            <w:tcW w:w="3863" w:type="dxa"/>
            <w:tcBorders>
              <w:top w:val="single" w:sz="4" w:space="0" w:color="auto"/>
              <w:left w:val="nil"/>
              <w:bottom w:val="single" w:sz="4" w:space="0" w:color="auto"/>
              <w:right w:val="nil"/>
            </w:tcBorders>
            <w:shd w:val="clear" w:color="000000" w:fill="FFFFFF"/>
            <w:vAlign w:val="center"/>
            <w:hideMark/>
          </w:tcPr>
          <w:p w14:paraId="0F2C1E27" w14:textId="77777777" w:rsidR="00A417DB" w:rsidRPr="00A417DB" w:rsidRDefault="00A417DB" w:rsidP="00A417DB">
            <w:pPr>
              <w:rPr>
                <w:rFonts w:ascii="Arial" w:hAnsi="Arial" w:cs="Arial"/>
                <w:b/>
                <w:bCs/>
                <w:color w:val="0579B9"/>
                <w:sz w:val="16"/>
                <w:szCs w:val="16"/>
                <w:lang w:eastAsia="en-AU"/>
              </w:rPr>
            </w:pPr>
            <w:r w:rsidRPr="00A417DB">
              <w:rPr>
                <w:rFonts w:ascii="Arial" w:hAnsi="Arial" w:cs="Arial"/>
                <w:b/>
                <w:bCs/>
                <w:color w:val="0579B9"/>
                <w:sz w:val="16"/>
                <w:szCs w:val="16"/>
                <w:lang w:eastAsia="en-AU"/>
              </w:rPr>
              <w:t>2022-23 Budget</w:t>
            </w:r>
          </w:p>
        </w:tc>
        <w:tc>
          <w:tcPr>
            <w:tcW w:w="1062" w:type="dxa"/>
            <w:tcBorders>
              <w:top w:val="single" w:sz="4" w:space="0" w:color="auto"/>
              <w:left w:val="nil"/>
              <w:bottom w:val="single" w:sz="4" w:space="0" w:color="auto"/>
              <w:right w:val="nil"/>
            </w:tcBorders>
            <w:shd w:val="clear" w:color="000000" w:fill="FFFFFF"/>
            <w:noWrap/>
            <w:vAlign w:val="center"/>
            <w:hideMark/>
          </w:tcPr>
          <w:p w14:paraId="2A8D7AB6" w14:textId="77777777" w:rsidR="00A417DB" w:rsidRPr="00A417DB" w:rsidRDefault="00A417DB" w:rsidP="00A417DB">
            <w:pPr>
              <w:jc w:val="center"/>
              <w:rPr>
                <w:rFonts w:ascii="Arial" w:hAnsi="Arial" w:cs="Arial"/>
                <w:b/>
                <w:bCs/>
                <w:color w:val="0579B9"/>
                <w:sz w:val="16"/>
                <w:szCs w:val="16"/>
                <w:lang w:eastAsia="en-AU"/>
              </w:rPr>
            </w:pPr>
            <w:r w:rsidRPr="00A417DB">
              <w:rPr>
                <w:rFonts w:ascii="Arial" w:hAnsi="Arial" w:cs="Arial"/>
                <w:b/>
                <w:bCs/>
                <w:color w:val="0579B9"/>
                <w:sz w:val="16"/>
                <w:szCs w:val="16"/>
                <w:lang w:eastAsia="en-AU"/>
              </w:rPr>
              <w:t xml:space="preserve">23,297 </w:t>
            </w:r>
          </w:p>
        </w:tc>
        <w:tc>
          <w:tcPr>
            <w:tcW w:w="878" w:type="dxa"/>
            <w:tcBorders>
              <w:top w:val="single" w:sz="4" w:space="0" w:color="auto"/>
              <w:left w:val="nil"/>
              <w:bottom w:val="single" w:sz="4" w:space="0" w:color="auto"/>
              <w:right w:val="nil"/>
            </w:tcBorders>
            <w:shd w:val="clear" w:color="000000" w:fill="FFFFFF"/>
            <w:noWrap/>
            <w:vAlign w:val="center"/>
            <w:hideMark/>
          </w:tcPr>
          <w:p w14:paraId="10A968F8" w14:textId="77777777" w:rsidR="00A417DB" w:rsidRPr="00A417DB" w:rsidRDefault="00A417DB" w:rsidP="00A417DB">
            <w:pPr>
              <w:jc w:val="center"/>
              <w:rPr>
                <w:rFonts w:ascii="Arial" w:hAnsi="Arial" w:cs="Arial"/>
                <w:b/>
                <w:bCs/>
                <w:color w:val="0579B9"/>
                <w:sz w:val="16"/>
                <w:szCs w:val="16"/>
                <w:lang w:eastAsia="en-AU"/>
              </w:rPr>
            </w:pPr>
            <w:r w:rsidRPr="00A417DB">
              <w:rPr>
                <w:rFonts w:ascii="Arial" w:hAnsi="Arial" w:cs="Arial"/>
                <w:b/>
                <w:bCs/>
                <w:color w:val="0579B9"/>
                <w:sz w:val="16"/>
                <w:szCs w:val="16"/>
                <w:lang w:eastAsia="en-AU"/>
              </w:rPr>
              <w:t xml:space="preserve">25,505 </w:t>
            </w:r>
          </w:p>
        </w:tc>
        <w:tc>
          <w:tcPr>
            <w:tcW w:w="878" w:type="dxa"/>
            <w:tcBorders>
              <w:top w:val="single" w:sz="4" w:space="0" w:color="auto"/>
              <w:left w:val="nil"/>
              <w:bottom w:val="single" w:sz="4" w:space="0" w:color="auto"/>
              <w:right w:val="nil"/>
            </w:tcBorders>
            <w:shd w:val="clear" w:color="000000" w:fill="FFFFFF"/>
            <w:noWrap/>
            <w:vAlign w:val="center"/>
            <w:hideMark/>
          </w:tcPr>
          <w:p w14:paraId="4E2CA532" w14:textId="77777777" w:rsidR="00A417DB" w:rsidRPr="00A417DB" w:rsidRDefault="00A417DB" w:rsidP="00A417DB">
            <w:pPr>
              <w:jc w:val="center"/>
              <w:rPr>
                <w:rFonts w:ascii="Arial" w:hAnsi="Arial" w:cs="Arial"/>
                <w:b/>
                <w:bCs/>
                <w:color w:val="0579B9"/>
                <w:sz w:val="16"/>
                <w:szCs w:val="16"/>
                <w:lang w:eastAsia="en-AU"/>
              </w:rPr>
            </w:pPr>
            <w:r w:rsidRPr="00A417DB">
              <w:rPr>
                <w:rFonts w:ascii="Arial" w:hAnsi="Arial" w:cs="Arial"/>
                <w:b/>
                <w:bCs/>
                <w:color w:val="0579B9"/>
                <w:sz w:val="16"/>
                <w:szCs w:val="16"/>
                <w:lang w:eastAsia="en-AU"/>
              </w:rPr>
              <w:t xml:space="preserve">26,296 </w:t>
            </w:r>
          </w:p>
        </w:tc>
        <w:tc>
          <w:tcPr>
            <w:tcW w:w="878" w:type="dxa"/>
            <w:tcBorders>
              <w:top w:val="single" w:sz="4" w:space="0" w:color="auto"/>
              <w:left w:val="nil"/>
              <w:bottom w:val="single" w:sz="4" w:space="0" w:color="auto"/>
              <w:right w:val="nil"/>
            </w:tcBorders>
            <w:shd w:val="clear" w:color="000000" w:fill="FFFFFF"/>
            <w:noWrap/>
            <w:vAlign w:val="center"/>
            <w:hideMark/>
          </w:tcPr>
          <w:p w14:paraId="21CA445C" w14:textId="77777777" w:rsidR="00A417DB" w:rsidRPr="00A417DB" w:rsidRDefault="00A417DB" w:rsidP="00A417DB">
            <w:pPr>
              <w:jc w:val="center"/>
              <w:rPr>
                <w:rFonts w:ascii="Arial" w:hAnsi="Arial" w:cs="Arial"/>
                <w:b/>
                <w:bCs/>
                <w:color w:val="0579B9"/>
                <w:sz w:val="16"/>
                <w:szCs w:val="16"/>
                <w:lang w:eastAsia="en-AU"/>
              </w:rPr>
            </w:pPr>
            <w:r w:rsidRPr="00A417DB">
              <w:rPr>
                <w:rFonts w:ascii="Arial" w:hAnsi="Arial" w:cs="Arial"/>
                <w:b/>
                <w:bCs/>
                <w:color w:val="0579B9"/>
                <w:sz w:val="16"/>
                <w:szCs w:val="16"/>
                <w:lang w:eastAsia="en-AU"/>
              </w:rPr>
              <w:t xml:space="preserve">27,134 </w:t>
            </w:r>
          </w:p>
        </w:tc>
        <w:tc>
          <w:tcPr>
            <w:tcW w:w="878" w:type="dxa"/>
            <w:tcBorders>
              <w:top w:val="single" w:sz="4" w:space="0" w:color="auto"/>
              <w:left w:val="nil"/>
              <w:bottom w:val="single" w:sz="4" w:space="0" w:color="auto"/>
              <w:right w:val="nil"/>
            </w:tcBorders>
            <w:shd w:val="clear" w:color="000000" w:fill="FFFFFF"/>
            <w:noWrap/>
            <w:vAlign w:val="center"/>
            <w:hideMark/>
          </w:tcPr>
          <w:p w14:paraId="67AD450D" w14:textId="77777777" w:rsidR="00A417DB" w:rsidRPr="00A417DB" w:rsidRDefault="00A417DB" w:rsidP="00A417DB">
            <w:pPr>
              <w:jc w:val="center"/>
              <w:rPr>
                <w:rFonts w:ascii="Arial" w:hAnsi="Arial" w:cs="Arial"/>
                <w:b/>
                <w:bCs/>
                <w:color w:val="0579B9"/>
                <w:sz w:val="16"/>
                <w:szCs w:val="16"/>
                <w:lang w:eastAsia="en-AU"/>
              </w:rPr>
            </w:pPr>
            <w:r w:rsidRPr="00A417DB">
              <w:rPr>
                <w:rFonts w:ascii="Arial" w:hAnsi="Arial" w:cs="Arial"/>
                <w:b/>
                <w:bCs/>
                <w:color w:val="0579B9"/>
                <w:sz w:val="16"/>
                <w:szCs w:val="16"/>
                <w:lang w:eastAsia="en-AU"/>
              </w:rPr>
              <w:t xml:space="preserve">28,148 </w:t>
            </w:r>
          </w:p>
        </w:tc>
        <w:tc>
          <w:tcPr>
            <w:tcW w:w="1043" w:type="dxa"/>
            <w:tcBorders>
              <w:top w:val="single" w:sz="4" w:space="0" w:color="auto"/>
              <w:left w:val="nil"/>
              <w:bottom w:val="single" w:sz="4" w:space="0" w:color="auto"/>
              <w:right w:val="nil"/>
            </w:tcBorders>
            <w:shd w:val="clear" w:color="000000" w:fill="FFFFFF"/>
            <w:noWrap/>
            <w:vAlign w:val="center"/>
            <w:hideMark/>
          </w:tcPr>
          <w:p w14:paraId="7D3EF66F" w14:textId="77777777" w:rsidR="00A417DB" w:rsidRPr="00A417DB" w:rsidRDefault="00A417DB" w:rsidP="00A417DB">
            <w:pPr>
              <w:jc w:val="center"/>
              <w:rPr>
                <w:rFonts w:ascii="Arial" w:hAnsi="Arial" w:cs="Arial"/>
                <w:b/>
                <w:bCs/>
                <w:color w:val="0579B9"/>
                <w:sz w:val="16"/>
                <w:szCs w:val="16"/>
                <w:lang w:eastAsia="en-AU"/>
              </w:rPr>
            </w:pPr>
            <w:r w:rsidRPr="00A417DB">
              <w:rPr>
                <w:rFonts w:ascii="Arial" w:hAnsi="Arial" w:cs="Arial"/>
                <w:b/>
                <w:bCs/>
                <w:color w:val="0579B9"/>
                <w:sz w:val="16"/>
                <w:szCs w:val="16"/>
                <w:lang w:eastAsia="en-AU"/>
              </w:rPr>
              <w:t xml:space="preserve">107,083 </w:t>
            </w:r>
          </w:p>
        </w:tc>
      </w:tr>
      <w:tr w:rsidR="00A417DB" w:rsidRPr="00A417DB" w14:paraId="7CCF4BD2" w14:textId="77777777" w:rsidTr="00A417DB">
        <w:trPr>
          <w:trHeight w:val="290"/>
        </w:trPr>
        <w:tc>
          <w:tcPr>
            <w:tcW w:w="3863" w:type="dxa"/>
            <w:tcBorders>
              <w:top w:val="nil"/>
              <w:left w:val="nil"/>
              <w:bottom w:val="single" w:sz="4" w:space="0" w:color="auto"/>
              <w:right w:val="nil"/>
            </w:tcBorders>
            <w:shd w:val="clear" w:color="000000" w:fill="FFFFFF"/>
            <w:vAlign w:val="center"/>
            <w:hideMark/>
          </w:tcPr>
          <w:p w14:paraId="378526CA" w14:textId="2A47A84D" w:rsidR="00A417DB" w:rsidRPr="00A417DB" w:rsidRDefault="00A417DB" w:rsidP="00A417DB">
            <w:pPr>
              <w:rPr>
                <w:rFonts w:ascii="Arial" w:hAnsi="Arial" w:cs="Arial"/>
                <w:b/>
                <w:bCs/>
                <w:color w:val="002664"/>
                <w:sz w:val="16"/>
                <w:szCs w:val="16"/>
                <w:lang w:eastAsia="en-AU"/>
              </w:rPr>
            </w:pPr>
            <w:r w:rsidRPr="00A417DB">
              <w:rPr>
                <w:rFonts w:ascii="Arial" w:hAnsi="Arial" w:cs="Arial"/>
                <w:b/>
                <w:bCs/>
                <w:color w:val="002664"/>
                <w:sz w:val="16"/>
                <w:szCs w:val="16"/>
                <w:lang w:eastAsia="en-AU"/>
              </w:rPr>
              <w:t xml:space="preserve">Change since </w:t>
            </w:r>
            <w:r w:rsidR="00461AC5" w:rsidRPr="00A417DB">
              <w:rPr>
                <w:rFonts w:ascii="Arial" w:hAnsi="Arial" w:cs="Arial"/>
                <w:b/>
                <w:bCs/>
                <w:color w:val="002664"/>
                <w:sz w:val="16"/>
                <w:szCs w:val="16"/>
                <w:lang w:eastAsia="en-AU"/>
              </w:rPr>
              <w:t>202</w:t>
            </w:r>
            <w:r w:rsidR="00461AC5">
              <w:rPr>
                <w:rFonts w:ascii="Arial" w:hAnsi="Arial" w:cs="Arial"/>
                <w:b/>
                <w:bCs/>
                <w:color w:val="002664"/>
                <w:sz w:val="16"/>
                <w:szCs w:val="16"/>
                <w:lang w:eastAsia="en-AU"/>
              </w:rPr>
              <w:t>1</w:t>
            </w:r>
            <w:r w:rsidRPr="00A417DB">
              <w:rPr>
                <w:rFonts w:ascii="Arial" w:hAnsi="Arial" w:cs="Arial"/>
                <w:b/>
                <w:bCs/>
                <w:color w:val="002664"/>
                <w:sz w:val="16"/>
                <w:szCs w:val="16"/>
                <w:lang w:eastAsia="en-AU"/>
              </w:rPr>
              <w:t>-</w:t>
            </w:r>
            <w:r w:rsidR="00461AC5" w:rsidRPr="00A417DB">
              <w:rPr>
                <w:rFonts w:ascii="Arial" w:hAnsi="Arial" w:cs="Arial"/>
                <w:b/>
                <w:bCs/>
                <w:color w:val="002664"/>
                <w:sz w:val="16"/>
                <w:szCs w:val="16"/>
                <w:lang w:eastAsia="en-AU"/>
              </w:rPr>
              <w:t>2</w:t>
            </w:r>
            <w:r w:rsidR="00461AC5">
              <w:rPr>
                <w:rFonts w:ascii="Arial" w:hAnsi="Arial" w:cs="Arial"/>
                <w:b/>
                <w:bCs/>
                <w:color w:val="002664"/>
                <w:sz w:val="16"/>
                <w:szCs w:val="16"/>
                <w:lang w:eastAsia="en-AU"/>
              </w:rPr>
              <w:t>2</w:t>
            </w:r>
            <w:r w:rsidR="00461AC5" w:rsidRPr="00A417DB">
              <w:rPr>
                <w:rFonts w:ascii="Arial" w:hAnsi="Arial" w:cs="Arial"/>
                <w:b/>
                <w:bCs/>
                <w:color w:val="002664"/>
                <w:sz w:val="16"/>
                <w:szCs w:val="16"/>
                <w:lang w:eastAsia="en-AU"/>
              </w:rPr>
              <w:t xml:space="preserve"> </w:t>
            </w:r>
            <w:r w:rsidRPr="00A417DB">
              <w:rPr>
                <w:rFonts w:ascii="Arial" w:hAnsi="Arial" w:cs="Arial"/>
                <w:b/>
                <w:bCs/>
                <w:color w:val="002664"/>
                <w:sz w:val="16"/>
                <w:szCs w:val="16"/>
                <w:lang w:eastAsia="en-AU"/>
              </w:rPr>
              <w:t xml:space="preserve">Half-Yearly Review </w:t>
            </w:r>
          </w:p>
        </w:tc>
        <w:tc>
          <w:tcPr>
            <w:tcW w:w="1062" w:type="dxa"/>
            <w:tcBorders>
              <w:top w:val="nil"/>
              <w:left w:val="nil"/>
              <w:bottom w:val="single" w:sz="4" w:space="0" w:color="auto"/>
              <w:right w:val="nil"/>
            </w:tcBorders>
            <w:shd w:val="clear" w:color="000000" w:fill="FFFFFF"/>
            <w:noWrap/>
            <w:vAlign w:val="center"/>
            <w:hideMark/>
          </w:tcPr>
          <w:p w14:paraId="0A2DD28D" w14:textId="77777777" w:rsidR="00A417DB" w:rsidRPr="00A417DB" w:rsidRDefault="00A417DB" w:rsidP="00A417DB">
            <w:pPr>
              <w:jc w:val="center"/>
              <w:rPr>
                <w:rFonts w:ascii="Arial" w:hAnsi="Arial" w:cs="Arial"/>
                <w:b/>
                <w:bCs/>
                <w:color w:val="002664"/>
                <w:sz w:val="16"/>
                <w:szCs w:val="16"/>
                <w:lang w:eastAsia="en-AU"/>
              </w:rPr>
            </w:pPr>
            <w:r w:rsidRPr="00A417DB">
              <w:rPr>
                <w:rFonts w:ascii="Arial" w:hAnsi="Arial" w:cs="Arial"/>
                <w:b/>
                <w:bCs/>
                <w:color w:val="002664"/>
                <w:sz w:val="16"/>
                <w:szCs w:val="16"/>
                <w:lang w:eastAsia="en-AU"/>
              </w:rPr>
              <w:t xml:space="preserve">253 </w:t>
            </w:r>
          </w:p>
        </w:tc>
        <w:tc>
          <w:tcPr>
            <w:tcW w:w="878" w:type="dxa"/>
            <w:tcBorders>
              <w:top w:val="nil"/>
              <w:left w:val="nil"/>
              <w:bottom w:val="single" w:sz="4" w:space="0" w:color="auto"/>
              <w:right w:val="nil"/>
            </w:tcBorders>
            <w:shd w:val="clear" w:color="000000" w:fill="FFFFFF"/>
            <w:noWrap/>
            <w:vAlign w:val="center"/>
            <w:hideMark/>
          </w:tcPr>
          <w:p w14:paraId="1AF3236C" w14:textId="77777777" w:rsidR="00A417DB" w:rsidRPr="00A417DB" w:rsidRDefault="00A417DB" w:rsidP="00A417DB">
            <w:pPr>
              <w:jc w:val="center"/>
              <w:rPr>
                <w:rFonts w:ascii="Arial" w:hAnsi="Arial" w:cs="Arial"/>
                <w:b/>
                <w:bCs/>
                <w:color w:val="002664"/>
                <w:sz w:val="16"/>
                <w:szCs w:val="16"/>
                <w:lang w:eastAsia="en-AU"/>
              </w:rPr>
            </w:pPr>
            <w:r w:rsidRPr="00A417DB">
              <w:rPr>
                <w:rFonts w:ascii="Arial" w:hAnsi="Arial" w:cs="Arial"/>
                <w:b/>
                <w:bCs/>
                <w:color w:val="002664"/>
                <w:sz w:val="16"/>
                <w:szCs w:val="16"/>
                <w:lang w:eastAsia="en-AU"/>
              </w:rPr>
              <w:t xml:space="preserve">2,158 </w:t>
            </w:r>
          </w:p>
        </w:tc>
        <w:tc>
          <w:tcPr>
            <w:tcW w:w="878" w:type="dxa"/>
            <w:tcBorders>
              <w:top w:val="nil"/>
              <w:left w:val="nil"/>
              <w:bottom w:val="single" w:sz="4" w:space="0" w:color="auto"/>
              <w:right w:val="nil"/>
            </w:tcBorders>
            <w:shd w:val="clear" w:color="000000" w:fill="FFFFFF"/>
            <w:noWrap/>
            <w:vAlign w:val="center"/>
            <w:hideMark/>
          </w:tcPr>
          <w:p w14:paraId="7CA2A28C" w14:textId="77777777" w:rsidR="00A417DB" w:rsidRPr="00A417DB" w:rsidRDefault="00A417DB" w:rsidP="00A417DB">
            <w:pPr>
              <w:jc w:val="center"/>
              <w:rPr>
                <w:rFonts w:ascii="Arial" w:hAnsi="Arial" w:cs="Arial"/>
                <w:b/>
                <w:bCs/>
                <w:color w:val="002664"/>
                <w:sz w:val="16"/>
                <w:szCs w:val="16"/>
                <w:lang w:eastAsia="en-AU"/>
              </w:rPr>
            </w:pPr>
            <w:r w:rsidRPr="00A417DB">
              <w:rPr>
                <w:rFonts w:ascii="Arial" w:hAnsi="Arial" w:cs="Arial"/>
                <w:b/>
                <w:bCs/>
                <w:color w:val="002664"/>
                <w:sz w:val="16"/>
                <w:szCs w:val="16"/>
                <w:lang w:eastAsia="en-AU"/>
              </w:rPr>
              <w:t xml:space="preserve">2,956 </w:t>
            </w:r>
          </w:p>
        </w:tc>
        <w:tc>
          <w:tcPr>
            <w:tcW w:w="878" w:type="dxa"/>
            <w:tcBorders>
              <w:top w:val="nil"/>
              <w:left w:val="nil"/>
              <w:bottom w:val="single" w:sz="4" w:space="0" w:color="auto"/>
              <w:right w:val="nil"/>
            </w:tcBorders>
            <w:shd w:val="clear" w:color="000000" w:fill="FFFFFF"/>
            <w:noWrap/>
            <w:vAlign w:val="center"/>
            <w:hideMark/>
          </w:tcPr>
          <w:p w14:paraId="0642DD88" w14:textId="77777777" w:rsidR="00A417DB" w:rsidRPr="00A417DB" w:rsidRDefault="00A417DB" w:rsidP="00A417DB">
            <w:pPr>
              <w:jc w:val="center"/>
              <w:rPr>
                <w:rFonts w:ascii="Arial" w:hAnsi="Arial" w:cs="Arial"/>
                <w:b/>
                <w:bCs/>
                <w:color w:val="002664"/>
                <w:sz w:val="16"/>
                <w:szCs w:val="16"/>
                <w:lang w:eastAsia="en-AU"/>
              </w:rPr>
            </w:pPr>
            <w:r w:rsidRPr="00A417DB">
              <w:rPr>
                <w:rFonts w:ascii="Arial" w:hAnsi="Arial" w:cs="Arial"/>
                <w:b/>
                <w:bCs/>
                <w:color w:val="002664"/>
                <w:sz w:val="16"/>
                <w:szCs w:val="16"/>
                <w:lang w:eastAsia="en-AU"/>
              </w:rPr>
              <w:t xml:space="preserve">3,234 </w:t>
            </w:r>
          </w:p>
        </w:tc>
        <w:tc>
          <w:tcPr>
            <w:tcW w:w="878" w:type="dxa"/>
            <w:tcBorders>
              <w:top w:val="nil"/>
              <w:left w:val="nil"/>
              <w:bottom w:val="single" w:sz="4" w:space="0" w:color="auto"/>
              <w:right w:val="nil"/>
            </w:tcBorders>
            <w:shd w:val="clear" w:color="000000" w:fill="FFFFFF"/>
            <w:noWrap/>
            <w:vAlign w:val="center"/>
            <w:hideMark/>
          </w:tcPr>
          <w:p w14:paraId="4E3969DF" w14:textId="77777777" w:rsidR="00A417DB" w:rsidRPr="00A417DB" w:rsidRDefault="00A417DB" w:rsidP="00A417DB">
            <w:pPr>
              <w:jc w:val="center"/>
              <w:rPr>
                <w:rFonts w:ascii="Arial" w:hAnsi="Arial" w:cs="Arial"/>
                <w:b/>
                <w:bCs/>
                <w:color w:val="002664"/>
                <w:sz w:val="16"/>
                <w:szCs w:val="16"/>
                <w:lang w:eastAsia="en-AU"/>
              </w:rPr>
            </w:pPr>
            <w:r w:rsidRPr="00A417DB">
              <w:rPr>
                <w:rFonts w:ascii="Arial" w:hAnsi="Arial" w:cs="Arial"/>
                <w:b/>
                <w:bCs/>
                <w:color w:val="002664"/>
                <w:sz w:val="16"/>
                <w:szCs w:val="16"/>
                <w:lang w:eastAsia="en-AU"/>
              </w:rPr>
              <w:t xml:space="preserve">3,195 </w:t>
            </w:r>
          </w:p>
        </w:tc>
        <w:tc>
          <w:tcPr>
            <w:tcW w:w="1043" w:type="dxa"/>
            <w:tcBorders>
              <w:top w:val="nil"/>
              <w:left w:val="nil"/>
              <w:bottom w:val="single" w:sz="4" w:space="0" w:color="auto"/>
              <w:right w:val="nil"/>
            </w:tcBorders>
            <w:shd w:val="clear" w:color="000000" w:fill="FFFFFF"/>
            <w:noWrap/>
            <w:vAlign w:val="center"/>
            <w:hideMark/>
          </w:tcPr>
          <w:p w14:paraId="0B9F6416" w14:textId="77777777" w:rsidR="00A417DB" w:rsidRPr="00A417DB" w:rsidRDefault="00A417DB" w:rsidP="00A417DB">
            <w:pPr>
              <w:jc w:val="center"/>
              <w:rPr>
                <w:rFonts w:ascii="Arial" w:hAnsi="Arial" w:cs="Arial"/>
                <w:b/>
                <w:bCs/>
                <w:color w:val="002664"/>
                <w:sz w:val="16"/>
                <w:szCs w:val="16"/>
                <w:lang w:eastAsia="en-AU"/>
              </w:rPr>
            </w:pPr>
            <w:r w:rsidRPr="00A417DB">
              <w:rPr>
                <w:rFonts w:ascii="Arial" w:hAnsi="Arial" w:cs="Arial"/>
                <w:b/>
                <w:bCs/>
                <w:color w:val="002664"/>
                <w:sz w:val="16"/>
                <w:szCs w:val="16"/>
                <w:lang w:eastAsia="en-AU"/>
              </w:rPr>
              <w:t xml:space="preserve">11,543 </w:t>
            </w:r>
          </w:p>
        </w:tc>
      </w:tr>
    </w:tbl>
    <w:p w14:paraId="2C289931" w14:textId="77777777" w:rsidR="00CA221A" w:rsidRPr="008F0B8B" w:rsidRDefault="00CA221A" w:rsidP="00CA221A">
      <w:pPr>
        <w:rPr>
          <w:rFonts w:ascii="Arial" w:eastAsiaTheme="minorHAnsi" w:hAnsi="Arial" w:cs="Arial"/>
          <w:sz w:val="6"/>
          <w:szCs w:val="6"/>
          <w:highlight w:val="yellow"/>
        </w:rPr>
      </w:pPr>
    </w:p>
    <w:p w14:paraId="7D7E88A3" w14:textId="028F018A" w:rsidR="007C5E3F" w:rsidRPr="00042740" w:rsidRDefault="00CA221A" w:rsidP="00CE19A1">
      <w:pPr>
        <w:pStyle w:val="ListParagraph"/>
        <w:numPr>
          <w:ilvl w:val="0"/>
          <w:numId w:val="7"/>
        </w:numPr>
        <w:ind w:left="357" w:hanging="357"/>
        <w:rPr>
          <w:rFonts w:ascii="Arial" w:eastAsiaTheme="minorHAnsi" w:hAnsi="Arial" w:cs="Arial"/>
          <w:sz w:val="18"/>
          <w:szCs w:val="18"/>
        </w:rPr>
      </w:pPr>
      <w:r w:rsidRPr="00042740">
        <w:rPr>
          <w:rFonts w:ascii="Arial" w:hAnsi="Arial" w:cs="Arial"/>
          <w:sz w:val="18"/>
          <w:szCs w:val="18"/>
        </w:rPr>
        <w:t xml:space="preserve">The Commonwealth Government will provide separate untied grants </w:t>
      </w:r>
      <w:r w:rsidR="00142FE9" w:rsidRPr="00042740">
        <w:rPr>
          <w:rFonts w:ascii="Arial" w:hAnsi="Arial" w:cs="Arial"/>
          <w:sz w:val="18"/>
          <w:szCs w:val="18"/>
        </w:rPr>
        <w:t xml:space="preserve">in the form of “no worse off” payments </w:t>
      </w:r>
      <w:r w:rsidRPr="00042740">
        <w:rPr>
          <w:rFonts w:ascii="Arial" w:hAnsi="Arial" w:cs="Arial"/>
          <w:sz w:val="18"/>
          <w:szCs w:val="18"/>
        </w:rPr>
        <w:t>from 2021-22 to 2026-27 so that states and territories are not adversely affected by changes to horizontal fiscal equalisation. These payments are not part of the GST pool, are counted as other general purpose grant revenue and are not assessed by the Commonwealth Grants Commission.</w:t>
      </w:r>
    </w:p>
    <w:p w14:paraId="6D96D126" w14:textId="671BF0BD" w:rsidR="00E90509" w:rsidRPr="008F0B8B" w:rsidRDefault="00E90509" w:rsidP="00D203FC">
      <w:pPr>
        <w:rPr>
          <w:highlight w:val="yellow"/>
        </w:rPr>
      </w:pPr>
    </w:p>
    <w:p w14:paraId="00F39BE4" w14:textId="77777777" w:rsidR="007C5E3F" w:rsidRPr="00C20D6D" w:rsidRDefault="007C5E3F" w:rsidP="007C5E3F">
      <w:pPr>
        <w:rPr>
          <w:rFonts w:eastAsiaTheme="minorHAnsi"/>
          <w:sz w:val="2"/>
          <w:szCs w:val="2"/>
        </w:rPr>
      </w:pPr>
    </w:p>
    <w:tbl>
      <w:tblPr>
        <w:tblW w:w="9639" w:type="dxa"/>
        <w:shd w:val="pct5" w:color="auto" w:fill="FFFFFF" w:themeFill="background1"/>
        <w:tblLayout w:type="fixed"/>
        <w:tblCellMar>
          <w:left w:w="0" w:type="dxa"/>
          <w:right w:w="0" w:type="dxa"/>
        </w:tblCellMar>
        <w:tblLook w:val="04A0" w:firstRow="1" w:lastRow="0" w:firstColumn="1" w:lastColumn="0" w:noHBand="0" w:noVBand="1"/>
        <w:tblCaption w:val="Box 4.5: Horizontal Fiscal Equalisation and natural disasters"/>
        <w:tblDescription w:val="Box 4.5: Horizontal Fiscal Equalisation and natural disasters"/>
      </w:tblPr>
      <w:tblGrid>
        <w:gridCol w:w="9639"/>
      </w:tblGrid>
      <w:tr w:rsidR="00C169FE" w:rsidRPr="008F0B8B" w14:paraId="6F0D2620" w14:textId="77777777" w:rsidTr="0004609F">
        <w:trPr>
          <w:trHeight w:val="653"/>
        </w:trPr>
        <w:tc>
          <w:tcPr>
            <w:tcW w:w="9639" w:type="dxa"/>
            <w:shd w:val="pct5" w:color="auto" w:fill="FFFFFF" w:themeFill="background1"/>
            <w:tcMar>
              <w:top w:w="0" w:type="dxa"/>
              <w:left w:w="108" w:type="dxa"/>
              <w:bottom w:w="0" w:type="dxa"/>
              <w:right w:w="108" w:type="dxa"/>
            </w:tcMar>
          </w:tcPr>
          <w:p w14:paraId="04D08B32" w14:textId="5A984CDE" w:rsidR="00C169FE" w:rsidRPr="00C20D6D" w:rsidRDefault="00E36D9A" w:rsidP="001275C9">
            <w:pPr>
              <w:pStyle w:val="Box41BoxHeading"/>
            </w:pPr>
            <w:r w:rsidRPr="00C20D6D">
              <w:rPr>
                <w:sz w:val="18"/>
                <w:szCs w:val="18"/>
              </w:rPr>
              <w:br w:type="page"/>
            </w:r>
            <w:r w:rsidR="0038504A" w:rsidRPr="0038504A">
              <w:t>Box 4.</w:t>
            </w:r>
            <w:r w:rsidR="00C10557">
              <w:t>5</w:t>
            </w:r>
            <w:r w:rsidR="00F70C9B">
              <w:t>:</w:t>
            </w:r>
            <w:r w:rsidR="0038504A" w:rsidRPr="0038504A">
              <w:t xml:space="preserve"> </w:t>
            </w:r>
            <w:r w:rsidR="00F70C9B">
              <w:tab/>
            </w:r>
            <w:r w:rsidR="00C20D6D" w:rsidRPr="00C20D6D">
              <w:t>H</w:t>
            </w:r>
            <w:r w:rsidR="00416813" w:rsidRPr="00416813">
              <w:t>orizontal</w:t>
            </w:r>
            <w:r w:rsidR="00416813">
              <w:t xml:space="preserve"> </w:t>
            </w:r>
            <w:r w:rsidR="00C20D6D" w:rsidRPr="00C20D6D">
              <w:t>F</w:t>
            </w:r>
            <w:r w:rsidR="00416813" w:rsidRPr="00416813">
              <w:t>iscal</w:t>
            </w:r>
            <w:r w:rsidR="00416813">
              <w:t xml:space="preserve"> </w:t>
            </w:r>
            <w:r w:rsidR="00C20D6D" w:rsidRPr="00C20D6D">
              <w:t>E</w:t>
            </w:r>
            <w:r w:rsidR="00416813" w:rsidRPr="00416813">
              <w:t>qualisation</w:t>
            </w:r>
            <w:r w:rsidR="00C20D6D" w:rsidRPr="00C20D6D">
              <w:t xml:space="preserve"> and natural disasters</w:t>
            </w:r>
          </w:p>
          <w:p w14:paraId="7E68F0CF" w14:textId="0A2D732A" w:rsidR="00C20D6D" w:rsidRDefault="00851355" w:rsidP="009437D2">
            <w:pPr>
              <w:pStyle w:val="BodyTextBox"/>
              <w:framePr w:wrap="around"/>
            </w:pPr>
            <w:r w:rsidRPr="00851355">
              <w:t>The GST is distributed between the states and territories (states) in line with the principle of horizontal fiscal equalisation (HFE). The primary purpose of HFE is to account for factors that are outside states’ control and ensure they each have the capacity to deliver services of a comparable standard while levying a similar tax burden. Historically, HFE has also served as a type of risk pooling or insurance mechanism that has helped states to meet the cost of responding to different types of natural disasters, such as bushfires and floods. This means the burden of responding to the 2019-20 Black Summer bushfires was shared across states</w:t>
            </w:r>
            <w:r w:rsidR="00C20D6D" w:rsidRPr="00C20D6D">
              <w:t>.</w:t>
            </w:r>
          </w:p>
          <w:p w14:paraId="1AEB2C56" w14:textId="2EAA82D7" w:rsidR="00C20D6D" w:rsidRDefault="004D5639" w:rsidP="009437D2">
            <w:pPr>
              <w:pStyle w:val="BodyTextBox"/>
              <w:framePr w:wrap="around"/>
            </w:pPr>
            <w:r w:rsidRPr="004D5639">
              <w:t>The Commonwealth Government’s changes to HFE in 2018 mean that states no longer share the cost of natural disasters in the same way. The Commonwealth has legislated a relativity floor that guarantees Western Australia receives 70 per cent of its population share of GST. The relativity floor commences in 2022-23 and rises to 75 per cent from 2024-25</w:t>
            </w:r>
            <w:r w:rsidR="00C20D6D" w:rsidRPr="00C20D6D">
              <w:t xml:space="preserve">. </w:t>
            </w:r>
          </w:p>
          <w:p w14:paraId="4B10B1E3" w14:textId="4CEEB8FD" w:rsidR="00C20D6D" w:rsidRDefault="008B4E5C" w:rsidP="009437D2">
            <w:pPr>
              <w:pStyle w:val="BodyTextBox"/>
              <w:framePr w:wrap="around"/>
            </w:pPr>
            <w:r w:rsidRPr="008B4E5C">
              <w:t xml:space="preserve">The relativity floor effectively exempts Western Australia from contributing to the cost of natural disaster recovery under the principle of HFE. The floor is also expected to </w:t>
            </w:r>
            <w:r w:rsidR="00377D43">
              <w:t>deliver</w:t>
            </w:r>
            <w:r w:rsidRPr="008B4E5C">
              <w:t xml:space="preserve"> a</w:t>
            </w:r>
            <w:r w:rsidR="004A4684">
              <w:t xml:space="preserve"> </w:t>
            </w:r>
            <w:r w:rsidRPr="008B4E5C">
              <w:t>windfall of $</w:t>
            </w:r>
            <w:r w:rsidR="004A4684">
              <w:t>2</w:t>
            </w:r>
            <w:r w:rsidRPr="008B4E5C">
              <w:t>.</w:t>
            </w:r>
            <w:r w:rsidR="004A4684">
              <w:t>7</w:t>
            </w:r>
            <w:r w:rsidRPr="008B4E5C">
              <w:t xml:space="preserve"> billion to Western Australia in 2022-23, bolstering a budget bottom line that is already benefiting from record iron ore royalties</w:t>
            </w:r>
            <w:r w:rsidR="00C20D6D" w:rsidRPr="00C20D6D">
              <w:t xml:space="preserve">. </w:t>
            </w:r>
          </w:p>
          <w:p w14:paraId="1D916CF1" w14:textId="5FB73158" w:rsidR="00CE179C" w:rsidRPr="00C20D6D" w:rsidRDefault="004F1742" w:rsidP="009437D2">
            <w:pPr>
              <w:pStyle w:val="BodyTextBox"/>
              <w:framePr w:wrap="around"/>
            </w:pPr>
            <w:r w:rsidRPr="004F1742">
              <w:t>The Commonwealth Government’s changes mean that Western Australia is treated differently from all other states, including New South Wales. This signals to all Australians that the Commonwealth considers Western Australian residents to be entitled to greater access to better quality services while bearing a lower tax burden compared to anyone else. New South Wales is temporarily protected from the consequences of the Commonwealth Government’s 2018 changes through a no worse off guarantee. However, this guarantee expires at the end of 2026-27 and, in the meantime, adds tens of billions to already high Commonwealth debt levels</w:t>
            </w:r>
            <w:r w:rsidR="002B720E" w:rsidRPr="002B720E">
              <w:t>.</w:t>
            </w:r>
          </w:p>
        </w:tc>
      </w:tr>
    </w:tbl>
    <w:p w14:paraId="3E070D5C" w14:textId="6BB6EECC" w:rsidR="00A04BC2" w:rsidRPr="00CD2F96" w:rsidRDefault="4E0C20C9" w:rsidP="00525B59">
      <w:pPr>
        <w:pStyle w:val="Heading3"/>
        <w:numPr>
          <w:ilvl w:val="2"/>
          <w:numId w:val="0"/>
        </w:numPr>
        <w:ind w:left="720" w:hanging="720"/>
      </w:pPr>
      <w:r w:rsidRPr="00CD2F96">
        <w:t xml:space="preserve">National </w:t>
      </w:r>
      <w:r w:rsidR="00A46917" w:rsidRPr="00CD2F96">
        <w:t>Agreements</w:t>
      </w:r>
    </w:p>
    <w:p w14:paraId="042C06F2" w14:textId="77777777" w:rsidR="00D7288C" w:rsidRPr="00CD2F96" w:rsidRDefault="00A04BC2" w:rsidP="003426A4">
      <w:pPr>
        <w:pStyle w:val="BodyText"/>
        <w:rPr>
          <w:i/>
        </w:rPr>
      </w:pPr>
      <w:r w:rsidRPr="00CD2F96">
        <w:t xml:space="preserve">This category comprises payments for specific purposes from the Commonwealth to the states </w:t>
      </w:r>
      <w:r w:rsidR="00CE37FC" w:rsidRPr="00CD2F96">
        <w:t xml:space="preserve">and territories </w:t>
      </w:r>
      <w:r w:rsidRPr="00CD2F96">
        <w:t xml:space="preserve">under </w:t>
      </w:r>
      <w:r w:rsidR="001654ED" w:rsidRPr="00CD2F96">
        <w:t>the</w:t>
      </w:r>
      <w:r w:rsidR="00D7288C" w:rsidRPr="00CD2F96">
        <w:t>:</w:t>
      </w:r>
    </w:p>
    <w:p w14:paraId="4F44BD4D" w14:textId="403609B3" w:rsidR="00DC1716" w:rsidRPr="00CD2F96" w:rsidRDefault="00A04BC2" w:rsidP="001321A1">
      <w:pPr>
        <w:pStyle w:val="Bullet1"/>
      </w:pPr>
      <w:r w:rsidRPr="00CD2F96">
        <w:t>National Health Reform Agreement</w:t>
      </w:r>
    </w:p>
    <w:p w14:paraId="140BBBB2" w14:textId="741EF5C3" w:rsidR="00DC1716" w:rsidRPr="00CD2F96" w:rsidRDefault="00A04BC2" w:rsidP="001321A1">
      <w:pPr>
        <w:pStyle w:val="Bullet1"/>
      </w:pPr>
      <w:r w:rsidRPr="00CD2F96">
        <w:t>National School Reform Agreement</w:t>
      </w:r>
    </w:p>
    <w:p w14:paraId="55619139" w14:textId="10E0A9EA" w:rsidR="00DC1716" w:rsidRPr="00CD2F96" w:rsidRDefault="00A04BC2" w:rsidP="001321A1">
      <w:pPr>
        <w:pStyle w:val="Bullet1"/>
      </w:pPr>
      <w:r w:rsidRPr="00CD2F96">
        <w:t>National Housing and Homelessness Agreement</w:t>
      </w:r>
    </w:p>
    <w:p w14:paraId="2F984B7A" w14:textId="0BF459F9" w:rsidR="00A04BC2" w:rsidRPr="00CD2F96" w:rsidRDefault="00925251" w:rsidP="001321A1">
      <w:pPr>
        <w:pStyle w:val="Bullet1"/>
      </w:pPr>
      <w:r w:rsidRPr="00CD2F96">
        <w:t>National Agreement for Skills and Workforce Development</w:t>
      </w:r>
      <w:r w:rsidR="00A04BC2" w:rsidRPr="00CD2F96">
        <w:t>.</w:t>
      </w:r>
    </w:p>
    <w:p w14:paraId="6017E76B" w14:textId="45B1B81B" w:rsidR="0040630D" w:rsidRDefault="00A04BC2" w:rsidP="003426A4">
      <w:pPr>
        <w:pStyle w:val="BodyText"/>
      </w:pPr>
      <w:r w:rsidRPr="00CD2F96">
        <w:t xml:space="preserve">Revenue from </w:t>
      </w:r>
      <w:r w:rsidR="00787185" w:rsidRPr="00CD2F96">
        <w:t>National A</w:t>
      </w:r>
      <w:r w:rsidRPr="00CD2F96">
        <w:t xml:space="preserve">greements is forecast to total </w:t>
      </w:r>
      <w:r w:rsidRPr="00846045">
        <w:t>$</w:t>
      </w:r>
      <w:r w:rsidR="3F44A3D7" w:rsidRPr="00846045">
        <w:t>12.</w:t>
      </w:r>
      <w:r w:rsidR="00805F84" w:rsidRPr="00846045">
        <w:t>5</w:t>
      </w:r>
      <w:r w:rsidR="000926AB" w:rsidRPr="00846045">
        <w:t xml:space="preserve"> </w:t>
      </w:r>
      <w:r w:rsidRPr="00846045">
        <w:t>billion</w:t>
      </w:r>
      <w:r w:rsidRPr="00CD2F96">
        <w:t xml:space="preserve"> in 202</w:t>
      </w:r>
      <w:r w:rsidR="00D31C00" w:rsidRPr="00CD2F96">
        <w:t>2</w:t>
      </w:r>
      <w:r w:rsidRPr="00CD2F96">
        <w:t>-2</w:t>
      </w:r>
      <w:r w:rsidR="00D31C00" w:rsidRPr="00CD2F96">
        <w:t>3</w:t>
      </w:r>
      <w:r w:rsidRPr="00CD2F96">
        <w:t>, a</w:t>
      </w:r>
      <w:r w:rsidR="3C98A3F4" w:rsidRPr="00CD2F96">
        <w:t xml:space="preserve"> </w:t>
      </w:r>
      <w:r w:rsidR="00D31C00" w:rsidRPr="00CD2F96">
        <w:t xml:space="preserve">decrease </w:t>
      </w:r>
      <w:r w:rsidR="3C98A3F4" w:rsidRPr="00CD2F96">
        <w:t xml:space="preserve">of </w:t>
      </w:r>
      <w:r w:rsidR="3CD5E02E" w:rsidRPr="00761D2F">
        <w:t>$</w:t>
      </w:r>
      <w:r w:rsidR="00805F84" w:rsidRPr="00761D2F">
        <w:t>733.1</w:t>
      </w:r>
      <w:r w:rsidR="00500A59" w:rsidRPr="00761D2F">
        <w:t xml:space="preserve"> </w:t>
      </w:r>
      <w:r w:rsidR="3CD5E02E" w:rsidRPr="00761D2F">
        <w:t>million (</w:t>
      </w:r>
      <w:r w:rsidR="00D31C00" w:rsidRPr="00761D2F">
        <w:t>-</w:t>
      </w:r>
      <w:r w:rsidR="00805F84" w:rsidRPr="00761D2F">
        <w:t>5.6</w:t>
      </w:r>
      <w:r w:rsidR="7D8575FD" w:rsidRPr="00761D2F">
        <w:t xml:space="preserve"> per</w:t>
      </w:r>
      <w:r w:rsidR="7D8575FD" w:rsidRPr="00761D2F" w:rsidDel="00D376C1">
        <w:t xml:space="preserve"> </w:t>
      </w:r>
      <w:r w:rsidR="104B4867" w:rsidRPr="00761D2F">
        <w:t>cent</w:t>
      </w:r>
      <w:r w:rsidR="47690D1C" w:rsidRPr="00761D2F">
        <w:t>)</w:t>
      </w:r>
      <w:r w:rsidR="47690D1C" w:rsidRPr="00CD2F96">
        <w:t xml:space="preserve"> </w:t>
      </w:r>
      <w:r w:rsidRPr="00CD2F96">
        <w:t>on 20</w:t>
      </w:r>
      <w:r w:rsidR="00D12B26" w:rsidRPr="00CD2F96">
        <w:t>2</w:t>
      </w:r>
      <w:r w:rsidR="00D31C00" w:rsidRPr="00CD2F96">
        <w:t>1</w:t>
      </w:r>
      <w:r w:rsidR="00D12B26" w:rsidRPr="00CD2F96">
        <w:t>-2</w:t>
      </w:r>
      <w:r w:rsidR="00D31C00" w:rsidRPr="00CD2F96">
        <w:t>2</w:t>
      </w:r>
      <w:r w:rsidR="00805F84">
        <w:t xml:space="preserve"> levels</w:t>
      </w:r>
      <w:r w:rsidRPr="00CD2F96">
        <w:t xml:space="preserve">. </w:t>
      </w:r>
      <w:r w:rsidR="00805F84">
        <w:t xml:space="preserve">This reduction is mainly due to </w:t>
      </w:r>
      <w:r w:rsidR="00452CE9">
        <w:t>lower</w:t>
      </w:r>
      <w:r w:rsidR="00805F84">
        <w:t xml:space="preserve"> forecast </w:t>
      </w:r>
      <w:r w:rsidR="00805F84" w:rsidRPr="00130AD3">
        <w:t xml:space="preserve">National Health Reform Agreement (NHRA) payments </w:t>
      </w:r>
      <w:r w:rsidR="00805F84">
        <w:t xml:space="preserve">under the COVID-19 Response National Partnership in </w:t>
      </w:r>
      <w:r w:rsidR="004E1BDD">
        <w:t>2022-23</w:t>
      </w:r>
      <w:r w:rsidR="00805F84">
        <w:t xml:space="preserve"> compared to </w:t>
      </w:r>
      <w:r w:rsidR="004E1BDD">
        <w:t>2021-22</w:t>
      </w:r>
      <w:r w:rsidR="00805F84">
        <w:t>. National Agreement</w:t>
      </w:r>
      <w:r w:rsidR="00934E6B" w:rsidRPr="00CD2F96">
        <w:t xml:space="preserve"> r</w:t>
      </w:r>
      <w:r w:rsidRPr="00CD2F96">
        <w:t xml:space="preserve">evenues are expected to grow at an average annual rate of </w:t>
      </w:r>
      <w:r w:rsidR="004C0495" w:rsidRPr="00761D2F">
        <w:t>2.0</w:t>
      </w:r>
      <w:r w:rsidR="00E23DA9" w:rsidRPr="00761D2F">
        <w:t> </w:t>
      </w:r>
      <w:r w:rsidRPr="00761D2F">
        <w:t>per cent</w:t>
      </w:r>
      <w:r w:rsidRPr="00CD2F96">
        <w:t xml:space="preserve"> over the four years to 202</w:t>
      </w:r>
      <w:r w:rsidR="00D31C00" w:rsidRPr="00CD2F96">
        <w:t>5</w:t>
      </w:r>
      <w:r w:rsidRPr="00CD2F96">
        <w:t>-2</w:t>
      </w:r>
      <w:r w:rsidR="00D31C00" w:rsidRPr="00CD2F96">
        <w:t>6</w:t>
      </w:r>
      <w:r w:rsidRPr="00CD2F96">
        <w:t>. Table 4.</w:t>
      </w:r>
      <w:r w:rsidR="341EA524" w:rsidRPr="00CD2F96">
        <w:t>7</w:t>
      </w:r>
      <w:r w:rsidRPr="00CD2F96">
        <w:t xml:space="preserve"> summarises </w:t>
      </w:r>
      <w:r w:rsidR="00853EE7" w:rsidRPr="00CD2F96">
        <w:t>N</w:t>
      </w:r>
      <w:r w:rsidRPr="00CD2F96">
        <w:t xml:space="preserve">ational </w:t>
      </w:r>
      <w:r w:rsidR="00853EE7" w:rsidRPr="00CD2F96">
        <w:t>A</w:t>
      </w:r>
      <w:r w:rsidRPr="00CD2F96">
        <w:t>greement payments by key service delivery area.</w:t>
      </w:r>
      <w:r w:rsidR="00270AE0">
        <w:t xml:space="preserve"> </w:t>
      </w:r>
      <w:r w:rsidR="4FAB0CBC" w:rsidRPr="00CD2F96">
        <w:t>Since the 20</w:t>
      </w:r>
      <w:r w:rsidR="00F24C22" w:rsidRPr="00CD2F96">
        <w:t>2</w:t>
      </w:r>
      <w:r w:rsidR="00D31C00" w:rsidRPr="00CD2F96">
        <w:t>1</w:t>
      </w:r>
      <w:r w:rsidR="00F24C22" w:rsidRPr="00CD2F96">
        <w:t>-2</w:t>
      </w:r>
      <w:r w:rsidR="00D31C00" w:rsidRPr="00CD2F96">
        <w:t>2</w:t>
      </w:r>
      <w:r w:rsidR="4FAB0CBC" w:rsidRPr="00CD2F96">
        <w:t xml:space="preserve"> </w:t>
      </w:r>
      <w:r w:rsidR="7E02F986" w:rsidRPr="00CD2F96">
        <w:t>Half-Yearly</w:t>
      </w:r>
      <w:r w:rsidR="4FAB0CBC" w:rsidRPr="00CD2F96">
        <w:t xml:space="preserve"> Review, revenue from </w:t>
      </w:r>
      <w:r w:rsidR="7F188F95" w:rsidRPr="00CD2F96">
        <w:t xml:space="preserve">National Agreements </w:t>
      </w:r>
      <w:r w:rsidR="438A87CF" w:rsidRPr="00CD2F96">
        <w:t xml:space="preserve">increased by </w:t>
      </w:r>
      <w:r w:rsidR="438A87CF" w:rsidRPr="00105D12">
        <w:t>$</w:t>
      </w:r>
      <w:r w:rsidR="004C0495" w:rsidRPr="00105D12">
        <w:t>576.5</w:t>
      </w:r>
      <w:r w:rsidR="0083773C" w:rsidRPr="00105D12">
        <w:t xml:space="preserve"> </w:t>
      </w:r>
      <w:r w:rsidR="438A87CF" w:rsidRPr="00105D12">
        <w:t>million (</w:t>
      </w:r>
      <w:r w:rsidR="004C0495" w:rsidRPr="00105D12">
        <w:t>4.6</w:t>
      </w:r>
      <w:r w:rsidR="0083773C" w:rsidRPr="00105D12">
        <w:t xml:space="preserve"> </w:t>
      </w:r>
      <w:r w:rsidR="40443BEC" w:rsidRPr="00105D12">
        <w:t>per cent)</w:t>
      </w:r>
      <w:r w:rsidR="40443BEC" w:rsidRPr="00CD2F96">
        <w:t xml:space="preserve"> </w:t>
      </w:r>
      <w:r w:rsidR="438A87CF" w:rsidRPr="00CD2F96">
        <w:t>in 202</w:t>
      </w:r>
      <w:r w:rsidR="00D31C00" w:rsidRPr="00CD2F96">
        <w:t>1</w:t>
      </w:r>
      <w:r w:rsidR="438A87CF" w:rsidRPr="00CD2F96">
        <w:t>-2</w:t>
      </w:r>
      <w:r w:rsidR="00D31C00" w:rsidRPr="00CD2F96">
        <w:t>2</w:t>
      </w:r>
      <w:r w:rsidR="438A87CF" w:rsidRPr="00CD2F96">
        <w:t xml:space="preserve"> </w:t>
      </w:r>
      <w:r w:rsidR="04AEBF7A" w:rsidRPr="00CD2F96">
        <w:t xml:space="preserve">primarily due to a </w:t>
      </w:r>
      <w:r w:rsidR="04AEBF7A" w:rsidRPr="00105D12">
        <w:t>$</w:t>
      </w:r>
      <w:r w:rsidR="004C0495" w:rsidRPr="00105D12">
        <w:t>572.7</w:t>
      </w:r>
      <w:r w:rsidR="0083773C" w:rsidRPr="00105D12">
        <w:t xml:space="preserve"> </w:t>
      </w:r>
      <w:r w:rsidR="04AEBF7A" w:rsidRPr="00105D12">
        <w:t>million</w:t>
      </w:r>
      <w:r w:rsidR="04AEBF7A" w:rsidRPr="00CD2F96">
        <w:t xml:space="preserve"> increase in expected COVID-19 Response National Partnership</w:t>
      </w:r>
      <w:r w:rsidR="00805F84" w:rsidRPr="00CD2F96">
        <w:t xml:space="preserve"> </w:t>
      </w:r>
      <w:r w:rsidR="00805F84">
        <w:t>payments</w:t>
      </w:r>
      <w:r w:rsidR="30AD4653" w:rsidRPr="00CD2F96">
        <w:t xml:space="preserve">. </w:t>
      </w:r>
      <w:r w:rsidR="04AEBF7A" w:rsidRPr="00CD2F96">
        <w:t xml:space="preserve">The projected additional revenue </w:t>
      </w:r>
      <w:r w:rsidR="00CE67C9" w:rsidRPr="00CD2F96">
        <w:t>supports</w:t>
      </w:r>
      <w:r w:rsidR="04AEBF7A" w:rsidRPr="00CD2F96">
        <w:t xml:space="preserve"> critical elements of the pandemic response</w:t>
      </w:r>
      <w:r w:rsidR="00DF5E56">
        <w:t>,</w:t>
      </w:r>
      <w:r w:rsidR="04AEBF7A" w:rsidRPr="00CD2F96">
        <w:t xml:space="preserve"> including vaccine distribution.</w:t>
      </w:r>
    </w:p>
    <w:p w14:paraId="61D94468" w14:textId="63006E99" w:rsidR="00805F84" w:rsidRPr="00CD2F96" w:rsidRDefault="006F7F9D" w:rsidP="003426A4">
      <w:pPr>
        <w:pStyle w:val="BodyText"/>
      </w:pPr>
      <w:r w:rsidRPr="006F7F9D">
        <w:t xml:space="preserve">National Agreement projected revenue </w:t>
      </w:r>
      <w:r w:rsidR="00805F84" w:rsidRPr="00F6645A">
        <w:t xml:space="preserve">is expected to decrease by </w:t>
      </w:r>
      <w:r w:rsidR="00805F84" w:rsidRPr="00A3060A">
        <w:t xml:space="preserve">$199.7 </w:t>
      </w:r>
      <w:r w:rsidR="004C0495">
        <w:t xml:space="preserve">million </w:t>
      </w:r>
      <w:r w:rsidRPr="006F7F9D">
        <w:t xml:space="preserve">over the four years to 2025-26 </w:t>
      </w:r>
      <w:r w:rsidR="00F206F7">
        <w:t>relative to</w:t>
      </w:r>
      <w:r w:rsidR="00F206F7" w:rsidRPr="006F7F9D">
        <w:t xml:space="preserve"> </w:t>
      </w:r>
      <w:r w:rsidRPr="006F7F9D">
        <w:t xml:space="preserve">the </w:t>
      </w:r>
      <w:r w:rsidR="00587935">
        <w:t xml:space="preserve">2021-22 </w:t>
      </w:r>
      <w:r w:rsidRPr="006F7F9D">
        <w:t>Half-Yearly Review</w:t>
      </w:r>
      <w:r w:rsidR="00DF5E56">
        <w:t>,</w:t>
      </w:r>
      <w:r w:rsidR="004C0495">
        <w:t xml:space="preserve"> </w:t>
      </w:r>
      <w:r w:rsidR="00805F84" w:rsidRPr="00F6645A">
        <w:t xml:space="preserve">mainly </w:t>
      </w:r>
      <w:r w:rsidR="00805F84" w:rsidRPr="00921511">
        <w:t xml:space="preserve">due to </w:t>
      </w:r>
      <w:r w:rsidR="00805F84" w:rsidRPr="00A3060A">
        <w:t>$394.2 million</w:t>
      </w:r>
      <w:r w:rsidR="00805F84" w:rsidRPr="00F6645A">
        <w:t xml:space="preserve"> in reduced payments under the National </w:t>
      </w:r>
      <w:r w:rsidR="000C4AD3">
        <w:t>School</w:t>
      </w:r>
      <w:r w:rsidR="000C4AD3" w:rsidRPr="00F6645A">
        <w:t xml:space="preserve"> </w:t>
      </w:r>
      <w:r w:rsidR="00805F84" w:rsidRPr="00F6645A">
        <w:t>Reform Agreement (</w:t>
      </w:r>
      <w:r w:rsidR="000C4AD3" w:rsidRPr="00F6645A">
        <w:t>N</w:t>
      </w:r>
      <w:r w:rsidR="000C4AD3">
        <w:t>S</w:t>
      </w:r>
      <w:r w:rsidR="000C4AD3" w:rsidRPr="00F6645A">
        <w:t>RA</w:t>
      </w:r>
      <w:r w:rsidR="00805F84" w:rsidRPr="00F6645A">
        <w:t>)</w:t>
      </w:r>
      <w:r w:rsidR="00A056CD">
        <w:t>, though</w:t>
      </w:r>
      <w:r w:rsidR="00805F84" w:rsidRPr="00F6645A">
        <w:t xml:space="preserve"> partially offset by </w:t>
      </w:r>
      <w:r w:rsidR="00805F84" w:rsidRPr="00A3060A">
        <w:t>$141.2 million</w:t>
      </w:r>
      <w:r w:rsidR="00805F84" w:rsidRPr="00F6645A">
        <w:t xml:space="preserve"> in</w:t>
      </w:r>
      <w:r w:rsidR="00805F84" w:rsidRPr="00921511">
        <w:t xml:space="preserve"> </w:t>
      </w:r>
      <w:r w:rsidR="00805F84">
        <w:t xml:space="preserve">increased </w:t>
      </w:r>
      <w:r w:rsidR="00805F84" w:rsidRPr="00F6645A">
        <w:t>COVID-19 Response National Partnership payments</w:t>
      </w:r>
      <w:r w:rsidR="00805F84">
        <w:t xml:space="preserve">. </w:t>
      </w:r>
      <w:r w:rsidR="00805F84" w:rsidRPr="00F6645A">
        <w:t xml:space="preserve">The reduction in payments under the </w:t>
      </w:r>
      <w:r w:rsidR="00DE4966" w:rsidRPr="00F6645A">
        <w:t>N</w:t>
      </w:r>
      <w:r w:rsidR="00DE4966">
        <w:t>S</w:t>
      </w:r>
      <w:r w:rsidR="00DE4966" w:rsidRPr="00F6645A">
        <w:t xml:space="preserve">RA </w:t>
      </w:r>
      <w:r w:rsidR="00805F84" w:rsidRPr="00F6645A">
        <w:t xml:space="preserve">is </w:t>
      </w:r>
      <w:r w:rsidR="00805F84">
        <w:t xml:space="preserve">largely </w:t>
      </w:r>
      <w:r w:rsidR="00805F84" w:rsidRPr="00F6645A">
        <w:t xml:space="preserve">due to </w:t>
      </w:r>
      <w:r w:rsidR="00805F84">
        <w:t xml:space="preserve">downward </w:t>
      </w:r>
      <w:r w:rsidR="00805F84" w:rsidRPr="00584A8A">
        <w:t xml:space="preserve">revisions to </w:t>
      </w:r>
      <w:r w:rsidR="00805F84">
        <w:t>the</w:t>
      </w:r>
      <w:r w:rsidR="00805F84" w:rsidRPr="00584A8A">
        <w:t xml:space="preserve"> Commonwealth's forecast</w:t>
      </w:r>
      <w:r w:rsidR="00805F84">
        <w:t>s</w:t>
      </w:r>
      <w:r w:rsidR="00805F84" w:rsidRPr="00584A8A">
        <w:t xml:space="preserve"> of government school enrolments in </w:t>
      </w:r>
      <w:r w:rsidR="00A056CD" w:rsidRPr="00584A8A">
        <w:t>N</w:t>
      </w:r>
      <w:r w:rsidR="00A056CD">
        <w:t>ew South Wales</w:t>
      </w:r>
      <w:r w:rsidR="00805F84">
        <w:t xml:space="preserve">. </w:t>
      </w:r>
      <w:r w:rsidR="00805F84" w:rsidRPr="00F6645A">
        <w:t xml:space="preserve">  </w:t>
      </w:r>
    </w:p>
    <w:p w14:paraId="2D14E6EA" w14:textId="6B0DCAEF" w:rsidR="00AB441E" w:rsidRPr="00125749" w:rsidRDefault="00AB441E" w:rsidP="00125749">
      <w:pPr>
        <w:pStyle w:val="Table4X"/>
        <w:keepNext/>
      </w:pPr>
      <w:r w:rsidRPr="00125749">
        <w:t>National Agreement payments to New South Wales</w:t>
      </w:r>
      <w:r w:rsidR="006F7F9D" w:rsidRPr="00125749">
        <w:t xml:space="preserve"> </w:t>
      </w:r>
    </w:p>
    <w:tbl>
      <w:tblPr>
        <w:tblW w:w="9680" w:type="dxa"/>
        <w:tblLook w:val="04A0" w:firstRow="1" w:lastRow="0" w:firstColumn="1" w:lastColumn="0" w:noHBand="0" w:noVBand="1"/>
        <w:tblCaption w:val="Table 4.7: National Agreement payments to New South Wales "/>
        <w:tblDescription w:val="Table 4.7: National Agreement payments to New South Wales "/>
      </w:tblPr>
      <w:tblGrid>
        <w:gridCol w:w="3536"/>
        <w:gridCol w:w="816"/>
        <w:gridCol w:w="816"/>
        <w:gridCol w:w="816"/>
        <w:gridCol w:w="816"/>
        <w:gridCol w:w="816"/>
        <w:gridCol w:w="816"/>
        <w:gridCol w:w="1248"/>
      </w:tblGrid>
      <w:tr w:rsidR="00541B51" w:rsidRPr="00585DD1" w14:paraId="7B040238" w14:textId="77777777" w:rsidTr="00D3046B">
        <w:trPr>
          <w:trHeight w:val="255"/>
        </w:trPr>
        <w:tc>
          <w:tcPr>
            <w:tcW w:w="3536" w:type="dxa"/>
            <w:tcBorders>
              <w:top w:val="nil"/>
              <w:left w:val="nil"/>
              <w:bottom w:val="nil"/>
              <w:right w:val="nil"/>
            </w:tcBorders>
            <w:shd w:val="clear" w:color="000000" w:fill="008EBA"/>
            <w:noWrap/>
            <w:vAlign w:val="bottom"/>
            <w:hideMark/>
          </w:tcPr>
          <w:p w14:paraId="3CF7B869" w14:textId="77777777" w:rsidR="00541B51" w:rsidRPr="00585DD1" w:rsidRDefault="00541B51" w:rsidP="00D3046B">
            <w:pPr>
              <w:rPr>
                <w:rFonts w:ascii="Arial" w:hAnsi="Arial" w:cs="Arial"/>
                <w:color w:val="FFFFFF"/>
                <w:sz w:val="16"/>
                <w:szCs w:val="16"/>
                <w:lang w:eastAsia="en-AU"/>
              </w:rPr>
            </w:pPr>
            <w:r w:rsidRPr="00585DD1">
              <w:rPr>
                <w:rFonts w:ascii="Arial" w:hAnsi="Arial" w:cs="Arial"/>
                <w:color w:val="FFFFFF"/>
                <w:sz w:val="16"/>
                <w:szCs w:val="16"/>
                <w:lang w:eastAsia="en-AU"/>
              </w:rPr>
              <w:t> </w:t>
            </w:r>
          </w:p>
        </w:tc>
        <w:tc>
          <w:tcPr>
            <w:tcW w:w="816" w:type="dxa"/>
            <w:tcBorders>
              <w:top w:val="nil"/>
              <w:left w:val="nil"/>
              <w:bottom w:val="nil"/>
              <w:right w:val="nil"/>
            </w:tcBorders>
            <w:shd w:val="clear" w:color="000000" w:fill="008EBA"/>
            <w:noWrap/>
            <w:vAlign w:val="bottom"/>
            <w:hideMark/>
          </w:tcPr>
          <w:p w14:paraId="066A5D5A" w14:textId="77777777" w:rsidR="00541B51" w:rsidRPr="00585DD1" w:rsidRDefault="00541B51" w:rsidP="00D3046B">
            <w:pPr>
              <w:jc w:val="center"/>
              <w:rPr>
                <w:rFonts w:ascii="Arial" w:hAnsi="Arial" w:cs="Arial"/>
                <w:color w:val="FFFFFF"/>
                <w:sz w:val="16"/>
                <w:szCs w:val="16"/>
                <w:lang w:eastAsia="en-AU"/>
              </w:rPr>
            </w:pPr>
            <w:r w:rsidRPr="00585DD1">
              <w:rPr>
                <w:rFonts w:ascii="Arial" w:hAnsi="Arial" w:cs="Arial"/>
                <w:color w:val="FFFFFF"/>
                <w:sz w:val="16"/>
                <w:szCs w:val="16"/>
                <w:lang w:eastAsia="en-AU"/>
              </w:rPr>
              <w:t>2020-21</w:t>
            </w:r>
          </w:p>
        </w:tc>
        <w:tc>
          <w:tcPr>
            <w:tcW w:w="816" w:type="dxa"/>
            <w:tcBorders>
              <w:top w:val="nil"/>
              <w:left w:val="nil"/>
              <w:bottom w:val="nil"/>
              <w:right w:val="nil"/>
            </w:tcBorders>
            <w:shd w:val="clear" w:color="000000" w:fill="008EBA"/>
            <w:noWrap/>
            <w:vAlign w:val="bottom"/>
            <w:hideMark/>
          </w:tcPr>
          <w:p w14:paraId="398C0AEE" w14:textId="77777777" w:rsidR="00541B51" w:rsidRPr="00585DD1" w:rsidRDefault="00541B51" w:rsidP="00D3046B">
            <w:pPr>
              <w:jc w:val="center"/>
              <w:rPr>
                <w:rFonts w:ascii="Arial" w:hAnsi="Arial" w:cs="Arial"/>
                <w:color w:val="FFFFFF"/>
                <w:sz w:val="16"/>
                <w:szCs w:val="16"/>
                <w:lang w:eastAsia="en-AU"/>
              </w:rPr>
            </w:pPr>
            <w:r w:rsidRPr="00585DD1">
              <w:rPr>
                <w:rFonts w:ascii="Arial" w:hAnsi="Arial" w:cs="Arial"/>
                <w:color w:val="FFFFFF"/>
                <w:sz w:val="16"/>
                <w:szCs w:val="16"/>
                <w:lang w:eastAsia="en-AU"/>
              </w:rPr>
              <w:t>2021-22</w:t>
            </w:r>
          </w:p>
        </w:tc>
        <w:tc>
          <w:tcPr>
            <w:tcW w:w="816" w:type="dxa"/>
            <w:tcBorders>
              <w:top w:val="nil"/>
              <w:left w:val="nil"/>
              <w:bottom w:val="nil"/>
              <w:right w:val="nil"/>
            </w:tcBorders>
            <w:shd w:val="clear" w:color="000000" w:fill="008EBA"/>
            <w:noWrap/>
            <w:vAlign w:val="bottom"/>
            <w:hideMark/>
          </w:tcPr>
          <w:p w14:paraId="4C8C2001" w14:textId="77777777" w:rsidR="00541B51" w:rsidRPr="00585DD1" w:rsidRDefault="00541B51" w:rsidP="00D3046B">
            <w:pPr>
              <w:jc w:val="center"/>
              <w:rPr>
                <w:rFonts w:ascii="Arial" w:hAnsi="Arial" w:cs="Arial"/>
                <w:color w:val="FFFFFF"/>
                <w:sz w:val="16"/>
                <w:szCs w:val="16"/>
                <w:lang w:eastAsia="en-AU"/>
              </w:rPr>
            </w:pPr>
            <w:r w:rsidRPr="00585DD1">
              <w:rPr>
                <w:rFonts w:ascii="Arial" w:hAnsi="Arial" w:cs="Arial"/>
                <w:color w:val="FFFFFF"/>
                <w:sz w:val="16"/>
                <w:szCs w:val="16"/>
                <w:lang w:eastAsia="en-AU"/>
              </w:rPr>
              <w:t>2022-23</w:t>
            </w:r>
          </w:p>
        </w:tc>
        <w:tc>
          <w:tcPr>
            <w:tcW w:w="816" w:type="dxa"/>
            <w:tcBorders>
              <w:top w:val="nil"/>
              <w:left w:val="nil"/>
              <w:bottom w:val="nil"/>
              <w:right w:val="nil"/>
            </w:tcBorders>
            <w:shd w:val="clear" w:color="000000" w:fill="008EBA"/>
            <w:noWrap/>
            <w:vAlign w:val="bottom"/>
            <w:hideMark/>
          </w:tcPr>
          <w:p w14:paraId="36B4B482" w14:textId="77777777" w:rsidR="00541B51" w:rsidRPr="00585DD1" w:rsidRDefault="00541B51" w:rsidP="00D3046B">
            <w:pPr>
              <w:jc w:val="center"/>
              <w:rPr>
                <w:rFonts w:ascii="Arial" w:hAnsi="Arial" w:cs="Arial"/>
                <w:color w:val="FFFFFF"/>
                <w:sz w:val="16"/>
                <w:szCs w:val="16"/>
                <w:lang w:eastAsia="en-AU"/>
              </w:rPr>
            </w:pPr>
            <w:r w:rsidRPr="00585DD1">
              <w:rPr>
                <w:rFonts w:ascii="Arial" w:hAnsi="Arial" w:cs="Arial"/>
                <w:color w:val="FFFFFF"/>
                <w:sz w:val="16"/>
                <w:szCs w:val="16"/>
                <w:lang w:eastAsia="en-AU"/>
              </w:rPr>
              <w:t>2023-24</w:t>
            </w:r>
          </w:p>
        </w:tc>
        <w:tc>
          <w:tcPr>
            <w:tcW w:w="816" w:type="dxa"/>
            <w:tcBorders>
              <w:top w:val="nil"/>
              <w:left w:val="nil"/>
              <w:bottom w:val="nil"/>
              <w:right w:val="nil"/>
            </w:tcBorders>
            <w:shd w:val="clear" w:color="000000" w:fill="008EBA"/>
            <w:noWrap/>
            <w:vAlign w:val="bottom"/>
            <w:hideMark/>
          </w:tcPr>
          <w:p w14:paraId="4D7DB984" w14:textId="77777777" w:rsidR="00541B51" w:rsidRPr="00585DD1" w:rsidRDefault="00541B51" w:rsidP="00D3046B">
            <w:pPr>
              <w:rPr>
                <w:rFonts w:ascii="Arial" w:hAnsi="Arial" w:cs="Arial"/>
                <w:color w:val="FFFFFF"/>
                <w:sz w:val="16"/>
                <w:szCs w:val="16"/>
                <w:lang w:eastAsia="en-AU"/>
              </w:rPr>
            </w:pPr>
            <w:r w:rsidRPr="00585DD1">
              <w:rPr>
                <w:rFonts w:ascii="Arial" w:hAnsi="Arial" w:cs="Arial"/>
                <w:color w:val="FFFFFF"/>
                <w:sz w:val="16"/>
                <w:szCs w:val="16"/>
                <w:lang w:eastAsia="en-AU"/>
              </w:rPr>
              <w:t>2024-25</w:t>
            </w:r>
          </w:p>
        </w:tc>
        <w:tc>
          <w:tcPr>
            <w:tcW w:w="816" w:type="dxa"/>
            <w:tcBorders>
              <w:top w:val="nil"/>
              <w:left w:val="nil"/>
              <w:bottom w:val="nil"/>
              <w:right w:val="nil"/>
            </w:tcBorders>
            <w:shd w:val="clear" w:color="000000" w:fill="008EBA"/>
            <w:noWrap/>
            <w:vAlign w:val="bottom"/>
            <w:hideMark/>
          </w:tcPr>
          <w:p w14:paraId="6B42D212" w14:textId="77777777" w:rsidR="00541B51" w:rsidRPr="00585DD1" w:rsidRDefault="00541B51" w:rsidP="00D3046B">
            <w:pPr>
              <w:rPr>
                <w:rFonts w:ascii="Arial" w:hAnsi="Arial" w:cs="Arial"/>
                <w:color w:val="FFFFFF"/>
                <w:sz w:val="16"/>
                <w:szCs w:val="16"/>
                <w:lang w:eastAsia="en-AU"/>
              </w:rPr>
            </w:pPr>
            <w:r w:rsidRPr="00585DD1">
              <w:rPr>
                <w:rFonts w:ascii="Arial" w:hAnsi="Arial" w:cs="Arial"/>
                <w:color w:val="FFFFFF"/>
                <w:sz w:val="16"/>
                <w:szCs w:val="16"/>
                <w:lang w:eastAsia="en-AU"/>
              </w:rPr>
              <w:t>2025-26</w:t>
            </w:r>
          </w:p>
        </w:tc>
        <w:tc>
          <w:tcPr>
            <w:tcW w:w="1248" w:type="dxa"/>
            <w:vMerge w:val="restart"/>
            <w:tcBorders>
              <w:top w:val="nil"/>
              <w:left w:val="nil"/>
              <w:bottom w:val="nil"/>
              <w:right w:val="nil"/>
            </w:tcBorders>
            <w:shd w:val="clear" w:color="000000" w:fill="4F4F4F"/>
            <w:vAlign w:val="center"/>
            <w:hideMark/>
          </w:tcPr>
          <w:p w14:paraId="7D81E390" w14:textId="77777777" w:rsidR="00541B51" w:rsidRPr="00585DD1" w:rsidRDefault="00541B51" w:rsidP="00D3046B">
            <w:pPr>
              <w:jc w:val="center"/>
              <w:rPr>
                <w:rFonts w:ascii="Arial" w:hAnsi="Arial" w:cs="Arial"/>
                <w:color w:val="FFFFFF"/>
                <w:sz w:val="16"/>
                <w:szCs w:val="16"/>
                <w:lang w:eastAsia="en-AU"/>
              </w:rPr>
            </w:pPr>
            <w:r w:rsidRPr="00585DD1">
              <w:rPr>
                <w:rFonts w:ascii="Arial" w:hAnsi="Arial" w:cs="Arial"/>
                <w:color w:val="FFFFFF"/>
                <w:sz w:val="16"/>
                <w:szCs w:val="16"/>
                <w:lang w:eastAsia="en-AU"/>
              </w:rPr>
              <w:t>% Average growth p.a.</w:t>
            </w:r>
            <w:r w:rsidRPr="00585DD1">
              <w:rPr>
                <w:rFonts w:ascii="Arial" w:hAnsi="Arial" w:cs="Arial"/>
                <w:color w:val="FFFFFF"/>
                <w:sz w:val="16"/>
                <w:szCs w:val="16"/>
                <w:lang w:eastAsia="en-AU"/>
              </w:rPr>
              <w:br/>
              <w:t>2021-22 to 2025-26</w:t>
            </w:r>
          </w:p>
        </w:tc>
      </w:tr>
      <w:tr w:rsidR="00541B51" w:rsidRPr="00585DD1" w14:paraId="7EB61BD4" w14:textId="77777777" w:rsidTr="00D3046B">
        <w:trPr>
          <w:trHeight w:val="255"/>
        </w:trPr>
        <w:tc>
          <w:tcPr>
            <w:tcW w:w="3536" w:type="dxa"/>
            <w:tcBorders>
              <w:top w:val="nil"/>
              <w:left w:val="nil"/>
              <w:bottom w:val="nil"/>
              <w:right w:val="nil"/>
            </w:tcBorders>
            <w:shd w:val="clear" w:color="000000" w:fill="008EBA"/>
            <w:vAlign w:val="bottom"/>
            <w:hideMark/>
          </w:tcPr>
          <w:p w14:paraId="63D628BC" w14:textId="77777777" w:rsidR="00541B51" w:rsidRPr="00585DD1" w:rsidRDefault="00541B51" w:rsidP="00D3046B">
            <w:pPr>
              <w:jc w:val="center"/>
              <w:rPr>
                <w:rFonts w:ascii="Arial" w:hAnsi="Arial" w:cs="Arial"/>
                <w:i/>
                <w:iCs/>
                <w:color w:val="FFFFFF"/>
                <w:sz w:val="16"/>
                <w:szCs w:val="16"/>
                <w:lang w:eastAsia="en-AU"/>
              </w:rPr>
            </w:pPr>
            <w:r w:rsidRPr="00585DD1">
              <w:rPr>
                <w:rFonts w:ascii="Arial" w:hAnsi="Arial" w:cs="Arial"/>
                <w:i/>
                <w:iCs/>
                <w:color w:val="FFFFFF"/>
                <w:sz w:val="16"/>
                <w:szCs w:val="16"/>
                <w:lang w:eastAsia="en-AU"/>
              </w:rPr>
              <w:t> </w:t>
            </w:r>
          </w:p>
        </w:tc>
        <w:tc>
          <w:tcPr>
            <w:tcW w:w="816" w:type="dxa"/>
            <w:tcBorders>
              <w:top w:val="nil"/>
              <w:left w:val="nil"/>
              <w:bottom w:val="nil"/>
              <w:right w:val="nil"/>
            </w:tcBorders>
            <w:shd w:val="clear" w:color="000000" w:fill="008EBA"/>
            <w:noWrap/>
            <w:vAlign w:val="bottom"/>
            <w:hideMark/>
          </w:tcPr>
          <w:p w14:paraId="29E5A105" w14:textId="77777777" w:rsidR="00541B51" w:rsidRPr="00585DD1" w:rsidRDefault="00541B51" w:rsidP="00D3046B">
            <w:pPr>
              <w:jc w:val="center"/>
              <w:rPr>
                <w:rFonts w:ascii="Arial" w:hAnsi="Arial" w:cs="Arial"/>
                <w:color w:val="FFFFFF"/>
                <w:sz w:val="16"/>
                <w:szCs w:val="16"/>
                <w:lang w:eastAsia="en-AU"/>
              </w:rPr>
            </w:pPr>
            <w:r w:rsidRPr="00585DD1">
              <w:rPr>
                <w:rFonts w:ascii="Arial" w:hAnsi="Arial" w:cs="Arial"/>
                <w:color w:val="FFFFFF"/>
                <w:sz w:val="16"/>
                <w:szCs w:val="16"/>
                <w:lang w:eastAsia="en-AU"/>
              </w:rPr>
              <w:t>Actual</w:t>
            </w:r>
          </w:p>
        </w:tc>
        <w:tc>
          <w:tcPr>
            <w:tcW w:w="816" w:type="dxa"/>
            <w:tcBorders>
              <w:top w:val="nil"/>
              <w:left w:val="nil"/>
              <w:bottom w:val="nil"/>
              <w:right w:val="nil"/>
            </w:tcBorders>
            <w:shd w:val="clear" w:color="000000" w:fill="008EBA"/>
            <w:noWrap/>
            <w:vAlign w:val="bottom"/>
            <w:hideMark/>
          </w:tcPr>
          <w:p w14:paraId="695F05CB" w14:textId="77777777" w:rsidR="00541B51" w:rsidRPr="00585DD1" w:rsidRDefault="00541B51" w:rsidP="00D3046B">
            <w:pPr>
              <w:jc w:val="center"/>
              <w:rPr>
                <w:rFonts w:ascii="Arial" w:hAnsi="Arial" w:cs="Arial"/>
                <w:color w:val="FFFFFF"/>
                <w:sz w:val="16"/>
                <w:szCs w:val="16"/>
                <w:lang w:eastAsia="en-AU"/>
              </w:rPr>
            </w:pPr>
            <w:r w:rsidRPr="00585DD1">
              <w:rPr>
                <w:rFonts w:ascii="Arial" w:hAnsi="Arial" w:cs="Arial"/>
                <w:color w:val="FFFFFF"/>
                <w:sz w:val="16"/>
                <w:szCs w:val="16"/>
                <w:lang w:eastAsia="en-AU"/>
              </w:rPr>
              <w:t>Revised</w:t>
            </w:r>
          </w:p>
        </w:tc>
        <w:tc>
          <w:tcPr>
            <w:tcW w:w="816" w:type="dxa"/>
            <w:tcBorders>
              <w:top w:val="nil"/>
              <w:left w:val="nil"/>
              <w:bottom w:val="nil"/>
              <w:right w:val="nil"/>
            </w:tcBorders>
            <w:shd w:val="clear" w:color="000000" w:fill="008EBA"/>
            <w:noWrap/>
            <w:vAlign w:val="bottom"/>
            <w:hideMark/>
          </w:tcPr>
          <w:p w14:paraId="7D6E39CC" w14:textId="77777777" w:rsidR="00541B51" w:rsidRPr="00585DD1" w:rsidRDefault="00541B51" w:rsidP="00D3046B">
            <w:pPr>
              <w:jc w:val="center"/>
              <w:rPr>
                <w:rFonts w:ascii="Arial" w:hAnsi="Arial" w:cs="Arial"/>
                <w:color w:val="FFFFFF"/>
                <w:sz w:val="16"/>
                <w:szCs w:val="16"/>
                <w:lang w:eastAsia="en-AU"/>
              </w:rPr>
            </w:pPr>
            <w:r w:rsidRPr="00585DD1">
              <w:rPr>
                <w:rFonts w:ascii="Arial" w:hAnsi="Arial" w:cs="Arial"/>
                <w:color w:val="FFFFFF"/>
                <w:sz w:val="16"/>
                <w:szCs w:val="16"/>
                <w:lang w:eastAsia="en-AU"/>
              </w:rPr>
              <w:t>Budget</w:t>
            </w:r>
          </w:p>
        </w:tc>
        <w:tc>
          <w:tcPr>
            <w:tcW w:w="2448" w:type="dxa"/>
            <w:gridSpan w:val="3"/>
            <w:tcBorders>
              <w:top w:val="nil"/>
              <w:left w:val="nil"/>
              <w:bottom w:val="nil"/>
              <w:right w:val="nil"/>
            </w:tcBorders>
            <w:shd w:val="clear" w:color="000000" w:fill="008EBA"/>
            <w:noWrap/>
            <w:vAlign w:val="bottom"/>
            <w:hideMark/>
          </w:tcPr>
          <w:p w14:paraId="08AC4D62" w14:textId="77777777" w:rsidR="00541B51" w:rsidRPr="00585DD1" w:rsidRDefault="00541B51" w:rsidP="00D3046B">
            <w:pPr>
              <w:jc w:val="center"/>
              <w:rPr>
                <w:rFonts w:ascii="Arial" w:hAnsi="Arial" w:cs="Arial"/>
                <w:color w:val="FFFFFF"/>
                <w:sz w:val="16"/>
                <w:szCs w:val="16"/>
                <w:lang w:eastAsia="en-AU"/>
              </w:rPr>
            </w:pPr>
            <w:r w:rsidRPr="00585DD1">
              <w:rPr>
                <w:rFonts w:ascii="Arial" w:hAnsi="Arial" w:cs="Arial"/>
                <w:color w:val="FFFFFF"/>
                <w:sz w:val="16"/>
                <w:szCs w:val="16"/>
                <w:lang w:eastAsia="en-AU"/>
              </w:rPr>
              <w:t>Forward Estimates</w:t>
            </w:r>
          </w:p>
        </w:tc>
        <w:tc>
          <w:tcPr>
            <w:tcW w:w="1248" w:type="dxa"/>
            <w:vMerge/>
            <w:tcBorders>
              <w:top w:val="nil"/>
              <w:left w:val="nil"/>
              <w:bottom w:val="nil"/>
              <w:right w:val="nil"/>
            </w:tcBorders>
            <w:vAlign w:val="center"/>
            <w:hideMark/>
          </w:tcPr>
          <w:p w14:paraId="55216F42" w14:textId="77777777" w:rsidR="00541B51" w:rsidRPr="00585DD1" w:rsidRDefault="00541B51" w:rsidP="00D3046B">
            <w:pPr>
              <w:rPr>
                <w:rFonts w:ascii="Arial" w:hAnsi="Arial" w:cs="Arial"/>
                <w:color w:val="FFFFFF"/>
                <w:sz w:val="16"/>
                <w:szCs w:val="16"/>
                <w:lang w:eastAsia="en-AU"/>
              </w:rPr>
            </w:pPr>
          </w:p>
        </w:tc>
      </w:tr>
      <w:tr w:rsidR="00541B51" w:rsidRPr="00585DD1" w14:paraId="564B034C" w14:textId="77777777" w:rsidTr="00D3046B">
        <w:trPr>
          <w:trHeight w:val="255"/>
        </w:trPr>
        <w:tc>
          <w:tcPr>
            <w:tcW w:w="3536" w:type="dxa"/>
            <w:tcBorders>
              <w:top w:val="nil"/>
              <w:left w:val="nil"/>
              <w:bottom w:val="nil"/>
              <w:right w:val="nil"/>
            </w:tcBorders>
            <w:shd w:val="clear" w:color="000000" w:fill="00426F"/>
            <w:vAlign w:val="bottom"/>
            <w:hideMark/>
          </w:tcPr>
          <w:p w14:paraId="2B568097" w14:textId="77777777" w:rsidR="00541B51" w:rsidRPr="00585DD1" w:rsidRDefault="00541B51" w:rsidP="00D3046B">
            <w:pPr>
              <w:jc w:val="center"/>
              <w:rPr>
                <w:rFonts w:ascii="Arial" w:hAnsi="Arial" w:cs="Arial"/>
                <w:i/>
                <w:iCs/>
                <w:color w:val="FFFFFF"/>
                <w:sz w:val="16"/>
                <w:szCs w:val="16"/>
                <w:lang w:eastAsia="en-AU"/>
              </w:rPr>
            </w:pPr>
            <w:r w:rsidRPr="00585DD1">
              <w:rPr>
                <w:rFonts w:ascii="Arial" w:hAnsi="Arial" w:cs="Arial"/>
                <w:i/>
                <w:iCs/>
                <w:color w:val="FFFFFF"/>
                <w:sz w:val="16"/>
                <w:szCs w:val="16"/>
                <w:lang w:eastAsia="en-AU"/>
              </w:rPr>
              <w:t> </w:t>
            </w:r>
          </w:p>
        </w:tc>
        <w:tc>
          <w:tcPr>
            <w:tcW w:w="816" w:type="dxa"/>
            <w:tcBorders>
              <w:top w:val="nil"/>
              <w:left w:val="nil"/>
              <w:bottom w:val="nil"/>
              <w:right w:val="nil"/>
            </w:tcBorders>
            <w:shd w:val="clear" w:color="000000" w:fill="00426F"/>
            <w:vAlign w:val="center"/>
            <w:hideMark/>
          </w:tcPr>
          <w:p w14:paraId="308FDBFA" w14:textId="77777777" w:rsidR="00541B51" w:rsidRPr="00585DD1" w:rsidRDefault="00541B51" w:rsidP="00D3046B">
            <w:pPr>
              <w:jc w:val="center"/>
              <w:rPr>
                <w:rFonts w:ascii="Arial" w:hAnsi="Arial" w:cs="Arial"/>
                <w:color w:val="FFFFFF"/>
                <w:sz w:val="16"/>
                <w:szCs w:val="16"/>
                <w:lang w:eastAsia="en-AU"/>
              </w:rPr>
            </w:pPr>
            <w:r w:rsidRPr="00585DD1">
              <w:rPr>
                <w:rFonts w:ascii="Arial" w:hAnsi="Arial" w:cs="Arial"/>
                <w:color w:val="FFFFFF"/>
                <w:sz w:val="16"/>
                <w:szCs w:val="16"/>
                <w:lang w:eastAsia="en-AU"/>
              </w:rPr>
              <w:t>$m</w:t>
            </w:r>
          </w:p>
        </w:tc>
        <w:tc>
          <w:tcPr>
            <w:tcW w:w="816" w:type="dxa"/>
            <w:tcBorders>
              <w:top w:val="nil"/>
              <w:left w:val="nil"/>
              <w:bottom w:val="nil"/>
              <w:right w:val="nil"/>
            </w:tcBorders>
            <w:shd w:val="clear" w:color="000000" w:fill="00426F"/>
            <w:vAlign w:val="center"/>
            <w:hideMark/>
          </w:tcPr>
          <w:p w14:paraId="19F6C55D" w14:textId="77777777" w:rsidR="00541B51" w:rsidRPr="00585DD1" w:rsidRDefault="00541B51" w:rsidP="00D3046B">
            <w:pPr>
              <w:jc w:val="center"/>
              <w:rPr>
                <w:rFonts w:ascii="Arial" w:hAnsi="Arial" w:cs="Arial"/>
                <w:color w:val="FFFFFF"/>
                <w:sz w:val="16"/>
                <w:szCs w:val="16"/>
                <w:lang w:eastAsia="en-AU"/>
              </w:rPr>
            </w:pPr>
            <w:r w:rsidRPr="00585DD1">
              <w:rPr>
                <w:rFonts w:ascii="Arial" w:hAnsi="Arial" w:cs="Arial"/>
                <w:color w:val="FFFFFF"/>
                <w:sz w:val="16"/>
                <w:szCs w:val="16"/>
                <w:lang w:eastAsia="en-AU"/>
              </w:rPr>
              <w:t>$m</w:t>
            </w:r>
          </w:p>
        </w:tc>
        <w:tc>
          <w:tcPr>
            <w:tcW w:w="816" w:type="dxa"/>
            <w:tcBorders>
              <w:top w:val="nil"/>
              <w:left w:val="nil"/>
              <w:bottom w:val="nil"/>
              <w:right w:val="nil"/>
            </w:tcBorders>
            <w:shd w:val="clear" w:color="000000" w:fill="00426F"/>
            <w:vAlign w:val="center"/>
            <w:hideMark/>
          </w:tcPr>
          <w:p w14:paraId="2AFE3576" w14:textId="77777777" w:rsidR="00541B51" w:rsidRPr="00585DD1" w:rsidRDefault="00541B51" w:rsidP="00D3046B">
            <w:pPr>
              <w:jc w:val="center"/>
              <w:rPr>
                <w:rFonts w:ascii="Arial" w:hAnsi="Arial" w:cs="Arial"/>
                <w:color w:val="FFFFFF"/>
                <w:sz w:val="16"/>
                <w:szCs w:val="16"/>
                <w:lang w:eastAsia="en-AU"/>
              </w:rPr>
            </w:pPr>
            <w:r w:rsidRPr="00585DD1">
              <w:rPr>
                <w:rFonts w:ascii="Arial" w:hAnsi="Arial" w:cs="Arial"/>
                <w:color w:val="FFFFFF"/>
                <w:sz w:val="16"/>
                <w:szCs w:val="16"/>
                <w:lang w:eastAsia="en-AU"/>
              </w:rPr>
              <w:t>$m</w:t>
            </w:r>
          </w:p>
        </w:tc>
        <w:tc>
          <w:tcPr>
            <w:tcW w:w="816" w:type="dxa"/>
            <w:tcBorders>
              <w:top w:val="nil"/>
              <w:left w:val="nil"/>
              <w:bottom w:val="nil"/>
              <w:right w:val="nil"/>
            </w:tcBorders>
            <w:shd w:val="clear" w:color="000000" w:fill="00426F"/>
            <w:vAlign w:val="center"/>
            <w:hideMark/>
          </w:tcPr>
          <w:p w14:paraId="7555BDF1" w14:textId="77777777" w:rsidR="00541B51" w:rsidRPr="00585DD1" w:rsidRDefault="00541B51" w:rsidP="00D3046B">
            <w:pPr>
              <w:jc w:val="center"/>
              <w:rPr>
                <w:rFonts w:ascii="Arial" w:hAnsi="Arial" w:cs="Arial"/>
                <w:color w:val="FFFFFF"/>
                <w:sz w:val="16"/>
                <w:szCs w:val="16"/>
                <w:lang w:eastAsia="en-AU"/>
              </w:rPr>
            </w:pPr>
            <w:r w:rsidRPr="00585DD1">
              <w:rPr>
                <w:rFonts w:ascii="Arial" w:hAnsi="Arial" w:cs="Arial"/>
                <w:color w:val="FFFFFF"/>
                <w:sz w:val="16"/>
                <w:szCs w:val="16"/>
                <w:lang w:eastAsia="en-AU"/>
              </w:rPr>
              <w:t>$m</w:t>
            </w:r>
          </w:p>
        </w:tc>
        <w:tc>
          <w:tcPr>
            <w:tcW w:w="816" w:type="dxa"/>
            <w:tcBorders>
              <w:top w:val="nil"/>
              <w:left w:val="nil"/>
              <w:bottom w:val="nil"/>
              <w:right w:val="nil"/>
            </w:tcBorders>
            <w:shd w:val="clear" w:color="000000" w:fill="00426F"/>
            <w:vAlign w:val="center"/>
            <w:hideMark/>
          </w:tcPr>
          <w:p w14:paraId="7564AABA" w14:textId="77777777" w:rsidR="00541B51" w:rsidRPr="00585DD1" w:rsidRDefault="00541B51" w:rsidP="00D3046B">
            <w:pPr>
              <w:jc w:val="center"/>
              <w:rPr>
                <w:rFonts w:ascii="Arial" w:hAnsi="Arial" w:cs="Arial"/>
                <w:color w:val="FFFFFF"/>
                <w:sz w:val="16"/>
                <w:szCs w:val="16"/>
                <w:lang w:eastAsia="en-AU"/>
              </w:rPr>
            </w:pPr>
            <w:r w:rsidRPr="00585DD1">
              <w:rPr>
                <w:rFonts w:ascii="Arial" w:hAnsi="Arial" w:cs="Arial"/>
                <w:color w:val="FFFFFF"/>
                <w:sz w:val="16"/>
                <w:szCs w:val="16"/>
                <w:lang w:eastAsia="en-AU"/>
              </w:rPr>
              <w:t>$m</w:t>
            </w:r>
          </w:p>
        </w:tc>
        <w:tc>
          <w:tcPr>
            <w:tcW w:w="816" w:type="dxa"/>
            <w:tcBorders>
              <w:top w:val="nil"/>
              <w:left w:val="nil"/>
              <w:bottom w:val="nil"/>
              <w:right w:val="nil"/>
            </w:tcBorders>
            <w:shd w:val="clear" w:color="000000" w:fill="00426F"/>
            <w:vAlign w:val="center"/>
            <w:hideMark/>
          </w:tcPr>
          <w:p w14:paraId="31F69C3B" w14:textId="77777777" w:rsidR="00541B51" w:rsidRPr="00585DD1" w:rsidRDefault="00541B51" w:rsidP="00D3046B">
            <w:pPr>
              <w:jc w:val="center"/>
              <w:rPr>
                <w:rFonts w:ascii="Arial" w:hAnsi="Arial" w:cs="Arial"/>
                <w:color w:val="FFFFFF"/>
                <w:sz w:val="16"/>
                <w:szCs w:val="16"/>
                <w:lang w:eastAsia="en-AU"/>
              </w:rPr>
            </w:pPr>
            <w:r w:rsidRPr="00585DD1">
              <w:rPr>
                <w:rFonts w:ascii="Arial" w:hAnsi="Arial" w:cs="Arial"/>
                <w:color w:val="FFFFFF"/>
                <w:sz w:val="16"/>
                <w:szCs w:val="16"/>
                <w:lang w:eastAsia="en-AU"/>
              </w:rPr>
              <w:t>$m</w:t>
            </w:r>
          </w:p>
        </w:tc>
        <w:tc>
          <w:tcPr>
            <w:tcW w:w="1248" w:type="dxa"/>
            <w:vMerge/>
            <w:tcBorders>
              <w:top w:val="nil"/>
              <w:left w:val="nil"/>
              <w:bottom w:val="nil"/>
              <w:right w:val="nil"/>
            </w:tcBorders>
            <w:vAlign w:val="center"/>
            <w:hideMark/>
          </w:tcPr>
          <w:p w14:paraId="5CD4443F" w14:textId="77777777" w:rsidR="00541B51" w:rsidRPr="00585DD1" w:rsidRDefault="00541B51" w:rsidP="00D3046B">
            <w:pPr>
              <w:rPr>
                <w:rFonts w:ascii="Arial" w:hAnsi="Arial" w:cs="Arial"/>
                <w:color w:val="FFFFFF"/>
                <w:sz w:val="16"/>
                <w:szCs w:val="16"/>
                <w:lang w:eastAsia="en-AU"/>
              </w:rPr>
            </w:pPr>
          </w:p>
        </w:tc>
      </w:tr>
      <w:tr w:rsidR="00541B51" w:rsidRPr="00585DD1" w14:paraId="3C6B9897" w14:textId="77777777" w:rsidTr="00D3046B">
        <w:trPr>
          <w:trHeight w:val="240"/>
        </w:trPr>
        <w:tc>
          <w:tcPr>
            <w:tcW w:w="3536" w:type="dxa"/>
            <w:tcBorders>
              <w:top w:val="nil"/>
              <w:left w:val="nil"/>
              <w:bottom w:val="nil"/>
              <w:right w:val="nil"/>
            </w:tcBorders>
            <w:shd w:val="clear" w:color="000000" w:fill="FFFFFF"/>
            <w:vAlign w:val="center"/>
            <w:hideMark/>
          </w:tcPr>
          <w:p w14:paraId="16CA4F5B" w14:textId="77777777" w:rsidR="00541B51" w:rsidRPr="00585DD1" w:rsidRDefault="00541B51" w:rsidP="00D3046B">
            <w:pPr>
              <w:rPr>
                <w:rFonts w:ascii="Arial" w:hAnsi="Arial" w:cs="Arial"/>
                <w:sz w:val="16"/>
                <w:szCs w:val="16"/>
                <w:lang w:eastAsia="en-AU"/>
              </w:rPr>
            </w:pPr>
            <w:r w:rsidRPr="00585DD1">
              <w:rPr>
                <w:rFonts w:ascii="Arial" w:hAnsi="Arial" w:cs="Arial"/>
                <w:sz w:val="16"/>
                <w:szCs w:val="16"/>
                <w:lang w:eastAsia="en-AU"/>
              </w:rPr>
              <w:t xml:space="preserve">Health </w:t>
            </w:r>
          </w:p>
        </w:tc>
        <w:tc>
          <w:tcPr>
            <w:tcW w:w="816" w:type="dxa"/>
            <w:tcBorders>
              <w:top w:val="nil"/>
              <w:left w:val="nil"/>
              <w:bottom w:val="nil"/>
              <w:right w:val="nil"/>
            </w:tcBorders>
            <w:shd w:val="clear" w:color="000000" w:fill="FFFFFF"/>
            <w:noWrap/>
            <w:vAlign w:val="center"/>
            <w:hideMark/>
          </w:tcPr>
          <w:p w14:paraId="6A531A3E" w14:textId="77777777" w:rsidR="00541B51" w:rsidRPr="00585DD1" w:rsidRDefault="00541B51" w:rsidP="00D3046B">
            <w:pPr>
              <w:jc w:val="right"/>
              <w:rPr>
                <w:rFonts w:ascii="Arial" w:hAnsi="Arial" w:cs="Arial"/>
                <w:sz w:val="16"/>
                <w:szCs w:val="16"/>
                <w:lang w:eastAsia="en-AU"/>
              </w:rPr>
            </w:pPr>
            <w:r w:rsidRPr="00585DD1">
              <w:rPr>
                <w:rFonts w:ascii="Arial" w:hAnsi="Arial" w:cs="Arial"/>
                <w:sz w:val="16"/>
                <w:szCs w:val="16"/>
                <w:lang w:eastAsia="en-AU"/>
              </w:rPr>
              <w:t xml:space="preserve">8,206 </w:t>
            </w:r>
          </w:p>
        </w:tc>
        <w:tc>
          <w:tcPr>
            <w:tcW w:w="816" w:type="dxa"/>
            <w:tcBorders>
              <w:top w:val="nil"/>
              <w:left w:val="nil"/>
              <w:bottom w:val="nil"/>
              <w:right w:val="nil"/>
            </w:tcBorders>
            <w:shd w:val="clear" w:color="000000" w:fill="FFFFFF"/>
            <w:noWrap/>
            <w:vAlign w:val="center"/>
            <w:hideMark/>
          </w:tcPr>
          <w:p w14:paraId="1122A19B" w14:textId="77777777" w:rsidR="00541B51" w:rsidRPr="00585DD1" w:rsidRDefault="00541B51" w:rsidP="00D3046B">
            <w:pPr>
              <w:jc w:val="right"/>
              <w:rPr>
                <w:rFonts w:ascii="Arial" w:hAnsi="Arial" w:cs="Arial"/>
                <w:sz w:val="16"/>
                <w:szCs w:val="16"/>
                <w:lang w:eastAsia="en-AU"/>
              </w:rPr>
            </w:pPr>
            <w:r w:rsidRPr="00585DD1">
              <w:rPr>
                <w:rFonts w:ascii="Arial" w:hAnsi="Arial" w:cs="Arial"/>
                <w:sz w:val="16"/>
                <w:szCs w:val="16"/>
                <w:lang w:eastAsia="en-AU"/>
              </w:rPr>
              <w:t xml:space="preserve">9,203 </w:t>
            </w:r>
          </w:p>
        </w:tc>
        <w:tc>
          <w:tcPr>
            <w:tcW w:w="816" w:type="dxa"/>
            <w:tcBorders>
              <w:top w:val="nil"/>
              <w:left w:val="nil"/>
              <w:bottom w:val="nil"/>
              <w:right w:val="nil"/>
            </w:tcBorders>
            <w:shd w:val="clear" w:color="000000" w:fill="F2F2F2"/>
            <w:noWrap/>
            <w:vAlign w:val="center"/>
            <w:hideMark/>
          </w:tcPr>
          <w:p w14:paraId="789E6C0E" w14:textId="77777777" w:rsidR="00541B51" w:rsidRPr="00585DD1" w:rsidRDefault="00541B51" w:rsidP="00D3046B">
            <w:pPr>
              <w:jc w:val="right"/>
              <w:rPr>
                <w:rFonts w:ascii="Arial" w:hAnsi="Arial" w:cs="Arial"/>
                <w:sz w:val="16"/>
                <w:szCs w:val="16"/>
                <w:lang w:eastAsia="en-AU"/>
              </w:rPr>
            </w:pPr>
            <w:r w:rsidRPr="00585DD1">
              <w:rPr>
                <w:rFonts w:ascii="Arial" w:hAnsi="Arial" w:cs="Arial"/>
                <w:sz w:val="16"/>
                <w:szCs w:val="16"/>
                <w:lang w:eastAsia="en-AU"/>
              </w:rPr>
              <w:t xml:space="preserve">8,348 </w:t>
            </w:r>
          </w:p>
        </w:tc>
        <w:tc>
          <w:tcPr>
            <w:tcW w:w="816" w:type="dxa"/>
            <w:tcBorders>
              <w:top w:val="nil"/>
              <w:left w:val="nil"/>
              <w:bottom w:val="nil"/>
              <w:right w:val="nil"/>
            </w:tcBorders>
            <w:shd w:val="clear" w:color="000000" w:fill="F2F2F2"/>
            <w:noWrap/>
            <w:vAlign w:val="center"/>
            <w:hideMark/>
          </w:tcPr>
          <w:p w14:paraId="70A4507D" w14:textId="77777777" w:rsidR="00541B51" w:rsidRPr="00585DD1" w:rsidRDefault="00541B51" w:rsidP="00D3046B">
            <w:pPr>
              <w:jc w:val="right"/>
              <w:rPr>
                <w:rFonts w:ascii="Arial" w:hAnsi="Arial" w:cs="Arial"/>
                <w:sz w:val="16"/>
                <w:szCs w:val="16"/>
                <w:lang w:eastAsia="en-AU"/>
              </w:rPr>
            </w:pPr>
            <w:r w:rsidRPr="00585DD1">
              <w:rPr>
                <w:rFonts w:ascii="Arial" w:hAnsi="Arial" w:cs="Arial"/>
                <w:sz w:val="16"/>
                <w:szCs w:val="16"/>
                <w:lang w:eastAsia="en-AU"/>
              </w:rPr>
              <w:t xml:space="preserve">8,698 </w:t>
            </w:r>
          </w:p>
        </w:tc>
        <w:tc>
          <w:tcPr>
            <w:tcW w:w="816" w:type="dxa"/>
            <w:tcBorders>
              <w:top w:val="nil"/>
              <w:left w:val="nil"/>
              <w:bottom w:val="nil"/>
              <w:right w:val="nil"/>
            </w:tcBorders>
            <w:shd w:val="clear" w:color="000000" w:fill="F2F2F2"/>
            <w:noWrap/>
            <w:vAlign w:val="center"/>
            <w:hideMark/>
          </w:tcPr>
          <w:p w14:paraId="6AB0D1E7" w14:textId="77777777" w:rsidR="00541B51" w:rsidRPr="00585DD1" w:rsidRDefault="00541B51" w:rsidP="00D3046B">
            <w:pPr>
              <w:jc w:val="right"/>
              <w:rPr>
                <w:rFonts w:ascii="Arial" w:hAnsi="Arial" w:cs="Arial"/>
                <w:sz w:val="16"/>
                <w:szCs w:val="16"/>
                <w:lang w:eastAsia="en-AU"/>
              </w:rPr>
            </w:pPr>
            <w:r w:rsidRPr="00585DD1">
              <w:rPr>
                <w:rFonts w:ascii="Arial" w:hAnsi="Arial" w:cs="Arial"/>
                <w:sz w:val="16"/>
                <w:szCs w:val="16"/>
                <w:lang w:eastAsia="en-AU"/>
              </w:rPr>
              <w:t xml:space="preserve">9,219 </w:t>
            </w:r>
          </w:p>
        </w:tc>
        <w:tc>
          <w:tcPr>
            <w:tcW w:w="816" w:type="dxa"/>
            <w:tcBorders>
              <w:top w:val="nil"/>
              <w:left w:val="nil"/>
              <w:bottom w:val="nil"/>
              <w:right w:val="nil"/>
            </w:tcBorders>
            <w:shd w:val="clear" w:color="000000" w:fill="F2F2F2"/>
            <w:noWrap/>
            <w:vAlign w:val="center"/>
            <w:hideMark/>
          </w:tcPr>
          <w:p w14:paraId="1C718CEC" w14:textId="77777777" w:rsidR="00541B51" w:rsidRPr="00585DD1" w:rsidRDefault="00541B51" w:rsidP="00D3046B">
            <w:pPr>
              <w:jc w:val="right"/>
              <w:rPr>
                <w:rFonts w:ascii="Arial" w:hAnsi="Arial" w:cs="Arial"/>
                <w:sz w:val="16"/>
                <w:szCs w:val="16"/>
                <w:lang w:eastAsia="en-AU"/>
              </w:rPr>
            </w:pPr>
            <w:r w:rsidRPr="00585DD1">
              <w:rPr>
                <w:rFonts w:ascii="Arial" w:hAnsi="Arial" w:cs="Arial"/>
                <w:sz w:val="16"/>
                <w:szCs w:val="16"/>
                <w:lang w:eastAsia="en-AU"/>
              </w:rPr>
              <w:t xml:space="preserve">9,770 </w:t>
            </w:r>
          </w:p>
        </w:tc>
        <w:tc>
          <w:tcPr>
            <w:tcW w:w="1248" w:type="dxa"/>
            <w:tcBorders>
              <w:top w:val="nil"/>
              <w:left w:val="nil"/>
              <w:bottom w:val="nil"/>
              <w:right w:val="nil"/>
            </w:tcBorders>
            <w:shd w:val="clear" w:color="000000" w:fill="FFFFFF"/>
            <w:vAlign w:val="center"/>
            <w:hideMark/>
          </w:tcPr>
          <w:p w14:paraId="4B37F2D4" w14:textId="77777777" w:rsidR="00541B51" w:rsidRPr="00585DD1" w:rsidRDefault="00541B51" w:rsidP="00D3046B">
            <w:pPr>
              <w:jc w:val="center"/>
              <w:rPr>
                <w:rFonts w:ascii="Arial" w:hAnsi="Arial" w:cs="Arial"/>
                <w:sz w:val="16"/>
                <w:szCs w:val="16"/>
                <w:lang w:eastAsia="en-AU"/>
              </w:rPr>
            </w:pPr>
            <w:r w:rsidRPr="00585DD1">
              <w:rPr>
                <w:rFonts w:ascii="Arial" w:hAnsi="Arial" w:cs="Arial"/>
                <w:sz w:val="16"/>
                <w:szCs w:val="16"/>
                <w:lang w:eastAsia="en-AU"/>
              </w:rPr>
              <w:t>1.5</w:t>
            </w:r>
          </w:p>
        </w:tc>
      </w:tr>
      <w:tr w:rsidR="00541B51" w:rsidRPr="00585DD1" w14:paraId="2DBB31BB" w14:textId="77777777" w:rsidTr="00D3046B">
        <w:trPr>
          <w:trHeight w:val="240"/>
        </w:trPr>
        <w:tc>
          <w:tcPr>
            <w:tcW w:w="3536" w:type="dxa"/>
            <w:tcBorders>
              <w:top w:val="nil"/>
              <w:left w:val="nil"/>
              <w:bottom w:val="nil"/>
              <w:right w:val="nil"/>
            </w:tcBorders>
            <w:shd w:val="clear" w:color="000000" w:fill="FFFFFF"/>
            <w:noWrap/>
            <w:vAlign w:val="center"/>
            <w:hideMark/>
          </w:tcPr>
          <w:p w14:paraId="06C9B013" w14:textId="77777777" w:rsidR="00541B51" w:rsidRPr="00585DD1" w:rsidRDefault="00541B51" w:rsidP="00D3046B">
            <w:pPr>
              <w:rPr>
                <w:rFonts w:ascii="Arial" w:hAnsi="Arial" w:cs="Arial"/>
                <w:sz w:val="16"/>
                <w:szCs w:val="16"/>
                <w:lang w:eastAsia="en-AU"/>
              </w:rPr>
            </w:pPr>
            <w:r w:rsidRPr="00585DD1">
              <w:rPr>
                <w:rFonts w:ascii="Arial" w:hAnsi="Arial" w:cs="Arial"/>
                <w:sz w:val="16"/>
                <w:szCs w:val="16"/>
                <w:lang w:eastAsia="en-AU"/>
              </w:rPr>
              <w:t xml:space="preserve">Education </w:t>
            </w:r>
          </w:p>
        </w:tc>
        <w:tc>
          <w:tcPr>
            <w:tcW w:w="816" w:type="dxa"/>
            <w:tcBorders>
              <w:top w:val="nil"/>
              <w:left w:val="nil"/>
              <w:bottom w:val="nil"/>
              <w:right w:val="nil"/>
            </w:tcBorders>
            <w:shd w:val="clear" w:color="000000" w:fill="FFFFFF"/>
            <w:noWrap/>
            <w:vAlign w:val="center"/>
            <w:hideMark/>
          </w:tcPr>
          <w:p w14:paraId="02748CDE" w14:textId="77777777" w:rsidR="00541B51" w:rsidRPr="00585DD1" w:rsidRDefault="00541B51" w:rsidP="00D3046B">
            <w:pPr>
              <w:jc w:val="right"/>
              <w:rPr>
                <w:rFonts w:ascii="Arial" w:hAnsi="Arial" w:cs="Arial"/>
                <w:sz w:val="16"/>
                <w:szCs w:val="16"/>
                <w:lang w:eastAsia="en-AU"/>
              </w:rPr>
            </w:pPr>
            <w:r w:rsidRPr="00585DD1">
              <w:rPr>
                <w:rFonts w:ascii="Arial" w:hAnsi="Arial" w:cs="Arial"/>
                <w:sz w:val="16"/>
                <w:szCs w:val="16"/>
                <w:lang w:eastAsia="en-AU"/>
              </w:rPr>
              <w:t xml:space="preserve">2,810 </w:t>
            </w:r>
          </w:p>
        </w:tc>
        <w:tc>
          <w:tcPr>
            <w:tcW w:w="816" w:type="dxa"/>
            <w:tcBorders>
              <w:top w:val="nil"/>
              <w:left w:val="nil"/>
              <w:bottom w:val="nil"/>
              <w:right w:val="nil"/>
            </w:tcBorders>
            <w:shd w:val="clear" w:color="000000" w:fill="FFFFFF"/>
            <w:noWrap/>
            <w:vAlign w:val="center"/>
            <w:hideMark/>
          </w:tcPr>
          <w:p w14:paraId="4C4CCA75" w14:textId="77777777" w:rsidR="00541B51" w:rsidRPr="00585DD1" w:rsidRDefault="00541B51" w:rsidP="00D3046B">
            <w:pPr>
              <w:jc w:val="right"/>
              <w:rPr>
                <w:rFonts w:ascii="Arial" w:hAnsi="Arial" w:cs="Arial"/>
                <w:sz w:val="16"/>
                <w:szCs w:val="16"/>
                <w:lang w:eastAsia="en-AU"/>
              </w:rPr>
            </w:pPr>
            <w:r w:rsidRPr="00585DD1">
              <w:rPr>
                <w:rFonts w:ascii="Arial" w:hAnsi="Arial" w:cs="Arial"/>
                <w:sz w:val="16"/>
                <w:szCs w:val="16"/>
                <w:lang w:eastAsia="en-AU"/>
              </w:rPr>
              <w:t xml:space="preserve">3,010 </w:t>
            </w:r>
          </w:p>
        </w:tc>
        <w:tc>
          <w:tcPr>
            <w:tcW w:w="816" w:type="dxa"/>
            <w:tcBorders>
              <w:top w:val="nil"/>
              <w:left w:val="nil"/>
              <w:bottom w:val="nil"/>
              <w:right w:val="nil"/>
            </w:tcBorders>
            <w:shd w:val="clear" w:color="000000" w:fill="F2F2F2"/>
            <w:noWrap/>
            <w:vAlign w:val="center"/>
            <w:hideMark/>
          </w:tcPr>
          <w:p w14:paraId="38FFD1FC" w14:textId="77777777" w:rsidR="00541B51" w:rsidRPr="00585DD1" w:rsidRDefault="00541B51" w:rsidP="00D3046B">
            <w:pPr>
              <w:jc w:val="right"/>
              <w:rPr>
                <w:rFonts w:ascii="Arial" w:hAnsi="Arial" w:cs="Arial"/>
                <w:sz w:val="16"/>
                <w:szCs w:val="16"/>
                <w:lang w:eastAsia="en-AU"/>
              </w:rPr>
            </w:pPr>
            <w:r w:rsidRPr="00585DD1">
              <w:rPr>
                <w:rFonts w:ascii="Arial" w:hAnsi="Arial" w:cs="Arial"/>
                <w:sz w:val="16"/>
                <w:szCs w:val="16"/>
                <w:lang w:eastAsia="en-AU"/>
              </w:rPr>
              <w:t xml:space="preserve">3,118 </w:t>
            </w:r>
          </w:p>
        </w:tc>
        <w:tc>
          <w:tcPr>
            <w:tcW w:w="816" w:type="dxa"/>
            <w:tcBorders>
              <w:top w:val="nil"/>
              <w:left w:val="nil"/>
              <w:bottom w:val="nil"/>
              <w:right w:val="nil"/>
            </w:tcBorders>
            <w:shd w:val="clear" w:color="000000" w:fill="F2F2F2"/>
            <w:noWrap/>
            <w:vAlign w:val="center"/>
            <w:hideMark/>
          </w:tcPr>
          <w:p w14:paraId="4927751B" w14:textId="77777777" w:rsidR="00541B51" w:rsidRPr="00585DD1" w:rsidRDefault="00541B51" w:rsidP="00D3046B">
            <w:pPr>
              <w:jc w:val="right"/>
              <w:rPr>
                <w:rFonts w:ascii="Arial" w:hAnsi="Arial" w:cs="Arial"/>
                <w:sz w:val="16"/>
                <w:szCs w:val="16"/>
                <w:lang w:eastAsia="en-AU"/>
              </w:rPr>
            </w:pPr>
            <w:r w:rsidRPr="00585DD1">
              <w:rPr>
                <w:rFonts w:ascii="Arial" w:hAnsi="Arial" w:cs="Arial"/>
                <w:sz w:val="16"/>
                <w:szCs w:val="16"/>
                <w:lang w:eastAsia="en-AU"/>
              </w:rPr>
              <w:t xml:space="preserve">3,258 </w:t>
            </w:r>
          </w:p>
        </w:tc>
        <w:tc>
          <w:tcPr>
            <w:tcW w:w="816" w:type="dxa"/>
            <w:tcBorders>
              <w:top w:val="nil"/>
              <w:left w:val="nil"/>
              <w:bottom w:val="nil"/>
              <w:right w:val="nil"/>
            </w:tcBorders>
            <w:shd w:val="clear" w:color="000000" w:fill="F2F2F2"/>
            <w:noWrap/>
            <w:vAlign w:val="center"/>
            <w:hideMark/>
          </w:tcPr>
          <w:p w14:paraId="09C46E5E" w14:textId="77777777" w:rsidR="00541B51" w:rsidRPr="00585DD1" w:rsidRDefault="00541B51" w:rsidP="00D3046B">
            <w:pPr>
              <w:jc w:val="right"/>
              <w:rPr>
                <w:rFonts w:ascii="Arial" w:hAnsi="Arial" w:cs="Arial"/>
                <w:sz w:val="16"/>
                <w:szCs w:val="16"/>
                <w:lang w:eastAsia="en-AU"/>
              </w:rPr>
            </w:pPr>
            <w:r w:rsidRPr="00585DD1">
              <w:rPr>
                <w:rFonts w:ascii="Arial" w:hAnsi="Arial" w:cs="Arial"/>
                <w:sz w:val="16"/>
                <w:szCs w:val="16"/>
                <w:lang w:eastAsia="en-AU"/>
              </w:rPr>
              <w:t xml:space="preserve">3,375 </w:t>
            </w:r>
          </w:p>
        </w:tc>
        <w:tc>
          <w:tcPr>
            <w:tcW w:w="816" w:type="dxa"/>
            <w:tcBorders>
              <w:top w:val="nil"/>
              <w:left w:val="nil"/>
              <w:bottom w:val="nil"/>
              <w:right w:val="nil"/>
            </w:tcBorders>
            <w:shd w:val="clear" w:color="000000" w:fill="F2F2F2"/>
            <w:noWrap/>
            <w:vAlign w:val="center"/>
            <w:hideMark/>
          </w:tcPr>
          <w:p w14:paraId="4FCAD2A8" w14:textId="77777777" w:rsidR="00541B51" w:rsidRPr="00585DD1" w:rsidRDefault="00541B51" w:rsidP="00D3046B">
            <w:pPr>
              <w:jc w:val="right"/>
              <w:rPr>
                <w:rFonts w:ascii="Arial" w:hAnsi="Arial" w:cs="Arial"/>
                <w:sz w:val="16"/>
                <w:szCs w:val="16"/>
                <w:lang w:eastAsia="en-AU"/>
              </w:rPr>
            </w:pPr>
            <w:r w:rsidRPr="00585DD1">
              <w:rPr>
                <w:rFonts w:ascii="Arial" w:hAnsi="Arial" w:cs="Arial"/>
                <w:sz w:val="16"/>
                <w:szCs w:val="16"/>
                <w:lang w:eastAsia="en-AU"/>
              </w:rPr>
              <w:t xml:space="preserve">3,505 </w:t>
            </w:r>
          </w:p>
        </w:tc>
        <w:tc>
          <w:tcPr>
            <w:tcW w:w="1248" w:type="dxa"/>
            <w:tcBorders>
              <w:top w:val="nil"/>
              <w:left w:val="nil"/>
              <w:bottom w:val="nil"/>
              <w:right w:val="nil"/>
            </w:tcBorders>
            <w:shd w:val="clear" w:color="000000" w:fill="FFFFFF"/>
            <w:vAlign w:val="center"/>
            <w:hideMark/>
          </w:tcPr>
          <w:p w14:paraId="33004DF3" w14:textId="77777777" w:rsidR="00541B51" w:rsidRPr="00585DD1" w:rsidRDefault="00541B51" w:rsidP="00D3046B">
            <w:pPr>
              <w:jc w:val="center"/>
              <w:rPr>
                <w:rFonts w:ascii="Arial" w:hAnsi="Arial" w:cs="Arial"/>
                <w:sz w:val="16"/>
                <w:szCs w:val="16"/>
                <w:lang w:eastAsia="en-AU"/>
              </w:rPr>
            </w:pPr>
            <w:r w:rsidRPr="00585DD1">
              <w:rPr>
                <w:rFonts w:ascii="Arial" w:hAnsi="Arial" w:cs="Arial"/>
                <w:sz w:val="16"/>
                <w:szCs w:val="16"/>
                <w:lang w:eastAsia="en-AU"/>
              </w:rPr>
              <w:t>3.9</w:t>
            </w:r>
          </w:p>
        </w:tc>
      </w:tr>
      <w:tr w:rsidR="00541B51" w:rsidRPr="00585DD1" w14:paraId="75BF1DE2" w14:textId="77777777" w:rsidTr="00D3046B">
        <w:trPr>
          <w:trHeight w:val="240"/>
        </w:trPr>
        <w:tc>
          <w:tcPr>
            <w:tcW w:w="3536" w:type="dxa"/>
            <w:tcBorders>
              <w:top w:val="nil"/>
              <w:left w:val="nil"/>
              <w:bottom w:val="nil"/>
              <w:right w:val="nil"/>
            </w:tcBorders>
            <w:shd w:val="clear" w:color="000000" w:fill="FFFFFF"/>
            <w:vAlign w:val="center"/>
            <w:hideMark/>
          </w:tcPr>
          <w:p w14:paraId="016F8D3B" w14:textId="77777777" w:rsidR="00541B51" w:rsidRPr="00585DD1" w:rsidRDefault="00541B51" w:rsidP="00D3046B">
            <w:pPr>
              <w:rPr>
                <w:rFonts w:ascii="Arial" w:hAnsi="Arial" w:cs="Arial"/>
                <w:sz w:val="16"/>
                <w:szCs w:val="16"/>
                <w:lang w:eastAsia="en-AU"/>
              </w:rPr>
            </w:pPr>
            <w:r w:rsidRPr="00585DD1">
              <w:rPr>
                <w:rFonts w:ascii="Arial" w:hAnsi="Arial" w:cs="Arial"/>
                <w:sz w:val="16"/>
                <w:szCs w:val="16"/>
                <w:lang w:eastAsia="en-AU"/>
              </w:rPr>
              <w:t>Skills and workforce development</w:t>
            </w:r>
          </w:p>
        </w:tc>
        <w:tc>
          <w:tcPr>
            <w:tcW w:w="816" w:type="dxa"/>
            <w:tcBorders>
              <w:top w:val="nil"/>
              <w:left w:val="nil"/>
              <w:bottom w:val="nil"/>
              <w:right w:val="nil"/>
            </w:tcBorders>
            <w:shd w:val="clear" w:color="000000" w:fill="FFFFFF"/>
            <w:noWrap/>
            <w:vAlign w:val="center"/>
            <w:hideMark/>
          </w:tcPr>
          <w:p w14:paraId="2F89D00D" w14:textId="77777777" w:rsidR="00541B51" w:rsidRPr="00585DD1" w:rsidRDefault="00541B51" w:rsidP="00D3046B">
            <w:pPr>
              <w:jc w:val="right"/>
              <w:rPr>
                <w:rFonts w:ascii="Arial" w:hAnsi="Arial" w:cs="Arial"/>
                <w:sz w:val="16"/>
                <w:szCs w:val="16"/>
                <w:lang w:eastAsia="en-AU"/>
              </w:rPr>
            </w:pPr>
            <w:r w:rsidRPr="00585DD1">
              <w:rPr>
                <w:rFonts w:ascii="Arial" w:hAnsi="Arial" w:cs="Arial"/>
                <w:sz w:val="16"/>
                <w:szCs w:val="16"/>
                <w:lang w:eastAsia="en-AU"/>
              </w:rPr>
              <w:t xml:space="preserve">   494 </w:t>
            </w:r>
          </w:p>
        </w:tc>
        <w:tc>
          <w:tcPr>
            <w:tcW w:w="816" w:type="dxa"/>
            <w:tcBorders>
              <w:top w:val="nil"/>
              <w:left w:val="nil"/>
              <w:bottom w:val="nil"/>
              <w:right w:val="nil"/>
            </w:tcBorders>
            <w:shd w:val="clear" w:color="000000" w:fill="FFFFFF"/>
            <w:noWrap/>
            <w:vAlign w:val="center"/>
            <w:hideMark/>
          </w:tcPr>
          <w:p w14:paraId="54FF3E5E" w14:textId="77777777" w:rsidR="00541B51" w:rsidRPr="00585DD1" w:rsidRDefault="00541B51" w:rsidP="00D3046B">
            <w:pPr>
              <w:jc w:val="right"/>
              <w:rPr>
                <w:rFonts w:ascii="Arial" w:hAnsi="Arial" w:cs="Arial"/>
                <w:sz w:val="16"/>
                <w:szCs w:val="16"/>
                <w:lang w:eastAsia="en-AU"/>
              </w:rPr>
            </w:pPr>
            <w:r w:rsidRPr="00585DD1">
              <w:rPr>
                <w:rFonts w:ascii="Arial" w:hAnsi="Arial" w:cs="Arial"/>
                <w:sz w:val="16"/>
                <w:szCs w:val="16"/>
                <w:lang w:eastAsia="en-AU"/>
              </w:rPr>
              <w:t xml:space="preserve">   501 </w:t>
            </w:r>
          </w:p>
        </w:tc>
        <w:tc>
          <w:tcPr>
            <w:tcW w:w="816" w:type="dxa"/>
            <w:tcBorders>
              <w:top w:val="nil"/>
              <w:left w:val="nil"/>
              <w:bottom w:val="nil"/>
              <w:right w:val="nil"/>
            </w:tcBorders>
            <w:shd w:val="clear" w:color="000000" w:fill="F2F2F2"/>
            <w:noWrap/>
            <w:vAlign w:val="center"/>
            <w:hideMark/>
          </w:tcPr>
          <w:p w14:paraId="5F08719A" w14:textId="77777777" w:rsidR="00541B51" w:rsidRPr="00585DD1" w:rsidRDefault="00541B51" w:rsidP="00D3046B">
            <w:pPr>
              <w:jc w:val="right"/>
              <w:rPr>
                <w:rFonts w:ascii="Arial" w:hAnsi="Arial" w:cs="Arial"/>
                <w:sz w:val="16"/>
                <w:szCs w:val="16"/>
                <w:lang w:eastAsia="en-AU"/>
              </w:rPr>
            </w:pPr>
            <w:r w:rsidRPr="00585DD1">
              <w:rPr>
                <w:rFonts w:ascii="Arial" w:hAnsi="Arial" w:cs="Arial"/>
                <w:sz w:val="16"/>
                <w:szCs w:val="16"/>
                <w:lang w:eastAsia="en-AU"/>
              </w:rPr>
              <w:t xml:space="preserve">   508 </w:t>
            </w:r>
          </w:p>
        </w:tc>
        <w:tc>
          <w:tcPr>
            <w:tcW w:w="816" w:type="dxa"/>
            <w:tcBorders>
              <w:top w:val="nil"/>
              <w:left w:val="nil"/>
              <w:bottom w:val="nil"/>
              <w:right w:val="nil"/>
            </w:tcBorders>
            <w:shd w:val="clear" w:color="000000" w:fill="F2F2F2"/>
            <w:noWrap/>
            <w:vAlign w:val="center"/>
            <w:hideMark/>
          </w:tcPr>
          <w:p w14:paraId="61FB142F" w14:textId="77777777" w:rsidR="00541B51" w:rsidRPr="00585DD1" w:rsidRDefault="00541B51" w:rsidP="00D3046B">
            <w:pPr>
              <w:jc w:val="right"/>
              <w:rPr>
                <w:rFonts w:ascii="Arial" w:hAnsi="Arial" w:cs="Arial"/>
                <w:sz w:val="16"/>
                <w:szCs w:val="16"/>
                <w:lang w:eastAsia="en-AU"/>
              </w:rPr>
            </w:pPr>
            <w:r w:rsidRPr="00585DD1">
              <w:rPr>
                <w:rFonts w:ascii="Arial" w:hAnsi="Arial" w:cs="Arial"/>
                <w:sz w:val="16"/>
                <w:szCs w:val="16"/>
                <w:lang w:eastAsia="en-AU"/>
              </w:rPr>
              <w:t xml:space="preserve">   514 </w:t>
            </w:r>
          </w:p>
        </w:tc>
        <w:tc>
          <w:tcPr>
            <w:tcW w:w="816" w:type="dxa"/>
            <w:tcBorders>
              <w:top w:val="nil"/>
              <w:left w:val="nil"/>
              <w:bottom w:val="nil"/>
              <w:right w:val="nil"/>
            </w:tcBorders>
            <w:shd w:val="clear" w:color="000000" w:fill="F2F2F2"/>
            <w:noWrap/>
            <w:vAlign w:val="center"/>
            <w:hideMark/>
          </w:tcPr>
          <w:p w14:paraId="784236D9" w14:textId="77777777" w:rsidR="00541B51" w:rsidRPr="00585DD1" w:rsidRDefault="00541B51" w:rsidP="00D3046B">
            <w:pPr>
              <w:jc w:val="right"/>
              <w:rPr>
                <w:rFonts w:ascii="Arial" w:hAnsi="Arial" w:cs="Arial"/>
                <w:sz w:val="16"/>
                <w:szCs w:val="16"/>
                <w:lang w:eastAsia="en-AU"/>
              </w:rPr>
            </w:pPr>
            <w:r w:rsidRPr="00585DD1">
              <w:rPr>
                <w:rFonts w:ascii="Arial" w:hAnsi="Arial" w:cs="Arial"/>
                <w:sz w:val="16"/>
                <w:szCs w:val="16"/>
                <w:lang w:eastAsia="en-AU"/>
              </w:rPr>
              <w:t xml:space="preserve">   522 </w:t>
            </w:r>
          </w:p>
        </w:tc>
        <w:tc>
          <w:tcPr>
            <w:tcW w:w="816" w:type="dxa"/>
            <w:tcBorders>
              <w:top w:val="nil"/>
              <w:left w:val="nil"/>
              <w:bottom w:val="nil"/>
              <w:right w:val="nil"/>
            </w:tcBorders>
            <w:shd w:val="clear" w:color="000000" w:fill="F2F2F2"/>
            <w:noWrap/>
            <w:vAlign w:val="center"/>
            <w:hideMark/>
          </w:tcPr>
          <w:p w14:paraId="1F3F12A1" w14:textId="77777777" w:rsidR="00541B51" w:rsidRPr="00585DD1" w:rsidRDefault="00541B51" w:rsidP="00D3046B">
            <w:pPr>
              <w:jc w:val="right"/>
              <w:rPr>
                <w:rFonts w:ascii="Arial" w:hAnsi="Arial" w:cs="Arial"/>
                <w:sz w:val="16"/>
                <w:szCs w:val="16"/>
                <w:lang w:eastAsia="en-AU"/>
              </w:rPr>
            </w:pPr>
            <w:r w:rsidRPr="00585DD1">
              <w:rPr>
                <w:rFonts w:ascii="Arial" w:hAnsi="Arial" w:cs="Arial"/>
                <w:sz w:val="16"/>
                <w:szCs w:val="16"/>
                <w:lang w:eastAsia="en-AU"/>
              </w:rPr>
              <w:t xml:space="preserve">   529 </w:t>
            </w:r>
          </w:p>
        </w:tc>
        <w:tc>
          <w:tcPr>
            <w:tcW w:w="1248" w:type="dxa"/>
            <w:tcBorders>
              <w:top w:val="nil"/>
              <w:left w:val="nil"/>
              <w:bottom w:val="nil"/>
              <w:right w:val="nil"/>
            </w:tcBorders>
            <w:shd w:val="clear" w:color="000000" w:fill="FFFFFF"/>
            <w:vAlign w:val="center"/>
            <w:hideMark/>
          </w:tcPr>
          <w:p w14:paraId="51BA5E43" w14:textId="77777777" w:rsidR="00541B51" w:rsidRPr="00585DD1" w:rsidRDefault="00541B51" w:rsidP="00D3046B">
            <w:pPr>
              <w:jc w:val="center"/>
              <w:rPr>
                <w:rFonts w:ascii="Arial" w:hAnsi="Arial" w:cs="Arial"/>
                <w:sz w:val="16"/>
                <w:szCs w:val="16"/>
                <w:lang w:eastAsia="en-AU"/>
              </w:rPr>
            </w:pPr>
            <w:r w:rsidRPr="00585DD1">
              <w:rPr>
                <w:rFonts w:ascii="Arial" w:hAnsi="Arial" w:cs="Arial"/>
                <w:sz w:val="16"/>
                <w:szCs w:val="16"/>
                <w:lang w:eastAsia="en-AU"/>
              </w:rPr>
              <w:t>1.4</w:t>
            </w:r>
          </w:p>
        </w:tc>
      </w:tr>
      <w:tr w:rsidR="00541B51" w:rsidRPr="00585DD1" w14:paraId="0CCA5B19" w14:textId="77777777" w:rsidTr="00D3046B">
        <w:trPr>
          <w:trHeight w:val="240"/>
        </w:trPr>
        <w:tc>
          <w:tcPr>
            <w:tcW w:w="3536" w:type="dxa"/>
            <w:tcBorders>
              <w:top w:val="nil"/>
              <w:left w:val="nil"/>
              <w:bottom w:val="nil"/>
              <w:right w:val="nil"/>
            </w:tcBorders>
            <w:shd w:val="clear" w:color="000000" w:fill="FFFFFF"/>
            <w:noWrap/>
            <w:vAlign w:val="center"/>
            <w:hideMark/>
          </w:tcPr>
          <w:p w14:paraId="3FEA565F" w14:textId="77777777" w:rsidR="00541B51" w:rsidRPr="00585DD1" w:rsidRDefault="00541B51" w:rsidP="00D3046B">
            <w:pPr>
              <w:rPr>
                <w:rFonts w:ascii="Arial" w:hAnsi="Arial" w:cs="Arial"/>
                <w:sz w:val="16"/>
                <w:szCs w:val="16"/>
                <w:lang w:eastAsia="en-AU"/>
              </w:rPr>
            </w:pPr>
            <w:r w:rsidRPr="00585DD1">
              <w:rPr>
                <w:rFonts w:ascii="Arial" w:hAnsi="Arial" w:cs="Arial"/>
                <w:sz w:val="16"/>
                <w:szCs w:val="16"/>
                <w:lang w:eastAsia="en-AU"/>
              </w:rPr>
              <w:t>Affordable housing</w:t>
            </w:r>
          </w:p>
        </w:tc>
        <w:tc>
          <w:tcPr>
            <w:tcW w:w="816" w:type="dxa"/>
            <w:tcBorders>
              <w:top w:val="nil"/>
              <w:left w:val="nil"/>
              <w:bottom w:val="nil"/>
              <w:right w:val="nil"/>
            </w:tcBorders>
            <w:shd w:val="clear" w:color="000000" w:fill="FFFFFF"/>
            <w:noWrap/>
            <w:vAlign w:val="center"/>
            <w:hideMark/>
          </w:tcPr>
          <w:p w14:paraId="1C004A50" w14:textId="77777777" w:rsidR="00541B51" w:rsidRPr="00585DD1" w:rsidRDefault="00541B51" w:rsidP="00D3046B">
            <w:pPr>
              <w:jc w:val="right"/>
              <w:rPr>
                <w:rFonts w:ascii="Arial" w:hAnsi="Arial" w:cs="Arial"/>
                <w:sz w:val="16"/>
                <w:szCs w:val="16"/>
                <w:lang w:eastAsia="en-AU"/>
              </w:rPr>
            </w:pPr>
            <w:r w:rsidRPr="00585DD1">
              <w:rPr>
                <w:rFonts w:ascii="Arial" w:hAnsi="Arial" w:cs="Arial"/>
                <w:sz w:val="16"/>
                <w:szCs w:val="16"/>
                <w:lang w:eastAsia="en-AU"/>
              </w:rPr>
              <w:t xml:space="preserve">   489 </w:t>
            </w:r>
          </w:p>
        </w:tc>
        <w:tc>
          <w:tcPr>
            <w:tcW w:w="816" w:type="dxa"/>
            <w:tcBorders>
              <w:top w:val="nil"/>
              <w:left w:val="nil"/>
              <w:bottom w:val="nil"/>
              <w:right w:val="nil"/>
            </w:tcBorders>
            <w:shd w:val="clear" w:color="000000" w:fill="FFFFFF"/>
            <w:noWrap/>
            <w:vAlign w:val="center"/>
            <w:hideMark/>
          </w:tcPr>
          <w:p w14:paraId="522FA3B2" w14:textId="77777777" w:rsidR="00541B51" w:rsidRPr="00585DD1" w:rsidRDefault="00541B51" w:rsidP="00D3046B">
            <w:pPr>
              <w:jc w:val="right"/>
              <w:rPr>
                <w:rFonts w:ascii="Arial" w:hAnsi="Arial" w:cs="Arial"/>
                <w:sz w:val="16"/>
                <w:szCs w:val="16"/>
                <w:lang w:eastAsia="en-AU"/>
              </w:rPr>
            </w:pPr>
            <w:r w:rsidRPr="00585DD1">
              <w:rPr>
                <w:rFonts w:ascii="Arial" w:hAnsi="Arial" w:cs="Arial"/>
                <w:sz w:val="16"/>
                <w:szCs w:val="16"/>
                <w:lang w:eastAsia="en-AU"/>
              </w:rPr>
              <w:t xml:space="preserve">   495 </w:t>
            </w:r>
          </w:p>
        </w:tc>
        <w:tc>
          <w:tcPr>
            <w:tcW w:w="816" w:type="dxa"/>
            <w:tcBorders>
              <w:top w:val="nil"/>
              <w:left w:val="nil"/>
              <w:bottom w:val="nil"/>
              <w:right w:val="nil"/>
            </w:tcBorders>
            <w:shd w:val="clear" w:color="000000" w:fill="F2F2F2"/>
            <w:noWrap/>
            <w:vAlign w:val="center"/>
            <w:hideMark/>
          </w:tcPr>
          <w:p w14:paraId="08A7CC31" w14:textId="77777777" w:rsidR="00541B51" w:rsidRPr="00585DD1" w:rsidRDefault="00541B51" w:rsidP="00D3046B">
            <w:pPr>
              <w:jc w:val="right"/>
              <w:rPr>
                <w:rFonts w:ascii="Arial" w:hAnsi="Arial" w:cs="Arial"/>
                <w:sz w:val="16"/>
                <w:szCs w:val="16"/>
                <w:lang w:eastAsia="en-AU"/>
              </w:rPr>
            </w:pPr>
            <w:r w:rsidRPr="00585DD1">
              <w:rPr>
                <w:rFonts w:ascii="Arial" w:hAnsi="Arial" w:cs="Arial"/>
                <w:sz w:val="16"/>
                <w:szCs w:val="16"/>
                <w:lang w:eastAsia="en-AU"/>
              </w:rPr>
              <w:t xml:space="preserve">   502 </w:t>
            </w:r>
          </w:p>
        </w:tc>
        <w:tc>
          <w:tcPr>
            <w:tcW w:w="816" w:type="dxa"/>
            <w:tcBorders>
              <w:top w:val="nil"/>
              <w:left w:val="nil"/>
              <w:bottom w:val="nil"/>
              <w:right w:val="nil"/>
            </w:tcBorders>
            <w:shd w:val="clear" w:color="000000" w:fill="F2F2F2"/>
            <w:noWrap/>
            <w:vAlign w:val="center"/>
            <w:hideMark/>
          </w:tcPr>
          <w:p w14:paraId="28513630" w14:textId="77777777" w:rsidR="00541B51" w:rsidRPr="00585DD1" w:rsidRDefault="00541B51" w:rsidP="00D3046B">
            <w:pPr>
              <w:jc w:val="right"/>
              <w:rPr>
                <w:rFonts w:ascii="Arial" w:hAnsi="Arial" w:cs="Arial"/>
                <w:sz w:val="16"/>
                <w:szCs w:val="16"/>
                <w:lang w:eastAsia="en-AU"/>
              </w:rPr>
            </w:pPr>
            <w:r w:rsidRPr="00585DD1">
              <w:rPr>
                <w:rFonts w:ascii="Arial" w:hAnsi="Arial" w:cs="Arial"/>
                <w:sz w:val="16"/>
                <w:szCs w:val="16"/>
                <w:lang w:eastAsia="en-AU"/>
              </w:rPr>
              <w:t xml:space="preserve">   499 </w:t>
            </w:r>
          </w:p>
        </w:tc>
        <w:tc>
          <w:tcPr>
            <w:tcW w:w="816" w:type="dxa"/>
            <w:tcBorders>
              <w:top w:val="nil"/>
              <w:left w:val="nil"/>
              <w:bottom w:val="nil"/>
              <w:right w:val="nil"/>
            </w:tcBorders>
            <w:shd w:val="clear" w:color="000000" w:fill="F2F2F2"/>
            <w:noWrap/>
            <w:vAlign w:val="center"/>
            <w:hideMark/>
          </w:tcPr>
          <w:p w14:paraId="4E98A6BA" w14:textId="77777777" w:rsidR="00541B51" w:rsidRPr="00585DD1" w:rsidRDefault="00541B51" w:rsidP="00D3046B">
            <w:pPr>
              <w:jc w:val="right"/>
              <w:rPr>
                <w:rFonts w:ascii="Arial" w:hAnsi="Arial" w:cs="Arial"/>
                <w:sz w:val="16"/>
                <w:szCs w:val="16"/>
                <w:lang w:eastAsia="en-AU"/>
              </w:rPr>
            </w:pPr>
            <w:r w:rsidRPr="00585DD1">
              <w:rPr>
                <w:rFonts w:ascii="Arial" w:hAnsi="Arial" w:cs="Arial"/>
                <w:sz w:val="16"/>
                <w:szCs w:val="16"/>
                <w:lang w:eastAsia="en-AU"/>
              </w:rPr>
              <w:t xml:space="preserve">   506 </w:t>
            </w:r>
          </w:p>
        </w:tc>
        <w:tc>
          <w:tcPr>
            <w:tcW w:w="816" w:type="dxa"/>
            <w:tcBorders>
              <w:top w:val="nil"/>
              <w:left w:val="nil"/>
              <w:bottom w:val="nil"/>
              <w:right w:val="nil"/>
            </w:tcBorders>
            <w:shd w:val="clear" w:color="000000" w:fill="F2F2F2"/>
            <w:noWrap/>
            <w:vAlign w:val="center"/>
            <w:hideMark/>
          </w:tcPr>
          <w:p w14:paraId="51411EDC" w14:textId="77777777" w:rsidR="00541B51" w:rsidRPr="00585DD1" w:rsidRDefault="00541B51" w:rsidP="00D3046B">
            <w:pPr>
              <w:jc w:val="right"/>
              <w:rPr>
                <w:rFonts w:ascii="Arial" w:hAnsi="Arial" w:cs="Arial"/>
                <w:sz w:val="16"/>
                <w:szCs w:val="16"/>
                <w:lang w:eastAsia="en-AU"/>
              </w:rPr>
            </w:pPr>
            <w:r w:rsidRPr="00585DD1">
              <w:rPr>
                <w:rFonts w:ascii="Arial" w:hAnsi="Arial" w:cs="Arial"/>
                <w:sz w:val="16"/>
                <w:szCs w:val="16"/>
                <w:lang w:eastAsia="en-AU"/>
              </w:rPr>
              <w:t xml:space="preserve">   513 </w:t>
            </w:r>
          </w:p>
        </w:tc>
        <w:tc>
          <w:tcPr>
            <w:tcW w:w="1248" w:type="dxa"/>
            <w:tcBorders>
              <w:top w:val="nil"/>
              <w:left w:val="nil"/>
              <w:bottom w:val="nil"/>
              <w:right w:val="nil"/>
            </w:tcBorders>
            <w:shd w:val="clear" w:color="000000" w:fill="FFFFFF"/>
            <w:vAlign w:val="center"/>
            <w:hideMark/>
          </w:tcPr>
          <w:p w14:paraId="4A49D056" w14:textId="77777777" w:rsidR="00541B51" w:rsidRPr="00585DD1" w:rsidRDefault="00541B51" w:rsidP="00D3046B">
            <w:pPr>
              <w:jc w:val="center"/>
              <w:rPr>
                <w:rFonts w:ascii="Arial" w:hAnsi="Arial" w:cs="Arial"/>
                <w:sz w:val="16"/>
                <w:szCs w:val="16"/>
                <w:lang w:eastAsia="en-AU"/>
              </w:rPr>
            </w:pPr>
            <w:r w:rsidRPr="00585DD1">
              <w:rPr>
                <w:rFonts w:ascii="Arial" w:hAnsi="Arial" w:cs="Arial"/>
                <w:sz w:val="16"/>
                <w:szCs w:val="16"/>
                <w:lang w:eastAsia="en-AU"/>
              </w:rPr>
              <w:t>0.9</w:t>
            </w:r>
          </w:p>
        </w:tc>
      </w:tr>
      <w:tr w:rsidR="00E61986" w:rsidRPr="00E61986" w14:paraId="0C2C1D0A" w14:textId="77777777" w:rsidTr="00D3046B">
        <w:trPr>
          <w:trHeight w:val="240"/>
        </w:trPr>
        <w:tc>
          <w:tcPr>
            <w:tcW w:w="3536" w:type="dxa"/>
            <w:tcBorders>
              <w:top w:val="single" w:sz="4" w:space="0" w:color="auto"/>
              <w:left w:val="nil"/>
              <w:bottom w:val="single" w:sz="4" w:space="0" w:color="auto"/>
              <w:right w:val="nil"/>
            </w:tcBorders>
            <w:shd w:val="clear" w:color="000000" w:fill="FFFFFF"/>
            <w:vAlign w:val="center"/>
            <w:hideMark/>
          </w:tcPr>
          <w:p w14:paraId="4A15781E" w14:textId="77777777" w:rsidR="00541B51" w:rsidRPr="00E61986" w:rsidRDefault="00541B51" w:rsidP="00D3046B">
            <w:pPr>
              <w:rPr>
                <w:rFonts w:ascii="Arial" w:hAnsi="Arial" w:cs="Arial"/>
                <w:b/>
                <w:bCs/>
                <w:color w:val="0079B9"/>
                <w:sz w:val="16"/>
                <w:szCs w:val="16"/>
                <w:lang w:eastAsia="en-AU"/>
              </w:rPr>
            </w:pPr>
            <w:r w:rsidRPr="00E61986">
              <w:rPr>
                <w:rFonts w:ascii="Arial" w:hAnsi="Arial" w:cs="Arial"/>
                <w:b/>
                <w:bCs/>
                <w:color w:val="0079B9"/>
                <w:sz w:val="16"/>
                <w:szCs w:val="16"/>
                <w:lang w:eastAsia="en-AU"/>
              </w:rPr>
              <w:t>Total National Agreements</w:t>
            </w:r>
          </w:p>
        </w:tc>
        <w:tc>
          <w:tcPr>
            <w:tcW w:w="816" w:type="dxa"/>
            <w:tcBorders>
              <w:top w:val="single" w:sz="4" w:space="0" w:color="auto"/>
              <w:left w:val="nil"/>
              <w:bottom w:val="single" w:sz="4" w:space="0" w:color="auto"/>
              <w:right w:val="nil"/>
            </w:tcBorders>
            <w:shd w:val="clear" w:color="000000" w:fill="FFFFFF"/>
            <w:vAlign w:val="center"/>
            <w:hideMark/>
          </w:tcPr>
          <w:p w14:paraId="34ADECEB" w14:textId="77777777" w:rsidR="00541B51" w:rsidRPr="00E61986" w:rsidRDefault="00541B51" w:rsidP="00D3046B">
            <w:pPr>
              <w:jc w:val="right"/>
              <w:rPr>
                <w:rFonts w:ascii="Arial" w:hAnsi="Arial" w:cs="Arial"/>
                <w:b/>
                <w:bCs/>
                <w:color w:val="0079B9"/>
                <w:sz w:val="16"/>
                <w:szCs w:val="16"/>
                <w:lang w:eastAsia="en-AU"/>
              </w:rPr>
            </w:pPr>
            <w:r w:rsidRPr="00E61986">
              <w:rPr>
                <w:rFonts w:ascii="Arial" w:hAnsi="Arial" w:cs="Arial"/>
                <w:b/>
                <w:bCs/>
                <w:color w:val="0079B9"/>
                <w:sz w:val="16"/>
                <w:szCs w:val="16"/>
                <w:lang w:eastAsia="en-AU"/>
              </w:rPr>
              <w:t>11,999</w:t>
            </w:r>
          </w:p>
        </w:tc>
        <w:tc>
          <w:tcPr>
            <w:tcW w:w="816" w:type="dxa"/>
            <w:tcBorders>
              <w:top w:val="single" w:sz="4" w:space="0" w:color="auto"/>
              <w:left w:val="nil"/>
              <w:bottom w:val="single" w:sz="4" w:space="0" w:color="auto"/>
              <w:right w:val="nil"/>
            </w:tcBorders>
            <w:shd w:val="clear" w:color="000000" w:fill="FFFFFF"/>
            <w:vAlign w:val="center"/>
            <w:hideMark/>
          </w:tcPr>
          <w:p w14:paraId="0F66BAEE" w14:textId="77777777" w:rsidR="00541B51" w:rsidRPr="00E61986" w:rsidRDefault="00541B51" w:rsidP="00D3046B">
            <w:pPr>
              <w:jc w:val="right"/>
              <w:rPr>
                <w:rFonts w:ascii="Arial" w:hAnsi="Arial" w:cs="Arial"/>
                <w:b/>
                <w:bCs/>
                <w:color w:val="0079B9"/>
                <w:sz w:val="16"/>
                <w:szCs w:val="16"/>
                <w:lang w:eastAsia="en-AU"/>
              </w:rPr>
            </w:pPr>
            <w:r w:rsidRPr="00E61986">
              <w:rPr>
                <w:rFonts w:ascii="Arial" w:hAnsi="Arial" w:cs="Arial"/>
                <w:b/>
                <w:bCs/>
                <w:color w:val="0079B9"/>
                <w:sz w:val="16"/>
                <w:szCs w:val="16"/>
                <w:lang w:eastAsia="en-AU"/>
              </w:rPr>
              <w:t>13,209</w:t>
            </w:r>
          </w:p>
        </w:tc>
        <w:tc>
          <w:tcPr>
            <w:tcW w:w="816" w:type="dxa"/>
            <w:tcBorders>
              <w:top w:val="single" w:sz="4" w:space="0" w:color="auto"/>
              <w:left w:val="nil"/>
              <w:bottom w:val="single" w:sz="4" w:space="0" w:color="auto"/>
              <w:right w:val="nil"/>
            </w:tcBorders>
            <w:shd w:val="clear" w:color="000000" w:fill="F2F2F2"/>
            <w:vAlign w:val="center"/>
            <w:hideMark/>
          </w:tcPr>
          <w:p w14:paraId="731E01D7" w14:textId="77777777" w:rsidR="00541B51" w:rsidRPr="00E61986" w:rsidRDefault="00541B51" w:rsidP="00D3046B">
            <w:pPr>
              <w:jc w:val="right"/>
              <w:rPr>
                <w:rFonts w:ascii="Arial" w:hAnsi="Arial" w:cs="Arial"/>
                <w:b/>
                <w:bCs/>
                <w:color w:val="0079B9"/>
                <w:sz w:val="16"/>
                <w:szCs w:val="16"/>
                <w:lang w:eastAsia="en-AU"/>
              </w:rPr>
            </w:pPr>
            <w:r w:rsidRPr="00E61986">
              <w:rPr>
                <w:rFonts w:ascii="Arial" w:hAnsi="Arial" w:cs="Arial"/>
                <w:b/>
                <w:bCs/>
                <w:color w:val="0079B9"/>
                <w:sz w:val="16"/>
                <w:szCs w:val="16"/>
                <w:lang w:eastAsia="en-AU"/>
              </w:rPr>
              <w:t>12,476</w:t>
            </w:r>
          </w:p>
        </w:tc>
        <w:tc>
          <w:tcPr>
            <w:tcW w:w="816" w:type="dxa"/>
            <w:tcBorders>
              <w:top w:val="single" w:sz="4" w:space="0" w:color="auto"/>
              <w:left w:val="nil"/>
              <w:bottom w:val="single" w:sz="4" w:space="0" w:color="auto"/>
              <w:right w:val="nil"/>
            </w:tcBorders>
            <w:shd w:val="clear" w:color="000000" w:fill="F2F2F2"/>
            <w:vAlign w:val="center"/>
            <w:hideMark/>
          </w:tcPr>
          <w:p w14:paraId="61399CF3" w14:textId="77777777" w:rsidR="00541B51" w:rsidRPr="00E61986" w:rsidRDefault="00541B51" w:rsidP="00D3046B">
            <w:pPr>
              <w:jc w:val="right"/>
              <w:rPr>
                <w:rFonts w:ascii="Arial" w:hAnsi="Arial" w:cs="Arial"/>
                <w:b/>
                <w:bCs/>
                <w:color w:val="0079B9"/>
                <w:sz w:val="16"/>
                <w:szCs w:val="16"/>
                <w:lang w:eastAsia="en-AU"/>
              </w:rPr>
            </w:pPr>
            <w:r w:rsidRPr="00E61986">
              <w:rPr>
                <w:rFonts w:ascii="Arial" w:hAnsi="Arial" w:cs="Arial"/>
                <w:b/>
                <w:bCs/>
                <w:color w:val="0079B9"/>
                <w:sz w:val="16"/>
                <w:szCs w:val="16"/>
                <w:lang w:eastAsia="en-AU"/>
              </w:rPr>
              <w:t>12,969</w:t>
            </w:r>
          </w:p>
        </w:tc>
        <w:tc>
          <w:tcPr>
            <w:tcW w:w="816" w:type="dxa"/>
            <w:tcBorders>
              <w:top w:val="single" w:sz="4" w:space="0" w:color="auto"/>
              <w:left w:val="nil"/>
              <w:bottom w:val="single" w:sz="4" w:space="0" w:color="auto"/>
              <w:right w:val="nil"/>
            </w:tcBorders>
            <w:shd w:val="clear" w:color="000000" w:fill="F2F2F2"/>
            <w:vAlign w:val="center"/>
            <w:hideMark/>
          </w:tcPr>
          <w:p w14:paraId="7A46FC40" w14:textId="77777777" w:rsidR="00541B51" w:rsidRPr="00E61986" w:rsidRDefault="00541B51" w:rsidP="00D3046B">
            <w:pPr>
              <w:jc w:val="right"/>
              <w:rPr>
                <w:rFonts w:ascii="Arial" w:hAnsi="Arial" w:cs="Arial"/>
                <w:b/>
                <w:bCs/>
                <w:color w:val="0079B9"/>
                <w:sz w:val="16"/>
                <w:szCs w:val="16"/>
                <w:lang w:eastAsia="en-AU"/>
              </w:rPr>
            </w:pPr>
            <w:r w:rsidRPr="00E61986">
              <w:rPr>
                <w:rFonts w:ascii="Arial" w:hAnsi="Arial" w:cs="Arial"/>
                <w:b/>
                <w:bCs/>
                <w:color w:val="0079B9"/>
                <w:sz w:val="16"/>
                <w:szCs w:val="16"/>
                <w:lang w:eastAsia="en-AU"/>
              </w:rPr>
              <w:t>13,622</w:t>
            </w:r>
          </w:p>
        </w:tc>
        <w:tc>
          <w:tcPr>
            <w:tcW w:w="816" w:type="dxa"/>
            <w:tcBorders>
              <w:top w:val="single" w:sz="4" w:space="0" w:color="auto"/>
              <w:left w:val="nil"/>
              <w:bottom w:val="single" w:sz="4" w:space="0" w:color="auto"/>
              <w:right w:val="nil"/>
            </w:tcBorders>
            <w:shd w:val="clear" w:color="000000" w:fill="F2F2F2"/>
            <w:vAlign w:val="center"/>
            <w:hideMark/>
          </w:tcPr>
          <w:p w14:paraId="10482B9F" w14:textId="77777777" w:rsidR="00541B51" w:rsidRPr="00E61986" w:rsidRDefault="00541B51" w:rsidP="00D3046B">
            <w:pPr>
              <w:jc w:val="right"/>
              <w:rPr>
                <w:rFonts w:ascii="Arial" w:hAnsi="Arial" w:cs="Arial"/>
                <w:b/>
                <w:bCs/>
                <w:color w:val="0079B9"/>
                <w:sz w:val="16"/>
                <w:szCs w:val="16"/>
                <w:lang w:eastAsia="en-AU"/>
              </w:rPr>
            </w:pPr>
            <w:r w:rsidRPr="00E61986">
              <w:rPr>
                <w:rFonts w:ascii="Arial" w:hAnsi="Arial" w:cs="Arial"/>
                <w:b/>
                <w:bCs/>
                <w:color w:val="0079B9"/>
                <w:sz w:val="16"/>
                <w:szCs w:val="16"/>
                <w:lang w:eastAsia="en-AU"/>
              </w:rPr>
              <w:t>14,317</w:t>
            </w:r>
          </w:p>
        </w:tc>
        <w:tc>
          <w:tcPr>
            <w:tcW w:w="1248" w:type="dxa"/>
            <w:tcBorders>
              <w:top w:val="single" w:sz="4" w:space="0" w:color="auto"/>
              <w:left w:val="nil"/>
              <w:bottom w:val="single" w:sz="4" w:space="0" w:color="auto"/>
              <w:right w:val="nil"/>
            </w:tcBorders>
            <w:shd w:val="clear" w:color="auto" w:fill="auto"/>
            <w:noWrap/>
            <w:vAlign w:val="center"/>
            <w:hideMark/>
          </w:tcPr>
          <w:p w14:paraId="3BBE3CB7" w14:textId="77777777" w:rsidR="00541B51" w:rsidRPr="00E61986" w:rsidRDefault="00541B51" w:rsidP="00D3046B">
            <w:pPr>
              <w:jc w:val="center"/>
              <w:rPr>
                <w:rFonts w:ascii="Arial" w:hAnsi="Arial" w:cs="Arial"/>
                <w:b/>
                <w:bCs/>
                <w:color w:val="0079B9"/>
                <w:sz w:val="16"/>
                <w:szCs w:val="16"/>
                <w:lang w:eastAsia="en-AU"/>
              </w:rPr>
            </w:pPr>
            <w:r w:rsidRPr="00E61986">
              <w:rPr>
                <w:rFonts w:ascii="Arial" w:hAnsi="Arial" w:cs="Arial"/>
                <w:b/>
                <w:bCs/>
                <w:color w:val="0079B9"/>
                <w:sz w:val="16"/>
                <w:szCs w:val="16"/>
                <w:lang w:eastAsia="en-AU"/>
              </w:rPr>
              <w:t>2.0</w:t>
            </w:r>
          </w:p>
        </w:tc>
      </w:tr>
    </w:tbl>
    <w:p w14:paraId="74EE345F" w14:textId="64F3B01D" w:rsidR="00975029" w:rsidRPr="00E61338" w:rsidRDefault="00426311" w:rsidP="4C90CC18">
      <w:pPr>
        <w:pStyle w:val="Heading3"/>
        <w:numPr>
          <w:ilvl w:val="2"/>
          <w:numId w:val="0"/>
        </w:numPr>
        <w:ind w:left="720" w:hanging="720"/>
        <w:rPr>
          <w:rFonts w:eastAsiaTheme="minorHAnsi"/>
        </w:rPr>
      </w:pPr>
      <w:r w:rsidRPr="00E61338">
        <w:rPr>
          <w:rFonts w:eastAsiaTheme="minorHAnsi"/>
        </w:rPr>
        <w:t>Federation Funding Agreements</w:t>
      </w:r>
    </w:p>
    <w:p w14:paraId="35B4257E" w14:textId="5A51A4FC" w:rsidR="00E61338" w:rsidRPr="009D771F" w:rsidRDefault="00725973" w:rsidP="003426A4">
      <w:pPr>
        <w:pStyle w:val="BodyText"/>
      </w:pPr>
      <w:r w:rsidRPr="00725973">
        <w:t>The Commonwealth provides payments to support specified projects, ongoing service delivery or service delivery improvements. For example, the Preschool Reform Agreement provides a framework for collaboration between the Commonwealth and states to improve preschool participation and outcomes. It includes Commonwealth funding over four years as well as performance milestones and reporting requirements. This category also includes schedules under the five new sector-based Federation Funding Agreements.</w:t>
      </w:r>
      <w:r w:rsidR="00E61338" w:rsidRPr="009D771F">
        <w:t xml:space="preserve"> </w:t>
      </w:r>
    </w:p>
    <w:p w14:paraId="007970D3" w14:textId="6ED34DE0" w:rsidR="00A73F18" w:rsidRPr="009D771F" w:rsidRDefault="00E61338" w:rsidP="003426A4">
      <w:pPr>
        <w:pStyle w:val="BodyText"/>
      </w:pPr>
      <w:bookmarkStart w:id="15" w:name="_Hlk102128298"/>
      <w:r w:rsidRPr="009D771F">
        <w:t xml:space="preserve">NSW Government revenue from </w:t>
      </w:r>
      <w:r w:rsidR="001E5A10" w:rsidRPr="009D771F">
        <w:t>Federation Funding Agreements</w:t>
      </w:r>
      <w:r w:rsidRPr="009D771F">
        <w:t xml:space="preserve"> is expected to be $</w:t>
      </w:r>
      <w:r w:rsidR="00A2296B" w:rsidRPr="009D771F">
        <w:t>3.5</w:t>
      </w:r>
      <w:r w:rsidRPr="009D771F">
        <w:t xml:space="preserve"> billion in 2022</w:t>
      </w:r>
      <w:r w:rsidR="00C72C16" w:rsidRPr="009D771F">
        <w:t>-</w:t>
      </w:r>
      <w:r w:rsidRPr="009D771F">
        <w:t xml:space="preserve">23, </w:t>
      </w:r>
      <w:r w:rsidR="00805F84" w:rsidRPr="009D771F">
        <w:t>a decrease of $</w:t>
      </w:r>
      <w:r w:rsidR="00BA38B0" w:rsidRPr="009D771F">
        <w:t>1.1</w:t>
      </w:r>
      <w:r w:rsidR="00805F84" w:rsidRPr="009D771F">
        <w:t xml:space="preserve"> </w:t>
      </w:r>
      <w:r w:rsidR="00BA38B0" w:rsidRPr="009D771F">
        <w:t xml:space="preserve">billion </w:t>
      </w:r>
      <w:r w:rsidR="00805F84" w:rsidRPr="009D771F">
        <w:t>(-</w:t>
      </w:r>
      <w:r w:rsidR="00A97634" w:rsidRPr="009D771F">
        <w:t>24.4</w:t>
      </w:r>
      <w:r w:rsidR="00805F84" w:rsidRPr="009D771F">
        <w:t xml:space="preserve"> per cent) </w:t>
      </w:r>
      <w:r w:rsidRPr="009D771F">
        <w:t>compared to the 2021-22 Half</w:t>
      </w:r>
      <w:r w:rsidRPr="009D771F">
        <w:noBreakHyphen/>
        <w:t xml:space="preserve">Yearly Review. </w:t>
      </w:r>
      <w:r w:rsidR="00805F84" w:rsidRPr="009D771F">
        <w:t xml:space="preserve">This reduction </w:t>
      </w:r>
      <w:r w:rsidR="005B0055" w:rsidRPr="009D771F">
        <w:t xml:space="preserve">is </w:t>
      </w:r>
      <w:r w:rsidR="00805F84" w:rsidRPr="009D771F">
        <w:t xml:space="preserve">mainly </w:t>
      </w:r>
      <w:r w:rsidR="00B62CAC" w:rsidRPr="009D771F">
        <w:t>due to</w:t>
      </w:r>
      <w:r w:rsidR="00A73F18" w:rsidRPr="009D771F">
        <w:t>:</w:t>
      </w:r>
    </w:p>
    <w:p w14:paraId="437F6DA9" w14:textId="1368E06E" w:rsidR="00AA1AF4" w:rsidRPr="009D771F" w:rsidRDefault="26FD10A1" w:rsidP="001321A1">
      <w:pPr>
        <w:pStyle w:val="Bullet1"/>
      </w:pPr>
      <w:r>
        <w:t xml:space="preserve">$715.2 million downward revision due </w:t>
      </w:r>
      <w:r w:rsidR="5BFA3864">
        <w:t xml:space="preserve">to </w:t>
      </w:r>
      <w:r w:rsidR="00AB49DD" w:rsidRPr="00AB49DD">
        <w:t>the deferral of planned capital expenditure beyond the forward estimates</w:t>
      </w:r>
      <w:r w:rsidR="00AB49DD" w:rsidRPr="00AB49DD" w:rsidDel="00AB49DD">
        <w:t xml:space="preserve"> </w:t>
      </w:r>
    </w:p>
    <w:p w14:paraId="306C7CD4" w14:textId="25C8818C" w:rsidR="00E85FB0" w:rsidRPr="009D771F" w:rsidRDefault="3A3AFBB6" w:rsidP="001321A1">
      <w:pPr>
        <w:pStyle w:val="Bullet1"/>
      </w:pPr>
      <w:r>
        <w:t xml:space="preserve">$646.3 million </w:t>
      </w:r>
      <w:r w:rsidR="405AD24F">
        <w:t xml:space="preserve">downward revision to natural disaster funding revenues in </w:t>
      </w:r>
      <w:r>
        <w:t>2022-23</w:t>
      </w:r>
      <w:r w:rsidR="405AD24F">
        <w:t xml:space="preserve"> </w:t>
      </w:r>
      <w:r w:rsidR="00DD78FA">
        <w:t xml:space="preserve">which is </w:t>
      </w:r>
      <w:r w:rsidR="00C1289F" w:rsidRPr="00C1289F">
        <w:t>now forecast to be received over the three years to 2025-26</w:t>
      </w:r>
    </w:p>
    <w:p w14:paraId="242047BF" w14:textId="056CE93C" w:rsidR="00805F84" w:rsidRPr="009D771F" w:rsidRDefault="45AB6353" w:rsidP="001321A1">
      <w:pPr>
        <w:pStyle w:val="Bullet1"/>
      </w:pPr>
      <w:r>
        <w:t>$</w:t>
      </w:r>
      <w:r w:rsidR="00FC0FEB">
        <w:t>218</w:t>
      </w:r>
      <w:r>
        <w:t xml:space="preserve">.4 million </w:t>
      </w:r>
      <w:r w:rsidR="1A0DA33F">
        <w:t xml:space="preserve">in additional revenue </w:t>
      </w:r>
      <w:r>
        <w:t>under</w:t>
      </w:r>
      <w:r w:rsidR="12C0D9C8">
        <w:t xml:space="preserve"> </w:t>
      </w:r>
      <w:r>
        <w:t xml:space="preserve">water infrastructure </w:t>
      </w:r>
      <w:r w:rsidR="12C0D9C8">
        <w:t>funding agreements</w:t>
      </w:r>
      <w:r>
        <w:t xml:space="preserve">. </w:t>
      </w:r>
    </w:p>
    <w:p w14:paraId="21055ADF" w14:textId="318D80DE" w:rsidR="00880B84" w:rsidRPr="009D771F" w:rsidRDefault="00E61338" w:rsidP="003426A4">
      <w:pPr>
        <w:pStyle w:val="BodyText"/>
      </w:pPr>
      <w:r w:rsidRPr="009D771F">
        <w:t xml:space="preserve">Revenue from </w:t>
      </w:r>
      <w:r w:rsidR="001E5A10" w:rsidRPr="009D771F">
        <w:t>Federation Funding Agreements</w:t>
      </w:r>
      <w:r w:rsidRPr="009D771F">
        <w:t xml:space="preserve"> is expected to decrease at an average annual rate of </w:t>
      </w:r>
      <w:r w:rsidR="00805F84" w:rsidRPr="009D771F">
        <w:t>9.</w:t>
      </w:r>
      <w:r w:rsidR="003A2B85" w:rsidRPr="009D771F">
        <w:t xml:space="preserve">4 </w:t>
      </w:r>
      <w:r w:rsidRPr="009D771F">
        <w:t>per cent over the four years to 2025-26</w:t>
      </w:r>
      <w:r w:rsidR="004A1A39" w:rsidRPr="009D771F">
        <w:t>. This reflects the expiry of COVID</w:t>
      </w:r>
      <w:r w:rsidR="007D2F9E" w:rsidRPr="009D771F">
        <w:t>-19</w:t>
      </w:r>
      <w:r w:rsidR="004A1A39" w:rsidRPr="009D771F">
        <w:t xml:space="preserve"> related agreements and </w:t>
      </w:r>
      <w:r w:rsidR="00805F84" w:rsidRPr="009D771F">
        <w:t xml:space="preserve">declining levels of </w:t>
      </w:r>
      <w:r w:rsidR="00D12110" w:rsidRPr="009D771F">
        <w:t>n</w:t>
      </w:r>
      <w:r w:rsidR="00805F84" w:rsidRPr="009D771F">
        <w:t xml:space="preserve">atural </w:t>
      </w:r>
      <w:r w:rsidR="00D12110" w:rsidRPr="009D771F">
        <w:t>d</w:t>
      </w:r>
      <w:r w:rsidR="00805F84" w:rsidRPr="009D771F">
        <w:t xml:space="preserve">isasters payments from the Commonwealth over the forward estimates </w:t>
      </w:r>
      <w:r w:rsidRPr="009D771F">
        <w:t xml:space="preserve">(see </w:t>
      </w:r>
      <w:r w:rsidR="0BA69838" w:rsidRPr="009D771F">
        <w:t>Table 4.8</w:t>
      </w:r>
      <w:r w:rsidRPr="009D771F">
        <w:t>).</w:t>
      </w:r>
      <w:r w:rsidR="00526B82" w:rsidRPr="009D771F">
        <w:t xml:space="preserve"> </w:t>
      </w:r>
      <w:r w:rsidRPr="009D771F">
        <w:t xml:space="preserve">Since the </w:t>
      </w:r>
      <w:r w:rsidR="00D12110" w:rsidRPr="009D771F">
        <w:t xml:space="preserve">2021-22 </w:t>
      </w:r>
      <w:r w:rsidRPr="009D771F">
        <w:t xml:space="preserve">Half-Yearly Review, revenue from </w:t>
      </w:r>
      <w:r w:rsidR="001E5A10" w:rsidRPr="009D771F">
        <w:t>Federation Funding Agreements</w:t>
      </w:r>
      <w:r w:rsidRPr="009D771F">
        <w:t xml:space="preserve"> is expected to increase by $</w:t>
      </w:r>
      <w:r w:rsidR="004C0495" w:rsidRPr="009D771F">
        <w:t>137.3</w:t>
      </w:r>
      <w:r w:rsidR="0001106B">
        <w:t> </w:t>
      </w:r>
      <w:r w:rsidR="00036472" w:rsidRPr="009D771F">
        <w:t>million</w:t>
      </w:r>
      <w:r w:rsidRPr="009D771F">
        <w:t xml:space="preserve"> (2.</w:t>
      </w:r>
      <w:r w:rsidR="004C0495" w:rsidRPr="009D771F">
        <w:t>0</w:t>
      </w:r>
      <w:r w:rsidRPr="009D771F">
        <w:t xml:space="preserve"> per cent) in 2021</w:t>
      </w:r>
      <w:r w:rsidR="00D12110" w:rsidRPr="009D771F">
        <w:noBreakHyphen/>
      </w:r>
      <w:r w:rsidRPr="009D771F">
        <w:t xml:space="preserve">22. </w:t>
      </w:r>
      <w:r w:rsidR="00C570C3" w:rsidRPr="009D771F">
        <w:t xml:space="preserve">This is mainly due to additional projected revenue of $95.6 million for the </w:t>
      </w:r>
      <w:proofErr w:type="spellStart"/>
      <w:r w:rsidR="00C570C3" w:rsidRPr="009D771F">
        <w:t>JobTrainer</w:t>
      </w:r>
      <w:proofErr w:type="spellEnd"/>
      <w:r w:rsidR="00C570C3" w:rsidRPr="009D771F">
        <w:t xml:space="preserve"> </w:t>
      </w:r>
      <w:r w:rsidR="007A346C" w:rsidRPr="009D771F">
        <w:t>Fund</w:t>
      </w:r>
      <w:r w:rsidR="00C570C3" w:rsidRPr="009D771F">
        <w:t xml:space="preserve"> and $78.8 million </w:t>
      </w:r>
      <w:r w:rsidR="004C0495" w:rsidRPr="009D771F">
        <w:t xml:space="preserve">under the Accelerated </w:t>
      </w:r>
      <w:r w:rsidR="007A346C" w:rsidRPr="009D771F">
        <w:t>F</w:t>
      </w:r>
      <w:r w:rsidR="004C0495" w:rsidRPr="009D771F">
        <w:t xml:space="preserve">unding New South Wales </w:t>
      </w:r>
      <w:r w:rsidR="007A346C" w:rsidRPr="009D771F">
        <w:t>S</w:t>
      </w:r>
      <w:r w:rsidR="004C0495" w:rsidRPr="009D771F">
        <w:t xml:space="preserve">upply and </w:t>
      </w:r>
      <w:r w:rsidR="007A346C" w:rsidRPr="009D771F">
        <w:t>C</w:t>
      </w:r>
      <w:r w:rsidR="004C0495" w:rsidRPr="009D771F">
        <w:t xml:space="preserve">onstraints projects agreement. </w:t>
      </w:r>
    </w:p>
    <w:p w14:paraId="304E0258" w14:textId="2F2817BA" w:rsidR="00E61338" w:rsidRPr="00752A91" w:rsidRDefault="00E61338" w:rsidP="000A00BC">
      <w:pPr>
        <w:pStyle w:val="BodyText"/>
      </w:pPr>
      <w:r w:rsidRPr="009D771F">
        <w:t>Over the four years to</w:t>
      </w:r>
      <w:r w:rsidRPr="001F11B3">
        <w:t xml:space="preserve"> 2025-26, revenues are projected to increase by </w:t>
      </w:r>
      <w:r w:rsidRPr="00B855AF">
        <w:t>$</w:t>
      </w:r>
      <w:r w:rsidR="00BC2E4C" w:rsidRPr="00B855AF">
        <w:t>2.2</w:t>
      </w:r>
      <w:r w:rsidRPr="00B855AF">
        <w:t xml:space="preserve"> billion</w:t>
      </w:r>
      <w:r w:rsidR="00880B84" w:rsidRPr="00B855AF">
        <w:t xml:space="preserve"> since</w:t>
      </w:r>
      <w:r w:rsidR="00880B84">
        <w:t xml:space="preserve"> </w:t>
      </w:r>
      <w:r w:rsidR="00880B84" w:rsidRPr="007C4E64">
        <w:t xml:space="preserve">the 2021-22 Half-Yearly </w:t>
      </w:r>
      <w:r w:rsidR="00880B84" w:rsidRPr="00752A91">
        <w:t>Review</w:t>
      </w:r>
      <w:r w:rsidRPr="00752A91">
        <w:t>. This is primarily driven by:</w:t>
      </w:r>
    </w:p>
    <w:p w14:paraId="1BE33F4F" w14:textId="4C403869" w:rsidR="00C72C16" w:rsidRPr="000A00BC" w:rsidRDefault="00C72C16" w:rsidP="001321A1">
      <w:pPr>
        <w:pStyle w:val="Bullet1"/>
      </w:pPr>
      <w:r>
        <w:t>$1.</w:t>
      </w:r>
      <w:r w:rsidR="00FC692D">
        <w:t>9</w:t>
      </w:r>
      <w:r>
        <w:t xml:space="preserve"> billion in </w:t>
      </w:r>
      <w:r w:rsidR="00806E89">
        <w:t>forecast</w:t>
      </w:r>
      <w:r>
        <w:t xml:space="preserve"> Commonwealth contributions over </w:t>
      </w:r>
      <w:r w:rsidR="00F210E2">
        <w:t xml:space="preserve">the </w:t>
      </w:r>
      <w:r>
        <w:t>four years from 2022-23 under the Natural Disaster Relief Arrangements</w:t>
      </w:r>
    </w:p>
    <w:p w14:paraId="02937F51" w14:textId="7EDA6861" w:rsidR="007A346C" w:rsidRPr="00752A91" w:rsidRDefault="0E7CF3A1" w:rsidP="001321A1">
      <w:pPr>
        <w:pStyle w:val="Bullet1"/>
      </w:pPr>
      <w:r>
        <w:t>$276.3 million in increased funding under the Implementing Water Reform Murray Darling Basin and National Water Infrastructure Development Fund Agreements</w:t>
      </w:r>
    </w:p>
    <w:bookmarkEnd w:id="15"/>
    <w:p w14:paraId="533D6BAB" w14:textId="25253E38" w:rsidR="007A346C" w:rsidRPr="004A69B9" w:rsidRDefault="007A346C" w:rsidP="001321A1">
      <w:pPr>
        <w:pStyle w:val="Bullet1"/>
      </w:pPr>
      <w:r w:rsidRPr="00752A91">
        <w:t>$</w:t>
      </w:r>
      <w:r w:rsidR="004D3247" w:rsidRPr="00752A91">
        <w:t>128</w:t>
      </w:r>
      <w:r w:rsidRPr="00752A91">
        <w:t>.</w:t>
      </w:r>
      <w:r w:rsidR="0085568D" w:rsidRPr="00752A91">
        <w:t xml:space="preserve">7 </w:t>
      </w:r>
      <w:r w:rsidRPr="00752A91">
        <w:t xml:space="preserve">million in increased </w:t>
      </w:r>
      <w:r w:rsidR="00BB35DD" w:rsidRPr="00752A91">
        <w:t>transport</w:t>
      </w:r>
      <w:r w:rsidR="00BB35DD" w:rsidRPr="793ED9C3">
        <w:t xml:space="preserve"> infrastructure </w:t>
      </w:r>
      <w:r w:rsidR="00FC5DFB">
        <w:t>payments</w:t>
      </w:r>
      <w:r w:rsidR="00BB35DD" w:rsidRPr="793ED9C3">
        <w:t xml:space="preserve"> from the Commonwealth under the National Partnership on Land Transport Infrastructure Projects</w:t>
      </w:r>
      <w:r w:rsidRPr="793ED9C3">
        <w:t>.</w:t>
      </w:r>
    </w:p>
    <w:p w14:paraId="79CB5A9E" w14:textId="575AB3EB" w:rsidR="007A346C" w:rsidRDefault="007A346C" w:rsidP="003426A4">
      <w:pPr>
        <w:pStyle w:val="BodyText"/>
      </w:pPr>
    </w:p>
    <w:p w14:paraId="17B08E17" w14:textId="2A948A63" w:rsidR="00975029" w:rsidRPr="00137A55" w:rsidRDefault="001E5A10" w:rsidP="00313DE2">
      <w:pPr>
        <w:pStyle w:val="Table4X"/>
        <w:keepNext/>
      </w:pPr>
      <w:bookmarkStart w:id="16" w:name="_Hlk106537693"/>
      <w:r w:rsidRPr="001E5A10">
        <w:t>Federation Funding Agreement</w:t>
      </w:r>
      <w:r w:rsidR="00975029" w:rsidRPr="00137A55">
        <w:t xml:space="preserve"> payments to New South Wales</w:t>
      </w:r>
      <w:r w:rsidR="00E61338" w:rsidRPr="00137A55">
        <w:t xml:space="preserve"> </w:t>
      </w:r>
    </w:p>
    <w:tbl>
      <w:tblPr>
        <w:tblW w:w="9760" w:type="dxa"/>
        <w:tblLook w:val="04A0" w:firstRow="1" w:lastRow="0" w:firstColumn="1" w:lastColumn="0" w:noHBand="0" w:noVBand="1"/>
        <w:tblCaption w:val="Table 4.8: Federation Funding Agreement payments to New South Wales "/>
        <w:tblDescription w:val="Table 4.8: Federation Funding Agreement payments to New South Wales "/>
      </w:tblPr>
      <w:tblGrid>
        <w:gridCol w:w="3276"/>
        <w:gridCol w:w="850"/>
        <w:gridCol w:w="850"/>
        <w:gridCol w:w="928"/>
        <w:gridCol w:w="936"/>
        <w:gridCol w:w="936"/>
        <w:gridCol w:w="936"/>
        <w:gridCol w:w="1048"/>
      </w:tblGrid>
      <w:tr w:rsidR="00FF33A8" w:rsidRPr="00A35492" w14:paraId="43D50E0F" w14:textId="77777777" w:rsidTr="003F6A66">
        <w:trPr>
          <w:trHeight w:val="379"/>
        </w:trPr>
        <w:tc>
          <w:tcPr>
            <w:tcW w:w="3276" w:type="dxa"/>
            <w:tcBorders>
              <w:top w:val="nil"/>
              <w:left w:val="nil"/>
              <w:bottom w:val="nil"/>
              <w:right w:val="nil"/>
            </w:tcBorders>
            <w:shd w:val="clear" w:color="000000" w:fill="008EBA"/>
            <w:noWrap/>
            <w:vAlign w:val="bottom"/>
            <w:hideMark/>
          </w:tcPr>
          <w:bookmarkEnd w:id="16"/>
          <w:p w14:paraId="7051D806" w14:textId="77777777" w:rsidR="00FF33A8" w:rsidRPr="00A35492" w:rsidRDefault="00FF33A8" w:rsidP="00FF33A8">
            <w:pPr>
              <w:keepNext/>
              <w:rPr>
                <w:rFonts w:ascii="Arial" w:hAnsi="Arial" w:cs="Arial"/>
                <w:color w:val="FFFFFF"/>
                <w:sz w:val="16"/>
                <w:szCs w:val="16"/>
                <w:lang w:eastAsia="en-AU"/>
              </w:rPr>
            </w:pPr>
            <w:r w:rsidRPr="00A35492">
              <w:rPr>
                <w:rFonts w:ascii="Arial" w:hAnsi="Arial" w:cs="Arial"/>
                <w:color w:val="FFFFFF"/>
                <w:sz w:val="16"/>
                <w:szCs w:val="16"/>
                <w:lang w:eastAsia="en-AU"/>
              </w:rPr>
              <w:t> </w:t>
            </w:r>
          </w:p>
        </w:tc>
        <w:tc>
          <w:tcPr>
            <w:tcW w:w="850" w:type="dxa"/>
            <w:tcBorders>
              <w:top w:val="nil"/>
              <w:left w:val="nil"/>
              <w:bottom w:val="nil"/>
              <w:right w:val="nil"/>
            </w:tcBorders>
            <w:shd w:val="clear" w:color="000000" w:fill="008EBA"/>
            <w:noWrap/>
            <w:vAlign w:val="bottom"/>
            <w:hideMark/>
          </w:tcPr>
          <w:p w14:paraId="0ED95937" w14:textId="77777777" w:rsidR="00FF33A8" w:rsidRPr="00A35492" w:rsidRDefault="00FF33A8" w:rsidP="00FF33A8">
            <w:pPr>
              <w:keepNext/>
              <w:jc w:val="center"/>
              <w:rPr>
                <w:rFonts w:ascii="Arial" w:hAnsi="Arial" w:cs="Arial"/>
                <w:color w:val="FFFFFF"/>
                <w:sz w:val="16"/>
                <w:szCs w:val="16"/>
                <w:lang w:eastAsia="en-AU"/>
              </w:rPr>
            </w:pPr>
            <w:r w:rsidRPr="00A35492">
              <w:rPr>
                <w:rFonts w:ascii="Arial" w:hAnsi="Arial" w:cs="Arial"/>
                <w:color w:val="FFFFFF"/>
                <w:sz w:val="16"/>
                <w:szCs w:val="16"/>
                <w:lang w:eastAsia="en-AU"/>
              </w:rPr>
              <w:t>2020-21</w:t>
            </w:r>
          </w:p>
        </w:tc>
        <w:tc>
          <w:tcPr>
            <w:tcW w:w="850" w:type="dxa"/>
            <w:tcBorders>
              <w:top w:val="nil"/>
              <w:left w:val="nil"/>
              <w:bottom w:val="nil"/>
              <w:right w:val="nil"/>
            </w:tcBorders>
            <w:shd w:val="clear" w:color="000000" w:fill="008EBA"/>
            <w:noWrap/>
            <w:vAlign w:val="bottom"/>
            <w:hideMark/>
          </w:tcPr>
          <w:p w14:paraId="43405059" w14:textId="77777777" w:rsidR="00FF33A8" w:rsidRPr="00A35492" w:rsidRDefault="00FF33A8" w:rsidP="00FF33A8">
            <w:pPr>
              <w:keepNext/>
              <w:jc w:val="center"/>
              <w:rPr>
                <w:rFonts w:ascii="Arial" w:hAnsi="Arial" w:cs="Arial"/>
                <w:color w:val="FFFFFF"/>
                <w:sz w:val="16"/>
                <w:szCs w:val="16"/>
                <w:lang w:eastAsia="en-AU"/>
              </w:rPr>
            </w:pPr>
            <w:r w:rsidRPr="00A35492">
              <w:rPr>
                <w:rFonts w:ascii="Arial" w:hAnsi="Arial" w:cs="Arial"/>
                <w:color w:val="FFFFFF"/>
                <w:sz w:val="16"/>
                <w:szCs w:val="16"/>
                <w:lang w:eastAsia="en-AU"/>
              </w:rPr>
              <w:t>2021-22</w:t>
            </w:r>
          </w:p>
        </w:tc>
        <w:tc>
          <w:tcPr>
            <w:tcW w:w="850" w:type="dxa"/>
            <w:tcBorders>
              <w:top w:val="nil"/>
              <w:left w:val="nil"/>
              <w:bottom w:val="nil"/>
              <w:right w:val="nil"/>
            </w:tcBorders>
            <w:shd w:val="clear" w:color="000000" w:fill="008EBA"/>
            <w:noWrap/>
            <w:vAlign w:val="bottom"/>
            <w:hideMark/>
          </w:tcPr>
          <w:p w14:paraId="1557371C" w14:textId="77777777" w:rsidR="00FF33A8" w:rsidRPr="00A35492" w:rsidRDefault="00FF33A8" w:rsidP="00FF33A8">
            <w:pPr>
              <w:keepNext/>
              <w:jc w:val="center"/>
              <w:rPr>
                <w:rFonts w:ascii="Arial" w:hAnsi="Arial" w:cs="Arial"/>
                <w:color w:val="FFFFFF"/>
                <w:sz w:val="16"/>
                <w:szCs w:val="16"/>
                <w:lang w:eastAsia="en-AU"/>
              </w:rPr>
            </w:pPr>
            <w:r w:rsidRPr="00A35492">
              <w:rPr>
                <w:rFonts w:ascii="Arial" w:hAnsi="Arial" w:cs="Arial"/>
                <w:color w:val="FFFFFF"/>
                <w:sz w:val="16"/>
                <w:szCs w:val="16"/>
                <w:lang w:eastAsia="en-AU"/>
              </w:rPr>
              <w:t>2022-23</w:t>
            </w:r>
          </w:p>
        </w:tc>
        <w:tc>
          <w:tcPr>
            <w:tcW w:w="936" w:type="dxa"/>
            <w:tcBorders>
              <w:top w:val="nil"/>
              <w:left w:val="nil"/>
              <w:bottom w:val="nil"/>
              <w:right w:val="nil"/>
            </w:tcBorders>
            <w:shd w:val="clear" w:color="000000" w:fill="008EBA"/>
            <w:noWrap/>
            <w:vAlign w:val="bottom"/>
            <w:hideMark/>
          </w:tcPr>
          <w:p w14:paraId="4DE9D94E" w14:textId="77777777" w:rsidR="00FF33A8" w:rsidRPr="00A35492" w:rsidRDefault="00FF33A8" w:rsidP="00FF33A8">
            <w:pPr>
              <w:keepNext/>
              <w:rPr>
                <w:rFonts w:ascii="Arial" w:hAnsi="Arial" w:cs="Arial"/>
                <w:color w:val="FFFFFF"/>
                <w:sz w:val="16"/>
                <w:szCs w:val="16"/>
                <w:lang w:eastAsia="en-AU"/>
              </w:rPr>
            </w:pPr>
            <w:r w:rsidRPr="00A35492">
              <w:rPr>
                <w:rFonts w:ascii="Arial" w:hAnsi="Arial" w:cs="Arial"/>
                <w:color w:val="FFFFFF"/>
                <w:sz w:val="16"/>
                <w:szCs w:val="16"/>
                <w:lang w:eastAsia="en-AU"/>
              </w:rPr>
              <w:t>2023-24</w:t>
            </w:r>
          </w:p>
        </w:tc>
        <w:tc>
          <w:tcPr>
            <w:tcW w:w="936" w:type="dxa"/>
            <w:tcBorders>
              <w:top w:val="nil"/>
              <w:left w:val="nil"/>
              <w:bottom w:val="nil"/>
              <w:right w:val="nil"/>
            </w:tcBorders>
            <w:shd w:val="clear" w:color="000000" w:fill="008EBA"/>
            <w:noWrap/>
            <w:vAlign w:val="bottom"/>
            <w:hideMark/>
          </w:tcPr>
          <w:p w14:paraId="1F425EA7" w14:textId="77777777" w:rsidR="00FF33A8" w:rsidRPr="00A35492" w:rsidRDefault="00FF33A8" w:rsidP="00FF33A8">
            <w:pPr>
              <w:keepNext/>
              <w:rPr>
                <w:rFonts w:ascii="Arial" w:hAnsi="Arial" w:cs="Arial"/>
                <w:color w:val="FFFFFF"/>
                <w:sz w:val="16"/>
                <w:szCs w:val="16"/>
                <w:lang w:eastAsia="en-AU"/>
              </w:rPr>
            </w:pPr>
            <w:r w:rsidRPr="00A35492">
              <w:rPr>
                <w:rFonts w:ascii="Arial" w:hAnsi="Arial" w:cs="Arial"/>
                <w:color w:val="FFFFFF"/>
                <w:sz w:val="16"/>
                <w:szCs w:val="16"/>
                <w:lang w:eastAsia="en-AU"/>
              </w:rPr>
              <w:t>2024-25</w:t>
            </w:r>
          </w:p>
        </w:tc>
        <w:tc>
          <w:tcPr>
            <w:tcW w:w="936" w:type="dxa"/>
            <w:tcBorders>
              <w:top w:val="nil"/>
              <w:left w:val="nil"/>
              <w:bottom w:val="nil"/>
              <w:right w:val="nil"/>
            </w:tcBorders>
            <w:shd w:val="clear" w:color="000000" w:fill="008EBA"/>
            <w:noWrap/>
            <w:vAlign w:val="bottom"/>
            <w:hideMark/>
          </w:tcPr>
          <w:p w14:paraId="5035F3ED" w14:textId="77777777" w:rsidR="00FF33A8" w:rsidRPr="00A35492" w:rsidRDefault="00FF33A8" w:rsidP="00FF33A8">
            <w:pPr>
              <w:keepNext/>
              <w:rPr>
                <w:rFonts w:ascii="Arial" w:hAnsi="Arial" w:cs="Arial"/>
                <w:color w:val="FFFFFF"/>
                <w:sz w:val="16"/>
                <w:szCs w:val="16"/>
                <w:lang w:eastAsia="en-AU"/>
              </w:rPr>
            </w:pPr>
            <w:r w:rsidRPr="00A35492">
              <w:rPr>
                <w:rFonts w:ascii="Arial" w:hAnsi="Arial" w:cs="Arial"/>
                <w:color w:val="FFFFFF"/>
                <w:sz w:val="16"/>
                <w:szCs w:val="16"/>
                <w:lang w:eastAsia="en-AU"/>
              </w:rPr>
              <w:t>2025-26</w:t>
            </w:r>
          </w:p>
        </w:tc>
        <w:tc>
          <w:tcPr>
            <w:tcW w:w="1126" w:type="dxa"/>
            <w:vMerge w:val="restart"/>
            <w:tcBorders>
              <w:top w:val="nil"/>
              <w:left w:val="nil"/>
              <w:bottom w:val="nil"/>
              <w:right w:val="nil"/>
            </w:tcBorders>
            <w:shd w:val="clear" w:color="000000" w:fill="4F4F4F"/>
            <w:vAlign w:val="center"/>
            <w:hideMark/>
          </w:tcPr>
          <w:p w14:paraId="40DB9AF9" w14:textId="77777777" w:rsidR="00FF33A8" w:rsidRPr="00A35492" w:rsidRDefault="00FF33A8" w:rsidP="00FF33A8">
            <w:pPr>
              <w:keepNext/>
              <w:jc w:val="center"/>
              <w:rPr>
                <w:rFonts w:ascii="Arial" w:hAnsi="Arial" w:cs="Arial"/>
                <w:color w:val="FFFFFF"/>
                <w:sz w:val="16"/>
                <w:szCs w:val="16"/>
                <w:lang w:eastAsia="en-AU"/>
              </w:rPr>
            </w:pPr>
            <w:r w:rsidRPr="00A35492">
              <w:rPr>
                <w:rFonts w:ascii="Arial" w:hAnsi="Arial" w:cs="Arial"/>
                <w:color w:val="FFFFFF"/>
                <w:sz w:val="16"/>
                <w:szCs w:val="16"/>
                <w:lang w:eastAsia="en-AU"/>
              </w:rPr>
              <w:t>% Average growth p.a.</w:t>
            </w:r>
            <w:r w:rsidRPr="00A35492">
              <w:rPr>
                <w:rFonts w:ascii="Arial" w:hAnsi="Arial" w:cs="Arial"/>
                <w:color w:val="FFFFFF"/>
                <w:sz w:val="16"/>
                <w:szCs w:val="16"/>
                <w:lang w:eastAsia="en-AU"/>
              </w:rPr>
              <w:br/>
              <w:t>2021-22 to 2025-26</w:t>
            </w:r>
          </w:p>
        </w:tc>
      </w:tr>
      <w:tr w:rsidR="00FF33A8" w:rsidRPr="00A35492" w14:paraId="4A849C53" w14:textId="77777777" w:rsidTr="003F6A66">
        <w:trPr>
          <w:trHeight w:val="379"/>
        </w:trPr>
        <w:tc>
          <w:tcPr>
            <w:tcW w:w="3276" w:type="dxa"/>
            <w:tcBorders>
              <w:top w:val="nil"/>
              <w:left w:val="nil"/>
              <w:bottom w:val="nil"/>
              <w:right w:val="nil"/>
            </w:tcBorders>
            <w:shd w:val="clear" w:color="000000" w:fill="008EBA"/>
            <w:vAlign w:val="bottom"/>
            <w:hideMark/>
          </w:tcPr>
          <w:p w14:paraId="5F8939DA" w14:textId="77777777" w:rsidR="00FF33A8" w:rsidRPr="00A35492" w:rsidRDefault="00FF33A8" w:rsidP="00FF33A8">
            <w:pPr>
              <w:keepNext/>
              <w:jc w:val="center"/>
              <w:rPr>
                <w:rFonts w:ascii="Arial" w:hAnsi="Arial" w:cs="Arial"/>
                <w:i/>
                <w:iCs/>
                <w:color w:val="FFFFFF"/>
                <w:sz w:val="16"/>
                <w:szCs w:val="16"/>
                <w:lang w:eastAsia="en-AU"/>
              </w:rPr>
            </w:pPr>
            <w:r w:rsidRPr="00A35492">
              <w:rPr>
                <w:rFonts w:ascii="Arial" w:hAnsi="Arial" w:cs="Arial"/>
                <w:i/>
                <w:iCs/>
                <w:color w:val="FFFFFF"/>
                <w:sz w:val="16"/>
                <w:szCs w:val="16"/>
                <w:lang w:eastAsia="en-AU"/>
              </w:rPr>
              <w:t> </w:t>
            </w:r>
          </w:p>
        </w:tc>
        <w:tc>
          <w:tcPr>
            <w:tcW w:w="850" w:type="dxa"/>
            <w:tcBorders>
              <w:top w:val="nil"/>
              <w:left w:val="nil"/>
              <w:bottom w:val="nil"/>
              <w:right w:val="nil"/>
            </w:tcBorders>
            <w:shd w:val="clear" w:color="000000" w:fill="008EBA"/>
            <w:vAlign w:val="center"/>
            <w:hideMark/>
          </w:tcPr>
          <w:p w14:paraId="2E7D4952" w14:textId="77777777" w:rsidR="00FF33A8" w:rsidRPr="00A35492" w:rsidRDefault="00FF33A8" w:rsidP="00FF33A8">
            <w:pPr>
              <w:keepNext/>
              <w:jc w:val="center"/>
              <w:rPr>
                <w:rFonts w:ascii="Arial" w:hAnsi="Arial" w:cs="Arial"/>
                <w:color w:val="FFFFFF"/>
                <w:sz w:val="16"/>
                <w:szCs w:val="16"/>
                <w:lang w:eastAsia="en-AU"/>
              </w:rPr>
            </w:pPr>
            <w:r w:rsidRPr="00A35492">
              <w:rPr>
                <w:rFonts w:ascii="Arial" w:hAnsi="Arial" w:cs="Arial"/>
                <w:color w:val="FFFFFF"/>
                <w:sz w:val="16"/>
                <w:szCs w:val="16"/>
                <w:lang w:eastAsia="en-AU"/>
              </w:rPr>
              <w:t>Actual</w:t>
            </w:r>
          </w:p>
        </w:tc>
        <w:tc>
          <w:tcPr>
            <w:tcW w:w="850" w:type="dxa"/>
            <w:tcBorders>
              <w:top w:val="nil"/>
              <w:left w:val="nil"/>
              <w:bottom w:val="nil"/>
              <w:right w:val="nil"/>
            </w:tcBorders>
            <w:shd w:val="clear" w:color="000000" w:fill="008EBA"/>
            <w:vAlign w:val="center"/>
            <w:hideMark/>
          </w:tcPr>
          <w:p w14:paraId="1772A290" w14:textId="77777777" w:rsidR="00FF33A8" w:rsidRPr="00A35492" w:rsidRDefault="00FF33A8" w:rsidP="00FF33A8">
            <w:pPr>
              <w:keepNext/>
              <w:jc w:val="center"/>
              <w:rPr>
                <w:rFonts w:ascii="Arial" w:hAnsi="Arial" w:cs="Arial"/>
                <w:color w:val="FFFFFF"/>
                <w:sz w:val="16"/>
                <w:szCs w:val="16"/>
                <w:lang w:eastAsia="en-AU"/>
              </w:rPr>
            </w:pPr>
            <w:r w:rsidRPr="00A35492">
              <w:rPr>
                <w:rFonts w:ascii="Arial" w:hAnsi="Arial" w:cs="Arial"/>
                <w:color w:val="FFFFFF"/>
                <w:sz w:val="16"/>
                <w:szCs w:val="16"/>
                <w:lang w:eastAsia="en-AU"/>
              </w:rPr>
              <w:t>Revised</w:t>
            </w:r>
          </w:p>
        </w:tc>
        <w:tc>
          <w:tcPr>
            <w:tcW w:w="850" w:type="dxa"/>
            <w:tcBorders>
              <w:top w:val="nil"/>
              <w:left w:val="nil"/>
              <w:bottom w:val="nil"/>
              <w:right w:val="nil"/>
            </w:tcBorders>
            <w:shd w:val="clear" w:color="000000" w:fill="008EBA"/>
            <w:vAlign w:val="center"/>
            <w:hideMark/>
          </w:tcPr>
          <w:p w14:paraId="23D324A3" w14:textId="77777777" w:rsidR="00FF33A8" w:rsidRPr="00A35492" w:rsidRDefault="00FF33A8" w:rsidP="00FF33A8">
            <w:pPr>
              <w:keepNext/>
              <w:jc w:val="center"/>
              <w:rPr>
                <w:rFonts w:ascii="Arial" w:hAnsi="Arial" w:cs="Arial"/>
                <w:color w:val="FFFFFF"/>
                <w:sz w:val="16"/>
                <w:szCs w:val="16"/>
                <w:lang w:eastAsia="en-AU"/>
              </w:rPr>
            </w:pPr>
            <w:r w:rsidRPr="00A35492">
              <w:rPr>
                <w:rFonts w:ascii="Arial" w:hAnsi="Arial" w:cs="Arial"/>
                <w:color w:val="FFFFFF"/>
                <w:sz w:val="16"/>
                <w:szCs w:val="16"/>
                <w:lang w:eastAsia="en-AU"/>
              </w:rPr>
              <w:t>Budget</w:t>
            </w:r>
          </w:p>
        </w:tc>
        <w:tc>
          <w:tcPr>
            <w:tcW w:w="2808" w:type="dxa"/>
            <w:gridSpan w:val="3"/>
            <w:tcBorders>
              <w:top w:val="nil"/>
              <w:left w:val="nil"/>
              <w:bottom w:val="nil"/>
              <w:right w:val="nil"/>
            </w:tcBorders>
            <w:shd w:val="clear" w:color="000000" w:fill="008EBA"/>
            <w:vAlign w:val="center"/>
            <w:hideMark/>
          </w:tcPr>
          <w:p w14:paraId="76314F23" w14:textId="77777777" w:rsidR="00FF33A8" w:rsidRPr="00A35492" w:rsidRDefault="00FF33A8" w:rsidP="00FF33A8">
            <w:pPr>
              <w:keepNext/>
              <w:jc w:val="center"/>
              <w:rPr>
                <w:rFonts w:ascii="Arial" w:hAnsi="Arial" w:cs="Arial"/>
                <w:color w:val="FFFFFF"/>
                <w:sz w:val="16"/>
                <w:szCs w:val="16"/>
                <w:lang w:eastAsia="en-AU"/>
              </w:rPr>
            </w:pPr>
            <w:r w:rsidRPr="00A35492">
              <w:rPr>
                <w:rFonts w:ascii="Arial" w:hAnsi="Arial" w:cs="Arial"/>
                <w:color w:val="FFFFFF"/>
                <w:sz w:val="16"/>
                <w:szCs w:val="16"/>
                <w:lang w:eastAsia="en-AU"/>
              </w:rPr>
              <w:t>Forward estimates</w:t>
            </w:r>
          </w:p>
        </w:tc>
        <w:tc>
          <w:tcPr>
            <w:tcW w:w="1126" w:type="dxa"/>
            <w:vMerge/>
            <w:tcBorders>
              <w:top w:val="nil"/>
              <w:left w:val="nil"/>
              <w:bottom w:val="nil"/>
              <w:right w:val="nil"/>
            </w:tcBorders>
            <w:vAlign w:val="center"/>
            <w:hideMark/>
          </w:tcPr>
          <w:p w14:paraId="5CB5EE52" w14:textId="77777777" w:rsidR="00FF33A8" w:rsidRPr="00A35492" w:rsidRDefault="00FF33A8" w:rsidP="00FF33A8">
            <w:pPr>
              <w:keepNext/>
              <w:rPr>
                <w:rFonts w:ascii="Arial" w:hAnsi="Arial" w:cs="Arial"/>
                <w:color w:val="FFFFFF"/>
                <w:sz w:val="16"/>
                <w:szCs w:val="16"/>
                <w:lang w:eastAsia="en-AU"/>
              </w:rPr>
            </w:pPr>
          </w:p>
        </w:tc>
      </w:tr>
      <w:tr w:rsidR="00FF33A8" w:rsidRPr="00A35492" w14:paraId="02A8B168" w14:textId="77777777" w:rsidTr="003F6A66">
        <w:trPr>
          <w:trHeight w:val="285"/>
        </w:trPr>
        <w:tc>
          <w:tcPr>
            <w:tcW w:w="3276" w:type="dxa"/>
            <w:tcBorders>
              <w:top w:val="nil"/>
              <w:left w:val="nil"/>
              <w:bottom w:val="nil"/>
              <w:right w:val="nil"/>
            </w:tcBorders>
            <w:shd w:val="clear" w:color="000000" w:fill="00426F"/>
            <w:hideMark/>
          </w:tcPr>
          <w:p w14:paraId="5C6E0281" w14:textId="77777777" w:rsidR="00FF33A8" w:rsidRPr="00A35492" w:rsidRDefault="00FF33A8" w:rsidP="00FF33A8">
            <w:pPr>
              <w:keepNext/>
              <w:jc w:val="center"/>
              <w:rPr>
                <w:rFonts w:ascii="Arial" w:hAnsi="Arial" w:cs="Arial"/>
                <w:i/>
                <w:iCs/>
                <w:color w:val="FFFFFF"/>
                <w:sz w:val="16"/>
                <w:szCs w:val="16"/>
                <w:lang w:eastAsia="en-AU"/>
              </w:rPr>
            </w:pPr>
            <w:r w:rsidRPr="00A35492">
              <w:rPr>
                <w:rFonts w:ascii="Arial" w:hAnsi="Arial" w:cs="Arial"/>
                <w:i/>
                <w:iCs/>
                <w:color w:val="FFFFFF"/>
                <w:sz w:val="16"/>
                <w:szCs w:val="16"/>
                <w:lang w:eastAsia="en-AU"/>
              </w:rPr>
              <w:t> </w:t>
            </w:r>
          </w:p>
        </w:tc>
        <w:tc>
          <w:tcPr>
            <w:tcW w:w="850" w:type="dxa"/>
            <w:tcBorders>
              <w:top w:val="nil"/>
              <w:left w:val="nil"/>
              <w:bottom w:val="nil"/>
              <w:right w:val="nil"/>
            </w:tcBorders>
            <w:shd w:val="clear" w:color="000000" w:fill="00426F"/>
            <w:hideMark/>
          </w:tcPr>
          <w:p w14:paraId="0362ED5A" w14:textId="77777777" w:rsidR="00FF33A8" w:rsidRPr="00A35492" w:rsidRDefault="00FF33A8" w:rsidP="00FF33A8">
            <w:pPr>
              <w:keepNext/>
              <w:jc w:val="center"/>
              <w:rPr>
                <w:rFonts w:ascii="Arial" w:hAnsi="Arial" w:cs="Arial"/>
                <w:color w:val="FFFFFF"/>
                <w:sz w:val="16"/>
                <w:szCs w:val="16"/>
                <w:lang w:eastAsia="en-AU"/>
              </w:rPr>
            </w:pPr>
            <w:r w:rsidRPr="00A35492">
              <w:rPr>
                <w:rFonts w:ascii="Arial" w:hAnsi="Arial" w:cs="Arial"/>
                <w:color w:val="FFFFFF"/>
                <w:sz w:val="16"/>
                <w:szCs w:val="16"/>
                <w:lang w:eastAsia="en-AU"/>
              </w:rPr>
              <w:t>$m</w:t>
            </w:r>
          </w:p>
        </w:tc>
        <w:tc>
          <w:tcPr>
            <w:tcW w:w="850" w:type="dxa"/>
            <w:tcBorders>
              <w:top w:val="nil"/>
              <w:left w:val="nil"/>
              <w:bottom w:val="nil"/>
              <w:right w:val="nil"/>
            </w:tcBorders>
            <w:shd w:val="clear" w:color="000000" w:fill="00426F"/>
            <w:hideMark/>
          </w:tcPr>
          <w:p w14:paraId="05384B0C" w14:textId="77777777" w:rsidR="00FF33A8" w:rsidRPr="00A35492" w:rsidRDefault="00FF33A8" w:rsidP="00FF33A8">
            <w:pPr>
              <w:keepNext/>
              <w:jc w:val="center"/>
              <w:rPr>
                <w:rFonts w:ascii="Arial" w:hAnsi="Arial" w:cs="Arial"/>
                <w:color w:val="FFFFFF"/>
                <w:sz w:val="16"/>
                <w:szCs w:val="16"/>
                <w:lang w:eastAsia="en-AU"/>
              </w:rPr>
            </w:pPr>
            <w:r w:rsidRPr="00A35492">
              <w:rPr>
                <w:rFonts w:ascii="Arial" w:hAnsi="Arial" w:cs="Arial"/>
                <w:color w:val="FFFFFF"/>
                <w:sz w:val="16"/>
                <w:szCs w:val="16"/>
                <w:lang w:eastAsia="en-AU"/>
              </w:rPr>
              <w:t>$m</w:t>
            </w:r>
          </w:p>
        </w:tc>
        <w:tc>
          <w:tcPr>
            <w:tcW w:w="850" w:type="dxa"/>
            <w:tcBorders>
              <w:top w:val="nil"/>
              <w:left w:val="nil"/>
              <w:bottom w:val="nil"/>
              <w:right w:val="nil"/>
            </w:tcBorders>
            <w:shd w:val="clear" w:color="000000" w:fill="00426F"/>
            <w:hideMark/>
          </w:tcPr>
          <w:p w14:paraId="5BA3CB6C" w14:textId="77777777" w:rsidR="00FF33A8" w:rsidRPr="00A35492" w:rsidRDefault="00FF33A8" w:rsidP="00FF33A8">
            <w:pPr>
              <w:keepNext/>
              <w:jc w:val="center"/>
              <w:rPr>
                <w:rFonts w:ascii="Arial" w:hAnsi="Arial" w:cs="Arial"/>
                <w:color w:val="FFFFFF"/>
                <w:sz w:val="16"/>
                <w:szCs w:val="16"/>
                <w:lang w:eastAsia="en-AU"/>
              </w:rPr>
            </w:pPr>
            <w:r w:rsidRPr="00A35492">
              <w:rPr>
                <w:rFonts w:ascii="Arial" w:hAnsi="Arial" w:cs="Arial"/>
                <w:color w:val="FFFFFF"/>
                <w:sz w:val="16"/>
                <w:szCs w:val="16"/>
                <w:lang w:eastAsia="en-AU"/>
              </w:rPr>
              <w:t>$m</w:t>
            </w:r>
          </w:p>
        </w:tc>
        <w:tc>
          <w:tcPr>
            <w:tcW w:w="936" w:type="dxa"/>
            <w:tcBorders>
              <w:top w:val="nil"/>
              <w:left w:val="nil"/>
              <w:bottom w:val="nil"/>
              <w:right w:val="nil"/>
            </w:tcBorders>
            <w:shd w:val="clear" w:color="000000" w:fill="00426F"/>
            <w:hideMark/>
          </w:tcPr>
          <w:p w14:paraId="35BFD3B0" w14:textId="77777777" w:rsidR="00FF33A8" w:rsidRPr="00A35492" w:rsidRDefault="00FF33A8" w:rsidP="00FF33A8">
            <w:pPr>
              <w:keepNext/>
              <w:jc w:val="center"/>
              <w:rPr>
                <w:rFonts w:ascii="Arial" w:hAnsi="Arial" w:cs="Arial"/>
                <w:color w:val="FFFFFF"/>
                <w:sz w:val="16"/>
                <w:szCs w:val="16"/>
                <w:lang w:eastAsia="en-AU"/>
              </w:rPr>
            </w:pPr>
            <w:r w:rsidRPr="00A35492">
              <w:rPr>
                <w:rFonts w:ascii="Arial" w:hAnsi="Arial" w:cs="Arial"/>
                <w:color w:val="FFFFFF"/>
                <w:sz w:val="16"/>
                <w:szCs w:val="16"/>
                <w:lang w:eastAsia="en-AU"/>
              </w:rPr>
              <w:t>$m</w:t>
            </w:r>
          </w:p>
        </w:tc>
        <w:tc>
          <w:tcPr>
            <w:tcW w:w="936" w:type="dxa"/>
            <w:tcBorders>
              <w:top w:val="nil"/>
              <w:left w:val="nil"/>
              <w:bottom w:val="nil"/>
              <w:right w:val="nil"/>
            </w:tcBorders>
            <w:shd w:val="clear" w:color="000000" w:fill="00426F"/>
            <w:hideMark/>
          </w:tcPr>
          <w:p w14:paraId="1B28DE88" w14:textId="77777777" w:rsidR="00FF33A8" w:rsidRPr="00A35492" w:rsidRDefault="00FF33A8" w:rsidP="00FF33A8">
            <w:pPr>
              <w:keepNext/>
              <w:jc w:val="center"/>
              <w:rPr>
                <w:rFonts w:ascii="Arial" w:hAnsi="Arial" w:cs="Arial"/>
                <w:color w:val="FFFFFF"/>
                <w:sz w:val="16"/>
                <w:szCs w:val="16"/>
                <w:lang w:eastAsia="en-AU"/>
              </w:rPr>
            </w:pPr>
            <w:r w:rsidRPr="00A35492">
              <w:rPr>
                <w:rFonts w:ascii="Arial" w:hAnsi="Arial" w:cs="Arial"/>
                <w:color w:val="FFFFFF"/>
                <w:sz w:val="16"/>
                <w:szCs w:val="16"/>
                <w:lang w:eastAsia="en-AU"/>
              </w:rPr>
              <w:t>$m</w:t>
            </w:r>
          </w:p>
        </w:tc>
        <w:tc>
          <w:tcPr>
            <w:tcW w:w="936" w:type="dxa"/>
            <w:tcBorders>
              <w:top w:val="nil"/>
              <w:left w:val="nil"/>
              <w:bottom w:val="nil"/>
              <w:right w:val="nil"/>
            </w:tcBorders>
            <w:shd w:val="clear" w:color="000000" w:fill="00426F"/>
            <w:hideMark/>
          </w:tcPr>
          <w:p w14:paraId="09EDC7D9" w14:textId="77777777" w:rsidR="00FF33A8" w:rsidRPr="00A35492" w:rsidRDefault="00FF33A8" w:rsidP="00FF33A8">
            <w:pPr>
              <w:keepNext/>
              <w:jc w:val="center"/>
              <w:rPr>
                <w:rFonts w:ascii="Arial" w:hAnsi="Arial" w:cs="Arial"/>
                <w:color w:val="FFFFFF"/>
                <w:sz w:val="16"/>
                <w:szCs w:val="16"/>
                <w:lang w:eastAsia="en-AU"/>
              </w:rPr>
            </w:pPr>
            <w:r w:rsidRPr="00A35492">
              <w:rPr>
                <w:rFonts w:ascii="Arial" w:hAnsi="Arial" w:cs="Arial"/>
                <w:color w:val="FFFFFF"/>
                <w:sz w:val="16"/>
                <w:szCs w:val="16"/>
                <w:lang w:eastAsia="en-AU"/>
              </w:rPr>
              <w:t>$m</w:t>
            </w:r>
          </w:p>
        </w:tc>
        <w:tc>
          <w:tcPr>
            <w:tcW w:w="1126" w:type="dxa"/>
            <w:vMerge/>
            <w:tcBorders>
              <w:top w:val="nil"/>
              <w:left w:val="nil"/>
              <w:bottom w:val="nil"/>
              <w:right w:val="nil"/>
            </w:tcBorders>
            <w:vAlign w:val="center"/>
            <w:hideMark/>
          </w:tcPr>
          <w:p w14:paraId="02188B67" w14:textId="77777777" w:rsidR="00FF33A8" w:rsidRPr="00A35492" w:rsidRDefault="00FF33A8" w:rsidP="00FF33A8">
            <w:pPr>
              <w:keepNext/>
              <w:rPr>
                <w:rFonts w:ascii="Arial" w:hAnsi="Arial" w:cs="Arial"/>
                <w:color w:val="FFFFFF"/>
                <w:sz w:val="16"/>
                <w:szCs w:val="16"/>
                <w:lang w:eastAsia="en-AU"/>
              </w:rPr>
            </w:pPr>
          </w:p>
        </w:tc>
      </w:tr>
      <w:tr w:rsidR="00FF33A8" w:rsidRPr="00A35492" w14:paraId="4D8F07D4" w14:textId="77777777" w:rsidTr="003F6A66">
        <w:trPr>
          <w:trHeight w:val="240"/>
        </w:trPr>
        <w:tc>
          <w:tcPr>
            <w:tcW w:w="3276" w:type="dxa"/>
            <w:tcBorders>
              <w:top w:val="nil"/>
              <w:left w:val="nil"/>
              <w:bottom w:val="nil"/>
              <w:right w:val="nil"/>
            </w:tcBorders>
            <w:shd w:val="clear" w:color="000000" w:fill="FFFFFF"/>
            <w:vAlign w:val="center"/>
            <w:hideMark/>
          </w:tcPr>
          <w:p w14:paraId="1CAAA519" w14:textId="77777777" w:rsidR="00FF33A8" w:rsidRPr="00A35492" w:rsidRDefault="00FF33A8" w:rsidP="00FF33A8">
            <w:pPr>
              <w:keepNext/>
              <w:rPr>
                <w:rFonts w:ascii="Arial" w:hAnsi="Arial" w:cs="Arial"/>
                <w:sz w:val="16"/>
                <w:szCs w:val="16"/>
                <w:lang w:eastAsia="en-AU"/>
              </w:rPr>
            </w:pPr>
            <w:r w:rsidRPr="00A35492">
              <w:rPr>
                <w:rFonts w:ascii="Arial" w:hAnsi="Arial" w:cs="Arial"/>
                <w:sz w:val="16"/>
                <w:szCs w:val="16"/>
                <w:lang w:eastAsia="en-AU"/>
              </w:rPr>
              <w:t>Transport</w:t>
            </w:r>
          </w:p>
        </w:tc>
        <w:tc>
          <w:tcPr>
            <w:tcW w:w="850" w:type="dxa"/>
            <w:tcBorders>
              <w:top w:val="nil"/>
              <w:left w:val="nil"/>
              <w:bottom w:val="nil"/>
              <w:right w:val="nil"/>
            </w:tcBorders>
            <w:shd w:val="clear" w:color="000000" w:fill="FFFFFF"/>
            <w:noWrap/>
            <w:vAlign w:val="center"/>
            <w:hideMark/>
          </w:tcPr>
          <w:p w14:paraId="598C710A"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2,159</w:t>
            </w:r>
          </w:p>
        </w:tc>
        <w:tc>
          <w:tcPr>
            <w:tcW w:w="850" w:type="dxa"/>
            <w:tcBorders>
              <w:top w:val="nil"/>
              <w:left w:val="nil"/>
              <w:bottom w:val="nil"/>
              <w:right w:val="nil"/>
            </w:tcBorders>
            <w:shd w:val="clear" w:color="000000" w:fill="FFFFFF"/>
            <w:noWrap/>
            <w:vAlign w:val="center"/>
            <w:hideMark/>
          </w:tcPr>
          <w:p w14:paraId="7BD97155"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1,836</w:t>
            </w:r>
          </w:p>
        </w:tc>
        <w:tc>
          <w:tcPr>
            <w:tcW w:w="850" w:type="dxa"/>
            <w:tcBorders>
              <w:top w:val="nil"/>
              <w:left w:val="nil"/>
              <w:bottom w:val="nil"/>
              <w:right w:val="nil"/>
            </w:tcBorders>
            <w:shd w:val="clear" w:color="000000" w:fill="F2F2F2"/>
            <w:noWrap/>
            <w:vAlign w:val="center"/>
            <w:hideMark/>
          </w:tcPr>
          <w:p w14:paraId="5FDDCEE0"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2,166</w:t>
            </w:r>
          </w:p>
        </w:tc>
        <w:tc>
          <w:tcPr>
            <w:tcW w:w="936" w:type="dxa"/>
            <w:tcBorders>
              <w:top w:val="nil"/>
              <w:left w:val="nil"/>
              <w:bottom w:val="nil"/>
              <w:right w:val="nil"/>
            </w:tcBorders>
            <w:shd w:val="clear" w:color="000000" w:fill="F2F2F2"/>
            <w:noWrap/>
            <w:vAlign w:val="center"/>
            <w:hideMark/>
          </w:tcPr>
          <w:p w14:paraId="5B565119"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3,366</w:t>
            </w:r>
          </w:p>
        </w:tc>
        <w:tc>
          <w:tcPr>
            <w:tcW w:w="936" w:type="dxa"/>
            <w:tcBorders>
              <w:top w:val="nil"/>
              <w:left w:val="nil"/>
              <w:bottom w:val="nil"/>
              <w:right w:val="nil"/>
            </w:tcBorders>
            <w:shd w:val="clear" w:color="000000" w:fill="F2F2F2"/>
            <w:noWrap/>
            <w:vAlign w:val="center"/>
            <w:hideMark/>
          </w:tcPr>
          <w:p w14:paraId="1972113D"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4,397</w:t>
            </w:r>
          </w:p>
        </w:tc>
        <w:tc>
          <w:tcPr>
            <w:tcW w:w="936" w:type="dxa"/>
            <w:tcBorders>
              <w:top w:val="nil"/>
              <w:left w:val="nil"/>
              <w:bottom w:val="nil"/>
              <w:right w:val="nil"/>
            </w:tcBorders>
            <w:shd w:val="clear" w:color="000000" w:fill="F2F2F2"/>
            <w:noWrap/>
            <w:vAlign w:val="center"/>
            <w:hideMark/>
          </w:tcPr>
          <w:p w14:paraId="480C0CE1"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4,126</w:t>
            </w:r>
          </w:p>
        </w:tc>
        <w:tc>
          <w:tcPr>
            <w:tcW w:w="1126" w:type="dxa"/>
            <w:tcBorders>
              <w:top w:val="nil"/>
              <w:left w:val="nil"/>
              <w:bottom w:val="nil"/>
              <w:right w:val="nil"/>
            </w:tcBorders>
            <w:shd w:val="clear" w:color="000000" w:fill="FFFFFF"/>
            <w:vAlign w:val="center"/>
            <w:hideMark/>
          </w:tcPr>
          <w:p w14:paraId="1156E4AA" w14:textId="77777777" w:rsidR="00FF33A8" w:rsidRPr="00A35492" w:rsidRDefault="00FF33A8" w:rsidP="00FF33A8">
            <w:pPr>
              <w:keepNext/>
              <w:jc w:val="center"/>
              <w:rPr>
                <w:rFonts w:ascii="Arial" w:hAnsi="Arial" w:cs="Arial"/>
                <w:sz w:val="16"/>
                <w:szCs w:val="16"/>
                <w:lang w:eastAsia="en-AU"/>
              </w:rPr>
            </w:pPr>
            <w:r w:rsidRPr="00A35492">
              <w:rPr>
                <w:rFonts w:ascii="Arial" w:hAnsi="Arial" w:cs="Arial"/>
                <w:sz w:val="16"/>
                <w:szCs w:val="16"/>
                <w:lang w:eastAsia="en-AU"/>
              </w:rPr>
              <w:t>22.4</w:t>
            </w:r>
          </w:p>
        </w:tc>
      </w:tr>
      <w:tr w:rsidR="00FF33A8" w:rsidRPr="00A35492" w14:paraId="7274F4F4" w14:textId="77777777" w:rsidTr="003F6A66">
        <w:trPr>
          <w:trHeight w:val="240"/>
        </w:trPr>
        <w:tc>
          <w:tcPr>
            <w:tcW w:w="3276" w:type="dxa"/>
            <w:tcBorders>
              <w:top w:val="nil"/>
              <w:left w:val="nil"/>
              <w:bottom w:val="nil"/>
              <w:right w:val="nil"/>
            </w:tcBorders>
            <w:shd w:val="clear" w:color="000000" w:fill="FFFFFF"/>
            <w:vAlign w:val="center"/>
            <w:hideMark/>
          </w:tcPr>
          <w:p w14:paraId="032C2118" w14:textId="77777777" w:rsidR="00FF33A8" w:rsidRPr="00A35492" w:rsidRDefault="00FF33A8" w:rsidP="00FF33A8">
            <w:pPr>
              <w:keepNext/>
              <w:rPr>
                <w:rFonts w:ascii="Arial" w:hAnsi="Arial" w:cs="Arial"/>
                <w:sz w:val="16"/>
                <w:szCs w:val="16"/>
                <w:lang w:eastAsia="en-AU"/>
              </w:rPr>
            </w:pPr>
            <w:r w:rsidRPr="00A35492">
              <w:rPr>
                <w:rFonts w:ascii="Arial" w:hAnsi="Arial" w:cs="Arial"/>
                <w:sz w:val="16"/>
                <w:szCs w:val="16"/>
                <w:lang w:eastAsia="en-AU"/>
              </w:rPr>
              <w:t>Education and skills</w:t>
            </w:r>
          </w:p>
        </w:tc>
        <w:tc>
          <w:tcPr>
            <w:tcW w:w="850" w:type="dxa"/>
            <w:tcBorders>
              <w:top w:val="nil"/>
              <w:left w:val="nil"/>
              <w:bottom w:val="nil"/>
              <w:right w:val="nil"/>
            </w:tcBorders>
            <w:shd w:val="clear" w:color="000000" w:fill="FFFFFF"/>
            <w:noWrap/>
            <w:vAlign w:val="center"/>
            <w:hideMark/>
          </w:tcPr>
          <w:p w14:paraId="4EFE375C"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311</w:t>
            </w:r>
          </w:p>
        </w:tc>
        <w:tc>
          <w:tcPr>
            <w:tcW w:w="850" w:type="dxa"/>
            <w:tcBorders>
              <w:top w:val="nil"/>
              <w:left w:val="nil"/>
              <w:bottom w:val="nil"/>
              <w:right w:val="nil"/>
            </w:tcBorders>
            <w:shd w:val="clear" w:color="000000" w:fill="FFFFFF"/>
            <w:noWrap/>
            <w:vAlign w:val="center"/>
            <w:hideMark/>
          </w:tcPr>
          <w:p w14:paraId="099EB39F"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381</w:t>
            </w:r>
          </w:p>
        </w:tc>
        <w:tc>
          <w:tcPr>
            <w:tcW w:w="850" w:type="dxa"/>
            <w:tcBorders>
              <w:top w:val="nil"/>
              <w:left w:val="nil"/>
              <w:bottom w:val="nil"/>
              <w:right w:val="nil"/>
            </w:tcBorders>
            <w:shd w:val="clear" w:color="000000" w:fill="F2F2F2"/>
            <w:noWrap/>
            <w:vAlign w:val="center"/>
            <w:hideMark/>
          </w:tcPr>
          <w:p w14:paraId="285D9429"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208</w:t>
            </w:r>
          </w:p>
        </w:tc>
        <w:tc>
          <w:tcPr>
            <w:tcW w:w="936" w:type="dxa"/>
            <w:tcBorders>
              <w:top w:val="nil"/>
              <w:left w:val="nil"/>
              <w:bottom w:val="nil"/>
              <w:right w:val="nil"/>
            </w:tcBorders>
            <w:shd w:val="clear" w:color="000000" w:fill="F2F2F2"/>
            <w:noWrap/>
            <w:vAlign w:val="center"/>
            <w:hideMark/>
          </w:tcPr>
          <w:p w14:paraId="2909A19E"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146</w:t>
            </w:r>
          </w:p>
        </w:tc>
        <w:tc>
          <w:tcPr>
            <w:tcW w:w="936" w:type="dxa"/>
            <w:tcBorders>
              <w:top w:val="nil"/>
              <w:left w:val="nil"/>
              <w:bottom w:val="nil"/>
              <w:right w:val="nil"/>
            </w:tcBorders>
            <w:shd w:val="clear" w:color="000000" w:fill="F2F2F2"/>
            <w:noWrap/>
            <w:vAlign w:val="center"/>
            <w:hideMark/>
          </w:tcPr>
          <w:p w14:paraId="7189F121"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140</w:t>
            </w:r>
          </w:p>
        </w:tc>
        <w:tc>
          <w:tcPr>
            <w:tcW w:w="936" w:type="dxa"/>
            <w:tcBorders>
              <w:top w:val="nil"/>
              <w:left w:val="nil"/>
              <w:bottom w:val="nil"/>
              <w:right w:val="nil"/>
            </w:tcBorders>
            <w:shd w:val="clear" w:color="000000" w:fill="F2F2F2"/>
            <w:noWrap/>
            <w:vAlign w:val="center"/>
            <w:hideMark/>
          </w:tcPr>
          <w:p w14:paraId="53F46ACF"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100</w:t>
            </w:r>
          </w:p>
        </w:tc>
        <w:tc>
          <w:tcPr>
            <w:tcW w:w="1126" w:type="dxa"/>
            <w:tcBorders>
              <w:top w:val="nil"/>
              <w:left w:val="nil"/>
              <w:bottom w:val="nil"/>
              <w:right w:val="nil"/>
            </w:tcBorders>
            <w:shd w:val="clear" w:color="000000" w:fill="FFFFFF"/>
            <w:vAlign w:val="center"/>
            <w:hideMark/>
          </w:tcPr>
          <w:p w14:paraId="62B26FB9" w14:textId="77777777" w:rsidR="00FF33A8" w:rsidRPr="00A35492" w:rsidRDefault="00FF33A8" w:rsidP="00FF33A8">
            <w:pPr>
              <w:keepNext/>
              <w:jc w:val="center"/>
              <w:rPr>
                <w:rFonts w:ascii="Arial" w:hAnsi="Arial" w:cs="Arial"/>
                <w:sz w:val="16"/>
                <w:szCs w:val="16"/>
                <w:lang w:eastAsia="en-AU"/>
              </w:rPr>
            </w:pPr>
            <w:r w:rsidRPr="00A35492">
              <w:rPr>
                <w:rFonts w:ascii="Arial" w:hAnsi="Arial" w:cs="Arial"/>
                <w:sz w:val="16"/>
                <w:szCs w:val="16"/>
                <w:lang w:eastAsia="en-AU"/>
              </w:rPr>
              <w:t>(28.4)</w:t>
            </w:r>
          </w:p>
        </w:tc>
      </w:tr>
      <w:tr w:rsidR="00FF33A8" w:rsidRPr="00A35492" w14:paraId="3C396811" w14:textId="77777777" w:rsidTr="003F6A66">
        <w:trPr>
          <w:trHeight w:val="240"/>
        </w:trPr>
        <w:tc>
          <w:tcPr>
            <w:tcW w:w="3276" w:type="dxa"/>
            <w:tcBorders>
              <w:top w:val="nil"/>
              <w:left w:val="nil"/>
              <w:bottom w:val="nil"/>
              <w:right w:val="nil"/>
            </w:tcBorders>
            <w:shd w:val="clear" w:color="000000" w:fill="FFFFFF"/>
            <w:vAlign w:val="center"/>
            <w:hideMark/>
          </w:tcPr>
          <w:p w14:paraId="0BE6324D" w14:textId="77777777" w:rsidR="00FF33A8" w:rsidRPr="00A35492" w:rsidRDefault="00FF33A8" w:rsidP="00FF33A8">
            <w:pPr>
              <w:keepNext/>
              <w:rPr>
                <w:rFonts w:ascii="Arial" w:hAnsi="Arial" w:cs="Arial"/>
                <w:sz w:val="16"/>
                <w:szCs w:val="16"/>
                <w:lang w:eastAsia="en-AU"/>
              </w:rPr>
            </w:pPr>
            <w:r w:rsidRPr="00A35492">
              <w:rPr>
                <w:rFonts w:ascii="Arial" w:hAnsi="Arial" w:cs="Arial"/>
                <w:sz w:val="16"/>
                <w:szCs w:val="16"/>
                <w:lang w:eastAsia="en-AU"/>
              </w:rPr>
              <w:t>Disability</w:t>
            </w:r>
          </w:p>
        </w:tc>
        <w:tc>
          <w:tcPr>
            <w:tcW w:w="850" w:type="dxa"/>
            <w:tcBorders>
              <w:top w:val="nil"/>
              <w:left w:val="nil"/>
              <w:bottom w:val="nil"/>
              <w:right w:val="nil"/>
            </w:tcBorders>
            <w:shd w:val="clear" w:color="000000" w:fill="FFFFFF"/>
            <w:noWrap/>
            <w:vAlign w:val="center"/>
            <w:hideMark/>
          </w:tcPr>
          <w:p w14:paraId="1924589E"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618</w:t>
            </w:r>
          </w:p>
        </w:tc>
        <w:tc>
          <w:tcPr>
            <w:tcW w:w="850" w:type="dxa"/>
            <w:tcBorders>
              <w:top w:val="nil"/>
              <w:left w:val="nil"/>
              <w:bottom w:val="nil"/>
              <w:right w:val="nil"/>
            </w:tcBorders>
            <w:shd w:val="clear" w:color="000000" w:fill="FFFFFF"/>
            <w:noWrap/>
            <w:vAlign w:val="center"/>
            <w:hideMark/>
          </w:tcPr>
          <w:p w14:paraId="2268520F"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630</w:t>
            </w:r>
          </w:p>
        </w:tc>
        <w:tc>
          <w:tcPr>
            <w:tcW w:w="850" w:type="dxa"/>
            <w:tcBorders>
              <w:top w:val="nil"/>
              <w:left w:val="nil"/>
              <w:bottom w:val="nil"/>
              <w:right w:val="nil"/>
            </w:tcBorders>
            <w:shd w:val="clear" w:color="000000" w:fill="F2F2F2"/>
            <w:noWrap/>
            <w:vAlign w:val="center"/>
            <w:hideMark/>
          </w:tcPr>
          <w:p w14:paraId="1720C6D1"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350</w:t>
            </w:r>
          </w:p>
        </w:tc>
        <w:tc>
          <w:tcPr>
            <w:tcW w:w="936" w:type="dxa"/>
            <w:tcBorders>
              <w:top w:val="nil"/>
              <w:left w:val="nil"/>
              <w:bottom w:val="nil"/>
              <w:right w:val="nil"/>
            </w:tcBorders>
            <w:shd w:val="clear" w:color="000000" w:fill="F2F2F2"/>
            <w:noWrap/>
            <w:vAlign w:val="center"/>
            <w:hideMark/>
          </w:tcPr>
          <w:p w14:paraId="5F7810B2"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362</w:t>
            </w:r>
          </w:p>
        </w:tc>
        <w:tc>
          <w:tcPr>
            <w:tcW w:w="936" w:type="dxa"/>
            <w:tcBorders>
              <w:top w:val="nil"/>
              <w:left w:val="nil"/>
              <w:bottom w:val="nil"/>
              <w:right w:val="nil"/>
            </w:tcBorders>
            <w:shd w:val="clear" w:color="000000" w:fill="F2F2F2"/>
            <w:noWrap/>
            <w:vAlign w:val="center"/>
            <w:hideMark/>
          </w:tcPr>
          <w:p w14:paraId="1C257587"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w:t>
            </w:r>
          </w:p>
        </w:tc>
        <w:tc>
          <w:tcPr>
            <w:tcW w:w="936" w:type="dxa"/>
            <w:tcBorders>
              <w:top w:val="nil"/>
              <w:left w:val="nil"/>
              <w:bottom w:val="nil"/>
              <w:right w:val="nil"/>
            </w:tcBorders>
            <w:shd w:val="clear" w:color="000000" w:fill="F2F2F2"/>
            <w:noWrap/>
            <w:vAlign w:val="center"/>
            <w:hideMark/>
          </w:tcPr>
          <w:p w14:paraId="641A6EFE"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w:t>
            </w:r>
          </w:p>
        </w:tc>
        <w:tc>
          <w:tcPr>
            <w:tcW w:w="1126" w:type="dxa"/>
            <w:tcBorders>
              <w:top w:val="nil"/>
              <w:left w:val="nil"/>
              <w:bottom w:val="nil"/>
              <w:right w:val="nil"/>
            </w:tcBorders>
            <w:shd w:val="clear" w:color="000000" w:fill="FFFFFF"/>
            <w:vAlign w:val="center"/>
            <w:hideMark/>
          </w:tcPr>
          <w:p w14:paraId="6520F3E4" w14:textId="77777777" w:rsidR="00FF33A8" w:rsidRPr="00A35492" w:rsidRDefault="00FF33A8" w:rsidP="00FF33A8">
            <w:pPr>
              <w:keepNext/>
              <w:jc w:val="center"/>
              <w:rPr>
                <w:rFonts w:ascii="Arial" w:hAnsi="Arial" w:cs="Arial"/>
                <w:sz w:val="16"/>
                <w:szCs w:val="16"/>
                <w:lang w:eastAsia="en-AU"/>
              </w:rPr>
            </w:pPr>
            <w:r w:rsidRPr="00A35492">
              <w:rPr>
                <w:rFonts w:ascii="Arial" w:hAnsi="Arial" w:cs="Arial"/>
                <w:sz w:val="16"/>
                <w:szCs w:val="16"/>
                <w:lang w:eastAsia="en-AU"/>
              </w:rPr>
              <w:t>(100.0)</w:t>
            </w:r>
          </w:p>
        </w:tc>
      </w:tr>
      <w:tr w:rsidR="00FF33A8" w:rsidRPr="00A35492" w14:paraId="1AF109DA" w14:textId="77777777" w:rsidTr="003F6A66">
        <w:trPr>
          <w:trHeight w:val="240"/>
        </w:trPr>
        <w:tc>
          <w:tcPr>
            <w:tcW w:w="3276" w:type="dxa"/>
            <w:tcBorders>
              <w:top w:val="nil"/>
              <w:left w:val="nil"/>
              <w:bottom w:val="nil"/>
              <w:right w:val="nil"/>
            </w:tcBorders>
            <w:shd w:val="clear" w:color="000000" w:fill="FFFFFF"/>
            <w:vAlign w:val="center"/>
            <w:hideMark/>
          </w:tcPr>
          <w:p w14:paraId="015A1FC8" w14:textId="77777777" w:rsidR="00FF33A8" w:rsidRPr="00A35492" w:rsidRDefault="00FF33A8" w:rsidP="00FF33A8">
            <w:pPr>
              <w:keepNext/>
              <w:rPr>
                <w:rFonts w:ascii="Arial" w:hAnsi="Arial" w:cs="Arial"/>
                <w:sz w:val="16"/>
                <w:szCs w:val="16"/>
                <w:lang w:eastAsia="en-AU"/>
              </w:rPr>
            </w:pPr>
            <w:r w:rsidRPr="00A35492">
              <w:rPr>
                <w:rFonts w:ascii="Arial" w:hAnsi="Arial" w:cs="Arial"/>
                <w:sz w:val="16"/>
                <w:szCs w:val="16"/>
                <w:lang w:eastAsia="en-AU"/>
              </w:rPr>
              <w:t>Health</w:t>
            </w:r>
          </w:p>
        </w:tc>
        <w:tc>
          <w:tcPr>
            <w:tcW w:w="850" w:type="dxa"/>
            <w:tcBorders>
              <w:top w:val="nil"/>
              <w:left w:val="nil"/>
              <w:bottom w:val="nil"/>
              <w:right w:val="nil"/>
            </w:tcBorders>
            <w:shd w:val="clear" w:color="000000" w:fill="FFFFFF"/>
            <w:noWrap/>
            <w:vAlign w:val="center"/>
            <w:hideMark/>
          </w:tcPr>
          <w:p w14:paraId="7981F9B2"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99</w:t>
            </w:r>
          </w:p>
        </w:tc>
        <w:tc>
          <w:tcPr>
            <w:tcW w:w="850" w:type="dxa"/>
            <w:tcBorders>
              <w:top w:val="nil"/>
              <w:left w:val="nil"/>
              <w:bottom w:val="nil"/>
              <w:right w:val="nil"/>
            </w:tcBorders>
            <w:shd w:val="clear" w:color="000000" w:fill="FFFFFF"/>
            <w:noWrap/>
            <w:vAlign w:val="center"/>
            <w:hideMark/>
          </w:tcPr>
          <w:p w14:paraId="0A550ACB"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80</w:t>
            </w:r>
          </w:p>
        </w:tc>
        <w:tc>
          <w:tcPr>
            <w:tcW w:w="850" w:type="dxa"/>
            <w:tcBorders>
              <w:top w:val="nil"/>
              <w:left w:val="nil"/>
              <w:bottom w:val="nil"/>
              <w:right w:val="nil"/>
            </w:tcBorders>
            <w:shd w:val="clear" w:color="000000" w:fill="F2F2F2"/>
            <w:noWrap/>
            <w:vAlign w:val="center"/>
            <w:hideMark/>
          </w:tcPr>
          <w:p w14:paraId="7B8BC6C3"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115</w:t>
            </w:r>
          </w:p>
        </w:tc>
        <w:tc>
          <w:tcPr>
            <w:tcW w:w="936" w:type="dxa"/>
            <w:tcBorders>
              <w:top w:val="nil"/>
              <w:left w:val="nil"/>
              <w:bottom w:val="nil"/>
              <w:right w:val="nil"/>
            </w:tcBorders>
            <w:shd w:val="clear" w:color="000000" w:fill="F2F2F2"/>
            <w:noWrap/>
            <w:vAlign w:val="center"/>
            <w:hideMark/>
          </w:tcPr>
          <w:p w14:paraId="3C552FCF"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80</w:t>
            </w:r>
          </w:p>
        </w:tc>
        <w:tc>
          <w:tcPr>
            <w:tcW w:w="936" w:type="dxa"/>
            <w:tcBorders>
              <w:top w:val="nil"/>
              <w:left w:val="nil"/>
              <w:bottom w:val="nil"/>
              <w:right w:val="nil"/>
            </w:tcBorders>
            <w:shd w:val="clear" w:color="000000" w:fill="F2F2F2"/>
            <w:noWrap/>
            <w:vAlign w:val="center"/>
            <w:hideMark/>
          </w:tcPr>
          <w:p w14:paraId="2B17F38A"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151</w:t>
            </w:r>
          </w:p>
        </w:tc>
        <w:tc>
          <w:tcPr>
            <w:tcW w:w="936" w:type="dxa"/>
            <w:tcBorders>
              <w:top w:val="nil"/>
              <w:left w:val="nil"/>
              <w:bottom w:val="nil"/>
              <w:right w:val="nil"/>
            </w:tcBorders>
            <w:shd w:val="clear" w:color="000000" w:fill="F2F2F2"/>
            <w:noWrap/>
            <w:vAlign w:val="center"/>
            <w:hideMark/>
          </w:tcPr>
          <w:p w14:paraId="50E6B8B8"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6</w:t>
            </w:r>
          </w:p>
        </w:tc>
        <w:tc>
          <w:tcPr>
            <w:tcW w:w="1126" w:type="dxa"/>
            <w:tcBorders>
              <w:top w:val="nil"/>
              <w:left w:val="nil"/>
              <w:bottom w:val="nil"/>
              <w:right w:val="nil"/>
            </w:tcBorders>
            <w:shd w:val="clear" w:color="000000" w:fill="FFFFFF"/>
            <w:vAlign w:val="center"/>
            <w:hideMark/>
          </w:tcPr>
          <w:p w14:paraId="3E493E8A" w14:textId="77777777" w:rsidR="00FF33A8" w:rsidRPr="00A35492" w:rsidRDefault="00FF33A8" w:rsidP="00FF33A8">
            <w:pPr>
              <w:keepNext/>
              <w:jc w:val="center"/>
              <w:rPr>
                <w:rFonts w:ascii="Arial" w:hAnsi="Arial" w:cs="Arial"/>
                <w:sz w:val="16"/>
                <w:szCs w:val="16"/>
                <w:lang w:eastAsia="en-AU"/>
              </w:rPr>
            </w:pPr>
            <w:r w:rsidRPr="00A35492">
              <w:rPr>
                <w:rFonts w:ascii="Arial" w:hAnsi="Arial" w:cs="Arial"/>
                <w:sz w:val="16"/>
                <w:szCs w:val="16"/>
                <w:lang w:eastAsia="en-AU"/>
              </w:rPr>
              <w:t>(46.8)</w:t>
            </w:r>
          </w:p>
        </w:tc>
      </w:tr>
      <w:tr w:rsidR="00FF33A8" w:rsidRPr="00A35492" w14:paraId="23E4E4E5" w14:textId="77777777" w:rsidTr="003F6A66">
        <w:trPr>
          <w:trHeight w:val="240"/>
        </w:trPr>
        <w:tc>
          <w:tcPr>
            <w:tcW w:w="3276" w:type="dxa"/>
            <w:tcBorders>
              <w:top w:val="nil"/>
              <w:left w:val="nil"/>
              <w:bottom w:val="nil"/>
              <w:right w:val="nil"/>
            </w:tcBorders>
            <w:shd w:val="clear" w:color="000000" w:fill="FFFFFF"/>
            <w:vAlign w:val="center"/>
            <w:hideMark/>
          </w:tcPr>
          <w:p w14:paraId="2C13C23E" w14:textId="77777777" w:rsidR="00FF33A8" w:rsidRPr="00A35492" w:rsidRDefault="00FF33A8" w:rsidP="00FF33A8">
            <w:pPr>
              <w:keepNext/>
              <w:rPr>
                <w:rFonts w:ascii="Arial" w:hAnsi="Arial" w:cs="Arial"/>
                <w:sz w:val="16"/>
                <w:szCs w:val="16"/>
                <w:lang w:eastAsia="en-AU"/>
              </w:rPr>
            </w:pPr>
            <w:r w:rsidRPr="00A35492">
              <w:rPr>
                <w:rFonts w:ascii="Arial" w:hAnsi="Arial" w:cs="Arial"/>
                <w:sz w:val="16"/>
                <w:szCs w:val="16"/>
                <w:lang w:eastAsia="en-AU"/>
              </w:rPr>
              <w:t>Housing</w:t>
            </w:r>
          </w:p>
        </w:tc>
        <w:tc>
          <w:tcPr>
            <w:tcW w:w="850" w:type="dxa"/>
            <w:tcBorders>
              <w:top w:val="nil"/>
              <w:left w:val="nil"/>
              <w:bottom w:val="nil"/>
              <w:right w:val="nil"/>
            </w:tcBorders>
            <w:shd w:val="clear" w:color="000000" w:fill="FFFFFF"/>
            <w:noWrap/>
            <w:vAlign w:val="center"/>
            <w:hideMark/>
          </w:tcPr>
          <w:p w14:paraId="0D0F9A65"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128</w:t>
            </w:r>
          </w:p>
        </w:tc>
        <w:tc>
          <w:tcPr>
            <w:tcW w:w="850" w:type="dxa"/>
            <w:tcBorders>
              <w:top w:val="nil"/>
              <w:left w:val="nil"/>
              <w:bottom w:val="nil"/>
              <w:right w:val="nil"/>
            </w:tcBorders>
            <w:shd w:val="clear" w:color="000000" w:fill="FFFFFF"/>
            <w:noWrap/>
            <w:vAlign w:val="center"/>
            <w:hideMark/>
          </w:tcPr>
          <w:p w14:paraId="2AA2CE50"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231</w:t>
            </w:r>
          </w:p>
        </w:tc>
        <w:tc>
          <w:tcPr>
            <w:tcW w:w="850" w:type="dxa"/>
            <w:tcBorders>
              <w:top w:val="nil"/>
              <w:left w:val="nil"/>
              <w:bottom w:val="nil"/>
              <w:right w:val="nil"/>
            </w:tcBorders>
            <w:shd w:val="clear" w:color="000000" w:fill="F2F2F2"/>
            <w:noWrap/>
            <w:vAlign w:val="center"/>
            <w:hideMark/>
          </w:tcPr>
          <w:p w14:paraId="42D1A0B0"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58</w:t>
            </w:r>
          </w:p>
        </w:tc>
        <w:tc>
          <w:tcPr>
            <w:tcW w:w="936" w:type="dxa"/>
            <w:tcBorders>
              <w:top w:val="nil"/>
              <w:left w:val="nil"/>
              <w:bottom w:val="nil"/>
              <w:right w:val="nil"/>
            </w:tcBorders>
            <w:shd w:val="clear" w:color="000000" w:fill="F2F2F2"/>
            <w:noWrap/>
            <w:vAlign w:val="center"/>
            <w:hideMark/>
          </w:tcPr>
          <w:p w14:paraId="7F0E60AB"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w:t>
            </w:r>
          </w:p>
        </w:tc>
        <w:tc>
          <w:tcPr>
            <w:tcW w:w="936" w:type="dxa"/>
            <w:tcBorders>
              <w:top w:val="nil"/>
              <w:left w:val="nil"/>
              <w:bottom w:val="nil"/>
              <w:right w:val="nil"/>
            </w:tcBorders>
            <w:shd w:val="clear" w:color="000000" w:fill="F2F2F2"/>
            <w:noWrap/>
            <w:vAlign w:val="center"/>
            <w:hideMark/>
          </w:tcPr>
          <w:p w14:paraId="659F6D11"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w:t>
            </w:r>
          </w:p>
        </w:tc>
        <w:tc>
          <w:tcPr>
            <w:tcW w:w="936" w:type="dxa"/>
            <w:tcBorders>
              <w:top w:val="nil"/>
              <w:left w:val="nil"/>
              <w:bottom w:val="nil"/>
              <w:right w:val="nil"/>
            </w:tcBorders>
            <w:shd w:val="clear" w:color="000000" w:fill="F2F2F2"/>
            <w:noWrap/>
            <w:vAlign w:val="center"/>
            <w:hideMark/>
          </w:tcPr>
          <w:p w14:paraId="30280336"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w:t>
            </w:r>
          </w:p>
        </w:tc>
        <w:tc>
          <w:tcPr>
            <w:tcW w:w="1126" w:type="dxa"/>
            <w:tcBorders>
              <w:top w:val="nil"/>
              <w:left w:val="nil"/>
              <w:bottom w:val="nil"/>
              <w:right w:val="nil"/>
            </w:tcBorders>
            <w:shd w:val="clear" w:color="000000" w:fill="FFFFFF"/>
            <w:vAlign w:val="center"/>
            <w:hideMark/>
          </w:tcPr>
          <w:p w14:paraId="0A1006E3" w14:textId="77777777" w:rsidR="00FF33A8" w:rsidRPr="00A35492" w:rsidRDefault="00FF33A8" w:rsidP="00FF33A8">
            <w:pPr>
              <w:keepNext/>
              <w:jc w:val="center"/>
              <w:rPr>
                <w:rFonts w:ascii="Arial" w:hAnsi="Arial" w:cs="Arial"/>
                <w:sz w:val="16"/>
                <w:szCs w:val="16"/>
                <w:lang w:eastAsia="en-AU"/>
              </w:rPr>
            </w:pPr>
            <w:r w:rsidRPr="00A35492">
              <w:rPr>
                <w:rFonts w:ascii="Arial" w:hAnsi="Arial" w:cs="Arial"/>
                <w:sz w:val="16"/>
                <w:szCs w:val="16"/>
                <w:lang w:eastAsia="en-AU"/>
              </w:rPr>
              <w:t> </w:t>
            </w:r>
          </w:p>
        </w:tc>
      </w:tr>
      <w:tr w:rsidR="00FF33A8" w:rsidRPr="00A35492" w14:paraId="2267C3ED" w14:textId="77777777" w:rsidTr="003F6A66">
        <w:trPr>
          <w:trHeight w:val="240"/>
        </w:trPr>
        <w:tc>
          <w:tcPr>
            <w:tcW w:w="3276" w:type="dxa"/>
            <w:tcBorders>
              <w:top w:val="nil"/>
              <w:left w:val="nil"/>
              <w:bottom w:val="nil"/>
              <w:right w:val="nil"/>
            </w:tcBorders>
            <w:shd w:val="clear" w:color="000000" w:fill="FFFFFF"/>
            <w:vAlign w:val="center"/>
            <w:hideMark/>
          </w:tcPr>
          <w:p w14:paraId="1F2DE209" w14:textId="77777777" w:rsidR="00FF33A8" w:rsidRPr="00A35492" w:rsidRDefault="00FF33A8" w:rsidP="00FF33A8">
            <w:pPr>
              <w:keepNext/>
              <w:rPr>
                <w:rFonts w:ascii="Arial" w:hAnsi="Arial" w:cs="Arial"/>
                <w:sz w:val="16"/>
                <w:szCs w:val="16"/>
                <w:lang w:eastAsia="en-AU"/>
              </w:rPr>
            </w:pPr>
            <w:r w:rsidRPr="00A35492">
              <w:rPr>
                <w:rFonts w:ascii="Arial" w:hAnsi="Arial" w:cs="Arial"/>
                <w:sz w:val="16"/>
                <w:szCs w:val="16"/>
                <w:lang w:eastAsia="en-AU"/>
              </w:rPr>
              <w:t>Environment</w:t>
            </w:r>
          </w:p>
        </w:tc>
        <w:tc>
          <w:tcPr>
            <w:tcW w:w="850" w:type="dxa"/>
            <w:tcBorders>
              <w:top w:val="nil"/>
              <w:left w:val="nil"/>
              <w:bottom w:val="nil"/>
              <w:right w:val="nil"/>
            </w:tcBorders>
            <w:shd w:val="clear" w:color="000000" w:fill="FFFFFF"/>
            <w:noWrap/>
            <w:vAlign w:val="center"/>
            <w:hideMark/>
          </w:tcPr>
          <w:p w14:paraId="3E4539A1"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59</w:t>
            </w:r>
          </w:p>
        </w:tc>
        <w:tc>
          <w:tcPr>
            <w:tcW w:w="850" w:type="dxa"/>
            <w:tcBorders>
              <w:top w:val="nil"/>
              <w:left w:val="nil"/>
              <w:bottom w:val="nil"/>
              <w:right w:val="nil"/>
            </w:tcBorders>
            <w:shd w:val="clear" w:color="000000" w:fill="FFFFFF"/>
            <w:noWrap/>
            <w:vAlign w:val="center"/>
            <w:hideMark/>
          </w:tcPr>
          <w:p w14:paraId="00C09E79"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206</w:t>
            </w:r>
          </w:p>
        </w:tc>
        <w:tc>
          <w:tcPr>
            <w:tcW w:w="850" w:type="dxa"/>
            <w:tcBorders>
              <w:top w:val="nil"/>
              <w:left w:val="nil"/>
              <w:bottom w:val="nil"/>
              <w:right w:val="nil"/>
            </w:tcBorders>
            <w:shd w:val="clear" w:color="000000" w:fill="F2F2F2"/>
            <w:noWrap/>
            <w:vAlign w:val="center"/>
            <w:hideMark/>
          </w:tcPr>
          <w:p w14:paraId="788C3848"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          171</w:t>
            </w:r>
          </w:p>
        </w:tc>
        <w:tc>
          <w:tcPr>
            <w:tcW w:w="936" w:type="dxa"/>
            <w:tcBorders>
              <w:top w:val="nil"/>
              <w:left w:val="nil"/>
              <w:bottom w:val="nil"/>
              <w:right w:val="nil"/>
            </w:tcBorders>
            <w:shd w:val="clear" w:color="000000" w:fill="F2F2F2"/>
            <w:noWrap/>
            <w:vAlign w:val="center"/>
            <w:hideMark/>
          </w:tcPr>
          <w:p w14:paraId="3658286E"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64</w:t>
            </w:r>
          </w:p>
        </w:tc>
        <w:tc>
          <w:tcPr>
            <w:tcW w:w="936" w:type="dxa"/>
            <w:tcBorders>
              <w:top w:val="nil"/>
              <w:left w:val="nil"/>
              <w:bottom w:val="nil"/>
              <w:right w:val="nil"/>
            </w:tcBorders>
            <w:shd w:val="clear" w:color="000000" w:fill="F2F2F2"/>
            <w:noWrap/>
            <w:vAlign w:val="center"/>
            <w:hideMark/>
          </w:tcPr>
          <w:p w14:paraId="6F13D628"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28</w:t>
            </w:r>
          </w:p>
        </w:tc>
        <w:tc>
          <w:tcPr>
            <w:tcW w:w="936" w:type="dxa"/>
            <w:tcBorders>
              <w:top w:val="nil"/>
              <w:left w:val="nil"/>
              <w:bottom w:val="nil"/>
              <w:right w:val="nil"/>
            </w:tcBorders>
            <w:shd w:val="clear" w:color="000000" w:fill="F2F2F2"/>
            <w:noWrap/>
            <w:vAlign w:val="center"/>
            <w:hideMark/>
          </w:tcPr>
          <w:p w14:paraId="670BA055"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7</w:t>
            </w:r>
          </w:p>
        </w:tc>
        <w:tc>
          <w:tcPr>
            <w:tcW w:w="1126" w:type="dxa"/>
            <w:tcBorders>
              <w:top w:val="nil"/>
              <w:left w:val="nil"/>
              <w:bottom w:val="nil"/>
              <w:right w:val="nil"/>
            </w:tcBorders>
            <w:shd w:val="clear" w:color="000000" w:fill="FFFFFF"/>
            <w:vAlign w:val="center"/>
            <w:hideMark/>
          </w:tcPr>
          <w:p w14:paraId="4412DAFC" w14:textId="77777777" w:rsidR="00FF33A8" w:rsidRPr="00A35492" w:rsidRDefault="00FF33A8" w:rsidP="00FF33A8">
            <w:pPr>
              <w:keepNext/>
              <w:jc w:val="center"/>
              <w:rPr>
                <w:rFonts w:ascii="Arial" w:hAnsi="Arial" w:cs="Arial"/>
                <w:sz w:val="16"/>
                <w:szCs w:val="16"/>
                <w:lang w:eastAsia="en-AU"/>
              </w:rPr>
            </w:pPr>
            <w:r w:rsidRPr="00A35492">
              <w:rPr>
                <w:rFonts w:ascii="Arial" w:hAnsi="Arial" w:cs="Arial"/>
                <w:sz w:val="16"/>
                <w:szCs w:val="16"/>
                <w:lang w:eastAsia="en-AU"/>
              </w:rPr>
              <w:t>(57.3)</w:t>
            </w:r>
          </w:p>
        </w:tc>
      </w:tr>
      <w:tr w:rsidR="00FF33A8" w:rsidRPr="00A35492" w14:paraId="00B7678F" w14:textId="77777777" w:rsidTr="003F6A66">
        <w:trPr>
          <w:trHeight w:val="240"/>
        </w:trPr>
        <w:tc>
          <w:tcPr>
            <w:tcW w:w="3276" w:type="dxa"/>
            <w:tcBorders>
              <w:top w:val="nil"/>
              <w:left w:val="nil"/>
              <w:bottom w:val="nil"/>
              <w:right w:val="nil"/>
            </w:tcBorders>
            <w:shd w:val="clear" w:color="000000" w:fill="FFFFFF"/>
            <w:vAlign w:val="center"/>
            <w:hideMark/>
          </w:tcPr>
          <w:p w14:paraId="01D40E6D" w14:textId="77777777" w:rsidR="00FF33A8" w:rsidRPr="00A35492" w:rsidRDefault="00FF33A8" w:rsidP="00FF33A8">
            <w:pPr>
              <w:keepNext/>
              <w:rPr>
                <w:rFonts w:ascii="Arial" w:hAnsi="Arial" w:cs="Arial"/>
                <w:sz w:val="16"/>
                <w:szCs w:val="16"/>
                <w:lang w:eastAsia="en-AU"/>
              </w:rPr>
            </w:pPr>
            <w:r w:rsidRPr="00A35492">
              <w:rPr>
                <w:rFonts w:ascii="Arial" w:hAnsi="Arial" w:cs="Arial"/>
                <w:sz w:val="16"/>
                <w:szCs w:val="16"/>
                <w:lang w:eastAsia="en-AU"/>
              </w:rPr>
              <w:t>Other</w:t>
            </w:r>
          </w:p>
        </w:tc>
        <w:tc>
          <w:tcPr>
            <w:tcW w:w="850" w:type="dxa"/>
            <w:tcBorders>
              <w:top w:val="nil"/>
              <w:left w:val="nil"/>
              <w:bottom w:val="nil"/>
              <w:right w:val="nil"/>
            </w:tcBorders>
            <w:shd w:val="clear" w:color="000000" w:fill="FFFFFF"/>
            <w:noWrap/>
            <w:vAlign w:val="center"/>
            <w:hideMark/>
          </w:tcPr>
          <w:p w14:paraId="3F3A2F55"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243</w:t>
            </w:r>
          </w:p>
        </w:tc>
        <w:tc>
          <w:tcPr>
            <w:tcW w:w="850" w:type="dxa"/>
            <w:tcBorders>
              <w:top w:val="nil"/>
              <w:left w:val="nil"/>
              <w:bottom w:val="nil"/>
              <w:right w:val="nil"/>
            </w:tcBorders>
            <w:shd w:val="clear" w:color="000000" w:fill="FFFFFF"/>
            <w:noWrap/>
            <w:vAlign w:val="center"/>
            <w:hideMark/>
          </w:tcPr>
          <w:p w14:paraId="3636B184"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3,745</w:t>
            </w:r>
          </w:p>
        </w:tc>
        <w:tc>
          <w:tcPr>
            <w:tcW w:w="850" w:type="dxa"/>
            <w:tcBorders>
              <w:top w:val="nil"/>
              <w:left w:val="nil"/>
              <w:bottom w:val="nil"/>
              <w:right w:val="nil"/>
            </w:tcBorders>
            <w:shd w:val="clear" w:color="000000" w:fill="F2F2F2"/>
            <w:noWrap/>
            <w:vAlign w:val="center"/>
            <w:hideMark/>
          </w:tcPr>
          <w:p w14:paraId="6B44D311"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433</w:t>
            </w:r>
          </w:p>
        </w:tc>
        <w:tc>
          <w:tcPr>
            <w:tcW w:w="936" w:type="dxa"/>
            <w:tcBorders>
              <w:top w:val="nil"/>
              <w:left w:val="nil"/>
              <w:bottom w:val="nil"/>
              <w:right w:val="nil"/>
            </w:tcBorders>
            <w:shd w:val="clear" w:color="000000" w:fill="F2F2F2"/>
            <w:noWrap/>
            <w:vAlign w:val="center"/>
            <w:hideMark/>
          </w:tcPr>
          <w:p w14:paraId="4A622345"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1,336</w:t>
            </w:r>
          </w:p>
        </w:tc>
        <w:tc>
          <w:tcPr>
            <w:tcW w:w="936" w:type="dxa"/>
            <w:tcBorders>
              <w:top w:val="nil"/>
              <w:left w:val="nil"/>
              <w:bottom w:val="nil"/>
              <w:right w:val="nil"/>
            </w:tcBorders>
            <w:shd w:val="clear" w:color="000000" w:fill="F2F2F2"/>
            <w:noWrap/>
            <w:vAlign w:val="center"/>
            <w:hideMark/>
          </w:tcPr>
          <w:p w14:paraId="31EFDDB7"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1,087</w:t>
            </w:r>
          </w:p>
        </w:tc>
        <w:tc>
          <w:tcPr>
            <w:tcW w:w="936" w:type="dxa"/>
            <w:tcBorders>
              <w:top w:val="nil"/>
              <w:left w:val="nil"/>
              <w:bottom w:val="nil"/>
              <w:right w:val="nil"/>
            </w:tcBorders>
            <w:shd w:val="clear" w:color="000000" w:fill="F2F2F2"/>
            <w:noWrap/>
            <w:vAlign w:val="center"/>
            <w:hideMark/>
          </w:tcPr>
          <w:p w14:paraId="5A19928A" w14:textId="77777777" w:rsidR="00FF33A8" w:rsidRPr="00A35492" w:rsidRDefault="00FF33A8" w:rsidP="00FF33A8">
            <w:pPr>
              <w:keepNext/>
              <w:jc w:val="right"/>
              <w:rPr>
                <w:rFonts w:ascii="Arial" w:hAnsi="Arial" w:cs="Arial"/>
                <w:sz w:val="16"/>
                <w:szCs w:val="16"/>
                <w:lang w:eastAsia="en-AU"/>
              </w:rPr>
            </w:pPr>
            <w:r w:rsidRPr="00A35492">
              <w:rPr>
                <w:rFonts w:ascii="Arial" w:hAnsi="Arial" w:cs="Arial"/>
                <w:sz w:val="16"/>
                <w:szCs w:val="16"/>
                <w:lang w:eastAsia="en-AU"/>
              </w:rPr>
              <w:t>          544</w:t>
            </w:r>
          </w:p>
        </w:tc>
        <w:tc>
          <w:tcPr>
            <w:tcW w:w="1126" w:type="dxa"/>
            <w:tcBorders>
              <w:top w:val="nil"/>
              <w:left w:val="nil"/>
              <w:bottom w:val="nil"/>
              <w:right w:val="nil"/>
            </w:tcBorders>
            <w:shd w:val="clear" w:color="000000" w:fill="FFFFFF"/>
            <w:vAlign w:val="center"/>
            <w:hideMark/>
          </w:tcPr>
          <w:p w14:paraId="2217A8E7" w14:textId="77777777" w:rsidR="00FF33A8" w:rsidRPr="00A35492" w:rsidRDefault="00FF33A8" w:rsidP="00FF33A8">
            <w:pPr>
              <w:keepNext/>
              <w:jc w:val="center"/>
              <w:rPr>
                <w:rFonts w:ascii="Arial" w:hAnsi="Arial" w:cs="Arial"/>
                <w:sz w:val="16"/>
                <w:szCs w:val="16"/>
                <w:lang w:eastAsia="en-AU"/>
              </w:rPr>
            </w:pPr>
            <w:r w:rsidRPr="00A35492">
              <w:rPr>
                <w:rFonts w:ascii="Arial" w:hAnsi="Arial" w:cs="Arial"/>
                <w:sz w:val="16"/>
                <w:szCs w:val="16"/>
                <w:lang w:eastAsia="en-AU"/>
              </w:rPr>
              <w:t>(38.3)</w:t>
            </w:r>
          </w:p>
        </w:tc>
      </w:tr>
      <w:tr w:rsidR="00E61986" w:rsidRPr="00E61986" w14:paraId="2F3D21E2" w14:textId="77777777" w:rsidTr="00F7150F">
        <w:trPr>
          <w:trHeight w:val="240"/>
        </w:trPr>
        <w:tc>
          <w:tcPr>
            <w:tcW w:w="3276" w:type="dxa"/>
            <w:tcBorders>
              <w:top w:val="single" w:sz="4" w:space="0" w:color="auto"/>
              <w:left w:val="nil"/>
              <w:bottom w:val="single" w:sz="4" w:space="0" w:color="auto"/>
              <w:right w:val="nil"/>
            </w:tcBorders>
            <w:shd w:val="clear" w:color="000000" w:fill="FFFFFF"/>
            <w:vAlign w:val="center"/>
            <w:hideMark/>
          </w:tcPr>
          <w:p w14:paraId="170C90EC" w14:textId="77777777" w:rsidR="00FF33A8" w:rsidRPr="00E61986" w:rsidRDefault="00FF33A8" w:rsidP="00F7150F">
            <w:pPr>
              <w:ind w:right="-89"/>
              <w:rPr>
                <w:rFonts w:ascii="Arial" w:hAnsi="Arial" w:cs="Arial"/>
                <w:b/>
                <w:bCs/>
                <w:color w:val="0079B9"/>
                <w:sz w:val="16"/>
                <w:szCs w:val="16"/>
                <w:lang w:eastAsia="en-AU"/>
              </w:rPr>
            </w:pPr>
            <w:r w:rsidRPr="00E61986">
              <w:rPr>
                <w:rFonts w:ascii="Arial" w:hAnsi="Arial" w:cs="Arial"/>
                <w:b/>
                <w:bCs/>
                <w:color w:val="0079B9"/>
                <w:sz w:val="16"/>
                <w:szCs w:val="16"/>
                <w:lang w:eastAsia="en-AU"/>
              </w:rPr>
              <w:t xml:space="preserve">Total Federation Funding Agreement payments </w:t>
            </w:r>
          </w:p>
        </w:tc>
        <w:tc>
          <w:tcPr>
            <w:tcW w:w="850" w:type="dxa"/>
            <w:tcBorders>
              <w:top w:val="single" w:sz="4" w:space="0" w:color="auto"/>
              <w:left w:val="nil"/>
              <w:bottom w:val="single" w:sz="4" w:space="0" w:color="auto"/>
              <w:right w:val="nil"/>
            </w:tcBorders>
            <w:shd w:val="clear" w:color="000000" w:fill="FFFFFF"/>
            <w:vAlign w:val="bottom"/>
            <w:hideMark/>
          </w:tcPr>
          <w:p w14:paraId="58207B83" w14:textId="77777777" w:rsidR="00FF33A8" w:rsidRPr="00E61986" w:rsidRDefault="00FF33A8" w:rsidP="00F7150F">
            <w:pPr>
              <w:jc w:val="right"/>
              <w:rPr>
                <w:rFonts w:ascii="Arial" w:hAnsi="Arial" w:cs="Arial"/>
                <w:b/>
                <w:bCs/>
                <w:color w:val="0079B9"/>
                <w:sz w:val="16"/>
                <w:szCs w:val="16"/>
                <w:lang w:eastAsia="en-AU"/>
              </w:rPr>
            </w:pPr>
            <w:r w:rsidRPr="00E61986">
              <w:rPr>
                <w:rFonts w:ascii="Arial" w:hAnsi="Arial" w:cs="Arial"/>
                <w:b/>
                <w:bCs/>
                <w:color w:val="0079B9"/>
                <w:sz w:val="16"/>
                <w:szCs w:val="16"/>
                <w:lang w:eastAsia="en-AU"/>
              </w:rPr>
              <w:t>3,618</w:t>
            </w:r>
          </w:p>
        </w:tc>
        <w:tc>
          <w:tcPr>
            <w:tcW w:w="850" w:type="dxa"/>
            <w:tcBorders>
              <w:top w:val="single" w:sz="4" w:space="0" w:color="auto"/>
              <w:left w:val="nil"/>
              <w:bottom w:val="single" w:sz="4" w:space="0" w:color="auto"/>
              <w:right w:val="nil"/>
            </w:tcBorders>
            <w:shd w:val="clear" w:color="000000" w:fill="FFFFFF"/>
            <w:vAlign w:val="bottom"/>
            <w:hideMark/>
          </w:tcPr>
          <w:p w14:paraId="712F2465" w14:textId="77777777" w:rsidR="00FF33A8" w:rsidRPr="00E61986" w:rsidRDefault="00FF33A8" w:rsidP="00F7150F">
            <w:pPr>
              <w:jc w:val="right"/>
              <w:rPr>
                <w:rFonts w:ascii="Arial" w:hAnsi="Arial" w:cs="Arial"/>
                <w:b/>
                <w:bCs/>
                <w:color w:val="0079B9"/>
                <w:sz w:val="16"/>
                <w:szCs w:val="16"/>
                <w:lang w:eastAsia="en-AU"/>
              </w:rPr>
            </w:pPr>
            <w:r w:rsidRPr="00E61986">
              <w:rPr>
                <w:rFonts w:ascii="Arial" w:hAnsi="Arial" w:cs="Arial"/>
                <w:b/>
                <w:bCs/>
                <w:color w:val="0079B9"/>
                <w:sz w:val="16"/>
                <w:szCs w:val="16"/>
                <w:lang w:eastAsia="en-AU"/>
              </w:rPr>
              <w:t>7,108</w:t>
            </w:r>
          </w:p>
        </w:tc>
        <w:tc>
          <w:tcPr>
            <w:tcW w:w="850" w:type="dxa"/>
            <w:tcBorders>
              <w:top w:val="single" w:sz="4" w:space="0" w:color="auto"/>
              <w:left w:val="nil"/>
              <w:bottom w:val="single" w:sz="4" w:space="0" w:color="auto"/>
              <w:right w:val="nil"/>
            </w:tcBorders>
            <w:shd w:val="clear" w:color="000000" w:fill="F2F2F2"/>
            <w:vAlign w:val="bottom"/>
            <w:hideMark/>
          </w:tcPr>
          <w:p w14:paraId="38942A15" w14:textId="77777777" w:rsidR="00FF33A8" w:rsidRPr="00E61986" w:rsidRDefault="00FF33A8" w:rsidP="00F7150F">
            <w:pPr>
              <w:jc w:val="right"/>
              <w:rPr>
                <w:rFonts w:ascii="Arial" w:hAnsi="Arial" w:cs="Arial"/>
                <w:b/>
                <w:bCs/>
                <w:color w:val="0079B9"/>
                <w:sz w:val="16"/>
                <w:szCs w:val="16"/>
                <w:lang w:eastAsia="en-AU"/>
              </w:rPr>
            </w:pPr>
            <w:r w:rsidRPr="00E61986">
              <w:rPr>
                <w:rFonts w:ascii="Arial" w:hAnsi="Arial" w:cs="Arial"/>
                <w:b/>
                <w:bCs/>
                <w:color w:val="0079B9"/>
                <w:sz w:val="16"/>
                <w:szCs w:val="16"/>
                <w:lang w:eastAsia="en-AU"/>
              </w:rPr>
              <w:t>3,502</w:t>
            </w:r>
          </w:p>
        </w:tc>
        <w:tc>
          <w:tcPr>
            <w:tcW w:w="936" w:type="dxa"/>
            <w:tcBorders>
              <w:top w:val="single" w:sz="4" w:space="0" w:color="auto"/>
              <w:left w:val="nil"/>
              <w:bottom w:val="single" w:sz="4" w:space="0" w:color="auto"/>
              <w:right w:val="nil"/>
            </w:tcBorders>
            <w:shd w:val="clear" w:color="000000" w:fill="F2F2F2"/>
            <w:vAlign w:val="bottom"/>
            <w:hideMark/>
          </w:tcPr>
          <w:p w14:paraId="271F36FB" w14:textId="77777777" w:rsidR="00FF33A8" w:rsidRPr="00E61986" w:rsidRDefault="00FF33A8" w:rsidP="00F7150F">
            <w:pPr>
              <w:jc w:val="right"/>
              <w:rPr>
                <w:rFonts w:ascii="Arial" w:hAnsi="Arial" w:cs="Arial"/>
                <w:b/>
                <w:bCs/>
                <w:color w:val="0079B9"/>
                <w:sz w:val="16"/>
                <w:szCs w:val="16"/>
                <w:lang w:eastAsia="en-AU"/>
              </w:rPr>
            </w:pPr>
            <w:r w:rsidRPr="00E61986">
              <w:rPr>
                <w:rFonts w:ascii="Arial" w:hAnsi="Arial" w:cs="Arial"/>
                <w:b/>
                <w:bCs/>
                <w:color w:val="0079B9"/>
                <w:sz w:val="16"/>
                <w:szCs w:val="16"/>
                <w:lang w:eastAsia="en-AU"/>
              </w:rPr>
              <w:t>5,354</w:t>
            </w:r>
          </w:p>
        </w:tc>
        <w:tc>
          <w:tcPr>
            <w:tcW w:w="936" w:type="dxa"/>
            <w:tcBorders>
              <w:top w:val="single" w:sz="4" w:space="0" w:color="auto"/>
              <w:left w:val="nil"/>
              <w:bottom w:val="single" w:sz="4" w:space="0" w:color="auto"/>
              <w:right w:val="nil"/>
            </w:tcBorders>
            <w:shd w:val="clear" w:color="000000" w:fill="F2F2F2"/>
            <w:vAlign w:val="bottom"/>
            <w:hideMark/>
          </w:tcPr>
          <w:p w14:paraId="738CFC5E" w14:textId="77777777" w:rsidR="00FF33A8" w:rsidRPr="00E61986" w:rsidRDefault="00FF33A8" w:rsidP="00F7150F">
            <w:pPr>
              <w:jc w:val="right"/>
              <w:rPr>
                <w:rFonts w:ascii="Arial" w:hAnsi="Arial" w:cs="Arial"/>
                <w:b/>
                <w:bCs/>
                <w:color w:val="0079B9"/>
                <w:sz w:val="16"/>
                <w:szCs w:val="16"/>
                <w:lang w:eastAsia="en-AU"/>
              </w:rPr>
            </w:pPr>
            <w:r w:rsidRPr="00E61986">
              <w:rPr>
                <w:rFonts w:ascii="Arial" w:hAnsi="Arial" w:cs="Arial"/>
                <w:b/>
                <w:bCs/>
                <w:color w:val="0079B9"/>
                <w:sz w:val="16"/>
                <w:szCs w:val="16"/>
                <w:lang w:eastAsia="en-AU"/>
              </w:rPr>
              <w:t>5,802</w:t>
            </w:r>
          </w:p>
        </w:tc>
        <w:tc>
          <w:tcPr>
            <w:tcW w:w="936" w:type="dxa"/>
            <w:tcBorders>
              <w:top w:val="single" w:sz="4" w:space="0" w:color="auto"/>
              <w:left w:val="nil"/>
              <w:bottom w:val="single" w:sz="4" w:space="0" w:color="auto"/>
              <w:right w:val="nil"/>
            </w:tcBorders>
            <w:shd w:val="clear" w:color="000000" w:fill="F2F2F2"/>
            <w:vAlign w:val="bottom"/>
            <w:hideMark/>
          </w:tcPr>
          <w:p w14:paraId="02BAA367" w14:textId="77777777" w:rsidR="00FF33A8" w:rsidRPr="00E61986" w:rsidRDefault="00FF33A8" w:rsidP="00F7150F">
            <w:pPr>
              <w:jc w:val="right"/>
              <w:rPr>
                <w:rFonts w:ascii="Arial" w:hAnsi="Arial" w:cs="Arial"/>
                <w:b/>
                <w:bCs/>
                <w:color w:val="0079B9"/>
                <w:sz w:val="16"/>
                <w:szCs w:val="16"/>
                <w:lang w:eastAsia="en-AU"/>
              </w:rPr>
            </w:pPr>
            <w:r w:rsidRPr="00E61986">
              <w:rPr>
                <w:rFonts w:ascii="Arial" w:hAnsi="Arial" w:cs="Arial"/>
                <w:b/>
                <w:bCs/>
                <w:color w:val="0079B9"/>
                <w:sz w:val="16"/>
                <w:szCs w:val="16"/>
                <w:lang w:eastAsia="en-AU"/>
              </w:rPr>
              <w:t>4,784</w:t>
            </w:r>
          </w:p>
        </w:tc>
        <w:tc>
          <w:tcPr>
            <w:tcW w:w="1126" w:type="dxa"/>
            <w:tcBorders>
              <w:top w:val="single" w:sz="4" w:space="0" w:color="auto"/>
              <w:left w:val="nil"/>
              <w:bottom w:val="single" w:sz="4" w:space="0" w:color="auto"/>
              <w:right w:val="nil"/>
            </w:tcBorders>
            <w:shd w:val="clear" w:color="000000" w:fill="FFFFFF"/>
            <w:vAlign w:val="bottom"/>
            <w:hideMark/>
          </w:tcPr>
          <w:p w14:paraId="4D1B66A2" w14:textId="70B9E614" w:rsidR="00FF33A8" w:rsidRPr="00E61986" w:rsidRDefault="00F7150F" w:rsidP="00F7150F">
            <w:pPr>
              <w:ind w:left="-446" w:right="207"/>
              <w:jc w:val="right"/>
              <w:rPr>
                <w:rFonts w:ascii="Arial" w:hAnsi="Arial" w:cs="Arial"/>
                <w:b/>
                <w:bCs/>
                <w:color w:val="0079B9"/>
                <w:sz w:val="16"/>
                <w:szCs w:val="16"/>
                <w:lang w:eastAsia="en-AU"/>
              </w:rPr>
            </w:pPr>
            <w:r>
              <w:rPr>
                <w:rFonts w:ascii="Arial" w:hAnsi="Arial" w:cs="Arial"/>
                <w:b/>
                <w:bCs/>
                <w:color w:val="0079B9"/>
                <w:sz w:val="16"/>
                <w:szCs w:val="16"/>
                <w:lang w:eastAsia="en-AU"/>
              </w:rPr>
              <w:t>(</w:t>
            </w:r>
            <w:r w:rsidR="00FF33A8" w:rsidRPr="00E61986">
              <w:rPr>
                <w:rFonts w:ascii="Arial" w:hAnsi="Arial" w:cs="Arial"/>
                <w:b/>
                <w:bCs/>
                <w:color w:val="0079B9"/>
                <w:sz w:val="16"/>
                <w:szCs w:val="16"/>
                <w:lang w:eastAsia="en-AU"/>
              </w:rPr>
              <w:t>9.4</w:t>
            </w:r>
            <w:r>
              <w:rPr>
                <w:rFonts w:ascii="Arial" w:hAnsi="Arial" w:cs="Arial"/>
                <w:b/>
                <w:bCs/>
                <w:color w:val="0079B9"/>
                <w:sz w:val="16"/>
                <w:szCs w:val="16"/>
                <w:lang w:eastAsia="en-AU"/>
              </w:rPr>
              <w:t>)</w:t>
            </w:r>
          </w:p>
        </w:tc>
      </w:tr>
    </w:tbl>
    <w:p w14:paraId="64730086" w14:textId="77777777" w:rsidR="00FF3ECB" w:rsidRPr="00E61338" w:rsidRDefault="00FF3ECB" w:rsidP="00EA2057"/>
    <w:p w14:paraId="31B883A5" w14:textId="7CFD7EA9" w:rsidR="34D536AE" w:rsidRPr="00E61338" w:rsidRDefault="003F6F42" w:rsidP="00800295">
      <w:pPr>
        <w:pStyle w:val="Heading3"/>
        <w:numPr>
          <w:ilvl w:val="0"/>
          <w:numId w:val="0"/>
        </w:numPr>
        <w:ind w:left="737" w:hanging="737"/>
        <w:rPr>
          <w:rFonts w:eastAsiaTheme="minorEastAsia" w:hint="eastAsia"/>
          <w:b w:val="0"/>
          <w:bCs/>
          <w:szCs w:val="26"/>
        </w:rPr>
      </w:pPr>
      <w:r w:rsidRPr="00E61338">
        <w:rPr>
          <w:rFonts w:eastAsiaTheme="minorEastAsia"/>
        </w:rPr>
        <w:t xml:space="preserve">Other </w:t>
      </w:r>
      <w:r w:rsidR="34D536AE" w:rsidRPr="00E61338">
        <w:rPr>
          <w:rFonts w:eastAsiaTheme="minorEastAsia"/>
          <w:szCs w:val="26"/>
        </w:rPr>
        <w:t xml:space="preserve">Commonwealth </w:t>
      </w:r>
      <w:r w:rsidR="00961A35" w:rsidRPr="00E61338">
        <w:rPr>
          <w:rFonts w:eastAsiaTheme="minorEastAsia"/>
          <w:szCs w:val="26"/>
        </w:rPr>
        <w:t>p</w:t>
      </w:r>
      <w:r w:rsidR="34D536AE" w:rsidRPr="00E61338">
        <w:rPr>
          <w:rFonts w:eastAsiaTheme="minorEastAsia"/>
          <w:szCs w:val="26"/>
        </w:rPr>
        <w:t>ayments</w:t>
      </w:r>
    </w:p>
    <w:p w14:paraId="34EDF527" w14:textId="3321B0C1" w:rsidR="0046746F" w:rsidRPr="0083773C" w:rsidRDefault="00E61338" w:rsidP="003426A4">
      <w:pPr>
        <w:pStyle w:val="BodyText"/>
      </w:pPr>
      <w:r w:rsidRPr="001F11B3">
        <w:t xml:space="preserve">Other Commonwealth payments are expected to provide </w:t>
      </w:r>
      <w:r w:rsidRPr="00E8733D">
        <w:t>$</w:t>
      </w:r>
      <w:r w:rsidR="007A346C" w:rsidRPr="00E8733D">
        <w:t>58</w:t>
      </w:r>
      <w:r w:rsidR="009E265E" w:rsidRPr="00E8733D">
        <w:t>6.2</w:t>
      </w:r>
      <w:r w:rsidR="009801D7" w:rsidRPr="00E8733D">
        <w:t xml:space="preserve"> </w:t>
      </w:r>
      <w:r w:rsidRPr="00E8733D">
        <w:t>million</w:t>
      </w:r>
      <w:r w:rsidRPr="001F11B3">
        <w:t xml:space="preserve"> in 2022-23, </w:t>
      </w:r>
      <w:r w:rsidR="00C570C3">
        <w:t xml:space="preserve">an increase </w:t>
      </w:r>
      <w:r w:rsidRPr="001F11B3">
        <w:t xml:space="preserve">of </w:t>
      </w:r>
      <w:r w:rsidR="00C570C3" w:rsidRPr="00304A22">
        <w:t>$</w:t>
      </w:r>
      <w:r w:rsidR="007A346C" w:rsidRPr="00304A22">
        <w:t>6</w:t>
      </w:r>
      <w:r w:rsidR="009E265E" w:rsidRPr="00304A22">
        <w:t>1.9</w:t>
      </w:r>
      <w:r w:rsidR="0046746F" w:rsidRPr="00304A22">
        <w:t xml:space="preserve"> </w:t>
      </w:r>
      <w:r w:rsidR="007A346C" w:rsidRPr="00304A22">
        <w:t xml:space="preserve">million </w:t>
      </w:r>
      <w:r w:rsidRPr="00304A22">
        <w:t>(</w:t>
      </w:r>
      <w:r w:rsidR="007A346C" w:rsidRPr="00304A22">
        <w:t>11.</w:t>
      </w:r>
      <w:r w:rsidR="009E265E" w:rsidRPr="00304A22">
        <w:t xml:space="preserve">8 </w:t>
      </w:r>
      <w:r w:rsidRPr="00304A22">
        <w:t>per cent)</w:t>
      </w:r>
      <w:r w:rsidRPr="001F11B3">
        <w:t xml:space="preserve"> on 2021-22 levels. Since the </w:t>
      </w:r>
      <w:r w:rsidR="00FE18E2">
        <w:t>2021-22</w:t>
      </w:r>
      <w:r w:rsidRPr="001F11B3">
        <w:t xml:space="preserve"> Half-Yearly Review</w:t>
      </w:r>
      <w:r w:rsidR="008B6CA3">
        <w:t>,</w:t>
      </w:r>
      <w:r w:rsidRPr="001F11B3">
        <w:t xml:space="preserve"> revenue in 2021-22 has fallen by </w:t>
      </w:r>
      <w:r w:rsidRPr="00D90C63">
        <w:t>$</w:t>
      </w:r>
      <w:r w:rsidR="00C570C3" w:rsidRPr="00D90C63">
        <w:t xml:space="preserve">223.6 </w:t>
      </w:r>
      <w:r w:rsidRPr="00D90C63">
        <w:t>million (</w:t>
      </w:r>
      <w:r w:rsidR="00C570C3" w:rsidRPr="00D90C63">
        <w:t xml:space="preserve">-29.9 </w:t>
      </w:r>
      <w:r w:rsidRPr="00D90C63">
        <w:t>per cent)</w:t>
      </w:r>
      <w:r w:rsidR="00C570C3">
        <w:t>,</w:t>
      </w:r>
      <w:r w:rsidR="00C570C3" w:rsidRPr="00D90C63">
        <w:t xml:space="preserve"> mainly due to </w:t>
      </w:r>
      <w:r w:rsidR="007A346C" w:rsidRPr="00D90C63">
        <w:t>$174.2</w:t>
      </w:r>
      <w:r w:rsidR="0001106B">
        <w:t> </w:t>
      </w:r>
      <w:r w:rsidR="007A346C" w:rsidRPr="00D90C63">
        <w:t>million in reduced Commonwealth payments</w:t>
      </w:r>
      <w:r w:rsidR="00C570C3" w:rsidRPr="00D90C63">
        <w:t xml:space="preserve"> to </w:t>
      </w:r>
      <w:r w:rsidR="007A346C" w:rsidRPr="00D90C63">
        <w:t xml:space="preserve">the Department of </w:t>
      </w:r>
      <w:r w:rsidR="00C570C3" w:rsidRPr="00D90C63">
        <w:t xml:space="preserve">Regional NSW </w:t>
      </w:r>
      <w:r w:rsidR="00C570C3" w:rsidRPr="00D90C63">
        <w:rPr>
          <w:sz w:val="22"/>
        </w:rPr>
        <w:t>and</w:t>
      </w:r>
      <w:r w:rsidR="00C570C3">
        <w:rPr>
          <w:sz w:val="22"/>
        </w:rPr>
        <w:t xml:space="preserve"> </w:t>
      </w:r>
      <w:r w:rsidR="007A346C">
        <w:rPr>
          <w:sz w:val="22"/>
        </w:rPr>
        <w:t>a</w:t>
      </w:r>
      <w:r w:rsidR="00C72C16">
        <w:rPr>
          <w:sz w:val="22"/>
        </w:rPr>
        <w:t>n</w:t>
      </w:r>
      <w:r w:rsidR="007A346C">
        <w:rPr>
          <w:sz w:val="22"/>
        </w:rPr>
        <w:t xml:space="preserve"> </w:t>
      </w:r>
      <w:r w:rsidR="007A346C" w:rsidRPr="00F6645A">
        <w:t xml:space="preserve">$82.8 million </w:t>
      </w:r>
      <w:r w:rsidR="007A346C">
        <w:t xml:space="preserve">reduction </w:t>
      </w:r>
      <w:r w:rsidR="007A346C" w:rsidRPr="00F6645A">
        <w:t>in payme</w:t>
      </w:r>
      <w:r w:rsidR="007A346C">
        <w:t>n</w:t>
      </w:r>
      <w:r w:rsidR="007A346C" w:rsidRPr="00F6645A">
        <w:t xml:space="preserve">ts to </w:t>
      </w:r>
      <w:r w:rsidR="007A346C">
        <w:t xml:space="preserve">the NSW </w:t>
      </w:r>
      <w:r w:rsidR="00C570C3">
        <w:t>Ministry of Health</w:t>
      </w:r>
      <w:r w:rsidR="007A346C">
        <w:t>.</w:t>
      </w:r>
      <w:r w:rsidR="000D0687">
        <w:t xml:space="preserve"> </w:t>
      </w:r>
      <w:r w:rsidRPr="001F11B3">
        <w:t xml:space="preserve">Revenue from other Commonwealth grants is expected to </w:t>
      </w:r>
      <w:r w:rsidR="00C570C3">
        <w:t xml:space="preserve">increase </w:t>
      </w:r>
      <w:r w:rsidRPr="001F11B3">
        <w:t xml:space="preserve">by </w:t>
      </w:r>
      <w:r w:rsidR="009E265E" w:rsidRPr="0003544B">
        <w:t>8.8</w:t>
      </w:r>
      <w:r w:rsidR="00C570C3" w:rsidRPr="0003544B">
        <w:t xml:space="preserve"> </w:t>
      </w:r>
      <w:r w:rsidRPr="0003544B">
        <w:t>per cent</w:t>
      </w:r>
      <w:r w:rsidRPr="001F11B3">
        <w:t xml:space="preserve"> per annum on average over the four years to 2025-26.</w:t>
      </w:r>
    </w:p>
    <w:p w14:paraId="44411C41" w14:textId="77777777" w:rsidR="00F57558" w:rsidRPr="00E61338" w:rsidRDefault="00F57558" w:rsidP="00800295">
      <w:pPr>
        <w:pStyle w:val="Heading3"/>
        <w:numPr>
          <w:ilvl w:val="0"/>
          <w:numId w:val="0"/>
        </w:numPr>
        <w:tabs>
          <w:tab w:val="left" w:pos="567"/>
        </w:tabs>
        <w:ind w:left="737" w:hanging="737"/>
        <w:rPr>
          <w:rFonts w:eastAsiaTheme="minorHAnsi"/>
        </w:rPr>
      </w:pPr>
      <w:r w:rsidRPr="00E61338">
        <w:rPr>
          <w:rFonts w:eastAsiaTheme="minorEastAsia"/>
        </w:rPr>
        <w:t>Other grants</w:t>
      </w:r>
    </w:p>
    <w:p w14:paraId="112482F0" w14:textId="173FA8D6" w:rsidR="00082F1A" w:rsidRPr="00E61338" w:rsidRDefault="00E61338" w:rsidP="003426A4">
      <w:pPr>
        <w:pStyle w:val="BodyText"/>
        <w:rPr>
          <w:i/>
        </w:rPr>
      </w:pPr>
      <w:r w:rsidRPr="001F11B3">
        <w:t xml:space="preserve">Other grants are expected to provide </w:t>
      </w:r>
      <w:r w:rsidRPr="00232F68">
        <w:t>$</w:t>
      </w:r>
      <w:r w:rsidR="00232F68" w:rsidRPr="00232F68">
        <w:t>782.9</w:t>
      </w:r>
      <w:r w:rsidRPr="00232F68">
        <w:t xml:space="preserve"> million</w:t>
      </w:r>
      <w:r w:rsidRPr="001F11B3">
        <w:t xml:space="preserve"> in 2021-22 and decline by </w:t>
      </w:r>
      <w:r w:rsidR="00232F68" w:rsidRPr="00232F68">
        <w:t>4.8</w:t>
      </w:r>
      <w:r w:rsidRPr="00232F68">
        <w:t xml:space="preserve"> per cent</w:t>
      </w:r>
      <w:r w:rsidRPr="001F11B3">
        <w:t xml:space="preserve"> per annum on average over the four years to 202</w:t>
      </w:r>
      <w:r w:rsidR="00E004E0">
        <w:t>5</w:t>
      </w:r>
      <w:r w:rsidRPr="001F11B3">
        <w:t>-2</w:t>
      </w:r>
      <w:r w:rsidR="00E004E0">
        <w:t>6</w:t>
      </w:r>
      <w:r w:rsidRPr="001F11B3">
        <w:t>.</w:t>
      </w:r>
    </w:p>
    <w:p w14:paraId="59650BF4" w14:textId="45F94564" w:rsidR="00A82C68" w:rsidRPr="008A6874" w:rsidRDefault="00096C76" w:rsidP="008A6874">
      <w:pPr>
        <w:pStyle w:val="41Heading2"/>
        <w:keepNext/>
      </w:pPr>
      <w:r w:rsidRPr="008A6874">
        <w:t>Non-tax revenues</w:t>
      </w:r>
    </w:p>
    <w:p w14:paraId="2DDD5D5F" w14:textId="0D2D6E9E" w:rsidR="00E90509" w:rsidRPr="008A6874" w:rsidRDefault="00813D86" w:rsidP="003426A4">
      <w:pPr>
        <w:pStyle w:val="BodyText"/>
        <w:rPr>
          <w:rFonts w:ascii="Arial Bold" w:hAnsi="Arial Bold"/>
          <w:kern w:val="28"/>
          <w:sz w:val="26"/>
          <w:szCs w:val="36"/>
        </w:rPr>
      </w:pPr>
      <w:r w:rsidRPr="008A6874">
        <w:t>T</w:t>
      </w:r>
      <w:r w:rsidR="00E22AE6" w:rsidRPr="008A6874">
        <w:t xml:space="preserve">he NSW Government </w:t>
      </w:r>
      <w:r w:rsidR="00EE5405" w:rsidRPr="008A6874">
        <w:t xml:space="preserve">collects </w:t>
      </w:r>
      <w:r w:rsidR="00E22AE6" w:rsidRPr="008A6874">
        <w:t xml:space="preserve">revenue </w:t>
      </w:r>
      <w:r w:rsidR="00EE5405" w:rsidRPr="008A6874">
        <w:t xml:space="preserve">through a number of sources beyond taxation. </w:t>
      </w:r>
      <w:r w:rsidR="00D31C3D" w:rsidRPr="008A6874">
        <w:t xml:space="preserve">This section outlines </w:t>
      </w:r>
      <w:r w:rsidR="00974185" w:rsidRPr="008A6874">
        <w:t>current forecasts</w:t>
      </w:r>
      <w:r w:rsidR="00ED2034">
        <w:t xml:space="preserve"> for these categories</w:t>
      </w:r>
      <w:r w:rsidR="00974185" w:rsidRPr="008A6874">
        <w:t>.</w:t>
      </w:r>
    </w:p>
    <w:p w14:paraId="148883DB" w14:textId="6B3D6876" w:rsidR="00A82C68" w:rsidRDefault="00A82C68" w:rsidP="00834442">
      <w:pPr>
        <w:pStyle w:val="Heading3"/>
        <w:numPr>
          <w:ilvl w:val="0"/>
          <w:numId w:val="0"/>
        </w:numPr>
        <w:ind w:left="737" w:hanging="737"/>
        <w:rPr>
          <w:rFonts w:eastAsiaTheme="minorEastAsia" w:hint="eastAsia"/>
        </w:rPr>
      </w:pPr>
      <w:r w:rsidRPr="00CA7A8A">
        <w:rPr>
          <w:rFonts w:eastAsiaTheme="minorEastAsia"/>
        </w:rPr>
        <w:t>Sale of goods and services</w:t>
      </w:r>
    </w:p>
    <w:p w14:paraId="4CE5832E" w14:textId="0E1BABAF" w:rsidR="000D1057" w:rsidRPr="000D1057" w:rsidRDefault="000D1057" w:rsidP="003426A4">
      <w:pPr>
        <w:pStyle w:val="BodyText"/>
      </w:pPr>
      <w:r w:rsidRPr="000D1057">
        <w:t xml:space="preserve">Sales of goods and services revenue is expected to be $9.7 billion in 2021-22, $841.5 million (8.0 per cent) lower than forecast at the 2021-22 Half-Yearly Review. </w:t>
      </w:r>
      <w:r w:rsidR="00062B80">
        <w:t>Over the four years to 2025-26, r</w:t>
      </w:r>
      <w:r w:rsidRPr="000D1057">
        <w:t xml:space="preserve">evenue is forecast to decrease </w:t>
      </w:r>
      <w:r w:rsidR="004B6B21">
        <w:t>by</w:t>
      </w:r>
      <w:r w:rsidRPr="000D1057">
        <w:t xml:space="preserve"> 1.</w:t>
      </w:r>
      <w:r w:rsidR="00F54C60">
        <w:t>7</w:t>
      </w:r>
      <w:r w:rsidR="00F54C60" w:rsidRPr="000D1057">
        <w:t xml:space="preserve"> </w:t>
      </w:r>
      <w:r w:rsidRPr="000D1057">
        <w:t xml:space="preserve">per cent </w:t>
      </w:r>
      <w:r w:rsidR="0019628C">
        <w:t xml:space="preserve">on average, a much smaller decline </w:t>
      </w:r>
      <w:r w:rsidRPr="000D1057">
        <w:t xml:space="preserve">than the </w:t>
      </w:r>
      <w:r w:rsidR="00CC400C">
        <w:t>4</w:t>
      </w:r>
      <w:r w:rsidRPr="000D1057">
        <w:t>.</w:t>
      </w:r>
      <w:r w:rsidR="00CC400C">
        <w:t>1</w:t>
      </w:r>
      <w:r w:rsidR="00CC400C" w:rsidRPr="000D1057">
        <w:t xml:space="preserve"> </w:t>
      </w:r>
      <w:r w:rsidRPr="000D1057">
        <w:t xml:space="preserve">per cent </w:t>
      </w:r>
      <w:r w:rsidR="008C7227">
        <w:t>decline</w:t>
      </w:r>
      <w:r w:rsidRPr="000D1057">
        <w:t xml:space="preserve"> forecast at the 2021-22 Half-Yearly Review. </w:t>
      </w:r>
    </w:p>
    <w:p w14:paraId="1BE65DA5" w14:textId="56960036" w:rsidR="000D1057" w:rsidRPr="000D1057" w:rsidRDefault="000D1057" w:rsidP="003426A4">
      <w:pPr>
        <w:pStyle w:val="BodyText"/>
      </w:pPr>
      <w:r w:rsidRPr="000D1057">
        <w:t xml:space="preserve">The most significant drivers of the </w:t>
      </w:r>
      <w:r w:rsidR="00C84827">
        <w:t>downward</w:t>
      </w:r>
      <w:r w:rsidR="00AD096E">
        <w:t>s</w:t>
      </w:r>
      <w:r w:rsidR="00C84827">
        <w:t xml:space="preserve"> revision</w:t>
      </w:r>
      <w:r w:rsidR="00C84827" w:rsidRPr="000D1057">
        <w:t xml:space="preserve"> </w:t>
      </w:r>
      <w:r w:rsidRPr="000D1057">
        <w:t xml:space="preserve">in this revenue category for 2021-22 are as follows: </w:t>
      </w:r>
    </w:p>
    <w:p w14:paraId="047A91FB" w14:textId="32372D1D" w:rsidR="009446E4" w:rsidRPr="000D1057" w:rsidRDefault="000D1057" w:rsidP="001321A1">
      <w:pPr>
        <w:pStyle w:val="Bullet1"/>
        <w:rPr>
          <w:rFonts w:eastAsiaTheme="minorHAnsi"/>
          <w:shd w:val="clear" w:color="auto" w:fill="FFFFFF"/>
        </w:rPr>
      </w:pPr>
      <w:r w:rsidRPr="009446E4">
        <w:rPr>
          <w:rFonts w:eastAsiaTheme="minorHAnsi"/>
          <w:shd w:val="clear" w:color="auto" w:fill="FFFFFF"/>
        </w:rPr>
        <w:t xml:space="preserve">Transport for NSW </w:t>
      </w:r>
      <w:r w:rsidR="0053288D">
        <w:t>downward</w:t>
      </w:r>
      <w:r w:rsidR="00AD096E">
        <w:t>s</w:t>
      </w:r>
      <w:r w:rsidR="0053288D">
        <w:t xml:space="preserve"> revision</w:t>
      </w:r>
      <w:r w:rsidR="0053288D" w:rsidRPr="009446E4" w:rsidDel="0053288D">
        <w:rPr>
          <w:rFonts w:eastAsiaTheme="minorHAnsi"/>
          <w:shd w:val="clear" w:color="auto" w:fill="FFFFFF"/>
        </w:rPr>
        <w:t xml:space="preserve"> </w:t>
      </w:r>
      <w:r w:rsidRPr="009446E4">
        <w:rPr>
          <w:rFonts w:eastAsiaTheme="minorHAnsi"/>
          <w:shd w:val="clear" w:color="auto" w:fill="FFFFFF"/>
        </w:rPr>
        <w:t>of $309.9 million</w:t>
      </w:r>
      <w:r w:rsidR="009446E4" w:rsidRPr="009446E4">
        <w:rPr>
          <w:rFonts w:eastAsiaTheme="minorHAnsi"/>
          <w:shd w:val="clear" w:color="auto" w:fill="FFFFFF"/>
        </w:rPr>
        <w:t>, which is mainly due to two drivers: reduction in personnel service revenue as a result of the $140 million wind down of the State Transit Authority (section 9.1 of Budget Paper 4); and a decrease in fees for service revenue, due to a change in capital delivery expenditure profiles across financial years.</w:t>
      </w:r>
    </w:p>
    <w:p w14:paraId="65BE7DC5" w14:textId="09CA73A0" w:rsidR="000D1057" w:rsidRPr="000D1057" w:rsidRDefault="000D1057" w:rsidP="001321A1">
      <w:pPr>
        <w:pStyle w:val="Bullet1"/>
        <w:rPr>
          <w:rFonts w:eastAsiaTheme="minorHAnsi"/>
          <w:shd w:val="clear" w:color="auto" w:fill="FFFFFF"/>
        </w:rPr>
      </w:pPr>
      <w:r w:rsidRPr="000D1057">
        <w:rPr>
          <w:rFonts w:eastAsiaTheme="minorHAnsi"/>
          <w:shd w:val="clear" w:color="auto" w:fill="FFFFFF"/>
        </w:rPr>
        <w:t xml:space="preserve">Ministry of Health </w:t>
      </w:r>
      <w:r w:rsidR="0053288D">
        <w:t>downward</w:t>
      </w:r>
      <w:r w:rsidR="00AD096E">
        <w:t>s</w:t>
      </w:r>
      <w:r w:rsidR="0053288D">
        <w:t xml:space="preserve"> revision</w:t>
      </w:r>
      <w:r w:rsidR="0053288D" w:rsidRPr="000D1057" w:rsidDel="0053288D">
        <w:rPr>
          <w:rFonts w:eastAsiaTheme="minorHAnsi"/>
          <w:shd w:val="clear" w:color="auto" w:fill="FFFFFF"/>
        </w:rPr>
        <w:t xml:space="preserve"> </w:t>
      </w:r>
      <w:r w:rsidRPr="000D1057">
        <w:rPr>
          <w:rFonts w:eastAsiaTheme="minorHAnsi"/>
          <w:shd w:val="clear" w:color="auto" w:fill="FFFFFF"/>
        </w:rPr>
        <w:t>of $154.1 million</w:t>
      </w:r>
      <w:r w:rsidR="003D7E7F">
        <w:rPr>
          <w:rFonts w:eastAsiaTheme="minorHAnsi"/>
          <w:shd w:val="clear" w:color="auto" w:fill="FFFFFF"/>
        </w:rPr>
        <w:t>,</w:t>
      </w:r>
      <w:r w:rsidRPr="000D1057">
        <w:rPr>
          <w:rFonts w:eastAsiaTheme="minorHAnsi"/>
          <w:shd w:val="clear" w:color="auto" w:fill="FFFFFF"/>
        </w:rPr>
        <w:t xml:space="preserve"> due to reduced activity from the pauses in elective surgery associated with the Omicron outbreak.</w:t>
      </w:r>
    </w:p>
    <w:p w14:paraId="57EBE554" w14:textId="36C27C8B" w:rsidR="000D1057" w:rsidRPr="000D1057" w:rsidRDefault="000D1057" w:rsidP="001321A1">
      <w:pPr>
        <w:pStyle w:val="Bullet1"/>
        <w:rPr>
          <w:rFonts w:eastAsiaTheme="minorEastAsia"/>
          <w:shd w:val="clear" w:color="auto" w:fill="FFFFFF"/>
        </w:rPr>
      </w:pPr>
      <w:r w:rsidRPr="000D1057">
        <w:rPr>
          <w:rFonts w:eastAsiaTheme="minorEastAsia"/>
          <w:shd w:val="clear" w:color="auto" w:fill="FFFFFF"/>
        </w:rPr>
        <w:t xml:space="preserve">Local Land Services </w:t>
      </w:r>
      <w:r w:rsidR="0053288D">
        <w:t>downward</w:t>
      </w:r>
      <w:r w:rsidR="00AD096E">
        <w:t>s</w:t>
      </w:r>
      <w:r w:rsidR="0053288D">
        <w:t xml:space="preserve"> revision</w:t>
      </w:r>
      <w:r w:rsidR="0053288D" w:rsidRPr="000D1057" w:rsidDel="0053288D">
        <w:rPr>
          <w:rFonts w:eastAsiaTheme="minorEastAsia"/>
          <w:shd w:val="clear" w:color="auto" w:fill="FFFFFF"/>
        </w:rPr>
        <w:t xml:space="preserve"> </w:t>
      </w:r>
      <w:r w:rsidRPr="000D1057">
        <w:rPr>
          <w:rFonts w:eastAsiaTheme="minorEastAsia"/>
          <w:shd w:val="clear" w:color="auto" w:fill="FFFFFF"/>
        </w:rPr>
        <w:t>of $54.3 million</w:t>
      </w:r>
      <w:r w:rsidRPr="3E392D5B">
        <w:rPr>
          <w:rFonts w:eastAsiaTheme="minorEastAsia"/>
          <w:shd w:val="clear" w:color="auto" w:fill="FFFFFF"/>
        </w:rPr>
        <w:t>, mainly</w:t>
      </w:r>
      <w:r w:rsidRPr="000D1057">
        <w:rPr>
          <w:rFonts w:eastAsiaTheme="minorEastAsia"/>
          <w:shd w:val="clear" w:color="auto" w:fill="FFFFFF"/>
        </w:rPr>
        <w:t xml:space="preserve"> due to reclassification of </w:t>
      </w:r>
      <w:r w:rsidRPr="3E392D5B">
        <w:rPr>
          <w:rFonts w:eastAsiaTheme="minorEastAsia"/>
          <w:shd w:val="clear" w:color="auto" w:fill="FFFFFF"/>
        </w:rPr>
        <w:t>s</w:t>
      </w:r>
      <w:r w:rsidRPr="000D1057">
        <w:rPr>
          <w:rFonts w:eastAsiaTheme="minorEastAsia"/>
          <w:shd w:val="clear" w:color="auto" w:fill="FFFFFF"/>
        </w:rPr>
        <w:t xml:space="preserve">ales of </w:t>
      </w:r>
      <w:r w:rsidRPr="3E392D5B">
        <w:rPr>
          <w:rFonts w:eastAsiaTheme="minorEastAsia"/>
          <w:shd w:val="clear" w:color="auto" w:fill="FFFFFF"/>
        </w:rPr>
        <w:t>g</w:t>
      </w:r>
      <w:r w:rsidRPr="000D1057">
        <w:rPr>
          <w:rFonts w:eastAsiaTheme="minorEastAsia"/>
          <w:shd w:val="clear" w:color="auto" w:fill="FFFFFF"/>
        </w:rPr>
        <w:t xml:space="preserve">oods and </w:t>
      </w:r>
      <w:r w:rsidRPr="3E392D5B">
        <w:rPr>
          <w:rFonts w:eastAsiaTheme="minorEastAsia"/>
          <w:shd w:val="clear" w:color="auto" w:fill="FFFFFF"/>
        </w:rPr>
        <w:t>s</w:t>
      </w:r>
      <w:r w:rsidRPr="000D1057">
        <w:rPr>
          <w:rFonts w:eastAsiaTheme="minorEastAsia"/>
          <w:shd w:val="clear" w:color="auto" w:fill="FFFFFF"/>
        </w:rPr>
        <w:t>ervice</w:t>
      </w:r>
      <w:r w:rsidRPr="3E392D5B">
        <w:rPr>
          <w:rFonts w:eastAsiaTheme="minorEastAsia"/>
          <w:shd w:val="clear" w:color="auto" w:fill="FFFFFF"/>
        </w:rPr>
        <w:t>s</w:t>
      </w:r>
      <w:r w:rsidRPr="000D1057">
        <w:rPr>
          <w:rFonts w:eastAsiaTheme="minorEastAsia"/>
          <w:shd w:val="clear" w:color="auto" w:fill="FFFFFF"/>
        </w:rPr>
        <w:t xml:space="preserve"> revenue as </w:t>
      </w:r>
      <w:r w:rsidRPr="3E392D5B">
        <w:rPr>
          <w:rFonts w:eastAsiaTheme="minorEastAsia"/>
          <w:shd w:val="clear" w:color="auto" w:fill="FFFFFF"/>
        </w:rPr>
        <w:t xml:space="preserve">a </w:t>
      </w:r>
      <w:r w:rsidRPr="000D1057">
        <w:rPr>
          <w:rFonts w:eastAsiaTheme="minorEastAsia"/>
          <w:shd w:val="clear" w:color="auto" w:fill="FFFFFF"/>
        </w:rPr>
        <w:t>grant</w:t>
      </w:r>
      <w:r w:rsidRPr="3E392D5B">
        <w:rPr>
          <w:rFonts w:eastAsiaTheme="minorEastAsia"/>
          <w:shd w:val="clear" w:color="auto" w:fill="FFFFFF"/>
        </w:rPr>
        <w:t xml:space="preserve"> from other government agencies.</w:t>
      </w:r>
    </w:p>
    <w:p w14:paraId="67FFD605" w14:textId="2E47F250" w:rsidR="000D1057" w:rsidRPr="000D1057" w:rsidRDefault="000D1057" w:rsidP="008D00E2">
      <w:pPr>
        <w:rPr>
          <w:rFonts w:eastAsiaTheme="minorHAnsi"/>
          <w:shd w:val="clear" w:color="auto" w:fill="FFFFFF"/>
        </w:rPr>
      </w:pPr>
    </w:p>
    <w:p w14:paraId="5CC27241" w14:textId="7AF740C7" w:rsidR="000D1057" w:rsidRPr="000D1057" w:rsidRDefault="000D1057" w:rsidP="003426A4">
      <w:pPr>
        <w:pStyle w:val="BodyText"/>
      </w:pPr>
      <w:r w:rsidRPr="000D1057">
        <w:t xml:space="preserve">Over the four years to 2025-26, revenue in this category has been </w:t>
      </w:r>
      <w:r w:rsidR="0053288D">
        <w:t>re</w:t>
      </w:r>
      <w:r w:rsidR="00AE163B">
        <w:t>vised upwards</w:t>
      </w:r>
      <w:r w:rsidR="0053288D" w:rsidRPr="000D1057">
        <w:t xml:space="preserve"> </w:t>
      </w:r>
      <w:r w:rsidRPr="000D1057">
        <w:t>by</w:t>
      </w:r>
      <w:r w:rsidRPr="000D1057" w:rsidDel="00F91F1A">
        <w:t xml:space="preserve"> </w:t>
      </w:r>
      <w:r w:rsidRPr="00636EFF">
        <w:t>$2.</w:t>
      </w:r>
      <w:r w:rsidR="0003636D" w:rsidRPr="00636EFF">
        <w:t>1 </w:t>
      </w:r>
      <w:r w:rsidRPr="00636EFF">
        <w:t>billion (</w:t>
      </w:r>
      <w:r w:rsidR="00636EFF" w:rsidRPr="00636EFF">
        <w:t>5</w:t>
      </w:r>
      <w:r w:rsidRPr="00636EFF">
        <w:t>.</w:t>
      </w:r>
      <w:r w:rsidR="00636EFF">
        <w:t>8</w:t>
      </w:r>
      <w:r w:rsidR="00636EFF" w:rsidRPr="000D1057">
        <w:t xml:space="preserve"> </w:t>
      </w:r>
      <w:r w:rsidRPr="000D1057">
        <w:t>per cent), compared to the 2021-22 Half</w:t>
      </w:r>
      <w:r w:rsidRPr="000D1057">
        <w:noBreakHyphen/>
        <w:t xml:space="preserve">Yearly Review. The most significant drivers of the </w:t>
      </w:r>
      <w:r w:rsidR="00AE163B">
        <w:t>upwards revision</w:t>
      </w:r>
      <w:r w:rsidR="00AE163B" w:rsidRPr="000D1057">
        <w:t xml:space="preserve"> </w:t>
      </w:r>
      <w:r w:rsidRPr="000D1057">
        <w:t xml:space="preserve">for this period are as follows: </w:t>
      </w:r>
    </w:p>
    <w:p w14:paraId="35B184F6" w14:textId="0CBAEE74" w:rsidR="00F744C3" w:rsidRPr="000D1057" w:rsidRDefault="000D1057" w:rsidP="001321A1">
      <w:pPr>
        <w:pStyle w:val="Bullet1"/>
        <w:rPr>
          <w:rFonts w:eastAsiaTheme="minorHAnsi"/>
          <w:shd w:val="clear" w:color="auto" w:fill="FFFFFF"/>
        </w:rPr>
      </w:pPr>
      <w:r w:rsidRPr="00931D6E">
        <w:rPr>
          <w:rFonts w:eastAsiaTheme="minorHAnsi"/>
          <w:shd w:val="clear" w:color="auto" w:fill="FFFFFF"/>
        </w:rPr>
        <w:t xml:space="preserve">Transport for NSW </w:t>
      </w:r>
      <w:r w:rsidR="001B3F04">
        <w:t>upwards revision</w:t>
      </w:r>
      <w:r w:rsidR="001B3F04" w:rsidRPr="00931D6E" w:rsidDel="001B3F04">
        <w:rPr>
          <w:rFonts w:eastAsiaTheme="minorHAnsi"/>
          <w:shd w:val="clear" w:color="auto" w:fill="FFFFFF"/>
        </w:rPr>
        <w:t xml:space="preserve"> </w:t>
      </w:r>
      <w:r w:rsidRPr="00931D6E">
        <w:rPr>
          <w:rFonts w:eastAsiaTheme="minorHAnsi"/>
          <w:shd w:val="clear" w:color="auto" w:fill="FFFFFF"/>
        </w:rPr>
        <w:t>of $960.7 million</w:t>
      </w:r>
      <w:r w:rsidR="003E0263">
        <w:rPr>
          <w:rFonts w:eastAsiaTheme="minorHAnsi"/>
          <w:shd w:val="clear" w:color="auto" w:fill="FFFFFF"/>
        </w:rPr>
        <w:t xml:space="preserve"> due</w:t>
      </w:r>
      <w:r w:rsidRPr="00931D6E">
        <w:rPr>
          <w:rFonts w:eastAsiaTheme="minorHAnsi"/>
          <w:shd w:val="clear" w:color="auto" w:fill="FFFFFF"/>
        </w:rPr>
        <w:t xml:space="preserve"> </w:t>
      </w:r>
      <w:r w:rsidR="00931D6E" w:rsidRPr="00931D6E">
        <w:rPr>
          <w:rFonts w:eastAsiaTheme="minorHAnsi"/>
          <w:shd w:val="clear" w:color="auto" w:fill="FFFFFF"/>
        </w:rPr>
        <w:t xml:space="preserve">to </w:t>
      </w:r>
      <w:r w:rsidR="003E0263">
        <w:rPr>
          <w:rFonts w:eastAsiaTheme="minorHAnsi"/>
          <w:shd w:val="clear" w:color="auto" w:fill="FFFFFF"/>
        </w:rPr>
        <w:t xml:space="preserve">a </w:t>
      </w:r>
      <w:r w:rsidR="00931D6E" w:rsidRPr="00931D6E">
        <w:rPr>
          <w:rFonts w:eastAsiaTheme="minorHAnsi"/>
          <w:shd w:val="clear" w:color="auto" w:fill="FFFFFF"/>
        </w:rPr>
        <w:t>capital project recovery carry forward of $310</w:t>
      </w:r>
      <w:r w:rsidR="003E0263">
        <w:rPr>
          <w:rFonts w:eastAsiaTheme="minorHAnsi"/>
          <w:shd w:val="clear" w:color="auto" w:fill="FFFFFF"/>
        </w:rPr>
        <w:t xml:space="preserve"> </w:t>
      </w:r>
      <w:r w:rsidR="00931D6E" w:rsidRPr="00931D6E">
        <w:rPr>
          <w:rFonts w:eastAsiaTheme="minorHAnsi"/>
          <w:shd w:val="clear" w:color="auto" w:fill="FFFFFF"/>
        </w:rPr>
        <w:t>m</w:t>
      </w:r>
      <w:r w:rsidR="003E0263">
        <w:rPr>
          <w:rFonts w:eastAsiaTheme="minorHAnsi"/>
          <w:shd w:val="clear" w:color="auto" w:fill="FFFFFF"/>
        </w:rPr>
        <w:t>illion</w:t>
      </w:r>
      <w:r w:rsidR="00931D6E" w:rsidRPr="00931D6E">
        <w:rPr>
          <w:rFonts w:eastAsiaTheme="minorHAnsi"/>
          <w:shd w:val="clear" w:color="auto" w:fill="FFFFFF"/>
        </w:rPr>
        <w:t xml:space="preserve"> </w:t>
      </w:r>
      <w:r w:rsidR="0042763A">
        <w:rPr>
          <w:rFonts w:eastAsiaTheme="minorHAnsi"/>
          <w:shd w:val="clear" w:color="auto" w:fill="FFFFFF"/>
        </w:rPr>
        <w:t>from</w:t>
      </w:r>
      <w:r w:rsidR="00931D6E" w:rsidRPr="00931D6E">
        <w:rPr>
          <w:rFonts w:eastAsiaTheme="minorHAnsi"/>
          <w:shd w:val="clear" w:color="auto" w:fill="FFFFFF"/>
        </w:rPr>
        <w:t xml:space="preserve"> </w:t>
      </w:r>
      <w:r w:rsidR="00111251">
        <w:rPr>
          <w:rFonts w:eastAsiaTheme="minorHAnsi"/>
          <w:shd w:val="clear" w:color="auto" w:fill="FFFFFF"/>
        </w:rPr>
        <w:t>2021-</w:t>
      </w:r>
      <w:r w:rsidR="00931D6E" w:rsidRPr="00931D6E">
        <w:rPr>
          <w:rFonts w:eastAsiaTheme="minorHAnsi"/>
          <w:shd w:val="clear" w:color="auto" w:fill="FFFFFF"/>
        </w:rPr>
        <w:t xml:space="preserve">22 to </w:t>
      </w:r>
      <w:r w:rsidR="00111251">
        <w:rPr>
          <w:rFonts w:eastAsiaTheme="minorHAnsi"/>
          <w:shd w:val="clear" w:color="auto" w:fill="FFFFFF"/>
        </w:rPr>
        <w:t xml:space="preserve">the </w:t>
      </w:r>
      <w:r w:rsidR="00931D6E" w:rsidRPr="00931D6E">
        <w:rPr>
          <w:rFonts w:eastAsiaTheme="minorHAnsi"/>
          <w:shd w:val="clear" w:color="auto" w:fill="FFFFFF"/>
        </w:rPr>
        <w:t xml:space="preserve">forward </w:t>
      </w:r>
      <w:r w:rsidR="00111251">
        <w:rPr>
          <w:rFonts w:eastAsiaTheme="minorHAnsi"/>
          <w:shd w:val="clear" w:color="auto" w:fill="FFFFFF"/>
        </w:rPr>
        <w:t>estimate</w:t>
      </w:r>
      <w:r w:rsidR="00931D6E" w:rsidRPr="00931D6E">
        <w:rPr>
          <w:rFonts w:eastAsiaTheme="minorHAnsi"/>
          <w:shd w:val="clear" w:color="auto" w:fill="FFFFFF"/>
        </w:rPr>
        <w:t>s, and $600</w:t>
      </w:r>
      <w:r w:rsidR="00111251">
        <w:rPr>
          <w:rFonts w:eastAsiaTheme="minorHAnsi"/>
          <w:shd w:val="clear" w:color="auto" w:fill="FFFFFF"/>
        </w:rPr>
        <w:t xml:space="preserve"> </w:t>
      </w:r>
      <w:r w:rsidR="00931D6E" w:rsidRPr="00931D6E">
        <w:rPr>
          <w:rFonts w:eastAsiaTheme="minorHAnsi"/>
          <w:shd w:val="clear" w:color="auto" w:fill="FFFFFF"/>
        </w:rPr>
        <w:t>m</w:t>
      </w:r>
      <w:r w:rsidR="00111251">
        <w:rPr>
          <w:rFonts w:eastAsiaTheme="minorHAnsi"/>
          <w:shd w:val="clear" w:color="auto" w:fill="FFFFFF"/>
        </w:rPr>
        <w:t>illion in</w:t>
      </w:r>
      <w:r w:rsidR="00931D6E" w:rsidRPr="00931D6E">
        <w:rPr>
          <w:rFonts w:eastAsiaTheme="minorHAnsi"/>
          <w:shd w:val="clear" w:color="auto" w:fill="FFFFFF"/>
        </w:rPr>
        <w:t xml:space="preserve"> cost recovery associated with corporate functions transferred from Sydney Trains</w:t>
      </w:r>
      <w:r w:rsidR="009B54AF">
        <w:rPr>
          <w:rFonts w:eastAsiaTheme="minorHAnsi"/>
          <w:shd w:val="clear" w:color="auto" w:fill="FFFFFF"/>
        </w:rPr>
        <w:t xml:space="preserve"> and </w:t>
      </w:r>
      <w:r w:rsidR="000E3701" w:rsidRPr="000E3701">
        <w:rPr>
          <w:rFonts w:eastAsiaTheme="minorHAnsi"/>
          <w:shd w:val="clear" w:color="auto" w:fill="FFFFFF"/>
        </w:rPr>
        <w:t>the Transport Asset Holding Entity (</w:t>
      </w:r>
      <w:r w:rsidR="009B54AF">
        <w:rPr>
          <w:rFonts w:eastAsiaTheme="minorHAnsi"/>
          <w:shd w:val="clear" w:color="auto" w:fill="FFFFFF"/>
        </w:rPr>
        <w:t>TAHE</w:t>
      </w:r>
      <w:r w:rsidR="000E3701">
        <w:rPr>
          <w:rFonts w:eastAsiaTheme="minorHAnsi"/>
          <w:shd w:val="clear" w:color="auto" w:fill="FFFFFF"/>
        </w:rPr>
        <w:t>)</w:t>
      </w:r>
      <w:r w:rsidR="00931D6E" w:rsidRPr="00931D6E">
        <w:rPr>
          <w:rFonts w:eastAsiaTheme="minorHAnsi"/>
          <w:shd w:val="clear" w:color="auto" w:fill="FFFFFF"/>
        </w:rPr>
        <w:t>.</w:t>
      </w:r>
    </w:p>
    <w:p w14:paraId="4670BE7E" w14:textId="4FEBD893" w:rsidR="00711046" w:rsidRPr="00931D6E" w:rsidRDefault="000D1057" w:rsidP="001321A1">
      <w:pPr>
        <w:pStyle w:val="Bullet1"/>
        <w:rPr>
          <w:rFonts w:eastAsiaTheme="minorHAnsi"/>
          <w:shd w:val="clear" w:color="auto" w:fill="FFFFFF"/>
        </w:rPr>
      </w:pPr>
      <w:r w:rsidRPr="00711046">
        <w:rPr>
          <w:rFonts w:eastAsiaTheme="minorHAnsi"/>
          <w:shd w:val="clear" w:color="auto" w:fill="FFFFFF"/>
        </w:rPr>
        <w:t xml:space="preserve">Department of Planning &amp; Environment </w:t>
      </w:r>
      <w:r w:rsidR="001B3F04">
        <w:t>upwards revision</w:t>
      </w:r>
      <w:r w:rsidR="001B3F04" w:rsidRPr="00711046" w:rsidDel="001B3F04">
        <w:rPr>
          <w:rFonts w:eastAsiaTheme="minorHAnsi"/>
          <w:shd w:val="clear" w:color="auto" w:fill="FFFFFF"/>
        </w:rPr>
        <w:t xml:space="preserve"> </w:t>
      </w:r>
      <w:r w:rsidRPr="00711046">
        <w:rPr>
          <w:rFonts w:eastAsiaTheme="minorHAnsi"/>
          <w:shd w:val="clear" w:color="auto" w:fill="FFFFFF"/>
        </w:rPr>
        <w:t>of $419.8 million</w:t>
      </w:r>
      <w:r w:rsidR="00711046" w:rsidRPr="00711046">
        <w:rPr>
          <w:rFonts w:eastAsiaTheme="minorHAnsi"/>
          <w:shd w:val="clear" w:color="auto" w:fill="FFFFFF"/>
        </w:rPr>
        <w:t xml:space="preserve"> due to</w:t>
      </w:r>
      <w:r w:rsidR="00711046" w:rsidRPr="00711046">
        <w:t xml:space="preserve"> </w:t>
      </w:r>
      <w:r w:rsidR="00711046">
        <w:t>s</w:t>
      </w:r>
      <w:r w:rsidR="00711046" w:rsidRPr="00711046">
        <w:rPr>
          <w:rFonts w:eastAsiaTheme="minorHAnsi"/>
          <w:shd w:val="clear" w:color="auto" w:fill="FFFFFF"/>
        </w:rPr>
        <w:t>everal drivers, including: transfer of revenue budget from Property NSW for service level agreements; reclassification between revenue categories; and increase in personnel service revenue from Land and Housing Corporation.</w:t>
      </w:r>
    </w:p>
    <w:p w14:paraId="2CBF69DD" w14:textId="25E0666E" w:rsidR="000D1057" w:rsidRPr="000D1057" w:rsidRDefault="000D1057" w:rsidP="001321A1">
      <w:pPr>
        <w:pStyle w:val="Bullet1"/>
        <w:rPr>
          <w:rFonts w:eastAsiaTheme="minorHAnsi"/>
          <w:shd w:val="clear" w:color="auto" w:fill="FFFFFF"/>
        </w:rPr>
      </w:pPr>
      <w:r w:rsidRPr="000D1057">
        <w:rPr>
          <w:rFonts w:eastAsiaTheme="minorHAnsi"/>
          <w:shd w:val="clear" w:color="auto" w:fill="FFFFFF"/>
        </w:rPr>
        <w:t xml:space="preserve">Department of Regional NSW </w:t>
      </w:r>
      <w:r w:rsidR="001B3F04">
        <w:t>upwards revision</w:t>
      </w:r>
      <w:r w:rsidR="001B3F04" w:rsidRPr="000D1057" w:rsidDel="001B3F04">
        <w:rPr>
          <w:rFonts w:eastAsiaTheme="minorHAnsi"/>
          <w:shd w:val="clear" w:color="auto" w:fill="FFFFFF"/>
        </w:rPr>
        <w:t xml:space="preserve"> </w:t>
      </w:r>
      <w:r w:rsidRPr="000D1057">
        <w:rPr>
          <w:rFonts w:eastAsiaTheme="minorHAnsi"/>
          <w:shd w:val="clear" w:color="auto" w:fill="FFFFFF"/>
        </w:rPr>
        <w:t xml:space="preserve">of $246.2 million, primarily due to a machinery of government change, which saw the administrative transfer of the Soil Conservation Service from Local Land Services. </w:t>
      </w:r>
    </w:p>
    <w:p w14:paraId="464D1ED9" w14:textId="5088314F" w:rsidR="000D1057" w:rsidRPr="000D1057" w:rsidRDefault="000D1057" w:rsidP="001321A1">
      <w:pPr>
        <w:pStyle w:val="Bullet1"/>
        <w:rPr>
          <w:rFonts w:eastAsiaTheme="minorHAnsi"/>
          <w:shd w:val="clear" w:color="auto" w:fill="FFFFFF"/>
        </w:rPr>
      </w:pPr>
      <w:r w:rsidRPr="000D1057">
        <w:rPr>
          <w:rFonts w:eastAsiaTheme="minorHAnsi"/>
          <w:shd w:val="clear" w:color="auto" w:fill="FFFFFF"/>
        </w:rPr>
        <w:t xml:space="preserve">NSW Self Insurance Corporation </w:t>
      </w:r>
      <w:r w:rsidR="001B3F04">
        <w:t>upwards revision</w:t>
      </w:r>
      <w:r w:rsidR="001B3F04" w:rsidRPr="000D1057" w:rsidDel="001B3F04">
        <w:rPr>
          <w:rFonts w:eastAsiaTheme="minorHAnsi"/>
          <w:shd w:val="clear" w:color="auto" w:fill="FFFFFF"/>
        </w:rPr>
        <w:t xml:space="preserve"> </w:t>
      </w:r>
      <w:r w:rsidRPr="000D1057">
        <w:rPr>
          <w:rFonts w:eastAsiaTheme="minorHAnsi"/>
          <w:shd w:val="clear" w:color="auto" w:fill="FFFFFF"/>
        </w:rPr>
        <w:t>of $165.5 million, due to revisions in expected insurance premiums, reinsurance and other recoveries.</w:t>
      </w:r>
    </w:p>
    <w:p w14:paraId="17A54353" w14:textId="13D88D80" w:rsidR="000D1057" w:rsidRPr="000D1057" w:rsidRDefault="000D1057" w:rsidP="001321A1">
      <w:pPr>
        <w:pStyle w:val="Bullet1"/>
        <w:rPr>
          <w:rFonts w:eastAsiaTheme="minorHAnsi"/>
          <w:shd w:val="clear" w:color="auto" w:fill="FFFFFF"/>
        </w:rPr>
      </w:pPr>
      <w:r w:rsidRPr="000D1057">
        <w:rPr>
          <w:rFonts w:eastAsiaTheme="minorHAnsi"/>
          <w:shd w:val="clear" w:color="auto" w:fill="FFFFFF"/>
        </w:rPr>
        <w:t xml:space="preserve">Infrastructure NSW </w:t>
      </w:r>
      <w:r w:rsidR="001B3F04">
        <w:t>upwards revision</w:t>
      </w:r>
      <w:r w:rsidR="001B3F04" w:rsidRPr="000D1057" w:rsidDel="001B3F04">
        <w:rPr>
          <w:rFonts w:eastAsiaTheme="minorHAnsi"/>
          <w:shd w:val="clear" w:color="auto" w:fill="FFFFFF"/>
        </w:rPr>
        <w:t xml:space="preserve"> </w:t>
      </w:r>
      <w:r w:rsidRPr="000D1057">
        <w:rPr>
          <w:rFonts w:eastAsiaTheme="minorHAnsi"/>
          <w:shd w:val="clear" w:color="auto" w:fill="FFFFFF"/>
        </w:rPr>
        <w:t>of $81.0 million, primarily stemming from a change in accounting treatment for estate levy revenues (previously booked under ‘Other revenue’) on advice of the Audit Office</w:t>
      </w:r>
      <w:r w:rsidR="0052149F">
        <w:rPr>
          <w:rFonts w:eastAsiaTheme="minorHAnsi"/>
          <w:shd w:val="clear" w:color="auto" w:fill="FFFFFF"/>
        </w:rPr>
        <w:t xml:space="preserve"> of </w:t>
      </w:r>
      <w:r w:rsidR="002D311C">
        <w:rPr>
          <w:rFonts w:eastAsiaTheme="minorHAnsi"/>
          <w:shd w:val="clear" w:color="auto" w:fill="FFFFFF"/>
        </w:rPr>
        <w:t>New South Wales</w:t>
      </w:r>
      <w:r w:rsidRPr="000D1057">
        <w:rPr>
          <w:rFonts w:eastAsiaTheme="minorHAnsi"/>
          <w:shd w:val="clear" w:color="auto" w:fill="FFFFFF"/>
        </w:rPr>
        <w:t xml:space="preserve">. </w:t>
      </w:r>
    </w:p>
    <w:p w14:paraId="3A148E7C" w14:textId="75B92D41" w:rsidR="000D1057" w:rsidRPr="000D1057" w:rsidRDefault="000D1057" w:rsidP="001321A1">
      <w:pPr>
        <w:pStyle w:val="Bullet1"/>
        <w:rPr>
          <w:rFonts w:eastAsiaTheme="minorEastAsia"/>
          <w:shd w:val="clear" w:color="auto" w:fill="FFFFFF"/>
        </w:rPr>
      </w:pPr>
      <w:r w:rsidRPr="210C42AA">
        <w:rPr>
          <w:rFonts w:eastAsiaTheme="minorEastAsia"/>
          <w:shd w:val="clear" w:color="auto" w:fill="FFFFFF"/>
        </w:rPr>
        <w:t xml:space="preserve">Department of Education </w:t>
      </w:r>
      <w:r w:rsidR="001B3F04">
        <w:t>upwards revision</w:t>
      </w:r>
      <w:r w:rsidR="001B3F04" w:rsidRPr="210C42AA">
        <w:rPr>
          <w:rFonts w:eastAsiaTheme="minorEastAsia"/>
        </w:rPr>
        <w:t xml:space="preserve"> </w:t>
      </w:r>
      <w:r w:rsidRPr="210C42AA">
        <w:rPr>
          <w:rFonts w:eastAsiaTheme="minorEastAsia"/>
          <w:shd w:val="clear" w:color="auto" w:fill="FFFFFF"/>
        </w:rPr>
        <w:t xml:space="preserve">of $78.2 million, </w:t>
      </w:r>
      <w:r w:rsidR="006E6C9D" w:rsidRPr="210C42AA">
        <w:rPr>
          <w:rFonts w:eastAsiaTheme="minorEastAsia"/>
          <w:shd w:val="clear" w:color="auto" w:fill="FFFFFF"/>
        </w:rPr>
        <w:t>owing</w:t>
      </w:r>
      <w:r w:rsidRPr="210C42AA">
        <w:rPr>
          <w:rFonts w:eastAsiaTheme="minorEastAsia"/>
          <w:shd w:val="clear" w:color="auto" w:fill="FFFFFF"/>
        </w:rPr>
        <w:t xml:space="preserve"> to higher </w:t>
      </w:r>
      <w:r w:rsidR="0097648E" w:rsidRPr="210C42AA">
        <w:rPr>
          <w:rFonts w:eastAsiaTheme="minorEastAsia"/>
          <w:shd w:val="clear" w:color="auto" w:fill="FFFFFF"/>
        </w:rPr>
        <w:t xml:space="preserve">expected </w:t>
      </w:r>
      <w:r w:rsidRPr="210C42AA">
        <w:rPr>
          <w:rFonts w:eastAsiaTheme="minorEastAsia"/>
          <w:shd w:val="clear" w:color="auto" w:fill="FFFFFF"/>
        </w:rPr>
        <w:t>nominal revenue</w:t>
      </w:r>
      <w:r w:rsidR="006E6C9D" w:rsidRPr="210C42AA">
        <w:rPr>
          <w:rFonts w:eastAsiaTheme="minorEastAsia"/>
          <w:shd w:val="clear" w:color="auto" w:fill="FFFFFF"/>
        </w:rPr>
        <w:t>s</w:t>
      </w:r>
      <w:r w:rsidRPr="210C42AA">
        <w:rPr>
          <w:rFonts w:eastAsiaTheme="minorEastAsia"/>
          <w:shd w:val="clear" w:color="auto" w:fill="FFFFFF"/>
        </w:rPr>
        <w:t xml:space="preserve"> (for instance from school fees and international student fees) </w:t>
      </w:r>
      <w:r w:rsidR="006E6C9D" w:rsidRPr="210C42AA">
        <w:rPr>
          <w:rFonts w:eastAsiaTheme="minorEastAsia"/>
          <w:shd w:val="clear" w:color="auto" w:fill="FFFFFF"/>
        </w:rPr>
        <w:t xml:space="preserve">due to </w:t>
      </w:r>
      <w:r w:rsidRPr="210C42AA">
        <w:rPr>
          <w:rFonts w:eastAsiaTheme="minorEastAsia"/>
          <w:shd w:val="clear" w:color="auto" w:fill="FFFFFF"/>
        </w:rPr>
        <w:t>higher inflation</w:t>
      </w:r>
      <w:r w:rsidR="006E6C9D" w:rsidRPr="210C42AA">
        <w:rPr>
          <w:rFonts w:eastAsiaTheme="minorEastAsia"/>
          <w:shd w:val="clear" w:color="auto" w:fill="FFFFFF"/>
        </w:rPr>
        <w:t xml:space="preserve"> forecasts</w:t>
      </w:r>
      <w:r w:rsidRPr="210C42AA">
        <w:rPr>
          <w:rFonts w:eastAsiaTheme="minorEastAsia"/>
          <w:shd w:val="clear" w:color="auto" w:fill="FFFFFF"/>
        </w:rPr>
        <w:t>.</w:t>
      </w:r>
    </w:p>
    <w:p w14:paraId="6595C65D" w14:textId="29FDC165" w:rsidR="000D1057" w:rsidRPr="000D1057" w:rsidRDefault="000D1057" w:rsidP="000A00BC">
      <w:pPr>
        <w:pStyle w:val="BodyText"/>
      </w:pPr>
      <w:r w:rsidRPr="00727F2B">
        <w:t xml:space="preserve">These upgrades are partially offset by </w:t>
      </w:r>
      <w:r w:rsidR="001B3F04">
        <w:t>downwards revisions</w:t>
      </w:r>
      <w:r w:rsidR="001B3F04" w:rsidRPr="00727F2B" w:rsidDel="001B3F04">
        <w:t xml:space="preserve"> </w:t>
      </w:r>
      <w:r w:rsidRPr="00727F2B">
        <w:t>in:</w:t>
      </w:r>
    </w:p>
    <w:p w14:paraId="013F0C60" w14:textId="594D7FC6" w:rsidR="00DF1869" w:rsidRDefault="00DF1869" w:rsidP="001321A1">
      <w:pPr>
        <w:pStyle w:val="Bullet1"/>
        <w:rPr>
          <w:rFonts w:eastAsiaTheme="minorHAnsi"/>
          <w:shd w:val="clear" w:color="auto" w:fill="FFFFFF"/>
        </w:rPr>
      </w:pPr>
      <w:r w:rsidRPr="00E551DB">
        <w:rPr>
          <w:rFonts w:eastAsiaTheme="minorHAnsi"/>
          <w:shd w:val="clear" w:color="auto" w:fill="FFFFFF"/>
        </w:rPr>
        <w:t xml:space="preserve">Local Land Services </w:t>
      </w:r>
      <w:r w:rsidRPr="000A00BC">
        <w:rPr>
          <w:rFonts w:eastAsiaTheme="minorHAnsi"/>
          <w:shd w:val="clear" w:color="auto" w:fill="FFFFFF"/>
        </w:rPr>
        <w:t>downwards revision</w:t>
      </w:r>
      <w:r w:rsidRPr="00E551DB" w:rsidDel="001B3F04">
        <w:rPr>
          <w:rFonts w:eastAsiaTheme="minorHAnsi"/>
          <w:shd w:val="clear" w:color="auto" w:fill="FFFFFF"/>
        </w:rPr>
        <w:t xml:space="preserve"> </w:t>
      </w:r>
      <w:r w:rsidRPr="00313439">
        <w:rPr>
          <w:rFonts w:eastAsiaTheme="minorHAnsi"/>
          <w:shd w:val="clear" w:color="auto" w:fill="FFFFFF"/>
        </w:rPr>
        <w:t>of $160.9</w:t>
      </w:r>
      <w:r w:rsidR="00050A2C">
        <w:rPr>
          <w:rFonts w:eastAsiaTheme="minorHAnsi"/>
          <w:shd w:val="clear" w:color="auto" w:fill="FFFFFF"/>
        </w:rPr>
        <w:t xml:space="preserve"> million</w:t>
      </w:r>
      <w:r w:rsidRPr="00E551DB">
        <w:rPr>
          <w:rFonts w:eastAsiaTheme="minorHAnsi"/>
          <w:shd w:val="clear" w:color="auto" w:fill="FFFFFF"/>
        </w:rPr>
        <w:t xml:space="preserve">, primarily due to a machinery of government change, which saw the administrative transfer of the Soil Conservation </w:t>
      </w:r>
      <w:r w:rsidRPr="00313439">
        <w:rPr>
          <w:rFonts w:eastAsiaTheme="minorHAnsi"/>
          <w:shd w:val="clear" w:color="auto" w:fill="FFFFFF"/>
        </w:rPr>
        <w:t>Service to the Department o</w:t>
      </w:r>
      <w:r w:rsidRPr="00BC3872">
        <w:rPr>
          <w:rFonts w:eastAsiaTheme="minorHAnsi"/>
          <w:shd w:val="clear" w:color="auto" w:fill="FFFFFF"/>
        </w:rPr>
        <w:t>f Regional NSW.</w:t>
      </w:r>
    </w:p>
    <w:p w14:paraId="3DE7B873" w14:textId="06F0F8CA" w:rsidR="000D1057" w:rsidRPr="000D1057" w:rsidRDefault="000D1057" w:rsidP="001321A1">
      <w:pPr>
        <w:pStyle w:val="Bullet1"/>
        <w:rPr>
          <w:rFonts w:eastAsiaTheme="minorHAnsi"/>
          <w:shd w:val="clear" w:color="auto" w:fill="FFFFFF"/>
        </w:rPr>
      </w:pPr>
      <w:r w:rsidRPr="000D1057">
        <w:rPr>
          <w:rFonts w:eastAsiaTheme="minorHAnsi"/>
          <w:shd w:val="clear" w:color="auto" w:fill="FFFFFF"/>
        </w:rPr>
        <w:t xml:space="preserve">Department of Customer Service </w:t>
      </w:r>
      <w:r w:rsidR="001B3F04">
        <w:rPr>
          <w:rFonts w:eastAsiaTheme="minorHAnsi"/>
          <w:shd w:val="clear" w:color="auto" w:fill="FFFFFF"/>
        </w:rPr>
        <w:t>downwards revision</w:t>
      </w:r>
      <w:r w:rsidR="001B3F04" w:rsidRPr="000D1057">
        <w:rPr>
          <w:rFonts w:eastAsiaTheme="minorHAnsi"/>
          <w:shd w:val="clear" w:color="auto" w:fill="FFFFFF"/>
        </w:rPr>
        <w:t xml:space="preserve"> </w:t>
      </w:r>
      <w:r w:rsidRPr="000D1057">
        <w:rPr>
          <w:rFonts w:eastAsiaTheme="minorHAnsi"/>
          <w:shd w:val="clear" w:color="auto" w:fill="FFFFFF"/>
        </w:rPr>
        <w:t>of $159.4 million</w:t>
      </w:r>
      <w:r w:rsidR="00A40AA1">
        <w:rPr>
          <w:rFonts w:eastAsiaTheme="minorHAnsi"/>
          <w:shd w:val="clear" w:color="auto" w:fill="FFFFFF"/>
        </w:rPr>
        <w:t>,</w:t>
      </w:r>
      <w:r w:rsidRPr="000D1057">
        <w:rPr>
          <w:rFonts w:eastAsiaTheme="minorHAnsi"/>
          <w:shd w:val="clear" w:color="auto" w:fill="FFFFFF"/>
        </w:rPr>
        <w:t xml:space="preserve"> primarily due to the loss of liquor licensing fees, associated with the transfer out of the Liquor and Gaming Authority to the Department of Enterprise, Investment and Trade.</w:t>
      </w:r>
    </w:p>
    <w:p w14:paraId="7D9BE55F" w14:textId="1EA812A6" w:rsidR="000D1057" w:rsidRPr="000D1057" w:rsidRDefault="000D1057" w:rsidP="001321A1">
      <w:pPr>
        <w:pStyle w:val="Bullet1"/>
        <w:rPr>
          <w:rFonts w:eastAsiaTheme="minorHAnsi"/>
          <w:shd w:val="clear" w:color="auto" w:fill="FFFFFF"/>
        </w:rPr>
      </w:pPr>
      <w:r w:rsidRPr="000D1057">
        <w:rPr>
          <w:rFonts w:eastAsiaTheme="minorHAnsi"/>
          <w:shd w:val="clear" w:color="auto" w:fill="FFFFFF"/>
        </w:rPr>
        <w:t xml:space="preserve">Property NSW </w:t>
      </w:r>
      <w:r w:rsidR="000F7AFE">
        <w:t>downwards revision</w:t>
      </w:r>
      <w:r w:rsidR="000F7AFE" w:rsidRPr="000D1057" w:rsidDel="001B3F04">
        <w:rPr>
          <w:rFonts w:eastAsiaTheme="minorHAnsi"/>
          <w:shd w:val="clear" w:color="auto" w:fill="FFFFFF"/>
        </w:rPr>
        <w:t xml:space="preserve"> </w:t>
      </w:r>
      <w:r w:rsidRPr="000D1057">
        <w:rPr>
          <w:rFonts w:eastAsiaTheme="minorHAnsi"/>
          <w:shd w:val="clear" w:color="auto" w:fill="FFFFFF"/>
        </w:rPr>
        <w:t>of $90.5 million</w:t>
      </w:r>
      <w:r w:rsidR="00D11F78">
        <w:rPr>
          <w:rFonts w:eastAsiaTheme="minorHAnsi"/>
          <w:shd w:val="clear" w:color="auto" w:fill="FFFFFF"/>
        </w:rPr>
        <w:t xml:space="preserve">, due to </w:t>
      </w:r>
      <w:r w:rsidR="00D11F78" w:rsidRPr="00711046">
        <w:rPr>
          <w:rFonts w:eastAsiaTheme="minorHAnsi"/>
          <w:shd w:val="clear" w:color="auto" w:fill="FFFFFF"/>
        </w:rPr>
        <w:t>transfer of</w:t>
      </w:r>
      <w:r w:rsidR="008537B9">
        <w:rPr>
          <w:rFonts w:eastAsiaTheme="minorHAnsi"/>
          <w:shd w:val="clear" w:color="auto" w:fill="FFFFFF"/>
        </w:rPr>
        <w:t xml:space="preserve"> the</w:t>
      </w:r>
      <w:r w:rsidR="00D11F78" w:rsidRPr="00711046">
        <w:rPr>
          <w:rFonts w:eastAsiaTheme="minorHAnsi"/>
          <w:shd w:val="clear" w:color="auto" w:fill="FFFFFF"/>
        </w:rPr>
        <w:t xml:space="preserve"> revenue budget for service level agreements</w:t>
      </w:r>
      <w:r w:rsidR="008537B9">
        <w:rPr>
          <w:rFonts w:eastAsiaTheme="minorHAnsi"/>
          <w:shd w:val="clear" w:color="auto" w:fill="FFFFFF"/>
        </w:rPr>
        <w:t xml:space="preserve"> to the Department of Planning &amp; Environment.</w:t>
      </w:r>
    </w:p>
    <w:p w14:paraId="7E36A4F3" w14:textId="44947458" w:rsidR="00A6669E" w:rsidRPr="00F734F0" w:rsidRDefault="00D029D9" w:rsidP="00481B12">
      <w:pPr>
        <w:pStyle w:val="Table4X"/>
      </w:pPr>
      <w:r w:rsidRPr="00F734F0">
        <w:t>Sales of goods and services revenue</w:t>
      </w:r>
      <w:r w:rsidR="00F734F0">
        <w:t xml:space="preserve"> </w:t>
      </w:r>
    </w:p>
    <w:tbl>
      <w:tblPr>
        <w:tblW w:w="9580" w:type="dxa"/>
        <w:tblLook w:val="04A0" w:firstRow="1" w:lastRow="0" w:firstColumn="1" w:lastColumn="0" w:noHBand="0" w:noVBand="1"/>
        <w:tblCaption w:val="Table 4.9: Sales of goods and services revenue "/>
        <w:tblDescription w:val="Table 4.9: Sales of goods and services revenue "/>
      </w:tblPr>
      <w:tblGrid>
        <w:gridCol w:w="2689"/>
        <w:gridCol w:w="936"/>
        <w:gridCol w:w="936"/>
        <w:gridCol w:w="936"/>
        <w:gridCol w:w="936"/>
        <w:gridCol w:w="936"/>
        <w:gridCol w:w="936"/>
        <w:gridCol w:w="1275"/>
      </w:tblGrid>
      <w:tr w:rsidR="003A7344" w:rsidRPr="00972A92" w14:paraId="082051BD" w14:textId="77777777" w:rsidTr="00FD5F7A">
        <w:trPr>
          <w:trHeight w:val="300"/>
        </w:trPr>
        <w:tc>
          <w:tcPr>
            <w:tcW w:w="2689" w:type="dxa"/>
            <w:tcBorders>
              <w:top w:val="nil"/>
              <w:left w:val="nil"/>
              <w:bottom w:val="nil"/>
              <w:right w:val="nil"/>
            </w:tcBorders>
            <w:shd w:val="clear" w:color="000000" w:fill="008EBA"/>
            <w:vAlign w:val="center"/>
            <w:hideMark/>
          </w:tcPr>
          <w:p w14:paraId="6F5AD63E" w14:textId="77777777" w:rsidR="003A7344" w:rsidRPr="00972A92" w:rsidRDefault="003A7344" w:rsidP="00FD5F7A">
            <w:pPr>
              <w:jc w:val="center"/>
              <w:rPr>
                <w:rFonts w:ascii="Arial" w:hAnsi="Arial" w:cs="Arial"/>
                <w:i/>
                <w:iCs/>
                <w:color w:val="FFFFFF"/>
                <w:sz w:val="16"/>
                <w:szCs w:val="16"/>
                <w:lang w:eastAsia="en-AU"/>
              </w:rPr>
            </w:pPr>
            <w:r w:rsidRPr="00972A92">
              <w:rPr>
                <w:rFonts w:ascii="Arial" w:hAnsi="Arial" w:cs="Arial"/>
                <w:i/>
                <w:iCs/>
                <w:color w:val="FFFFFF"/>
                <w:sz w:val="16"/>
                <w:szCs w:val="16"/>
                <w:lang w:eastAsia="en-AU"/>
              </w:rPr>
              <w:t> </w:t>
            </w:r>
          </w:p>
        </w:tc>
        <w:tc>
          <w:tcPr>
            <w:tcW w:w="936" w:type="dxa"/>
            <w:tcBorders>
              <w:top w:val="nil"/>
              <w:left w:val="nil"/>
              <w:bottom w:val="nil"/>
              <w:right w:val="nil"/>
            </w:tcBorders>
            <w:shd w:val="clear" w:color="000000" w:fill="008EBA"/>
            <w:noWrap/>
            <w:vAlign w:val="bottom"/>
            <w:hideMark/>
          </w:tcPr>
          <w:p w14:paraId="0AD9F95E" w14:textId="77777777" w:rsidR="003A7344" w:rsidRPr="00972A92" w:rsidRDefault="003A7344" w:rsidP="00FD5F7A">
            <w:pPr>
              <w:jc w:val="center"/>
              <w:rPr>
                <w:rFonts w:ascii="Arial" w:hAnsi="Arial" w:cs="Arial"/>
                <w:color w:val="FFFFFF"/>
                <w:sz w:val="16"/>
                <w:szCs w:val="16"/>
                <w:lang w:eastAsia="en-AU"/>
              </w:rPr>
            </w:pPr>
            <w:r w:rsidRPr="00972A92">
              <w:rPr>
                <w:rFonts w:ascii="Arial" w:hAnsi="Arial" w:cs="Arial"/>
                <w:color w:val="FFFFFF"/>
                <w:sz w:val="16"/>
                <w:szCs w:val="16"/>
                <w:lang w:eastAsia="en-AU"/>
              </w:rPr>
              <w:t>2020-21</w:t>
            </w:r>
          </w:p>
        </w:tc>
        <w:tc>
          <w:tcPr>
            <w:tcW w:w="936" w:type="dxa"/>
            <w:tcBorders>
              <w:top w:val="nil"/>
              <w:left w:val="nil"/>
              <w:bottom w:val="nil"/>
              <w:right w:val="nil"/>
            </w:tcBorders>
            <w:shd w:val="clear" w:color="000000" w:fill="008EBA"/>
            <w:noWrap/>
            <w:vAlign w:val="bottom"/>
            <w:hideMark/>
          </w:tcPr>
          <w:p w14:paraId="674053E7" w14:textId="77777777" w:rsidR="003A7344" w:rsidRPr="00972A92" w:rsidRDefault="003A7344" w:rsidP="00FD5F7A">
            <w:pPr>
              <w:jc w:val="center"/>
              <w:rPr>
                <w:rFonts w:ascii="Arial" w:hAnsi="Arial" w:cs="Arial"/>
                <w:color w:val="FFFFFF"/>
                <w:sz w:val="16"/>
                <w:szCs w:val="16"/>
                <w:lang w:eastAsia="en-AU"/>
              </w:rPr>
            </w:pPr>
            <w:r w:rsidRPr="00972A92">
              <w:rPr>
                <w:rFonts w:ascii="Arial" w:hAnsi="Arial" w:cs="Arial"/>
                <w:color w:val="FFFFFF"/>
                <w:sz w:val="16"/>
                <w:szCs w:val="16"/>
                <w:lang w:eastAsia="en-AU"/>
              </w:rPr>
              <w:t>2021-22</w:t>
            </w:r>
          </w:p>
        </w:tc>
        <w:tc>
          <w:tcPr>
            <w:tcW w:w="936" w:type="dxa"/>
            <w:tcBorders>
              <w:top w:val="nil"/>
              <w:left w:val="nil"/>
              <w:bottom w:val="nil"/>
              <w:right w:val="nil"/>
            </w:tcBorders>
            <w:shd w:val="clear" w:color="000000" w:fill="008EBA"/>
            <w:noWrap/>
            <w:vAlign w:val="bottom"/>
            <w:hideMark/>
          </w:tcPr>
          <w:p w14:paraId="29DFAD12" w14:textId="77777777" w:rsidR="003A7344" w:rsidRPr="00972A92" w:rsidRDefault="003A7344" w:rsidP="00FD5F7A">
            <w:pPr>
              <w:jc w:val="center"/>
              <w:rPr>
                <w:rFonts w:ascii="Arial" w:hAnsi="Arial" w:cs="Arial"/>
                <w:color w:val="FFFFFF"/>
                <w:sz w:val="16"/>
                <w:szCs w:val="16"/>
                <w:lang w:eastAsia="en-AU"/>
              </w:rPr>
            </w:pPr>
            <w:r w:rsidRPr="00972A92">
              <w:rPr>
                <w:rFonts w:ascii="Arial" w:hAnsi="Arial" w:cs="Arial"/>
                <w:color w:val="FFFFFF"/>
                <w:sz w:val="16"/>
                <w:szCs w:val="16"/>
                <w:lang w:eastAsia="en-AU"/>
              </w:rPr>
              <w:t>2022-23</w:t>
            </w:r>
          </w:p>
        </w:tc>
        <w:tc>
          <w:tcPr>
            <w:tcW w:w="936" w:type="dxa"/>
            <w:tcBorders>
              <w:top w:val="nil"/>
              <w:left w:val="nil"/>
              <w:bottom w:val="nil"/>
              <w:right w:val="nil"/>
            </w:tcBorders>
            <w:shd w:val="clear" w:color="000000" w:fill="008EBA"/>
            <w:noWrap/>
            <w:vAlign w:val="bottom"/>
            <w:hideMark/>
          </w:tcPr>
          <w:p w14:paraId="04FF5173" w14:textId="77777777" w:rsidR="003A7344" w:rsidRPr="00972A92" w:rsidRDefault="003A7344" w:rsidP="00FD5F7A">
            <w:pPr>
              <w:jc w:val="center"/>
              <w:rPr>
                <w:rFonts w:ascii="Arial" w:hAnsi="Arial" w:cs="Arial"/>
                <w:color w:val="FFFFFF"/>
                <w:sz w:val="16"/>
                <w:szCs w:val="16"/>
                <w:lang w:eastAsia="en-AU"/>
              </w:rPr>
            </w:pPr>
            <w:r w:rsidRPr="00972A92">
              <w:rPr>
                <w:rFonts w:ascii="Arial" w:hAnsi="Arial" w:cs="Arial"/>
                <w:color w:val="FFFFFF"/>
                <w:sz w:val="16"/>
                <w:szCs w:val="16"/>
                <w:lang w:eastAsia="en-AU"/>
              </w:rPr>
              <w:t>2023-24</w:t>
            </w:r>
          </w:p>
        </w:tc>
        <w:tc>
          <w:tcPr>
            <w:tcW w:w="936" w:type="dxa"/>
            <w:tcBorders>
              <w:top w:val="nil"/>
              <w:left w:val="nil"/>
              <w:bottom w:val="nil"/>
              <w:right w:val="nil"/>
            </w:tcBorders>
            <w:shd w:val="clear" w:color="000000" w:fill="008EBA"/>
            <w:noWrap/>
            <w:vAlign w:val="bottom"/>
            <w:hideMark/>
          </w:tcPr>
          <w:p w14:paraId="51E46E4F" w14:textId="77777777" w:rsidR="003A7344" w:rsidRPr="00972A92" w:rsidRDefault="003A7344" w:rsidP="00FD5F7A">
            <w:pPr>
              <w:jc w:val="center"/>
              <w:rPr>
                <w:rFonts w:ascii="Arial" w:hAnsi="Arial" w:cs="Arial"/>
                <w:color w:val="FFFFFF"/>
                <w:sz w:val="16"/>
                <w:szCs w:val="16"/>
                <w:lang w:eastAsia="en-AU"/>
              </w:rPr>
            </w:pPr>
            <w:r w:rsidRPr="00972A92">
              <w:rPr>
                <w:rFonts w:ascii="Arial" w:hAnsi="Arial" w:cs="Arial"/>
                <w:color w:val="FFFFFF"/>
                <w:sz w:val="16"/>
                <w:szCs w:val="16"/>
                <w:lang w:eastAsia="en-AU"/>
              </w:rPr>
              <w:t>2024-25</w:t>
            </w:r>
          </w:p>
        </w:tc>
        <w:tc>
          <w:tcPr>
            <w:tcW w:w="936" w:type="dxa"/>
            <w:tcBorders>
              <w:top w:val="nil"/>
              <w:left w:val="nil"/>
              <w:bottom w:val="nil"/>
              <w:right w:val="nil"/>
            </w:tcBorders>
            <w:shd w:val="clear" w:color="000000" w:fill="008EBA"/>
            <w:noWrap/>
            <w:vAlign w:val="bottom"/>
            <w:hideMark/>
          </w:tcPr>
          <w:p w14:paraId="4368BC1E" w14:textId="77777777" w:rsidR="003A7344" w:rsidRPr="00972A92" w:rsidRDefault="003A7344" w:rsidP="00FD5F7A">
            <w:pPr>
              <w:jc w:val="center"/>
              <w:rPr>
                <w:rFonts w:ascii="Arial" w:hAnsi="Arial" w:cs="Arial"/>
                <w:color w:val="FFFFFF"/>
                <w:sz w:val="16"/>
                <w:szCs w:val="16"/>
                <w:lang w:eastAsia="en-AU"/>
              </w:rPr>
            </w:pPr>
            <w:r w:rsidRPr="00972A92">
              <w:rPr>
                <w:rFonts w:ascii="Arial" w:hAnsi="Arial" w:cs="Arial"/>
                <w:color w:val="FFFFFF"/>
                <w:sz w:val="16"/>
                <w:szCs w:val="16"/>
                <w:lang w:eastAsia="en-AU"/>
              </w:rPr>
              <w:t>2025-26</w:t>
            </w:r>
          </w:p>
        </w:tc>
        <w:tc>
          <w:tcPr>
            <w:tcW w:w="1275" w:type="dxa"/>
            <w:vMerge w:val="restart"/>
            <w:tcBorders>
              <w:top w:val="nil"/>
              <w:left w:val="nil"/>
              <w:bottom w:val="nil"/>
              <w:right w:val="nil"/>
            </w:tcBorders>
            <w:shd w:val="clear" w:color="000000" w:fill="4F4F4F"/>
            <w:vAlign w:val="center"/>
            <w:hideMark/>
          </w:tcPr>
          <w:p w14:paraId="2405A890" w14:textId="77777777" w:rsidR="003A7344" w:rsidRPr="00972A92" w:rsidRDefault="003A7344" w:rsidP="00FD5F7A">
            <w:pPr>
              <w:jc w:val="center"/>
              <w:rPr>
                <w:rFonts w:ascii="Arial" w:hAnsi="Arial" w:cs="Arial"/>
                <w:color w:val="FFFFFF"/>
                <w:sz w:val="16"/>
                <w:szCs w:val="16"/>
                <w:lang w:eastAsia="en-AU"/>
              </w:rPr>
            </w:pPr>
            <w:r w:rsidRPr="00972A92">
              <w:rPr>
                <w:rFonts w:ascii="Arial" w:hAnsi="Arial" w:cs="Arial"/>
                <w:color w:val="FFFFFF"/>
                <w:sz w:val="16"/>
                <w:szCs w:val="16"/>
                <w:lang w:eastAsia="en-AU"/>
              </w:rPr>
              <w:t>% Average growth p.a. 2021-22 to 2025-26</w:t>
            </w:r>
          </w:p>
        </w:tc>
      </w:tr>
      <w:tr w:rsidR="003A7344" w:rsidRPr="00972A92" w14:paraId="5BCD9F0D" w14:textId="77777777" w:rsidTr="00FD5F7A">
        <w:trPr>
          <w:trHeight w:val="225"/>
        </w:trPr>
        <w:tc>
          <w:tcPr>
            <w:tcW w:w="2689" w:type="dxa"/>
            <w:tcBorders>
              <w:top w:val="nil"/>
              <w:left w:val="nil"/>
              <w:bottom w:val="nil"/>
              <w:right w:val="nil"/>
            </w:tcBorders>
            <w:shd w:val="clear" w:color="000000" w:fill="008EBA"/>
            <w:vAlign w:val="bottom"/>
            <w:hideMark/>
          </w:tcPr>
          <w:p w14:paraId="5AEC86B1" w14:textId="77777777" w:rsidR="003A7344" w:rsidRPr="00972A92" w:rsidRDefault="003A7344" w:rsidP="00FD5F7A">
            <w:pPr>
              <w:jc w:val="center"/>
              <w:rPr>
                <w:rFonts w:ascii="Arial" w:hAnsi="Arial" w:cs="Arial"/>
                <w:i/>
                <w:iCs/>
                <w:color w:val="FFFFFF"/>
                <w:sz w:val="16"/>
                <w:szCs w:val="16"/>
                <w:lang w:eastAsia="en-AU"/>
              </w:rPr>
            </w:pPr>
            <w:r w:rsidRPr="00972A92">
              <w:rPr>
                <w:rFonts w:ascii="Arial" w:hAnsi="Arial" w:cs="Arial"/>
                <w:i/>
                <w:iCs/>
                <w:color w:val="FFFFFF"/>
                <w:sz w:val="16"/>
                <w:szCs w:val="16"/>
                <w:lang w:eastAsia="en-AU"/>
              </w:rPr>
              <w:t> </w:t>
            </w:r>
          </w:p>
        </w:tc>
        <w:tc>
          <w:tcPr>
            <w:tcW w:w="936" w:type="dxa"/>
            <w:tcBorders>
              <w:top w:val="nil"/>
              <w:left w:val="nil"/>
              <w:bottom w:val="nil"/>
              <w:right w:val="nil"/>
            </w:tcBorders>
            <w:shd w:val="clear" w:color="000000" w:fill="008EBA"/>
            <w:noWrap/>
            <w:vAlign w:val="center"/>
            <w:hideMark/>
          </w:tcPr>
          <w:p w14:paraId="3EF815A2" w14:textId="77777777" w:rsidR="003A7344" w:rsidRPr="00972A92" w:rsidRDefault="003A7344" w:rsidP="00FD5F7A">
            <w:pPr>
              <w:jc w:val="center"/>
              <w:rPr>
                <w:rFonts w:ascii="Arial" w:hAnsi="Arial" w:cs="Arial"/>
                <w:color w:val="FFFFFF"/>
                <w:sz w:val="16"/>
                <w:szCs w:val="16"/>
                <w:lang w:eastAsia="en-AU"/>
              </w:rPr>
            </w:pPr>
            <w:r w:rsidRPr="00972A92">
              <w:rPr>
                <w:rFonts w:ascii="Arial" w:hAnsi="Arial" w:cs="Arial"/>
                <w:color w:val="FFFFFF"/>
                <w:sz w:val="16"/>
                <w:szCs w:val="16"/>
                <w:lang w:eastAsia="en-AU"/>
              </w:rPr>
              <w:t>Actual</w:t>
            </w:r>
          </w:p>
        </w:tc>
        <w:tc>
          <w:tcPr>
            <w:tcW w:w="936" w:type="dxa"/>
            <w:tcBorders>
              <w:top w:val="nil"/>
              <w:left w:val="nil"/>
              <w:bottom w:val="nil"/>
              <w:right w:val="nil"/>
            </w:tcBorders>
            <w:shd w:val="clear" w:color="000000" w:fill="008EBA"/>
            <w:vAlign w:val="center"/>
            <w:hideMark/>
          </w:tcPr>
          <w:p w14:paraId="4E62BFD1" w14:textId="77777777" w:rsidR="003A7344" w:rsidRPr="00972A92" w:rsidRDefault="003A7344" w:rsidP="00FD5F7A">
            <w:pPr>
              <w:jc w:val="center"/>
              <w:rPr>
                <w:rFonts w:ascii="Arial" w:hAnsi="Arial" w:cs="Arial"/>
                <w:color w:val="FFFFFF"/>
                <w:sz w:val="16"/>
                <w:szCs w:val="16"/>
                <w:lang w:eastAsia="en-AU"/>
              </w:rPr>
            </w:pPr>
            <w:r w:rsidRPr="00972A92">
              <w:rPr>
                <w:rFonts w:ascii="Arial" w:hAnsi="Arial" w:cs="Arial"/>
                <w:color w:val="FFFFFF"/>
                <w:sz w:val="16"/>
                <w:szCs w:val="16"/>
                <w:lang w:eastAsia="en-AU"/>
              </w:rPr>
              <w:t>Revised</w:t>
            </w:r>
          </w:p>
        </w:tc>
        <w:tc>
          <w:tcPr>
            <w:tcW w:w="936" w:type="dxa"/>
            <w:tcBorders>
              <w:top w:val="nil"/>
              <w:left w:val="nil"/>
              <w:bottom w:val="nil"/>
              <w:right w:val="nil"/>
            </w:tcBorders>
            <w:shd w:val="clear" w:color="000000" w:fill="008EBA"/>
            <w:vAlign w:val="center"/>
            <w:hideMark/>
          </w:tcPr>
          <w:p w14:paraId="3D659835" w14:textId="77777777" w:rsidR="003A7344" w:rsidRPr="00972A92" w:rsidRDefault="003A7344" w:rsidP="00FD5F7A">
            <w:pPr>
              <w:rPr>
                <w:rFonts w:ascii="Arial" w:hAnsi="Arial" w:cs="Arial"/>
                <w:color w:val="FFFFFF"/>
                <w:sz w:val="16"/>
                <w:szCs w:val="16"/>
                <w:lang w:eastAsia="en-AU"/>
              </w:rPr>
            </w:pPr>
            <w:r w:rsidRPr="00972A92">
              <w:rPr>
                <w:rFonts w:ascii="Arial" w:hAnsi="Arial" w:cs="Arial"/>
                <w:color w:val="FFFFFF"/>
                <w:sz w:val="16"/>
                <w:szCs w:val="16"/>
                <w:lang w:eastAsia="en-AU"/>
              </w:rPr>
              <w:t>Budget</w:t>
            </w:r>
          </w:p>
        </w:tc>
        <w:tc>
          <w:tcPr>
            <w:tcW w:w="2808" w:type="dxa"/>
            <w:gridSpan w:val="3"/>
            <w:tcBorders>
              <w:top w:val="nil"/>
              <w:left w:val="nil"/>
              <w:bottom w:val="nil"/>
              <w:right w:val="nil"/>
            </w:tcBorders>
            <w:shd w:val="clear" w:color="000000" w:fill="008EBA"/>
            <w:vAlign w:val="center"/>
            <w:hideMark/>
          </w:tcPr>
          <w:p w14:paraId="7D8CF694" w14:textId="77777777" w:rsidR="003A7344" w:rsidRPr="00972A92" w:rsidRDefault="003A7344" w:rsidP="00FD5F7A">
            <w:pPr>
              <w:jc w:val="center"/>
              <w:rPr>
                <w:rFonts w:ascii="Arial" w:hAnsi="Arial" w:cs="Arial"/>
                <w:color w:val="FFFFFF"/>
                <w:sz w:val="16"/>
                <w:szCs w:val="16"/>
                <w:lang w:eastAsia="en-AU"/>
              </w:rPr>
            </w:pPr>
            <w:r w:rsidRPr="00972A92">
              <w:rPr>
                <w:rFonts w:ascii="Arial" w:hAnsi="Arial" w:cs="Arial"/>
                <w:color w:val="FFFFFF"/>
                <w:sz w:val="16"/>
                <w:szCs w:val="16"/>
                <w:lang w:eastAsia="en-AU"/>
              </w:rPr>
              <w:t>Forward Estimates</w:t>
            </w:r>
          </w:p>
        </w:tc>
        <w:tc>
          <w:tcPr>
            <w:tcW w:w="1275" w:type="dxa"/>
            <w:vMerge/>
            <w:tcBorders>
              <w:top w:val="nil"/>
              <w:left w:val="nil"/>
              <w:bottom w:val="nil"/>
              <w:right w:val="nil"/>
            </w:tcBorders>
            <w:vAlign w:val="center"/>
            <w:hideMark/>
          </w:tcPr>
          <w:p w14:paraId="23DC76FD" w14:textId="77777777" w:rsidR="003A7344" w:rsidRPr="00972A92" w:rsidRDefault="003A7344" w:rsidP="00FD5F7A">
            <w:pPr>
              <w:rPr>
                <w:rFonts w:ascii="Arial" w:hAnsi="Arial" w:cs="Arial"/>
                <w:color w:val="FFFFFF"/>
                <w:sz w:val="16"/>
                <w:szCs w:val="16"/>
                <w:lang w:eastAsia="en-AU"/>
              </w:rPr>
            </w:pPr>
          </w:p>
        </w:tc>
      </w:tr>
      <w:tr w:rsidR="003A7344" w:rsidRPr="00972A92" w14:paraId="104E5E7D" w14:textId="77777777" w:rsidTr="00FD5F7A">
        <w:trPr>
          <w:trHeight w:val="300"/>
        </w:trPr>
        <w:tc>
          <w:tcPr>
            <w:tcW w:w="2689" w:type="dxa"/>
            <w:tcBorders>
              <w:top w:val="nil"/>
              <w:left w:val="nil"/>
              <w:bottom w:val="nil"/>
              <w:right w:val="nil"/>
            </w:tcBorders>
            <w:shd w:val="clear" w:color="000000" w:fill="00426F"/>
            <w:hideMark/>
          </w:tcPr>
          <w:p w14:paraId="7A5B9913" w14:textId="77777777" w:rsidR="003A7344" w:rsidRPr="00972A92" w:rsidRDefault="003A7344" w:rsidP="00FD5F7A">
            <w:pPr>
              <w:jc w:val="center"/>
              <w:rPr>
                <w:rFonts w:ascii="Arial" w:hAnsi="Arial" w:cs="Arial"/>
                <w:i/>
                <w:iCs/>
                <w:color w:val="FFFFFF"/>
                <w:sz w:val="16"/>
                <w:szCs w:val="16"/>
                <w:lang w:eastAsia="en-AU"/>
              </w:rPr>
            </w:pPr>
            <w:r w:rsidRPr="00972A92">
              <w:rPr>
                <w:rFonts w:ascii="Arial" w:hAnsi="Arial" w:cs="Arial"/>
                <w:i/>
                <w:iCs/>
                <w:color w:val="FFFFFF"/>
                <w:sz w:val="16"/>
                <w:szCs w:val="16"/>
                <w:lang w:eastAsia="en-AU"/>
              </w:rPr>
              <w:t> </w:t>
            </w:r>
          </w:p>
        </w:tc>
        <w:tc>
          <w:tcPr>
            <w:tcW w:w="936" w:type="dxa"/>
            <w:tcBorders>
              <w:top w:val="nil"/>
              <w:left w:val="nil"/>
              <w:bottom w:val="nil"/>
              <w:right w:val="nil"/>
            </w:tcBorders>
            <w:shd w:val="clear" w:color="000000" w:fill="00426F"/>
            <w:hideMark/>
          </w:tcPr>
          <w:p w14:paraId="270C6890" w14:textId="77777777" w:rsidR="003A7344" w:rsidRPr="00972A92" w:rsidRDefault="003A7344" w:rsidP="00FD5F7A">
            <w:pPr>
              <w:jc w:val="center"/>
              <w:rPr>
                <w:rFonts w:ascii="Arial" w:hAnsi="Arial" w:cs="Arial"/>
                <w:color w:val="FFFFFF"/>
                <w:sz w:val="16"/>
                <w:szCs w:val="16"/>
                <w:lang w:eastAsia="en-AU"/>
              </w:rPr>
            </w:pPr>
            <w:r w:rsidRPr="00972A92">
              <w:rPr>
                <w:rFonts w:ascii="Arial" w:hAnsi="Arial" w:cs="Arial"/>
                <w:color w:val="FFFFFF"/>
                <w:sz w:val="16"/>
                <w:szCs w:val="16"/>
                <w:lang w:eastAsia="en-AU"/>
              </w:rPr>
              <w:t>$m</w:t>
            </w:r>
          </w:p>
        </w:tc>
        <w:tc>
          <w:tcPr>
            <w:tcW w:w="936" w:type="dxa"/>
            <w:tcBorders>
              <w:top w:val="nil"/>
              <w:left w:val="nil"/>
              <w:bottom w:val="nil"/>
              <w:right w:val="nil"/>
            </w:tcBorders>
            <w:shd w:val="clear" w:color="000000" w:fill="00426F"/>
            <w:hideMark/>
          </w:tcPr>
          <w:p w14:paraId="22141D21" w14:textId="77777777" w:rsidR="003A7344" w:rsidRPr="00972A92" w:rsidRDefault="003A7344" w:rsidP="00FD5F7A">
            <w:pPr>
              <w:jc w:val="center"/>
              <w:rPr>
                <w:rFonts w:ascii="Arial" w:hAnsi="Arial" w:cs="Arial"/>
                <w:color w:val="FFFFFF"/>
                <w:sz w:val="16"/>
                <w:szCs w:val="16"/>
                <w:lang w:eastAsia="en-AU"/>
              </w:rPr>
            </w:pPr>
            <w:r w:rsidRPr="00972A92">
              <w:rPr>
                <w:rFonts w:ascii="Arial" w:hAnsi="Arial" w:cs="Arial"/>
                <w:color w:val="FFFFFF"/>
                <w:sz w:val="16"/>
                <w:szCs w:val="16"/>
                <w:lang w:eastAsia="en-AU"/>
              </w:rPr>
              <w:t>$m</w:t>
            </w:r>
          </w:p>
        </w:tc>
        <w:tc>
          <w:tcPr>
            <w:tcW w:w="936" w:type="dxa"/>
            <w:tcBorders>
              <w:top w:val="nil"/>
              <w:left w:val="nil"/>
              <w:bottom w:val="nil"/>
              <w:right w:val="nil"/>
            </w:tcBorders>
            <w:shd w:val="clear" w:color="000000" w:fill="00426F"/>
            <w:hideMark/>
          </w:tcPr>
          <w:p w14:paraId="78AE3308" w14:textId="77777777" w:rsidR="003A7344" w:rsidRPr="00972A92" w:rsidRDefault="003A7344" w:rsidP="00FD5F7A">
            <w:pPr>
              <w:jc w:val="center"/>
              <w:rPr>
                <w:rFonts w:ascii="Arial" w:hAnsi="Arial" w:cs="Arial"/>
                <w:color w:val="FFFFFF"/>
                <w:sz w:val="16"/>
                <w:szCs w:val="16"/>
                <w:lang w:eastAsia="en-AU"/>
              </w:rPr>
            </w:pPr>
            <w:r w:rsidRPr="00972A92">
              <w:rPr>
                <w:rFonts w:ascii="Arial" w:hAnsi="Arial" w:cs="Arial"/>
                <w:color w:val="FFFFFF"/>
                <w:sz w:val="16"/>
                <w:szCs w:val="16"/>
                <w:lang w:eastAsia="en-AU"/>
              </w:rPr>
              <w:t>$m</w:t>
            </w:r>
          </w:p>
        </w:tc>
        <w:tc>
          <w:tcPr>
            <w:tcW w:w="936" w:type="dxa"/>
            <w:tcBorders>
              <w:top w:val="nil"/>
              <w:left w:val="nil"/>
              <w:bottom w:val="nil"/>
              <w:right w:val="nil"/>
            </w:tcBorders>
            <w:shd w:val="clear" w:color="000000" w:fill="00426F"/>
            <w:hideMark/>
          </w:tcPr>
          <w:p w14:paraId="4DE8B503" w14:textId="77777777" w:rsidR="003A7344" w:rsidRPr="00972A92" w:rsidRDefault="003A7344" w:rsidP="00FD5F7A">
            <w:pPr>
              <w:jc w:val="center"/>
              <w:rPr>
                <w:rFonts w:ascii="Arial" w:hAnsi="Arial" w:cs="Arial"/>
                <w:color w:val="FFFFFF"/>
                <w:sz w:val="16"/>
                <w:szCs w:val="16"/>
                <w:lang w:eastAsia="en-AU"/>
              </w:rPr>
            </w:pPr>
            <w:r w:rsidRPr="00972A92">
              <w:rPr>
                <w:rFonts w:ascii="Arial" w:hAnsi="Arial" w:cs="Arial"/>
                <w:color w:val="FFFFFF"/>
                <w:sz w:val="16"/>
                <w:szCs w:val="16"/>
                <w:lang w:eastAsia="en-AU"/>
              </w:rPr>
              <w:t>$m</w:t>
            </w:r>
          </w:p>
        </w:tc>
        <w:tc>
          <w:tcPr>
            <w:tcW w:w="936" w:type="dxa"/>
            <w:tcBorders>
              <w:top w:val="nil"/>
              <w:left w:val="nil"/>
              <w:bottom w:val="nil"/>
              <w:right w:val="nil"/>
            </w:tcBorders>
            <w:shd w:val="clear" w:color="000000" w:fill="00426F"/>
            <w:hideMark/>
          </w:tcPr>
          <w:p w14:paraId="73751EB6" w14:textId="77777777" w:rsidR="003A7344" w:rsidRPr="00972A92" w:rsidRDefault="003A7344" w:rsidP="00FD5F7A">
            <w:pPr>
              <w:jc w:val="center"/>
              <w:rPr>
                <w:rFonts w:ascii="Arial" w:hAnsi="Arial" w:cs="Arial"/>
                <w:color w:val="FFFFFF"/>
                <w:sz w:val="16"/>
                <w:szCs w:val="16"/>
                <w:lang w:eastAsia="en-AU"/>
              </w:rPr>
            </w:pPr>
            <w:r w:rsidRPr="00972A92">
              <w:rPr>
                <w:rFonts w:ascii="Arial" w:hAnsi="Arial" w:cs="Arial"/>
                <w:color w:val="FFFFFF"/>
                <w:sz w:val="16"/>
                <w:szCs w:val="16"/>
                <w:lang w:eastAsia="en-AU"/>
              </w:rPr>
              <w:t>$m</w:t>
            </w:r>
          </w:p>
        </w:tc>
        <w:tc>
          <w:tcPr>
            <w:tcW w:w="936" w:type="dxa"/>
            <w:tcBorders>
              <w:top w:val="nil"/>
              <w:left w:val="nil"/>
              <w:bottom w:val="nil"/>
              <w:right w:val="nil"/>
            </w:tcBorders>
            <w:shd w:val="clear" w:color="000000" w:fill="00426F"/>
            <w:hideMark/>
          </w:tcPr>
          <w:p w14:paraId="6F281829" w14:textId="77777777" w:rsidR="003A7344" w:rsidRPr="00972A92" w:rsidRDefault="003A7344" w:rsidP="00FD5F7A">
            <w:pPr>
              <w:jc w:val="center"/>
              <w:rPr>
                <w:rFonts w:ascii="Arial" w:hAnsi="Arial" w:cs="Arial"/>
                <w:color w:val="FFFFFF"/>
                <w:sz w:val="16"/>
                <w:szCs w:val="16"/>
                <w:lang w:eastAsia="en-AU"/>
              </w:rPr>
            </w:pPr>
            <w:r w:rsidRPr="00972A92">
              <w:rPr>
                <w:rFonts w:ascii="Arial" w:hAnsi="Arial" w:cs="Arial"/>
                <w:color w:val="FFFFFF"/>
                <w:sz w:val="16"/>
                <w:szCs w:val="16"/>
                <w:lang w:eastAsia="en-AU"/>
              </w:rPr>
              <w:t>$m</w:t>
            </w:r>
          </w:p>
        </w:tc>
        <w:tc>
          <w:tcPr>
            <w:tcW w:w="1275" w:type="dxa"/>
            <w:vMerge/>
            <w:tcBorders>
              <w:top w:val="nil"/>
              <w:left w:val="nil"/>
              <w:bottom w:val="nil"/>
              <w:right w:val="nil"/>
            </w:tcBorders>
            <w:vAlign w:val="center"/>
            <w:hideMark/>
          </w:tcPr>
          <w:p w14:paraId="7033DA66" w14:textId="77777777" w:rsidR="003A7344" w:rsidRPr="00972A92" w:rsidRDefault="003A7344" w:rsidP="00FD5F7A">
            <w:pPr>
              <w:rPr>
                <w:rFonts w:ascii="Arial" w:hAnsi="Arial" w:cs="Arial"/>
                <w:color w:val="FFFFFF"/>
                <w:sz w:val="16"/>
                <w:szCs w:val="16"/>
                <w:lang w:eastAsia="en-AU"/>
              </w:rPr>
            </w:pPr>
          </w:p>
        </w:tc>
      </w:tr>
      <w:tr w:rsidR="003A7344" w:rsidRPr="00972A92" w14:paraId="4406260D" w14:textId="77777777" w:rsidTr="00FD5F7A">
        <w:trPr>
          <w:trHeight w:val="240"/>
        </w:trPr>
        <w:tc>
          <w:tcPr>
            <w:tcW w:w="2689" w:type="dxa"/>
            <w:tcBorders>
              <w:top w:val="nil"/>
              <w:left w:val="nil"/>
              <w:bottom w:val="nil"/>
              <w:right w:val="nil"/>
            </w:tcBorders>
            <w:shd w:val="clear" w:color="000000" w:fill="FFFFFF"/>
            <w:noWrap/>
            <w:vAlign w:val="center"/>
            <w:hideMark/>
          </w:tcPr>
          <w:p w14:paraId="298B9663" w14:textId="77777777" w:rsidR="003A7344" w:rsidRPr="00972A92" w:rsidRDefault="003A7344" w:rsidP="00FD5F7A">
            <w:pPr>
              <w:rPr>
                <w:rFonts w:ascii="Arial" w:hAnsi="Arial" w:cs="Arial"/>
                <w:sz w:val="16"/>
                <w:szCs w:val="16"/>
                <w:lang w:eastAsia="en-AU"/>
              </w:rPr>
            </w:pPr>
            <w:r w:rsidRPr="00972A92">
              <w:rPr>
                <w:rFonts w:ascii="Arial" w:hAnsi="Arial" w:cs="Arial"/>
                <w:sz w:val="16"/>
                <w:szCs w:val="16"/>
                <w:lang w:eastAsia="en-AU"/>
              </w:rPr>
              <w:t>Rents and leases</w:t>
            </w:r>
          </w:p>
        </w:tc>
        <w:tc>
          <w:tcPr>
            <w:tcW w:w="936" w:type="dxa"/>
            <w:tcBorders>
              <w:top w:val="nil"/>
              <w:left w:val="nil"/>
              <w:bottom w:val="nil"/>
              <w:right w:val="nil"/>
            </w:tcBorders>
            <w:shd w:val="clear" w:color="000000" w:fill="FFFFFF"/>
            <w:noWrap/>
            <w:vAlign w:val="center"/>
            <w:hideMark/>
          </w:tcPr>
          <w:p w14:paraId="6B15178C"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304</w:t>
            </w:r>
          </w:p>
        </w:tc>
        <w:tc>
          <w:tcPr>
            <w:tcW w:w="936" w:type="dxa"/>
            <w:tcBorders>
              <w:top w:val="nil"/>
              <w:left w:val="nil"/>
              <w:bottom w:val="nil"/>
              <w:right w:val="nil"/>
            </w:tcBorders>
            <w:shd w:val="clear" w:color="000000" w:fill="FFFFFF"/>
            <w:noWrap/>
            <w:vAlign w:val="center"/>
            <w:hideMark/>
          </w:tcPr>
          <w:p w14:paraId="23354FEB"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240</w:t>
            </w:r>
          </w:p>
        </w:tc>
        <w:tc>
          <w:tcPr>
            <w:tcW w:w="936" w:type="dxa"/>
            <w:tcBorders>
              <w:top w:val="nil"/>
              <w:left w:val="nil"/>
              <w:bottom w:val="nil"/>
              <w:right w:val="nil"/>
            </w:tcBorders>
            <w:shd w:val="clear" w:color="000000" w:fill="F2F2F2"/>
            <w:noWrap/>
            <w:vAlign w:val="center"/>
            <w:hideMark/>
          </w:tcPr>
          <w:p w14:paraId="4F47C02A"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257</w:t>
            </w:r>
          </w:p>
        </w:tc>
        <w:tc>
          <w:tcPr>
            <w:tcW w:w="936" w:type="dxa"/>
            <w:tcBorders>
              <w:top w:val="nil"/>
              <w:left w:val="nil"/>
              <w:bottom w:val="nil"/>
              <w:right w:val="nil"/>
            </w:tcBorders>
            <w:shd w:val="clear" w:color="000000" w:fill="F2F2F2"/>
            <w:noWrap/>
            <w:vAlign w:val="center"/>
            <w:hideMark/>
          </w:tcPr>
          <w:p w14:paraId="0EA3E447"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261</w:t>
            </w:r>
          </w:p>
        </w:tc>
        <w:tc>
          <w:tcPr>
            <w:tcW w:w="936" w:type="dxa"/>
            <w:tcBorders>
              <w:top w:val="nil"/>
              <w:left w:val="nil"/>
              <w:bottom w:val="nil"/>
              <w:right w:val="nil"/>
            </w:tcBorders>
            <w:shd w:val="clear" w:color="000000" w:fill="F2F2F2"/>
            <w:noWrap/>
            <w:vAlign w:val="center"/>
            <w:hideMark/>
          </w:tcPr>
          <w:p w14:paraId="4079232D"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313</w:t>
            </w:r>
          </w:p>
        </w:tc>
        <w:tc>
          <w:tcPr>
            <w:tcW w:w="936" w:type="dxa"/>
            <w:tcBorders>
              <w:top w:val="nil"/>
              <w:left w:val="nil"/>
              <w:bottom w:val="nil"/>
              <w:right w:val="nil"/>
            </w:tcBorders>
            <w:shd w:val="clear" w:color="000000" w:fill="F2F2F2"/>
            <w:noWrap/>
            <w:vAlign w:val="center"/>
            <w:hideMark/>
          </w:tcPr>
          <w:p w14:paraId="024755B6"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341</w:t>
            </w:r>
          </w:p>
        </w:tc>
        <w:tc>
          <w:tcPr>
            <w:tcW w:w="1275" w:type="dxa"/>
            <w:tcBorders>
              <w:top w:val="nil"/>
              <w:left w:val="nil"/>
              <w:bottom w:val="nil"/>
              <w:right w:val="nil"/>
            </w:tcBorders>
            <w:shd w:val="clear" w:color="000000" w:fill="FFFFFF"/>
            <w:vAlign w:val="center"/>
            <w:hideMark/>
          </w:tcPr>
          <w:p w14:paraId="05AFCADD" w14:textId="77777777" w:rsidR="003A7344" w:rsidRPr="00972A92" w:rsidRDefault="003A7344" w:rsidP="00FD5F7A">
            <w:pPr>
              <w:jc w:val="center"/>
              <w:rPr>
                <w:rFonts w:ascii="Arial" w:hAnsi="Arial" w:cs="Arial"/>
                <w:sz w:val="16"/>
                <w:szCs w:val="16"/>
                <w:lang w:eastAsia="en-AU"/>
              </w:rPr>
            </w:pPr>
            <w:r w:rsidRPr="00972A92">
              <w:rPr>
                <w:rFonts w:ascii="Arial" w:hAnsi="Arial" w:cs="Arial"/>
                <w:sz w:val="16"/>
                <w:szCs w:val="16"/>
                <w:lang w:eastAsia="en-AU"/>
              </w:rPr>
              <w:t>9.2</w:t>
            </w:r>
          </w:p>
        </w:tc>
      </w:tr>
      <w:tr w:rsidR="003A7344" w:rsidRPr="00972A92" w14:paraId="7EDFB824" w14:textId="77777777" w:rsidTr="00FD5F7A">
        <w:trPr>
          <w:trHeight w:val="240"/>
        </w:trPr>
        <w:tc>
          <w:tcPr>
            <w:tcW w:w="2689" w:type="dxa"/>
            <w:tcBorders>
              <w:top w:val="nil"/>
              <w:left w:val="nil"/>
              <w:bottom w:val="nil"/>
              <w:right w:val="nil"/>
            </w:tcBorders>
            <w:shd w:val="clear" w:color="000000" w:fill="FFFFFF"/>
            <w:noWrap/>
            <w:vAlign w:val="center"/>
            <w:hideMark/>
          </w:tcPr>
          <w:p w14:paraId="3AEEA02C" w14:textId="77777777" w:rsidR="003A7344" w:rsidRPr="00972A92" w:rsidRDefault="003A7344" w:rsidP="00FD5F7A">
            <w:pPr>
              <w:rPr>
                <w:rFonts w:ascii="Arial" w:hAnsi="Arial" w:cs="Arial"/>
                <w:sz w:val="16"/>
                <w:szCs w:val="16"/>
                <w:lang w:eastAsia="en-AU"/>
              </w:rPr>
            </w:pPr>
            <w:r w:rsidRPr="00972A92">
              <w:rPr>
                <w:rFonts w:ascii="Arial" w:hAnsi="Arial" w:cs="Arial"/>
                <w:sz w:val="16"/>
                <w:szCs w:val="16"/>
                <w:lang w:eastAsia="en-AU"/>
              </w:rPr>
              <w:t>Fee for service</w:t>
            </w:r>
          </w:p>
        </w:tc>
        <w:tc>
          <w:tcPr>
            <w:tcW w:w="936" w:type="dxa"/>
            <w:tcBorders>
              <w:top w:val="nil"/>
              <w:left w:val="nil"/>
              <w:bottom w:val="nil"/>
              <w:right w:val="nil"/>
            </w:tcBorders>
            <w:shd w:val="clear" w:color="000000" w:fill="FFFFFF"/>
            <w:noWrap/>
            <w:vAlign w:val="center"/>
            <w:hideMark/>
          </w:tcPr>
          <w:p w14:paraId="6F839245"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3,062</w:t>
            </w:r>
          </w:p>
        </w:tc>
        <w:tc>
          <w:tcPr>
            <w:tcW w:w="936" w:type="dxa"/>
            <w:tcBorders>
              <w:top w:val="nil"/>
              <w:left w:val="nil"/>
              <w:bottom w:val="nil"/>
              <w:right w:val="nil"/>
            </w:tcBorders>
            <w:shd w:val="clear" w:color="000000" w:fill="FFFFFF"/>
            <w:noWrap/>
            <w:vAlign w:val="center"/>
            <w:hideMark/>
          </w:tcPr>
          <w:p w14:paraId="258F5C8D"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3,050</w:t>
            </w:r>
          </w:p>
        </w:tc>
        <w:tc>
          <w:tcPr>
            <w:tcW w:w="936" w:type="dxa"/>
            <w:tcBorders>
              <w:top w:val="nil"/>
              <w:left w:val="nil"/>
              <w:bottom w:val="nil"/>
              <w:right w:val="nil"/>
            </w:tcBorders>
            <w:shd w:val="clear" w:color="000000" w:fill="F2F2F2"/>
            <w:noWrap/>
            <w:vAlign w:val="center"/>
            <w:hideMark/>
          </w:tcPr>
          <w:p w14:paraId="07DE4DE4"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3,180</w:t>
            </w:r>
          </w:p>
        </w:tc>
        <w:tc>
          <w:tcPr>
            <w:tcW w:w="936" w:type="dxa"/>
            <w:tcBorders>
              <w:top w:val="nil"/>
              <w:left w:val="nil"/>
              <w:bottom w:val="nil"/>
              <w:right w:val="nil"/>
            </w:tcBorders>
            <w:shd w:val="clear" w:color="000000" w:fill="F2F2F2"/>
            <w:noWrap/>
            <w:vAlign w:val="center"/>
            <w:hideMark/>
          </w:tcPr>
          <w:p w14:paraId="765ECDEF"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2,848</w:t>
            </w:r>
          </w:p>
        </w:tc>
        <w:tc>
          <w:tcPr>
            <w:tcW w:w="936" w:type="dxa"/>
            <w:tcBorders>
              <w:top w:val="nil"/>
              <w:left w:val="nil"/>
              <w:bottom w:val="nil"/>
              <w:right w:val="nil"/>
            </w:tcBorders>
            <w:shd w:val="clear" w:color="000000" w:fill="F2F2F2"/>
            <w:noWrap/>
            <w:vAlign w:val="center"/>
            <w:hideMark/>
          </w:tcPr>
          <w:p w14:paraId="2E0F4D2D"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1,689</w:t>
            </w:r>
          </w:p>
        </w:tc>
        <w:tc>
          <w:tcPr>
            <w:tcW w:w="936" w:type="dxa"/>
            <w:tcBorders>
              <w:top w:val="nil"/>
              <w:left w:val="nil"/>
              <w:bottom w:val="nil"/>
              <w:right w:val="nil"/>
            </w:tcBorders>
            <w:shd w:val="clear" w:color="000000" w:fill="F2F2F2"/>
            <w:noWrap/>
            <w:vAlign w:val="center"/>
            <w:hideMark/>
          </w:tcPr>
          <w:p w14:paraId="1C107ADC"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1,337</w:t>
            </w:r>
          </w:p>
        </w:tc>
        <w:tc>
          <w:tcPr>
            <w:tcW w:w="1275" w:type="dxa"/>
            <w:tcBorders>
              <w:top w:val="nil"/>
              <w:left w:val="nil"/>
              <w:bottom w:val="nil"/>
              <w:right w:val="nil"/>
            </w:tcBorders>
            <w:shd w:val="clear" w:color="000000" w:fill="FFFFFF"/>
            <w:vAlign w:val="center"/>
            <w:hideMark/>
          </w:tcPr>
          <w:p w14:paraId="3F4616A6" w14:textId="77777777" w:rsidR="003A7344" w:rsidRPr="00972A92" w:rsidRDefault="003A7344" w:rsidP="00FD5F7A">
            <w:pPr>
              <w:jc w:val="center"/>
              <w:rPr>
                <w:rFonts w:ascii="Arial" w:hAnsi="Arial" w:cs="Arial"/>
                <w:sz w:val="16"/>
                <w:szCs w:val="16"/>
                <w:lang w:eastAsia="en-AU"/>
              </w:rPr>
            </w:pPr>
            <w:r w:rsidRPr="00972A92">
              <w:rPr>
                <w:rFonts w:ascii="Arial" w:hAnsi="Arial" w:cs="Arial"/>
                <w:sz w:val="16"/>
                <w:szCs w:val="16"/>
                <w:lang w:eastAsia="en-AU"/>
              </w:rPr>
              <w:t>(18.6)</w:t>
            </w:r>
          </w:p>
        </w:tc>
      </w:tr>
      <w:tr w:rsidR="003A7344" w:rsidRPr="00972A92" w14:paraId="4F279096" w14:textId="77777777" w:rsidTr="00FD5F7A">
        <w:trPr>
          <w:trHeight w:val="240"/>
        </w:trPr>
        <w:tc>
          <w:tcPr>
            <w:tcW w:w="2689" w:type="dxa"/>
            <w:tcBorders>
              <w:top w:val="nil"/>
              <w:left w:val="nil"/>
              <w:bottom w:val="nil"/>
              <w:right w:val="nil"/>
            </w:tcBorders>
            <w:shd w:val="clear" w:color="000000" w:fill="FFFFFF"/>
            <w:noWrap/>
            <w:vAlign w:val="center"/>
            <w:hideMark/>
          </w:tcPr>
          <w:p w14:paraId="67A8351C" w14:textId="77777777" w:rsidR="003A7344" w:rsidRPr="00972A92" w:rsidRDefault="003A7344" w:rsidP="00FD5F7A">
            <w:pPr>
              <w:rPr>
                <w:rFonts w:ascii="Arial" w:hAnsi="Arial" w:cs="Arial"/>
                <w:sz w:val="16"/>
                <w:szCs w:val="16"/>
                <w:lang w:eastAsia="en-AU"/>
              </w:rPr>
            </w:pPr>
            <w:r w:rsidRPr="00972A92">
              <w:rPr>
                <w:rFonts w:ascii="Arial" w:hAnsi="Arial" w:cs="Arial"/>
                <w:sz w:val="16"/>
                <w:szCs w:val="16"/>
                <w:lang w:eastAsia="en-AU"/>
              </w:rPr>
              <w:t>Entry fees</w:t>
            </w:r>
          </w:p>
        </w:tc>
        <w:tc>
          <w:tcPr>
            <w:tcW w:w="936" w:type="dxa"/>
            <w:tcBorders>
              <w:top w:val="nil"/>
              <w:left w:val="nil"/>
              <w:bottom w:val="nil"/>
              <w:right w:val="nil"/>
            </w:tcBorders>
            <w:shd w:val="clear" w:color="000000" w:fill="FFFFFF"/>
            <w:noWrap/>
            <w:vAlign w:val="center"/>
            <w:hideMark/>
          </w:tcPr>
          <w:p w14:paraId="3B0A7313"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53</w:t>
            </w:r>
          </w:p>
        </w:tc>
        <w:tc>
          <w:tcPr>
            <w:tcW w:w="936" w:type="dxa"/>
            <w:tcBorders>
              <w:top w:val="nil"/>
              <w:left w:val="nil"/>
              <w:bottom w:val="nil"/>
              <w:right w:val="nil"/>
            </w:tcBorders>
            <w:shd w:val="clear" w:color="000000" w:fill="FFFFFF"/>
            <w:noWrap/>
            <w:vAlign w:val="center"/>
            <w:hideMark/>
          </w:tcPr>
          <w:p w14:paraId="1AED7C11"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30</w:t>
            </w:r>
          </w:p>
        </w:tc>
        <w:tc>
          <w:tcPr>
            <w:tcW w:w="936" w:type="dxa"/>
            <w:tcBorders>
              <w:top w:val="nil"/>
              <w:left w:val="nil"/>
              <w:bottom w:val="nil"/>
              <w:right w:val="nil"/>
            </w:tcBorders>
            <w:shd w:val="clear" w:color="000000" w:fill="F2F2F2"/>
            <w:noWrap/>
            <w:vAlign w:val="center"/>
            <w:hideMark/>
          </w:tcPr>
          <w:p w14:paraId="23BD5BB0"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55</w:t>
            </w:r>
          </w:p>
        </w:tc>
        <w:tc>
          <w:tcPr>
            <w:tcW w:w="936" w:type="dxa"/>
            <w:tcBorders>
              <w:top w:val="nil"/>
              <w:left w:val="nil"/>
              <w:bottom w:val="nil"/>
              <w:right w:val="nil"/>
            </w:tcBorders>
            <w:shd w:val="clear" w:color="000000" w:fill="F2F2F2"/>
            <w:noWrap/>
            <w:vAlign w:val="center"/>
            <w:hideMark/>
          </w:tcPr>
          <w:p w14:paraId="32733BAA"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68</w:t>
            </w:r>
          </w:p>
        </w:tc>
        <w:tc>
          <w:tcPr>
            <w:tcW w:w="936" w:type="dxa"/>
            <w:tcBorders>
              <w:top w:val="nil"/>
              <w:left w:val="nil"/>
              <w:bottom w:val="nil"/>
              <w:right w:val="nil"/>
            </w:tcBorders>
            <w:shd w:val="clear" w:color="000000" w:fill="F2F2F2"/>
            <w:noWrap/>
            <w:vAlign w:val="center"/>
            <w:hideMark/>
          </w:tcPr>
          <w:p w14:paraId="09C4C29A"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78</w:t>
            </w:r>
          </w:p>
        </w:tc>
        <w:tc>
          <w:tcPr>
            <w:tcW w:w="936" w:type="dxa"/>
            <w:tcBorders>
              <w:top w:val="nil"/>
              <w:left w:val="nil"/>
              <w:bottom w:val="nil"/>
              <w:right w:val="nil"/>
            </w:tcBorders>
            <w:shd w:val="clear" w:color="000000" w:fill="F2F2F2"/>
            <w:noWrap/>
            <w:vAlign w:val="center"/>
            <w:hideMark/>
          </w:tcPr>
          <w:p w14:paraId="5C6A3941"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80</w:t>
            </w:r>
          </w:p>
        </w:tc>
        <w:tc>
          <w:tcPr>
            <w:tcW w:w="1275" w:type="dxa"/>
            <w:tcBorders>
              <w:top w:val="nil"/>
              <w:left w:val="nil"/>
              <w:bottom w:val="nil"/>
              <w:right w:val="nil"/>
            </w:tcBorders>
            <w:shd w:val="clear" w:color="000000" w:fill="FFFFFF"/>
            <w:vAlign w:val="center"/>
            <w:hideMark/>
          </w:tcPr>
          <w:p w14:paraId="72234C00" w14:textId="77777777" w:rsidR="003A7344" w:rsidRPr="00972A92" w:rsidRDefault="003A7344" w:rsidP="00FD5F7A">
            <w:pPr>
              <w:jc w:val="center"/>
              <w:rPr>
                <w:rFonts w:ascii="Arial" w:hAnsi="Arial" w:cs="Arial"/>
                <w:sz w:val="16"/>
                <w:szCs w:val="16"/>
                <w:lang w:eastAsia="en-AU"/>
              </w:rPr>
            </w:pPr>
            <w:r w:rsidRPr="00972A92">
              <w:rPr>
                <w:rFonts w:ascii="Arial" w:hAnsi="Arial" w:cs="Arial"/>
                <w:sz w:val="16"/>
                <w:szCs w:val="16"/>
                <w:lang w:eastAsia="en-AU"/>
              </w:rPr>
              <w:t>27.5</w:t>
            </w:r>
          </w:p>
        </w:tc>
      </w:tr>
      <w:tr w:rsidR="003A7344" w:rsidRPr="00972A92" w14:paraId="145BAC61" w14:textId="77777777" w:rsidTr="00FD5F7A">
        <w:trPr>
          <w:trHeight w:val="240"/>
        </w:trPr>
        <w:tc>
          <w:tcPr>
            <w:tcW w:w="2689" w:type="dxa"/>
            <w:tcBorders>
              <w:top w:val="nil"/>
              <w:left w:val="nil"/>
              <w:bottom w:val="nil"/>
              <w:right w:val="nil"/>
            </w:tcBorders>
            <w:shd w:val="clear" w:color="000000" w:fill="FFFFFF"/>
            <w:noWrap/>
            <w:vAlign w:val="center"/>
            <w:hideMark/>
          </w:tcPr>
          <w:p w14:paraId="3BE2BC9C" w14:textId="77777777" w:rsidR="003A7344" w:rsidRPr="00972A92" w:rsidRDefault="003A7344" w:rsidP="00FD5F7A">
            <w:pPr>
              <w:rPr>
                <w:rFonts w:ascii="Arial" w:hAnsi="Arial" w:cs="Arial"/>
                <w:sz w:val="16"/>
                <w:szCs w:val="16"/>
                <w:lang w:eastAsia="en-AU"/>
              </w:rPr>
            </w:pPr>
            <w:r w:rsidRPr="00972A92">
              <w:rPr>
                <w:rFonts w:ascii="Arial" w:hAnsi="Arial" w:cs="Arial"/>
                <w:sz w:val="16"/>
                <w:szCs w:val="16"/>
                <w:lang w:eastAsia="en-AU"/>
              </w:rPr>
              <w:t>Patient fees and hospital charges</w:t>
            </w:r>
          </w:p>
        </w:tc>
        <w:tc>
          <w:tcPr>
            <w:tcW w:w="936" w:type="dxa"/>
            <w:tcBorders>
              <w:top w:val="nil"/>
              <w:left w:val="nil"/>
              <w:bottom w:val="nil"/>
              <w:right w:val="nil"/>
            </w:tcBorders>
            <w:shd w:val="clear" w:color="000000" w:fill="FFFFFF"/>
            <w:noWrap/>
            <w:vAlign w:val="center"/>
            <w:hideMark/>
          </w:tcPr>
          <w:p w14:paraId="046A78A7"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1,216</w:t>
            </w:r>
          </w:p>
        </w:tc>
        <w:tc>
          <w:tcPr>
            <w:tcW w:w="936" w:type="dxa"/>
            <w:tcBorders>
              <w:top w:val="nil"/>
              <w:left w:val="nil"/>
              <w:bottom w:val="nil"/>
              <w:right w:val="nil"/>
            </w:tcBorders>
            <w:shd w:val="clear" w:color="000000" w:fill="FFFFFF"/>
            <w:noWrap/>
            <w:vAlign w:val="center"/>
            <w:hideMark/>
          </w:tcPr>
          <w:p w14:paraId="03A35931"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1,196</w:t>
            </w:r>
          </w:p>
        </w:tc>
        <w:tc>
          <w:tcPr>
            <w:tcW w:w="936" w:type="dxa"/>
            <w:tcBorders>
              <w:top w:val="nil"/>
              <w:left w:val="nil"/>
              <w:bottom w:val="nil"/>
              <w:right w:val="nil"/>
            </w:tcBorders>
            <w:shd w:val="clear" w:color="000000" w:fill="F2F2F2"/>
            <w:noWrap/>
            <w:vAlign w:val="center"/>
            <w:hideMark/>
          </w:tcPr>
          <w:p w14:paraId="2CA15AF5"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1,150</w:t>
            </w:r>
          </w:p>
        </w:tc>
        <w:tc>
          <w:tcPr>
            <w:tcW w:w="936" w:type="dxa"/>
            <w:tcBorders>
              <w:top w:val="nil"/>
              <w:left w:val="nil"/>
              <w:bottom w:val="nil"/>
              <w:right w:val="nil"/>
            </w:tcBorders>
            <w:shd w:val="clear" w:color="000000" w:fill="F2F2F2"/>
            <w:noWrap/>
            <w:vAlign w:val="center"/>
            <w:hideMark/>
          </w:tcPr>
          <w:p w14:paraId="452B3EA6"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1,162</w:t>
            </w:r>
          </w:p>
        </w:tc>
        <w:tc>
          <w:tcPr>
            <w:tcW w:w="936" w:type="dxa"/>
            <w:tcBorders>
              <w:top w:val="nil"/>
              <w:left w:val="nil"/>
              <w:bottom w:val="nil"/>
              <w:right w:val="nil"/>
            </w:tcBorders>
            <w:shd w:val="clear" w:color="000000" w:fill="F2F2F2"/>
            <w:noWrap/>
            <w:vAlign w:val="center"/>
            <w:hideMark/>
          </w:tcPr>
          <w:p w14:paraId="270F3162"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1,206</w:t>
            </w:r>
          </w:p>
        </w:tc>
        <w:tc>
          <w:tcPr>
            <w:tcW w:w="936" w:type="dxa"/>
            <w:tcBorders>
              <w:top w:val="nil"/>
              <w:left w:val="nil"/>
              <w:bottom w:val="nil"/>
              <w:right w:val="nil"/>
            </w:tcBorders>
            <w:shd w:val="clear" w:color="000000" w:fill="F2F2F2"/>
            <w:noWrap/>
            <w:vAlign w:val="center"/>
            <w:hideMark/>
          </w:tcPr>
          <w:p w14:paraId="0CE65698"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1,251</w:t>
            </w:r>
          </w:p>
        </w:tc>
        <w:tc>
          <w:tcPr>
            <w:tcW w:w="1275" w:type="dxa"/>
            <w:tcBorders>
              <w:top w:val="nil"/>
              <w:left w:val="nil"/>
              <w:bottom w:val="nil"/>
              <w:right w:val="nil"/>
            </w:tcBorders>
            <w:shd w:val="clear" w:color="000000" w:fill="FFFFFF"/>
            <w:vAlign w:val="center"/>
            <w:hideMark/>
          </w:tcPr>
          <w:p w14:paraId="7B94BE76" w14:textId="77777777" w:rsidR="003A7344" w:rsidRPr="00972A92" w:rsidRDefault="003A7344" w:rsidP="00FD5F7A">
            <w:pPr>
              <w:jc w:val="center"/>
              <w:rPr>
                <w:rFonts w:ascii="Arial" w:hAnsi="Arial" w:cs="Arial"/>
                <w:sz w:val="16"/>
                <w:szCs w:val="16"/>
                <w:lang w:eastAsia="en-AU"/>
              </w:rPr>
            </w:pPr>
            <w:r w:rsidRPr="00972A92">
              <w:rPr>
                <w:rFonts w:ascii="Arial" w:hAnsi="Arial" w:cs="Arial"/>
                <w:sz w:val="16"/>
                <w:szCs w:val="16"/>
                <w:lang w:eastAsia="en-AU"/>
              </w:rPr>
              <w:t>1.1</w:t>
            </w:r>
          </w:p>
        </w:tc>
      </w:tr>
      <w:tr w:rsidR="003A7344" w:rsidRPr="00972A92" w14:paraId="37046102" w14:textId="77777777" w:rsidTr="00FD5F7A">
        <w:trPr>
          <w:trHeight w:val="240"/>
        </w:trPr>
        <w:tc>
          <w:tcPr>
            <w:tcW w:w="2689" w:type="dxa"/>
            <w:tcBorders>
              <w:top w:val="nil"/>
              <w:left w:val="nil"/>
              <w:bottom w:val="nil"/>
              <w:right w:val="nil"/>
            </w:tcBorders>
            <w:shd w:val="clear" w:color="000000" w:fill="FFFFFF"/>
            <w:vAlign w:val="center"/>
            <w:hideMark/>
          </w:tcPr>
          <w:p w14:paraId="1BF0D44A" w14:textId="77777777" w:rsidR="003A7344" w:rsidRPr="00972A92" w:rsidRDefault="003A7344" w:rsidP="00FD5F7A">
            <w:pPr>
              <w:rPr>
                <w:rFonts w:ascii="Arial" w:hAnsi="Arial" w:cs="Arial"/>
                <w:sz w:val="16"/>
                <w:szCs w:val="16"/>
                <w:lang w:eastAsia="en-AU"/>
              </w:rPr>
            </w:pPr>
            <w:r w:rsidRPr="00972A92">
              <w:rPr>
                <w:rFonts w:ascii="Arial" w:hAnsi="Arial" w:cs="Arial"/>
                <w:sz w:val="16"/>
                <w:szCs w:val="16"/>
                <w:lang w:eastAsia="en-AU"/>
              </w:rPr>
              <w:t xml:space="preserve">Department of Veterans' Affairs             </w:t>
            </w:r>
          </w:p>
        </w:tc>
        <w:tc>
          <w:tcPr>
            <w:tcW w:w="936" w:type="dxa"/>
            <w:tcBorders>
              <w:top w:val="nil"/>
              <w:left w:val="nil"/>
              <w:bottom w:val="nil"/>
              <w:right w:val="nil"/>
            </w:tcBorders>
            <w:shd w:val="clear" w:color="000000" w:fill="FFFFFF"/>
            <w:noWrap/>
            <w:vAlign w:val="center"/>
            <w:hideMark/>
          </w:tcPr>
          <w:p w14:paraId="010CE691"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143</w:t>
            </w:r>
          </w:p>
        </w:tc>
        <w:tc>
          <w:tcPr>
            <w:tcW w:w="936" w:type="dxa"/>
            <w:tcBorders>
              <w:top w:val="nil"/>
              <w:left w:val="nil"/>
              <w:bottom w:val="nil"/>
              <w:right w:val="nil"/>
            </w:tcBorders>
            <w:shd w:val="clear" w:color="000000" w:fill="FFFFFF"/>
            <w:noWrap/>
            <w:vAlign w:val="center"/>
            <w:hideMark/>
          </w:tcPr>
          <w:p w14:paraId="66F5E752"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122</w:t>
            </w:r>
          </w:p>
        </w:tc>
        <w:tc>
          <w:tcPr>
            <w:tcW w:w="936" w:type="dxa"/>
            <w:tcBorders>
              <w:top w:val="nil"/>
              <w:left w:val="nil"/>
              <w:bottom w:val="nil"/>
              <w:right w:val="nil"/>
            </w:tcBorders>
            <w:shd w:val="clear" w:color="000000" w:fill="F2F2F2"/>
            <w:noWrap/>
            <w:vAlign w:val="center"/>
            <w:hideMark/>
          </w:tcPr>
          <w:p w14:paraId="02B819CC"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138</w:t>
            </w:r>
          </w:p>
        </w:tc>
        <w:tc>
          <w:tcPr>
            <w:tcW w:w="936" w:type="dxa"/>
            <w:tcBorders>
              <w:top w:val="nil"/>
              <w:left w:val="nil"/>
              <w:bottom w:val="nil"/>
              <w:right w:val="nil"/>
            </w:tcBorders>
            <w:shd w:val="clear" w:color="000000" w:fill="F2F2F2"/>
            <w:noWrap/>
            <w:vAlign w:val="center"/>
            <w:hideMark/>
          </w:tcPr>
          <w:p w14:paraId="6BC2605A"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156</w:t>
            </w:r>
          </w:p>
        </w:tc>
        <w:tc>
          <w:tcPr>
            <w:tcW w:w="936" w:type="dxa"/>
            <w:tcBorders>
              <w:top w:val="nil"/>
              <w:left w:val="nil"/>
              <w:bottom w:val="nil"/>
              <w:right w:val="nil"/>
            </w:tcBorders>
            <w:shd w:val="clear" w:color="000000" w:fill="F2F2F2"/>
            <w:noWrap/>
            <w:vAlign w:val="center"/>
            <w:hideMark/>
          </w:tcPr>
          <w:p w14:paraId="1AF75436"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147</w:t>
            </w:r>
          </w:p>
        </w:tc>
        <w:tc>
          <w:tcPr>
            <w:tcW w:w="936" w:type="dxa"/>
            <w:tcBorders>
              <w:top w:val="nil"/>
              <w:left w:val="nil"/>
              <w:bottom w:val="nil"/>
              <w:right w:val="nil"/>
            </w:tcBorders>
            <w:shd w:val="clear" w:color="000000" w:fill="F2F2F2"/>
            <w:noWrap/>
            <w:vAlign w:val="center"/>
            <w:hideMark/>
          </w:tcPr>
          <w:p w14:paraId="1D665B3C"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138</w:t>
            </w:r>
          </w:p>
        </w:tc>
        <w:tc>
          <w:tcPr>
            <w:tcW w:w="1275" w:type="dxa"/>
            <w:tcBorders>
              <w:top w:val="nil"/>
              <w:left w:val="nil"/>
              <w:bottom w:val="nil"/>
              <w:right w:val="nil"/>
            </w:tcBorders>
            <w:shd w:val="clear" w:color="000000" w:fill="FFFFFF"/>
            <w:vAlign w:val="center"/>
            <w:hideMark/>
          </w:tcPr>
          <w:p w14:paraId="7AC6C870" w14:textId="77777777" w:rsidR="003A7344" w:rsidRPr="00972A92" w:rsidRDefault="003A7344" w:rsidP="00FD5F7A">
            <w:pPr>
              <w:jc w:val="center"/>
              <w:rPr>
                <w:rFonts w:ascii="Arial" w:hAnsi="Arial" w:cs="Arial"/>
                <w:sz w:val="16"/>
                <w:szCs w:val="16"/>
                <w:lang w:eastAsia="en-AU"/>
              </w:rPr>
            </w:pPr>
            <w:r w:rsidRPr="00972A92">
              <w:rPr>
                <w:rFonts w:ascii="Arial" w:hAnsi="Arial" w:cs="Arial"/>
                <w:sz w:val="16"/>
                <w:szCs w:val="16"/>
                <w:lang w:eastAsia="en-AU"/>
              </w:rPr>
              <w:t>3.1</w:t>
            </w:r>
          </w:p>
        </w:tc>
      </w:tr>
      <w:tr w:rsidR="003A7344" w:rsidRPr="00972A92" w14:paraId="5D746503" w14:textId="77777777" w:rsidTr="00FD5F7A">
        <w:trPr>
          <w:trHeight w:val="240"/>
        </w:trPr>
        <w:tc>
          <w:tcPr>
            <w:tcW w:w="2689" w:type="dxa"/>
            <w:tcBorders>
              <w:top w:val="nil"/>
              <w:left w:val="nil"/>
              <w:bottom w:val="nil"/>
              <w:right w:val="nil"/>
            </w:tcBorders>
            <w:shd w:val="clear" w:color="000000" w:fill="FFFFFF"/>
            <w:noWrap/>
            <w:vAlign w:val="center"/>
            <w:hideMark/>
          </w:tcPr>
          <w:p w14:paraId="3E0A47FE" w14:textId="77777777" w:rsidR="003A7344" w:rsidRPr="00972A92" w:rsidRDefault="003A7344" w:rsidP="00FD5F7A">
            <w:pPr>
              <w:rPr>
                <w:rFonts w:ascii="Arial" w:hAnsi="Arial" w:cs="Arial"/>
                <w:sz w:val="16"/>
                <w:szCs w:val="16"/>
                <w:lang w:eastAsia="en-AU"/>
              </w:rPr>
            </w:pPr>
            <w:r w:rsidRPr="00972A92">
              <w:rPr>
                <w:rFonts w:ascii="Arial" w:hAnsi="Arial" w:cs="Arial"/>
                <w:sz w:val="16"/>
                <w:szCs w:val="16"/>
                <w:lang w:eastAsia="en-AU"/>
              </w:rPr>
              <w:t>Court fees</w:t>
            </w:r>
          </w:p>
        </w:tc>
        <w:tc>
          <w:tcPr>
            <w:tcW w:w="936" w:type="dxa"/>
            <w:tcBorders>
              <w:top w:val="nil"/>
              <w:left w:val="nil"/>
              <w:bottom w:val="nil"/>
              <w:right w:val="nil"/>
            </w:tcBorders>
            <w:shd w:val="clear" w:color="000000" w:fill="FFFFFF"/>
            <w:noWrap/>
            <w:vAlign w:val="center"/>
            <w:hideMark/>
          </w:tcPr>
          <w:p w14:paraId="2B78B2F1"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125</w:t>
            </w:r>
          </w:p>
        </w:tc>
        <w:tc>
          <w:tcPr>
            <w:tcW w:w="936" w:type="dxa"/>
            <w:tcBorders>
              <w:top w:val="nil"/>
              <w:left w:val="nil"/>
              <w:bottom w:val="nil"/>
              <w:right w:val="nil"/>
            </w:tcBorders>
            <w:shd w:val="clear" w:color="000000" w:fill="FFFFFF"/>
            <w:noWrap/>
            <w:vAlign w:val="center"/>
            <w:hideMark/>
          </w:tcPr>
          <w:p w14:paraId="50758EF5"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119</w:t>
            </w:r>
          </w:p>
        </w:tc>
        <w:tc>
          <w:tcPr>
            <w:tcW w:w="936" w:type="dxa"/>
            <w:tcBorders>
              <w:top w:val="nil"/>
              <w:left w:val="nil"/>
              <w:bottom w:val="nil"/>
              <w:right w:val="nil"/>
            </w:tcBorders>
            <w:shd w:val="clear" w:color="000000" w:fill="F2F2F2"/>
            <w:noWrap/>
            <w:vAlign w:val="center"/>
            <w:hideMark/>
          </w:tcPr>
          <w:p w14:paraId="48FA2AD0"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152</w:t>
            </w:r>
          </w:p>
        </w:tc>
        <w:tc>
          <w:tcPr>
            <w:tcW w:w="936" w:type="dxa"/>
            <w:tcBorders>
              <w:top w:val="nil"/>
              <w:left w:val="nil"/>
              <w:bottom w:val="nil"/>
              <w:right w:val="nil"/>
            </w:tcBorders>
            <w:shd w:val="clear" w:color="000000" w:fill="F2F2F2"/>
            <w:noWrap/>
            <w:vAlign w:val="center"/>
            <w:hideMark/>
          </w:tcPr>
          <w:p w14:paraId="40495749"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156</w:t>
            </w:r>
          </w:p>
        </w:tc>
        <w:tc>
          <w:tcPr>
            <w:tcW w:w="936" w:type="dxa"/>
            <w:tcBorders>
              <w:top w:val="nil"/>
              <w:left w:val="nil"/>
              <w:bottom w:val="nil"/>
              <w:right w:val="nil"/>
            </w:tcBorders>
            <w:shd w:val="clear" w:color="000000" w:fill="F2F2F2"/>
            <w:noWrap/>
            <w:vAlign w:val="center"/>
            <w:hideMark/>
          </w:tcPr>
          <w:p w14:paraId="58A670AC"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161</w:t>
            </w:r>
          </w:p>
        </w:tc>
        <w:tc>
          <w:tcPr>
            <w:tcW w:w="936" w:type="dxa"/>
            <w:tcBorders>
              <w:top w:val="nil"/>
              <w:left w:val="nil"/>
              <w:bottom w:val="nil"/>
              <w:right w:val="nil"/>
            </w:tcBorders>
            <w:shd w:val="clear" w:color="000000" w:fill="F2F2F2"/>
            <w:noWrap/>
            <w:vAlign w:val="center"/>
            <w:hideMark/>
          </w:tcPr>
          <w:p w14:paraId="043D5892"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165</w:t>
            </w:r>
          </w:p>
        </w:tc>
        <w:tc>
          <w:tcPr>
            <w:tcW w:w="1275" w:type="dxa"/>
            <w:tcBorders>
              <w:top w:val="nil"/>
              <w:left w:val="nil"/>
              <w:bottom w:val="nil"/>
              <w:right w:val="nil"/>
            </w:tcBorders>
            <w:shd w:val="clear" w:color="000000" w:fill="FFFFFF"/>
            <w:vAlign w:val="center"/>
            <w:hideMark/>
          </w:tcPr>
          <w:p w14:paraId="407B8399" w14:textId="77777777" w:rsidR="003A7344" w:rsidRPr="00972A92" w:rsidRDefault="003A7344" w:rsidP="00FD5F7A">
            <w:pPr>
              <w:jc w:val="center"/>
              <w:rPr>
                <w:rFonts w:ascii="Arial" w:hAnsi="Arial" w:cs="Arial"/>
                <w:sz w:val="16"/>
                <w:szCs w:val="16"/>
                <w:lang w:eastAsia="en-AU"/>
              </w:rPr>
            </w:pPr>
            <w:r w:rsidRPr="00972A92">
              <w:rPr>
                <w:rFonts w:ascii="Arial" w:hAnsi="Arial" w:cs="Arial"/>
                <w:sz w:val="16"/>
                <w:szCs w:val="16"/>
                <w:lang w:eastAsia="en-AU"/>
              </w:rPr>
              <w:t>8.7</w:t>
            </w:r>
          </w:p>
        </w:tc>
      </w:tr>
      <w:tr w:rsidR="003A7344" w:rsidRPr="00972A92" w14:paraId="2732D940" w14:textId="77777777" w:rsidTr="00FD5F7A">
        <w:trPr>
          <w:trHeight w:val="240"/>
        </w:trPr>
        <w:tc>
          <w:tcPr>
            <w:tcW w:w="2689" w:type="dxa"/>
            <w:tcBorders>
              <w:top w:val="nil"/>
              <w:left w:val="nil"/>
              <w:bottom w:val="nil"/>
              <w:right w:val="nil"/>
            </w:tcBorders>
            <w:shd w:val="clear" w:color="000000" w:fill="FFFFFF"/>
            <w:noWrap/>
            <w:vAlign w:val="center"/>
            <w:hideMark/>
          </w:tcPr>
          <w:p w14:paraId="55541B86" w14:textId="77777777" w:rsidR="003A7344" w:rsidRPr="00972A92" w:rsidRDefault="003A7344" w:rsidP="00FD5F7A">
            <w:pPr>
              <w:rPr>
                <w:rFonts w:ascii="Arial" w:hAnsi="Arial" w:cs="Arial"/>
                <w:sz w:val="16"/>
                <w:szCs w:val="16"/>
                <w:lang w:eastAsia="en-AU"/>
              </w:rPr>
            </w:pPr>
            <w:r w:rsidRPr="00972A92">
              <w:rPr>
                <w:rFonts w:ascii="Arial" w:hAnsi="Arial" w:cs="Arial"/>
                <w:sz w:val="16"/>
                <w:szCs w:val="16"/>
                <w:lang w:eastAsia="en-AU"/>
              </w:rPr>
              <w:t>Road tolls</w:t>
            </w:r>
          </w:p>
        </w:tc>
        <w:tc>
          <w:tcPr>
            <w:tcW w:w="936" w:type="dxa"/>
            <w:tcBorders>
              <w:top w:val="nil"/>
              <w:left w:val="nil"/>
              <w:bottom w:val="nil"/>
              <w:right w:val="nil"/>
            </w:tcBorders>
            <w:shd w:val="clear" w:color="000000" w:fill="FFFFFF"/>
            <w:noWrap/>
            <w:vAlign w:val="center"/>
            <w:hideMark/>
          </w:tcPr>
          <w:p w14:paraId="16B0D20D"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134</w:t>
            </w:r>
          </w:p>
        </w:tc>
        <w:tc>
          <w:tcPr>
            <w:tcW w:w="936" w:type="dxa"/>
            <w:tcBorders>
              <w:top w:val="nil"/>
              <w:left w:val="nil"/>
              <w:bottom w:val="nil"/>
              <w:right w:val="nil"/>
            </w:tcBorders>
            <w:shd w:val="clear" w:color="000000" w:fill="FFFFFF"/>
            <w:noWrap/>
            <w:vAlign w:val="center"/>
            <w:hideMark/>
          </w:tcPr>
          <w:p w14:paraId="1877058E"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133</w:t>
            </w:r>
          </w:p>
        </w:tc>
        <w:tc>
          <w:tcPr>
            <w:tcW w:w="936" w:type="dxa"/>
            <w:tcBorders>
              <w:top w:val="nil"/>
              <w:left w:val="nil"/>
              <w:bottom w:val="nil"/>
              <w:right w:val="nil"/>
            </w:tcBorders>
            <w:shd w:val="clear" w:color="000000" w:fill="F2F2F2"/>
            <w:noWrap/>
            <w:vAlign w:val="center"/>
            <w:hideMark/>
          </w:tcPr>
          <w:p w14:paraId="291CE158"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164</w:t>
            </w:r>
          </w:p>
        </w:tc>
        <w:tc>
          <w:tcPr>
            <w:tcW w:w="936" w:type="dxa"/>
            <w:tcBorders>
              <w:top w:val="nil"/>
              <w:left w:val="nil"/>
              <w:bottom w:val="nil"/>
              <w:right w:val="nil"/>
            </w:tcBorders>
            <w:shd w:val="clear" w:color="000000" w:fill="F2F2F2"/>
            <w:noWrap/>
            <w:vAlign w:val="center"/>
            <w:hideMark/>
          </w:tcPr>
          <w:p w14:paraId="53FDAEC1"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173</w:t>
            </w:r>
          </w:p>
        </w:tc>
        <w:tc>
          <w:tcPr>
            <w:tcW w:w="936" w:type="dxa"/>
            <w:tcBorders>
              <w:top w:val="nil"/>
              <w:left w:val="nil"/>
              <w:bottom w:val="nil"/>
              <w:right w:val="nil"/>
            </w:tcBorders>
            <w:shd w:val="clear" w:color="000000" w:fill="F2F2F2"/>
            <w:noWrap/>
            <w:vAlign w:val="center"/>
            <w:hideMark/>
          </w:tcPr>
          <w:p w14:paraId="46260E62"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177</w:t>
            </w:r>
          </w:p>
        </w:tc>
        <w:tc>
          <w:tcPr>
            <w:tcW w:w="936" w:type="dxa"/>
            <w:tcBorders>
              <w:top w:val="nil"/>
              <w:left w:val="nil"/>
              <w:bottom w:val="nil"/>
              <w:right w:val="nil"/>
            </w:tcBorders>
            <w:shd w:val="clear" w:color="000000" w:fill="F2F2F2"/>
            <w:noWrap/>
            <w:vAlign w:val="center"/>
            <w:hideMark/>
          </w:tcPr>
          <w:p w14:paraId="3D02B180"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227</w:t>
            </w:r>
          </w:p>
        </w:tc>
        <w:tc>
          <w:tcPr>
            <w:tcW w:w="1275" w:type="dxa"/>
            <w:tcBorders>
              <w:top w:val="nil"/>
              <w:left w:val="nil"/>
              <w:bottom w:val="nil"/>
              <w:right w:val="nil"/>
            </w:tcBorders>
            <w:shd w:val="clear" w:color="000000" w:fill="FFFFFF"/>
            <w:vAlign w:val="center"/>
            <w:hideMark/>
          </w:tcPr>
          <w:p w14:paraId="2B60448F" w14:textId="77777777" w:rsidR="003A7344" w:rsidRPr="00972A92" w:rsidRDefault="003A7344" w:rsidP="00FD5F7A">
            <w:pPr>
              <w:jc w:val="center"/>
              <w:rPr>
                <w:rFonts w:ascii="Arial" w:hAnsi="Arial" w:cs="Arial"/>
                <w:sz w:val="16"/>
                <w:szCs w:val="16"/>
                <w:lang w:eastAsia="en-AU"/>
              </w:rPr>
            </w:pPr>
            <w:r w:rsidRPr="00972A92">
              <w:rPr>
                <w:rFonts w:ascii="Arial" w:hAnsi="Arial" w:cs="Arial"/>
                <w:sz w:val="16"/>
                <w:szCs w:val="16"/>
                <w:lang w:eastAsia="en-AU"/>
              </w:rPr>
              <w:t>14.3</w:t>
            </w:r>
          </w:p>
        </w:tc>
      </w:tr>
      <w:tr w:rsidR="003A7344" w:rsidRPr="00972A92" w14:paraId="355A15DB" w14:textId="77777777" w:rsidTr="00FD5F7A">
        <w:trPr>
          <w:trHeight w:val="240"/>
        </w:trPr>
        <w:tc>
          <w:tcPr>
            <w:tcW w:w="2689" w:type="dxa"/>
            <w:tcBorders>
              <w:top w:val="nil"/>
              <w:left w:val="nil"/>
              <w:bottom w:val="nil"/>
              <w:right w:val="nil"/>
            </w:tcBorders>
            <w:shd w:val="clear" w:color="000000" w:fill="FFFFFF"/>
            <w:vAlign w:val="center"/>
            <w:hideMark/>
          </w:tcPr>
          <w:p w14:paraId="64C521AC" w14:textId="77777777" w:rsidR="003A7344" w:rsidRPr="00972A92" w:rsidRDefault="003A7344" w:rsidP="00FD5F7A">
            <w:pPr>
              <w:rPr>
                <w:rFonts w:ascii="Arial" w:hAnsi="Arial" w:cs="Arial"/>
                <w:sz w:val="16"/>
                <w:szCs w:val="16"/>
                <w:lang w:eastAsia="en-AU"/>
              </w:rPr>
            </w:pPr>
            <w:r w:rsidRPr="00972A92">
              <w:rPr>
                <w:rFonts w:ascii="Arial" w:hAnsi="Arial" w:cs="Arial"/>
                <w:sz w:val="16"/>
                <w:szCs w:val="16"/>
                <w:lang w:eastAsia="en-AU"/>
              </w:rPr>
              <w:t>Other sales of goods and services</w:t>
            </w:r>
          </w:p>
        </w:tc>
        <w:tc>
          <w:tcPr>
            <w:tcW w:w="936" w:type="dxa"/>
            <w:tcBorders>
              <w:top w:val="nil"/>
              <w:left w:val="nil"/>
              <w:bottom w:val="nil"/>
              <w:right w:val="nil"/>
            </w:tcBorders>
            <w:shd w:val="clear" w:color="000000" w:fill="FFFFFF"/>
            <w:noWrap/>
            <w:vAlign w:val="center"/>
            <w:hideMark/>
          </w:tcPr>
          <w:p w14:paraId="79A9B0E0"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4,912</w:t>
            </w:r>
          </w:p>
        </w:tc>
        <w:tc>
          <w:tcPr>
            <w:tcW w:w="936" w:type="dxa"/>
            <w:tcBorders>
              <w:top w:val="nil"/>
              <w:left w:val="nil"/>
              <w:bottom w:val="nil"/>
              <w:right w:val="nil"/>
            </w:tcBorders>
            <w:shd w:val="clear" w:color="000000" w:fill="FFFFFF"/>
            <w:noWrap/>
            <w:vAlign w:val="center"/>
            <w:hideMark/>
          </w:tcPr>
          <w:p w14:paraId="7DF38911"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4,844</w:t>
            </w:r>
          </w:p>
        </w:tc>
        <w:tc>
          <w:tcPr>
            <w:tcW w:w="936" w:type="dxa"/>
            <w:tcBorders>
              <w:top w:val="nil"/>
              <w:left w:val="nil"/>
              <w:bottom w:val="nil"/>
              <w:right w:val="nil"/>
            </w:tcBorders>
            <w:shd w:val="clear" w:color="000000" w:fill="F2F2F2"/>
            <w:noWrap/>
            <w:vAlign w:val="center"/>
            <w:hideMark/>
          </w:tcPr>
          <w:p w14:paraId="02DE4F95"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5,096</w:t>
            </w:r>
          </w:p>
        </w:tc>
        <w:tc>
          <w:tcPr>
            <w:tcW w:w="936" w:type="dxa"/>
            <w:tcBorders>
              <w:top w:val="nil"/>
              <w:left w:val="nil"/>
              <w:bottom w:val="nil"/>
              <w:right w:val="nil"/>
            </w:tcBorders>
            <w:shd w:val="clear" w:color="000000" w:fill="F2F2F2"/>
            <w:noWrap/>
            <w:vAlign w:val="center"/>
            <w:hideMark/>
          </w:tcPr>
          <w:p w14:paraId="259FCB17"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5,299</w:t>
            </w:r>
          </w:p>
        </w:tc>
        <w:tc>
          <w:tcPr>
            <w:tcW w:w="936" w:type="dxa"/>
            <w:tcBorders>
              <w:top w:val="nil"/>
              <w:left w:val="nil"/>
              <w:bottom w:val="nil"/>
              <w:right w:val="nil"/>
            </w:tcBorders>
            <w:shd w:val="clear" w:color="000000" w:fill="F2F2F2"/>
            <w:noWrap/>
            <w:vAlign w:val="center"/>
            <w:hideMark/>
          </w:tcPr>
          <w:p w14:paraId="7E3F0187"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5,336</w:t>
            </w:r>
          </w:p>
        </w:tc>
        <w:tc>
          <w:tcPr>
            <w:tcW w:w="936" w:type="dxa"/>
            <w:tcBorders>
              <w:top w:val="nil"/>
              <w:left w:val="nil"/>
              <w:bottom w:val="nil"/>
              <w:right w:val="nil"/>
            </w:tcBorders>
            <w:shd w:val="clear" w:color="000000" w:fill="F2F2F2"/>
            <w:noWrap/>
            <w:vAlign w:val="center"/>
            <w:hideMark/>
          </w:tcPr>
          <w:p w14:paraId="522A9685" w14:textId="77777777" w:rsidR="003A7344" w:rsidRPr="00972A92" w:rsidRDefault="003A7344" w:rsidP="00FD5F7A">
            <w:pPr>
              <w:jc w:val="right"/>
              <w:rPr>
                <w:rFonts w:ascii="Arial" w:hAnsi="Arial" w:cs="Arial"/>
                <w:sz w:val="16"/>
                <w:szCs w:val="16"/>
                <w:lang w:eastAsia="en-AU"/>
              </w:rPr>
            </w:pPr>
            <w:r w:rsidRPr="00972A92">
              <w:rPr>
                <w:rFonts w:ascii="Arial" w:hAnsi="Arial" w:cs="Arial"/>
                <w:sz w:val="16"/>
                <w:szCs w:val="16"/>
                <w:lang w:eastAsia="en-AU"/>
              </w:rPr>
              <w:t>5,545</w:t>
            </w:r>
          </w:p>
        </w:tc>
        <w:tc>
          <w:tcPr>
            <w:tcW w:w="1275" w:type="dxa"/>
            <w:tcBorders>
              <w:top w:val="nil"/>
              <w:left w:val="nil"/>
              <w:bottom w:val="nil"/>
              <w:right w:val="nil"/>
            </w:tcBorders>
            <w:shd w:val="clear" w:color="000000" w:fill="FFFFFF"/>
            <w:vAlign w:val="center"/>
            <w:hideMark/>
          </w:tcPr>
          <w:p w14:paraId="46DD5D88" w14:textId="77777777" w:rsidR="003A7344" w:rsidRPr="00972A92" w:rsidRDefault="003A7344" w:rsidP="00FD5F7A">
            <w:pPr>
              <w:jc w:val="center"/>
              <w:rPr>
                <w:rFonts w:ascii="Arial" w:hAnsi="Arial" w:cs="Arial"/>
                <w:sz w:val="16"/>
                <w:szCs w:val="16"/>
                <w:lang w:eastAsia="en-AU"/>
              </w:rPr>
            </w:pPr>
            <w:r w:rsidRPr="00972A92">
              <w:rPr>
                <w:rFonts w:ascii="Arial" w:hAnsi="Arial" w:cs="Arial"/>
                <w:sz w:val="16"/>
                <w:szCs w:val="16"/>
                <w:lang w:eastAsia="en-AU"/>
              </w:rPr>
              <w:t>3.4</w:t>
            </w:r>
          </w:p>
        </w:tc>
      </w:tr>
      <w:tr w:rsidR="00B130C2" w:rsidRPr="00B130C2" w14:paraId="7D518328" w14:textId="77777777" w:rsidTr="00FD5F7A">
        <w:trPr>
          <w:trHeight w:val="240"/>
        </w:trPr>
        <w:tc>
          <w:tcPr>
            <w:tcW w:w="2689" w:type="dxa"/>
            <w:tcBorders>
              <w:top w:val="single" w:sz="4" w:space="0" w:color="auto"/>
              <w:left w:val="nil"/>
              <w:bottom w:val="single" w:sz="4" w:space="0" w:color="auto"/>
              <w:right w:val="nil"/>
            </w:tcBorders>
            <w:shd w:val="clear" w:color="000000" w:fill="FFFFFF"/>
            <w:noWrap/>
            <w:vAlign w:val="center"/>
            <w:hideMark/>
          </w:tcPr>
          <w:p w14:paraId="5C05382A" w14:textId="77777777" w:rsidR="003A7344" w:rsidRPr="00B130C2" w:rsidRDefault="003A7344" w:rsidP="00FD5F7A">
            <w:pPr>
              <w:rPr>
                <w:rFonts w:ascii="Arial" w:hAnsi="Arial" w:cs="Arial"/>
                <w:b/>
                <w:bCs/>
                <w:color w:val="0079B9"/>
                <w:sz w:val="16"/>
                <w:szCs w:val="16"/>
                <w:lang w:eastAsia="en-AU"/>
              </w:rPr>
            </w:pPr>
            <w:r w:rsidRPr="00B130C2">
              <w:rPr>
                <w:rFonts w:ascii="Arial" w:hAnsi="Arial" w:cs="Arial"/>
                <w:b/>
                <w:bCs/>
                <w:color w:val="0079B9"/>
                <w:sz w:val="16"/>
                <w:szCs w:val="16"/>
                <w:lang w:eastAsia="en-AU"/>
              </w:rPr>
              <w:t xml:space="preserve">Sale of goods and services </w:t>
            </w:r>
          </w:p>
        </w:tc>
        <w:tc>
          <w:tcPr>
            <w:tcW w:w="936" w:type="dxa"/>
            <w:tcBorders>
              <w:top w:val="single" w:sz="4" w:space="0" w:color="auto"/>
              <w:left w:val="nil"/>
              <w:bottom w:val="single" w:sz="4" w:space="0" w:color="auto"/>
              <w:right w:val="nil"/>
            </w:tcBorders>
            <w:shd w:val="clear" w:color="000000" w:fill="FFFFFF"/>
            <w:noWrap/>
            <w:vAlign w:val="center"/>
            <w:hideMark/>
          </w:tcPr>
          <w:p w14:paraId="4F4899A5" w14:textId="77777777" w:rsidR="003A7344" w:rsidRPr="00B130C2" w:rsidRDefault="003A7344" w:rsidP="00FD5F7A">
            <w:pPr>
              <w:jc w:val="right"/>
              <w:rPr>
                <w:rFonts w:ascii="Arial" w:hAnsi="Arial" w:cs="Arial"/>
                <w:b/>
                <w:bCs/>
                <w:color w:val="0079B9"/>
                <w:sz w:val="16"/>
                <w:szCs w:val="16"/>
                <w:lang w:eastAsia="en-AU"/>
              </w:rPr>
            </w:pPr>
            <w:r w:rsidRPr="00B130C2">
              <w:rPr>
                <w:rFonts w:ascii="Arial" w:hAnsi="Arial" w:cs="Arial"/>
                <w:b/>
                <w:bCs/>
                <w:color w:val="0079B9"/>
                <w:sz w:val="16"/>
                <w:szCs w:val="16"/>
                <w:lang w:eastAsia="en-AU"/>
              </w:rPr>
              <w:t>9,949</w:t>
            </w:r>
          </w:p>
        </w:tc>
        <w:tc>
          <w:tcPr>
            <w:tcW w:w="936" w:type="dxa"/>
            <w:tcBorders>
              <w:top w:val="single" w:sz="4" w:space="0" w:color="auto"/>
              <w:left w:val="nil"/>
              <w:bottom w:val="single" w:sz="4" w:space="0" w:color="auto"/>
              <w:right w:val="nil"/>
            </w:tcBorders>
            <w:shd w:val="clear" w:color="000000" w:fill="FFFFFF"/>
            <w:noWrap/>
            <w:vAlign w:val="center"/>
            <w:hideMark/>
          </w:tcPr>
          <w:p w14:paraId="2F3B287B" w14:textId="77777777" w:rsidR="003A7344" w:rsidRPr="00B130C2" w:rsidRDefault="003A7344" w:rsidP="00FD5F7A">
            <w:pPr>
              <w:jc w:val="right"/>
              <w:rPr>
                <w:rFonts w:ascii="Arial" w:hAnsi="Arial" w:cs="Arial"/>
                <w:b/>
                <w:bCs/>
                <w:color w:val="0079B9"/>
                <w:sz w:val="16"/>
                <w:szCs w:val="16"/>
                <w:lang w:eastAsia="en-AU"/>
              </w:rPr>
            </w:pPr>
            <w:r w:rsidRPr="00B130C2">
              <w:rPr>
                <w:rFonts w:ascii="Arial" w:hAnsi="Arial" w:cs="Arial"/>
                <w:b/>
                <w:bCs/>
                <w:color w:val="0079B9"/>
                <w:sz w:val="16"/>
                <w:szCs w:val="16"/>
                <w:lang w:eastAsia="en-AU"/>
              </w:rPr>
              <w:t>9,733</w:t>
            </w:r>
          </w:p>
        </w:tc>
        <w:tc>
          <w:tcPr>
            <w:tcW w:w="936" w:type="dxa"/>
            <w:tcBorders>
              <w:top w:val="single" w:sz="4" w:space="0" w:color="auto"/>
              <w:left w:val="nil"/>
              <w:bottom w:val="single" w:sz="4" w:space="0" w:color="auto"/>
              <w:right w:val="nil"/>
            </w:tcBorders>
            <w:shd w:val="clear" w:color="000000" w:fill="F2F2F2"/>
            <w:noWrap/>
            <w:vAlign w:val="center"/>
            <w:hideMark/>
          </w:tcPr>
          <w:p w14:paraId="0B8CD2D9" w14:textId="77777777" w:rsidR="003A7344" w:rsidRPr="00B130C2" w:rsidRDefault="003A7344" w:rsidP="00FD5F7A">
            <w:pPr>
              <w:jc w:val="right"/>
              <w:rPr>
                <w:rFonts w:ascii="Arial" w:hAnsi="Arial" w:cs="Arial"/>
                <w:b/>
                <w:bCs/>
                <w:color w:val="0079B9"/>
                <w:sz w:val="16"/>
                <w:szCs w:val="16"/>
                <w:lang w:eastAsia="en-AU"/>
              </w:rPr>
            </w:pPr>
            <w:r w:rsidRPr="00B130C2">
              <w:rPr>
                <w:rFonts w:ascii="Arial" w:hAnsi="Arial" w:cs="Arial"/>
                <w:b/>
                <w:bCs/>
                <w:color w:val="0079B9"/>
                <w:sz w:val="16"/>
                <w:szCs w:val="16"/>
                <w:lang w:eastAsia="en-AU"/>
              </w:rPr>
              <w:t>10,191</w:t>
            </w:r>
          </w:p>
        </w:tc>
        <w:tc>
          <w:tcPr>
            <w:tcW w:w="936" w:type="dxa"/>
            <w:tcBorders>
              <w:top w:val="single" w:sz="4" w:space="0" w:color="auto"/>
              <w:left w:val="nil"/>
              <w:bottom w:val="single" w:sz="4" w:space="0" w:color="auto"/>
              <w:right w:val="nil"/>
            </w:tcBorders>
            <w:shd w:val="clear" w:color="000000" w:fill="F2F2F2"/>
            <w:noWrap/>
            <w:vAlign w:val="center"/>
            <w:hideMark/>
          </w:tcPr>
          <w:p w14:paraId="34819258" w14:textId="77777777" w:rsidR="003A7344" w:rsidRPr="00B130C2" w:rsidRDefault="003A7344" w:rsidP="00FD5F7A">
            <w:pPr>
              <w:jc w:val="right"/>
              <w:rPr>
                <w:rFonts w:ascii="Arial" w:hAnsi="Arial" w:cs="Arial"/>
                <w:b/>
                <w:bCs/>
                <w:color w:val="0079B9"/>
                <w:sz w:val="16"/>
                <w:szCs w:val="16"/>
                <w:lang w:eastAsia="en-AU"/>
              </w:rPr>
            </w:pPr>
            <w:r w:rsidRPr="00B130C2">
              <w:rPr>
                <w:rFonts w:ascii="Arial" w:hAnsi="Arial" w:cs="Arial"/>
                <w:b/>
                <w:bCs/>
                <w:color w:val="0079B9"/>
                <w:sz w:val="16"/>
                <w:szCs w:val="16"/>
                <w:lang w:eastAsia="en-AU"/>
              </w:rPr>
              <w:t>10,122</w:t>
            </w:r>
          </w:p>
        </w:tc>
        <w:tc>
          <w:tcPr>
            <w:tcW w:w="936" w:type="dxa"/>
            <w:tcBorders>
              <w:top w:val="single" w:sz="4" w:space="0" w:color="auto"/>
              <w:left w:val="nil"/>
              <w:bottom w:val="single" w:sz="4" w:space="0" w:color="auto"/>
              <w:right w:val="nil"/>
            </w:tcBorders>
            <w:shd w:val="clear" w:color="000000" w:fill="F2F2F2"/>
            <w:noWrap/>
            <w:vAlign w:val="center"/>
            <w:hideMark/>
          </w:tcPr>
          <w:p w14:paraId="69D806B1" w14:textId="77777777" w:rsidR="003A7344" w:rsidRPr="00B130C2" w:rsidRDefault="003A7344" w:rsidP="00FD5F7A">
            <w:pPr>
              <w:jc w:val="right"/>
              <w:rPr>
                <w:rFonts w:ascii="Arial" w:hAnsi="Arial" w:cs="Arial"/>
                <w:b/>
                <w:bCs/>
                <w:color w:val="0079B9"/>
                <w:sz w:val="16"/>
                <w:szCs w:val="16"/>
                <w:lang w:eastAsia="en-AU"/>
              </w:rPr>
            </w:pPr>
            <w:r w:rsidRPr="00B130C2">
              <w:rPr>
                <w:rFonts w:ascii="Arial" w:hAnsi="Arial" w:cs="Arial"/>
                <w:b/>
                <w:bCs/>
                <w:color w:val="0079B9"/>
                <w:sz w:val="16"/>
                <w:szCs w:val="16"/>
                <w:lang w:eastAsia="en-AU"/>
              </w:rPr>
              <w:t>9,107</w:t>
            </w:r>
          </w:p>
        </w:tc>
        <w:tc>
          <w:tcPr>
            <w:tcW w:w="936" w:type="dxa"/>
            <w:tcBorders>
              <w:top w:val="single" w:sz="4" w:space="0" w:color="auto"/>
              <w:left w:val="nil"/>
              <w:bottom w:val="single" w:sz="4" w:space="0" w:color="auto"/>
              <w:right w:val="nil"/>
            </w:tcBorders>
            <w:shd w:val="clear" w:color="000000" w:fill="F2F2F2"/>
            <w:noWrap/>
            <w:vAlign w:val="center"/>
            <w:hideMark/>
          </w:tcPr>
          <w:p w14:paraId="1F85B481" w14:textId="77777777" w:rsidR="003A7344" w:rsidRPr="00B130C2" w:rsidRDefault="003A7344" w:rsidP="00FD5F7A">
            <w:pPr>
              <w:jc w:val="right"/>
              <w:rPr>
                <w:rFonts w:ascii="Arial" w:hAnsi="Arial" w:cs="Arial"/>
                <w:b/>
                <w:bCs/>
                <w:color w:val="0079B9"/>
                <w:sz w:val="16"/>
                <w:szCs w:val="16"/>
                <w:lang w:eastAsia="en-AU"/>
              </w:rPr>
            </w:pPr>
            <w:r w:rsidRPr="00B130C2">
              <w:rPr>
                <w:rFonts w:ascii="Arial" w:hAnsi="Arial" w:cs="Arial"/>
                <w:b/>
                <w:bCs/>
                <w:color w:val="0079B9"/>
                <w:sz w:val="16"/>
                <w:szCs w:val="16"/>
                <w:lang w:eastAsia="en-AU"/>
              </w:rPr>
              <w:t>9,084</w:t>
            </w:r>
          </w:p>
        </w:tc>
        <w:tc>
          <w:tcPr>
            <w:tcW w:w="1275" w:type="dxa"/>
            <w:tcBorders>
              <w:top w:val="single" w:sz="4" w:space="0" w:color="auto"/>
              <w:left w:val="nil"/>
              <w:bottom w:val="single" w:sz="4" w:space="0" w:color="auto"/>
              <w:right w:val="nil"/>
            </w:tcBorders>
            <w:shd w:val="clear" w:color="000000" w:fill="FFFFFF"/>
            <w:noWrap/>
            <w:vAlign w:val="center"/>
            <w:hideMark/>
          </w:tcPr>
          <w:p w14:paraId="676A8A88" w14:textId="6BAA0B16" w:rsidR="003A7344" w:rsidRPr="00B130C2" w:rsidRDefault="00B130C2" w:rsidP="00FD5F7A">
            <w:pPr>
              <w:jc w:val="center"/>
              <w:rPr>
                <w:rFonts w:ascii="Arial" w:hAnsi="Arial" w:cs="Arial"/>
                <w:b/>
                <w:bCs/>
                <w:color w:val="0079B9"/>
                <w:sz w:val="16"/>
                <w:szCs w:val="16"/>
                <w:lang w:eastAsia="en-AU"/>
              </w:rPr>
            </w:pPr>
            <w:r>
              <w:rPr>
                <w:rFonts w:ascii="Arial" w:hAnsi="Arial" w:cs="Arial"/>
                <w:b/>
                <w:bCs/>
                <w:color w:val="0079B9"/>
                <w:sz w:val="16"/>
                <w:szCs w:val="16"/>
                <w:lang w:eastAsia="en-AU"/>
              </w:rPr>
              <w:t>(</w:t>
            </w:r>
            <w:r w:rsidR="003A7344" w:rsidRPr="00B130C2">
              <w:rPr>
                <w:rFonts w:ascii="Arial" w:hAnsi="Arial" w:cs="Arial"/>
                <w:b/>
                <w:bCs/>
                <w:color w:val="0079B9"/>
                <w:sz w:val="16"/>
                <w:szCs w:val="16"/>
                <w:lang w:eastAsia="en-AU"/>
              </w:rPr>
              <w:t>1.7</w:t>
            </w:r>
            <w:r>
              <w:rPr>
                <w:rFonts w:ascii="Arial" w:hAnsi="Arial" w:cs="Arial"/>
                <w:b/>
                <w:bCs/>
                <w:color w:val="0079B9"/>
                <w:sz w:val="16"/>
                <w:szCs w:val="16"/>
                <w:lang w:eastAsia="en-AU"/>
              </w:rPr>
              <w:t>)</w:t>
            </w:r>
          </w:p>
        </w:tc>
      </w:tr>
    </w:tbl>
    <w:p w14:paraId="4B872CE6" w14:textId="62BD590E" w:rsidR="00B1317A" w:rsidRPr="00FC5384" w:rsidRDefault="00B1317A" w:rsidP="00B1317A">
      <w:pPr>
        <w:shd w:val="clear" w:color="auto" w:fill="FFFFFF"/>
        <w:textAlignment w:val="baseline"/>
        <w:rPr>
          <w:rFonts w:ascii="Arial" w:eastAsiaTheme="minorHAnsi" w:hAnsi="Arial" w:cs="Arial"/>
          <w:sz w:val="23"/>
          <w:szCs w:val="22"/>
          <w:shd w:val="clear" w:color="auto" w:fill="FFFFFF"/>
        </w:rPr>
      </w:pPr>
    </w:p>
    <w:p w14:paraId="369891A6" w14:textId="77777777" w:rsidR="008D00E2" w:rsidRDefault="008D00E2">
      <w:pPr>
        <w:spacing w:after="200" w:line="276" w:lineRule="auto"/>
        <w:rPr>
          <w:rFonts w:ascii="Arial Bold" w:eastAsiaTheme="minorEastAsia" w:hAnsi="Arial Bold" w:hint="eastAsia"/>
          <w:b/>
          <w:kern w:val="28"/>
          <w:sz w:val="26"/>
          <w:szCs w:val="36"/>
        </w:rPr>
      </w:pPr>
      <w:r>
        <w:rPr>
          <w:rFonts w:eastAsiaTheme="minorEastAsia"/>
        </w:rPr>
        <w:br w:type="page"/>
      </w:r>
    </w:p>
    <w:p w14:paraId="1DF7845D" w14:textId="7A4B5213" w:rsidR="00A6669E" w:rsidRPr="00D672B4" w:rsidRDefault="00A6669E" w:rsidP="00EE1690">
      <w:pPr>
        <w:pStyle w:val="Heading3"/>
        <w:numPr>
          <w:ilvl w:val="0"/>
          <w:numId w:val="0"/>
        </w:numPr>
        <w:ind w:left="737" w:hanging="737"/>
        <w:rPr>
          <w:rFonts w:eastAsiaTheme="minorEastAsia" w:hint="eastAsia"/>
        </w:rPr>
      </w:pPr>
      <w:r w:rsidRPr="00D672B4">
        <w:rPr>
          <w:rFonts w:eastAsiaTheme="minorEastAsia" w:hint="eastAsia"/>
        </w:rPr>
        <w:t>Interest income</w:t>
      </w:r>
    </w:p>
    <w:p w14:paraId="75FE0460" w14:textId="37036E18" w:rsidR="00591317" w:rsidRPr="003E57D1" w:rsidRDefault="008255AE" w:rsidP="003426A4">
      <w:pPr>
        <w:pStyle w:val="BodyText"/>
      </w:pPr>
      <w:bookmarkStart w:id="17" w:name="_Hlk516818031"/>
      <w:r w:rsidRPr="00D672B4">
        <w:t xml:space="preserve">Interest income includes returns on managed bond investments, </w:t>
      </w:r>
      <w:r w:rsidR="00CD0536" w:rsidRPr="00D672B4">
        <w:t>including</w:t>
      </w:r>
      <w:r w:rsidR="00591317" w:rsidRPr="00D672B4">
        <w:t xml:space="preserve"> </w:t>
      </w:r>
      <w:r w:rsidRPr="00D672B4">
        <w:t>investments made by TCorp, and interest earned on bank deposits and funding facilities. Interest revenue is</w:t>
      </w:r>
      <w:r w:rsidR="00591317" w:rsidRPr="00D672B4">
        <w:t xml:space="preserve"> </w:t>
      </w:r>
      <w:r w:rsidRPr="00D672B4">
        <w:t>expected to be</w:t>
      </w:r>
      <w:r w:rsidR="00745107" w:rsidRPr="00D672B4">
        <w:t xml:space="preserve"> </w:t>
      </w:r>
      <w:r w:rsidR="003C01FA" w:rsidRPr="00D672B4">
        <w:t>$</w:t>
      </w:r>
      <w:r w:rsidR="008B7078" w:rsidRPr="000A00BC">
        <w:t>371.6</w:t>
      </w:r>
      <w:r w:rsidR="003C01FA" w:rsidRPr="000A00BC">
        <w:t xml:space="preserve"> million</w:t>
      </w:r>
      <w:r w:rsidR="003C01FA" w:rsidRPr="00622B89">
        <w:t xml:space="preserve"> in 202</w:t>
      </w:r>
      <w:r w:rsidR="007D2C6C" w:rsidRPr="00622B89">
        <w:t>2</w:t>
      </w:r>
      <w:r w:rsidR="003C01FA" w:rsidRPr="00622B89">
        <w:t>-2</w:t>
      </w:r>
      <w:r w:rsidR="007D2C6C" w:rsidRPr="00622B89">
        <w:t>3</w:t>
      </w:r>
      <w:r w:rsidR="003C01FA" w:rsidRPr="00622B89">
        <w:t>,</w:t>
      </w:r>
      <w:r w:rsidRPr="00622B89">
        <w:t xml:space="preserve"> $</w:t>
      </w:r>
      <w:r w:rsidR="0028681F" w:rsidRPr="000A00BC">
        <w:t>133</w:t>
      </w:r>
      <w:r w:rsidR="00B30142" w:rsidRPr="000A00BC">
        <w:t>.</w:t>
      </w:r>
      <w:r w:rsidR="0028681F" w:rsidRPr="000A00BC">
        <w:t xml:space="preserve">8 </w:t>
      </w:r>
      <w:r w:rsidRPr="000A00BC">
        <w:t>million (</w:t>
      </w:r>
      <w:r w:rsidR="00622B89" w:rsidRPr="000A00BC">
        <w:t>56</w:t>
      </w:r>
      <w:r w:rsidR="00B30142" w:rsidRPr="000A00BC">
        <w:t>.3</w:t>
      </w:r>
      <w:r w:rsidRPr="000A00BC">
        <w:t xml:space="preserve"> p</w:t>
      </w:r>
      <w:r w:rsidRPr="00622B89">
        <w:t>er cent)</w:t>
      </w:r>
      <w:r w:rsidR="00591317" w:rsidRPr="00622B89">
        <w:t xml:space="preserve"> </w:t>
      </w:r>
      <w:r w:rsidR="00020904">
        <w:t>higher</w:t>
      </w:r>
      <w:r w:rsidR="00020904" w:rsidRPr="00622B89">
        <w:t xml:space="preserve"> </w:t>
      </w:r>
      <w:r w:rsidR="003C01FA" w:rsidRPr="00622B89">
        <w:t>than previously expected</w:t>
      </w:r>
      <w:r w:rsidRPr="00622B89">
        <w:t>. Forecast interest revenue is expected to be $</w:t>
      </w:r>
      <w:r w:rsidR="00622B89" w:rsidRPr="000A00BC">
        <w:t>611</w:t>
      </w:r>
      <w:r w:rsidR="00B30142" w:rsidRPr="000A00BC">
        <w:t>.</w:t>
      </w:r>
      <w:r w:rsidR="00622B89" w:rsidRPr="000A00BC">
        <w:t xml:space="preserve">2 </w:t>
      </w:r>
      <w:r w:rsidRPr="000A00BC">
        <w:t>million (</w:t>
      </w:r>
      <w:r w:rsidR="00B30142" w:rsidRPr="000A00BC">
        <w:t>5</w:t>
      </w:r>
      <w:r w:rsidR="00622B89" w:rsidRPr="000A00BC">
        <w:t>6</w:t>
      </w:r>
      <w:r w:rsidR="00B30142" w:rsidRPr="000A00BC">
        <w:t>.</w:t>
      </w:r>
      <w:r w:rsidR="00622B89" w:rsidRPr="000A00BC">
        <w:t xml:space="preserve">3 </w:t>
      </w:r>
      <w:r w:rsidRPr="000A00BC">
        <w:t>per</w:t>
      </w:r>
      <w:r w:rsidRPr="003E57D1">
        <w:t xml:space="preserve"> cent) </w:t>
      </w:r>
      <w:r w:rsidR="00B30142">
        <w:t>higher</w:t>
      </w:r>
      <w:r w:rsidRPr="003E57D1">
        <w:t xml:space="preserve"> over the four years to 202</w:t>
      </w:r>
      <w:r w:rsidR="007D2C6C" w:rsidRPr="003E57D1">
        <w:t>5</w:t>
      </w:r>
      <w:r w:rsidR="00A77D76" w:rsidRPr="003E57D1">
        <w:noBreakHyphen/>
      </w:r>
      <w:r w:rsidRPr="003E57D1">
        <w:t>2</w:t>
      </w:r>
      <w:r w:rsidR="007D2C6C" w:rsidRPr="003E57D1">
        <w:t>6</w:t>
      </w:r>
      <w:r w:rsidR="00A77D76" w:rsidRPr="003E57D1">
        <w:t>.</w:t>
      </w:r>
      <w:r w:rsidR="00B30142">
        <w:t xml:space="preserve"> This </w:t>
      </w:r>
      <w:r w:rsidR="009268CC">
        <w:t>largely reflect</w:t>
      </w:r>
      <w:r w:rsidR="003A01B1">
        <w:t>s</w:t>
      </w:r>
      <w:r w:rsidR="009268CC">
        <w:t xml:space="preserve"> higher interest rate expectations. </w:t>
      </w:r>
      <w:r w:rsidR="00B30142">
        <w:t xml:space="preserve"> </w:t>
      </w:r>
    </w:p>
    <w:p w14:paraId="2F9F3045" w14:textId="088B9666" w:rsidR="00492554" w:rsidRPr="00FC5384" w:rsidRDefault="00152E83" w:rsidP="00EE1690">
      <w:pPr>
        <w:pStyle w:val="Heading3"/>
        <w:numPr>
          <w:ilvl w:val="0"/>
          <w:numId w:val="0"/>
        </w:numPr>
        <w:ind w:left="737" w:hanging="737"/>
      </w:pPr>
      <w:r w:rsidRPr="00FC5384">
        <w:rPr>
          <w:rFonts w:eastAsiaTheme="minorEastAsia"/>
        </w:rPr>
        <w:t>Dividends and income tax equivalents</w:t>
      </w:r>
    </w:p>
    <w:bookmarkEnd w:id="17"/>
    <w:p w14:paraId="105CA011" w14:textId="374DFC9D" w:rsidR="00E20F98" w:rsidRPr="00FC5384" w:rsidRDefault="00E20F98" w:rsidP="008D00E2">
      <w:pPr>
        <w:pStyle w:val="BodyText"/>
      </w:pPr>
      <w:r w:rsidRPr="00E20F98">
        <w:t>State</w:t>
      </w:r>
      <w:r w:rsidR="001A6DAE">
        <w:t xml:space="preserve"> O</w:t>
      </w:r>
      <w:r w:rsidR="001A6DAE" w:rsidRPr="00E20F98">
        <w:t xml:space="preserve">wned </w:t>
      </w:r>
      <w:r w:rsidR="001A6DAE">
        <w:t>C</w:t>
      </w:r>
      <w:r w:rsidR="001A6DAE" w:rsidRPr="00E20F98">
        <w:t xml:space="preserve">orporations </w:t>
      </w:r>
      <w:r w:rsidR="006160D8">
        <w:t xml:space="preserve">and </w:t>
      </w:r>
      <w:r w:rsidR="006160D8" w:rsidRPr="006160D8">
        <w:t>public financial</w:t>
      </w:r>
      <w:r w:rsidRPr="00E20F98">
        <w:t xml:space="preserve"> corporations pay dividends that provide a commercially appropriate return on government investment. </w:t>
      </w:r>
    </w:p>
    <w:p w14:paraId="4C7560DA" w14:textId="5231D5B7" w:rsidR="00E20F98" w:rsidRPr="00E20F98" w:rsidRDefault="00E20F98" w:rsidP="008D00E2">
      <w:pPr>
        <w:pStyle w:val="BodyText"/>
      </w:pPr>
      <w:r w:rsidRPr="00E20F98">
        <w:t xml:space="preserve">Dividends and income tax equivalents are </w:t>
      </w:r>
      <w:r w:rsidR="00F326B1">
        <w:t>estimated</w:t>
      </w:r>
      <w:r w:rsidR="00F326B1" w:rsidRPr="00E20F98">
        <w:t xml:space="preserve"> </w:t>
      </w:r>
      <w:r w:rsidRPr="00E20F98">
        <w:t>to be $542.2 million in 2021-22, $</w:t>
      </w:r>
      <w:r w:rsidR="00BC776E" w:rsidRPr="00E20F98">
        <w:t>10</w:t>
      </w:r>
      <w:r w:rsidR="00BC776E">
        <w:t>6</w:t>
      </w:r>
      <w:r w:rsidRPr="00E20F98">
        <w:t>.</w:t>
      </w:r>
      <w:r w:rsidR="00BC776E">
        <w:t>2</w:t>
      </w:r>
      <w:r w:rsidR="00BC776E" w:rsidRPr="00E20F98">
        <w:t xml:space="preserve"> million </w:t>
      </w:r>
      <w:r w:rsidRPr="00E20F98">
        <w:t>(</w:t>
      </w:r>
      <w:r w:rsidR="009C63B9">
        <w:t>16</w:t>
      </w:r>
      <w:r w:rsidRPr="00E20F98">
        <w:t>.</w:t>
      </w:r>
      <w:r w:rsidR="009C63B9">
        <w:t>4</w:t>
      </w:r>
      <w:r w:rsidR="009C63B9" w:rsidRPr="00E20F98">
        <w:t xml:space="preserve"> </w:t>
      </w:r>
      <w:r w:rsidRPr="00E20F98">
        <w:t xml:space="preserve">per cent) lower than </w:t>
      </w:r>
      <w:r w:rsidR="00F326B1">
        <w:t>estimated</w:t>
      </w:r>
      <w:r w:rsidR="00F326B1" w:rsidRPr="00E20F98">
        <w:t xml:space="preserve"> </w:t>
      </w:r>
      <w:r w:rsidRPr="00E20F98">
        <w:t>at the 2021-22 Half-Yearly Review. This is mainly due to the reduction of dividends from Sydney Water, which is required to help maintain Sydney Water’s investment grade credit metrics</w:t>
      </w:r>
      <w:r w:rsidR="000B0857">
        <w:t>,</w:t>
      </w:r>
      <w:r w:rsidRPr="00E20F98">
        <w:t xml:space="preserve"> in light of the water system augmentation</w:t>
      </w:r>
      <w:r w:rsidR="009F05DA" w:rsidRPr="00FC5384">
        <w:t>. This was</w:t>
      </w:r>
      <w:r w:rsidRPr="00E20F98">
        <w:t xml:space="preserve"> identified as </w:t>
      </w:r>
      <w:r w:rsidR="009F05DA" w:rsidRPr="00FC5384">
        <w:t xml:space="preserve">a </w:t>
      </w:r>
      <w:r w:rsidRPr="00E20F98">
        <w:t>require</w:t>
      </w:r>
      <w:r w:rsidR="009F05DA" w:rsidRPr="00FC5384">
        <w:t>ment</w:t>
      </w:r>
      <w:r w:rsidRPr="00E20F98">
        <w:t xml:space="preserve"> in the Greater Sydney Water Strategy.</w:t>
      </w:r>
    </w:p>
    <w:p w14:paraId="5A42A2E5" w14:textId="19207976" w:rsidR="00197578" w:rsidRPr="00FC5384" w:rsidRDefault="00E20F98" w:rsidP="008D00E2">
      <w:pPr>
        <w:pStyle w:val="BodyText"/>
      </w:pPr>
      <w:r w:rsidRPr="00E20F98">
        <w:t xml:space="preserve">Revenue in this category is </w:t>
      </w:r>
      <w:r w:rsidR="006B33CC">
        <w:t>estimated</w:t>
      </w:r>
      <w:r w:rsidR="006B33CC" w:rsidRPr="00E20F98">
        <w:t xml:space="preserve"> </w:t>
      </w:r>
      <w:r w:rsidRPr="00E20F98">
        <w:t>to be $</w:t>
      </w:r>
      <w:r w:rsidR="00ED1841" w:rsidRPr="00E20F98">
        <w:t>46</w:t>
      </w:r>
      <w:r w:rsidR="00ED1841">
        <w:t>3</w:t>
      </w:r>
      <w:r w:rsidRPr="00E20F98">
        <w:t>.</w:t>
      </w:r>
      <w:r w:rsidR="00ED1841">
        <w:t>6</w:t>
      </w:r>
      <w:r w:rsidR="00ED1841" w:rsidRPr="00E20F98">
        <w:t xml:space="preserve"> </w:t>
      </w:r>
      <w:r w:rsidRPr="00E20F98">
        <w:t>million (8.</w:t>
      </w:r>
      <w:r w:rsidR="00B97708">
        <w:t>8</w:t>
      </w:r>
      <w:r w:rsidR="00B97708" w:rsidRPr="00E20F98">
        <w:t xml:space="preserve"> </w:t>
      </w:r>
      <w:r w:rsidRPr="00E20F98">
        <w:t xml:space="preserve">per cent) lower over the four years to 2025-26 relative to the 2021-22 Half-Yearly Review. Over this period, the </w:t>
      </w:r>
      <w:r w:rsidR="00705DBB">
        <w:t xml:space="preserve">two most significant drivers of </w:t>
      </w:r>
      <w:r w:rsidRPr="00E20F98">
        <w:t xml:space="preserve">reduction in expected revenue </w:t>
      </w:r>
      <w:r w:rsidR="00705DBB">
        <w:t>are</w:t>
      </w:r>
      <w:r w:rsidR="00197578" w:rsidRPr="00FC5384">
        <w:t>:</w:t>
      </w:r>
    </w:p>
    <w:p w14:paraId="09D2192F" w14:textId="77777777" w:rsidR="00197578" w:rsidRPr="00FC5384" w:rsidRDefault="00E20F98" w:rsidP="001321A1">
      <w:pPr>
        <w:pStyle w:val="Bullet1"/>
        <w:rPr>
          <w:rFonts w:eastAsiaTheme="minorHAnsi"/>
          <w:shd w:val="clear" w:color="auto" w:fill="FFFFFF"/>
        </w:rPr>
      </w:pPr>
      <w:r w:rsidRPr="00FC5384">
        <w:rPr>
          <w:rFonts w:eastAsiaTheme="minorHAnsi"/>
          <w:shd w:val="clear" w:color="auto" w:fill="FFFFFF"/>
        </w:rPr>
        <w:t>$211.8 million lower returns from Sydney Water</w:t>
      </w:r>
      <w:r w:rsidR="009F05DA" w:rsidRPr="00FC5384">
        <w:rPr>
          <w:rFonts w:eastAsiaTheme="minorHAnsi"/>
          <w:shd w:val="clear" w:color="auto" w:fill="FFFFFF"/>
        </w:rPr>
        <w:t>,</w:t>
      </w:r>
      <w:r w:rsidRPr="00FC5384">
        <w:rPr>
          <w:rFonts w:eastAsiaTheme="minorHAnsi"/>
          <w:shd w:val="clear" w:color="auto" w:fill="FFFFFF"/>
        </w:rPr>
        <w:t xml:space="preserve"> mainly due to the </w:t>
      </w:r>
      <w:r w:rsidR="003E396E" w:rsidRPr="00FC5384">
        <w:rPr>
          <w:rFonts w:eastAsiaTheme="minorHAnsi"/>
          <w:shd w:val="clear" w:color="auto" w:fill="FFFFFF"/>
        </w:rPr>
        <w:t>Sydney Water dividend issue</w:t>
      </w:r>
      <w:r w:rsidRPr="00FC5384">
        <w:rPr>
          <w:rFonts w:eastAsiaTheme="minorHAnsi"/>
          <w:shd w:val="clear" w:color="auto" w:fill="FFFFFF"/>
        </w:rPr>
        <w:t xml:space="preserve"> discussed above</w:t>
      </w:r>
    </w:p>
    <w:p w14:paraId="567FB5D4" w14:textId="3B6A6B6A" w:rsidR="00197578" w:rsidRPr="00FC5384" w:rsidRDefault="00E20F98" w:rsidP="001321A1">
      <w:pPr>
        <w:pStyle w:val="Bullet1"/>
        <w:rPr>
          <w:rFonts w:eastAsiaTheme="minorHAnsi"/>
          <w:shd w:val="clear" w:color="auto" w:fill="FFFFFF"/>
        </w:rPr>
      </w:pPr>
      <w:r w:rsidRPr="00FC5384">
        <w:rPr>
          <w:rFonts w:eastAsiaTheme="minorHAnsi"/>
          <w:shd w:val="clear" w:color="auto" w:fill="FFFFFF"/>
        </w:rPr>
        <w:t xml:space="preserve">$468.5 million lower returns from </w:t>
      </w:r>
      <w:proofErr w:type="spellStart"/>
      <w:r w:rsidRPr="00FC5384">
        <w:rPr>
          <w:rFonts w:eastAsiaTheme="minorHAnsi"/>
          <w:shd w:val="clear" w:color="auto" w:fill="FFFFFF"/>
        </w:rPr>
        <w:t>Landcom</w:t>
      </w:r>
      <w:proofErr w:type="spellEnd"/>
      <w:r w:rsidR="008F2470">
        <w:rPr>
          <w:rFonts w:eastAsiaTheme="minorHAnsi"/>
          <w:shd w:val="clear" w:color="auto" w:fill="FFFFFF"/>
        </w:rPr>
        <w:t>,</w:t>
      </w:r>
      <w:r w:rsidRPr="00FC5384">
        <w:rPr>
          <w:rFonts w:eastAsiaTheme="minorHAnsi"/>
          <w:shd w:val="clear" w:color="auto" w:fill="FFFFFF"/>
        </w:rPr>
        <w:t xml:space="preserve"> as a result of the reclassification of </w:t>
      </w:r>
      <w:proofErr w:type="spellStart"/>
      <w:r w:rsidRPr="00FC5384">
        <w:rPr>
          <w:rFonts w:eastAsiaTheme="minorHAnsi"/>
          <w:shd w:val="clear" w:color="auto" w:fill="FFFFFF"/>
        </w:rPr>
        <w:t>Landcom’s</w:t>
      </w:r>
      <w:proofErr w:type="spellEnd"/>
      <w:r w:rsidRPr="00FC5384">
        <w:rPr>
          <w:rFonts w:eastAsiaTheme="minorHAnsi"/>
          <w:shd w:val="clear" w:color="auto" w:fill="FFFFFF"/>
        </w:rPr>
        <w:t xml:space="preserve"> dividends </w:t>
      </w:r>
      <w:r w:rsidR="008F2470">
        <w:rPr>
          <w:rFonts w:eastAsiaTheme="minorHAnsi"/>
          <w:shd w:val="clear" w:color="auto" w:fill="FFFFFF"/>
        </w:rPr>
        <w:t>as</w:t>
      </w:r>
      <w:r w:rsidRPr="00FC5384">
        <w:rPr>
          <w:rFonts w:eastAsiaTheme="minorHAnsi"/>
          <w:shd w:val="clear" w:color="auto" w:fill="FFFFFF"/>
        </w:rPr>
        <w:t xml:space="preserve"> ‘Other </w:t>
      </w:r>
      <w:r w:rsidR="008F2470">
        <w:rPr>
          <w:rFonts w:eastAsiaTheme="minorHAnsi"/>
          <w:shd w:val="clear" w:color="auto" w:fill="FFFFFF"/>
        </w:rPr>
        <w:t>e</w:t>
      </w:r>
      <w:r w:rsidRPr="00FC5384">
        <w:rPr>
          <w:rFonts w:eastAsiaTheme="minorHAnsi"/>
          <w:shd w:val="clear" w:color="auto" w:fill="FFFFFF"/>
        </w:rPr>
        <w:t xml:space="preserve">conomic </w:t>
      </w:r>
      <w:r w:rsidR="008F2470">
        <w:rPr>
          <w:rFonts w:eastAsiaTheme="minorHAnsi"/>
          <w:shd w:val="clear" w:color="auto" w:fill="FFFFFF"/>
        </w:rPr>
        <w:t>f</w:t>
      </w:r>
      <w:r w:rsidRPr="00FC5384">
        <w:rPr>
          <w:rFonts w:eastAsiaTheme="minorHAnsi"/>
          <w:shd w:val="clear" w:color="auto" w:fill="FFFFFF"/>
        </w:rPr>
        <w:t xml:space="preserve">lows’, rather than </w:t>
      </w:r>
      <w:r w:rsidR="008F2470">
        <w:rPr>
          <w:rFonts w:eastAsiaTheme="minorHAnsi"/>
          <w:shd w:val="clear" w:color="auto" w:fill="FFFFFF"/>
        </w:rPr>
        <w:t>as</w:t>
      </w:r>
      <w:r w:rsidRPr="00FC5384">
        <w:rPr>
          <w:rFonts w:eastAsiaTheme="minorHAnsi"/>
          <w:shd w:val="clear" w:color="auto" w:fill="FFFFFF"/>
        </w:rPr>
        <w:t xml:space="preserve"> ‘Revenue from </w:t>
      </w:r>
      <w:r w:rsidR="008F2470">
        <w:rPr>
          <w:rFonts w:eastAsiaTheme="minorHAnsi"/>
          <w:shd w:val="clear" w:color="auto" w:fill="FFFFFF"/>
        </w:rPr>
        <w:t>t</w:t>
      </w:r>
      <w:r w:rsidRPr="00FC5384">
        <w:rPr>
          <w:rFonts w:eastAsiaTheme="minorHAnsi"/>
          <w:shd w:val="clear" w:color="auto" w:fill="FFFFFF"/>
        </w:rPr>
        <w:t xml:space="preserve">ransactions’.  </w:t>
      </w:r>
    </w:p>
    <w:p w14:paraId="4E117046" w14:textId="0DE05C4B" w:rsidR="00E20F98" w:rsidRPr="00FC5384" w:rsidRDefault="00705DBB" w:rsidP="008D00E2">
      <w:pPr>
        <w:pStyle w:val="BodyText"/>
      </w:pPr>
      <w:r>
        <w:t>Downwar</w:t>
      </w:r>
      <w:r w:rsidR="00DE452E">
        <w:t>d</w:t>
      </w:r>
      <w:r>
        <w:t xml:space="preserve"> revisions are partially</w:t>
      </w:r>
      <w:r w:rsidR="00E20F98" w:rsidRPr="00FC5384">
        <w:t xml:space="preserve"> offset by TAHE’s $587.9 million revenue increase over the period (see Chapter 7 Commercial Performance in the Broader Public Sector).</w:t>
      </w:r>
    </w:p>
    <w:p w14:paraId="7026916B" w14:textId="2053CB92" w:rsidR="0077628D" w:rsidRPr="000C393C" w:rsidRDefault="0077628D" w:rsidP="00EE1690">
      <w:pPr>
        <w:pStyle w:val="Heading3"/>
        <w:numPr>
          <w:ilvl w:val="0"/>
          <w:numId w:val="0"/>
        </w:numPr>
        <w:ind w:left="737" w:hanging="737"/>
        <w:rPr>
          <w:rFonts w:eastAsiaTheme="minorHAnsi"/>
        </w:rPr>
      </w:pPr>
      <w:r w:rsidRPr="000C393C">
        <w:rPr>
          <w:rFonts w:eastAsiaTheme="minorEastAsia"/>
        </w:rPr>
        <w:t>O</w:t>
      </w:r>
      <w:r w:rsidR="00226043" w:rsidRPr="000C393C">
        <w:rPr>
          <w:rFonts w:eastAsiaTheme="minorEastAsia"/>
        </w:rPr>
        <w:t>ther dividends and d</w:t>
      </w:r>
      <w:r w:rsidRPr="000C393C">
        <w:rPr>
          <w:rFonts w:eastAsiaTheme="minorEastAsia"/>
        </w:rPr>
        <w:t xml:space="preserve">istributions </w:t>
      </w:r>
    </w:p>
    <w:p w14:paraId="0404393B" w14:textId="46EB29B4" w:rsidR="000C393C" w:rsidRDefault="000C393C" w:rsidP="0009162C">
      <w:pPr>
        <w:pStyle w:val="BodyText"/>
      </w:pPr>
      <w:r>
        <w:t>Other dividends and distributions are received from entities other than State</w:t>
      </w:r>
      <w:r w:rsidR="00705DBB">
        <w:t>-</w:t>
      </w:r>
      <w:r>
        <w:t>owned corporations, as well as from the State’s equity investment in associates such as Ausgrid and Endeavour Energy. These revenues are expected to be $2</w:t>
      </w:r>
      <w:r w:rsidR="0091091C">
        <w:t>.7 b</w:t>
      </w:r>
      <w:r>
        <w:t>illion in total in 2022-23, $54.</w:t>
      </w:r>
      <w:r w:rsidR="004F1988">
        <w:t>1 </w:t>
      </w:r>
      <w:r>
        <w:t>million (2.0 per cent) lower than forecast at the 2021-22 Half-Yearly Review. Over the four years to 2025-26, other dividends and distributions have been downgraded by $388.7</w:t>
      </w:r>
      <w:r w:rsidR="00B12103">
        <w:t> </w:t>
      </w:r>
      <w:r>
        <w:t>million (down 2.6 per cent).</w:t>
      </w:r>
    </w:p>
    <w:p w14:paraId="693F09F7" w14:textId="44A51B30" w:rsidR="00703BF4" w:rsidRPr="00DF66FB" w:rsidRDefault="00703BF4" w:rsidP="0009162C">
      <w:pPr>
        <w:pStyle w:val="BodyText"/>
      </w:pPr>
      <w:r w:rsidRPr="00DF66FB">
        <w:t>The downward revision reflects lower expected investment returns, which have been revised down following the impacts of tightening monetary policy globally on financial markets and fund returns since the start of 2022.</w:t>
      </w:r>
      <w:r w:rsidR="005E420C">
        <w:t xml:space="preserve"> </w:t>
      </w:r>
      <w:r w:rsidRPr="00DF66FB">
        <w:t>These impacts have been exacerbated by Russia’s invasion of Ukraine. Over the forward estimates, fund distributions are anticipated to rise in line with an expected recovery in financial markets more broadly.</w:t>
      </w:r>
    </w:p>
    <w:p w14:paraId="4C88F17C" w14:textId="568A5DCD" w:rsidR="0045410D" w:rsidRPr="00026FD2" w:rsidRDefault="0077628D" w:rsidP="00EE1690">
      <w:pPr>
        <w:pStyle w:val="Heading3"/>
        <w:numPr>
          <w:ilvl w:val="0"/>
          <w:numId w:val="0"/>
        </w:numPr>
        <w:ind w:left="737" w:hanging="737"/>
        <w:rPr>
          <w:rFonts w:eastAsiaTheme="minorHAnsi"/>
        </w:rPr>
      </w:pPr>
      <w:r w:rsidRPr="00026FD2">
        <w:rPr>
          <w:rFonts w:eastAsiaTheme="minorEastAsia" w:hint="eastAsia"/>
        </w:rPr>
        <w:t>Fines,</w:t>
      </w:r>
      <w:r w:rsidR="00660BF0" w:rsidRPr="00026FD2">
        <w:rPr>
          <w:rFonts w:eastAsiaTheme="minorEastAsia" w:hint="eastAsia"/>
        </w:rPr>
        <w:t xml:space="preserve"> regulatory fees and other r</w:t>
      </w:r>
      <w:r w:rsidRPr="00026FD2">
        <w:rPr>
          <w:rFonts w:eastAsiaTheme="minorEastAsia" w:hint="eastAsia"/>
        </w:rPr>
        <w:t xml:space="preserve">evenue </w:t>
      </w:r>
      <w:r w:rsidR="004D7638" w:rsidRPr="00026FD2">
        <w:rPr>
          <w:rFonts w:eastAsiaTheme="minorEastAsia" w:hint="eastAsia"/>
        </w:rPr>
        <w:t>(excluding royalties)</w:t>
      </w:r>
    </w:p>
    <w:p w14:paraId="0ABE1EEE" w14:textId="06F8EA15" w:rsidR="00474FC1" w:rsidRPr="00026FD2" w:rsidRDefault="64A8F6E6" w:rsidP="0009162C">
      <w:pPr>
        <w:pStyle w:val="BodyText"/>
        <w:rPr>
          <w:i/>
        </w:rPr>
      </w:pPr>
      <w:r w:rsidRPr="00026FD2">
        <w:t xml:space="preserve">Total revenue from fines, regulatory fees, </w:t>
      </w:r>
      <w:r w:rsidR="008069C6" w:rsidRPr="00026FD2">
        <w:t>and</w:t>
      </w:r>
      <w:r w:rsidRPr="00026FD2">
        <w:t xml:space="preserve"> other revenue is forecast to be </w:t>
      </w:r>
      <w:r w:rsidRPr="000A00BC">
        <w:t>$</w:t>
      </w:r>
      <w:r w:rsidR="00D92362" w:rsidRPr="000A00BC">
        <w:t>3.</w:t>
      </w:r>
      <w:r w:rsidR="00090303" w:rsidRPr="000A00BC">
        <w:t>0 </w:t>
      </w:r>
      <w:r w:rsidRPr="000A00BC">
        <w:t>billion</w:t>
      </w:r>
      <w:r w:rsidRPr="00090303">
        <w:t xml:space="preserve"> in 202</w:t>
      </w:r>
      <w:r w:rsidR="005C6F76" w:rsidRPr="00090303">
        <w:t>1</w:t>
      </w:r>
      <w:r w:rsidRPr="00090303">
        <w:t>-2</w:t>
      </w:r>
      <w:r w:rsidR="005C6F76" w:rsidRPr="00090303">
        <w:t>2</w:t>
      </w:r>
      <w:r w:rsidRPr="00090303">
        <w:t xml:space="preserve"> and is forecast to </w:t>
      </w:r>
      <w:r w:rsidR="00F6576B">
        <w:t>remain the same</w:t>
      </w:r>
      <w:r w:rsidRPr="00026FD2">
        <w:t xml:space="preserve"> over the four years to 202</w:t>
      </w:r>
      <w:r w:rsidR="00BA189F">
        <w:t>5</w:t>
      </w:r>
      <w:r w:rsidRPr="00026FD2">
        <w:t>-2</w:t>
      </w:r>
      <w:r w:rsidR="00BA189F">
        <w:t>6</w:t>
      </w:r>
      <w:r w:rsidRPr="00026FD2">
        <w:t>.</w:t>
      </w:r>
    </w:p>
    <w:p w14:paraId="2ECD123F" w14:textId="63849DC7" w:rsidR="00C94D40" w:rsidRDefault="00C94D40" w:rsidP="00B12103">
      <w:pPr>
        <w:pStyle w:val="BodyText"/>
      </w:pPr>
      <w:r w:rsidRPr="003A01B1">
        <w:t xml:space="preserve">Fines </w:t>
      </w:r>
      <w:r w:rsidR="00217F53">
        <w:t>r</w:t>
      </w:r>
      <w:r w:rsidRPr="003A01B1">
        <w:t>evenue forecast for 2021-22 has been revised downwards by $</w:t>
      </w:r>
      <w:r>
        <w:t>29.8</w:t>
      </w:r>
      <w:r w:rsidRPr="003A01B1">
        <w:t xml:space="preserve"> million due to the impact of COVID-19 lockdowns on vehicle travel</w:t>
      </w:r>
      <w:r w:rsidR="006A65B1">
        <w:t xml:space="preserve"> and</w:t>
      </w:r>
      <w:r w:rsidR="007C19C5" w:rsidRPr="003A01B1">
        <w:t xml:space="preserve"> </w:t>
      </w:r>
      <w:r w:rsidRPr="003A01B1">
        <w:t xml:space="preserve">impacts associated with severe flooding in large parts of </w:t>
      </w:r>
      <w:r w:rsidR="0073359A" w:rsidRPr="003A01B1">
        <w:t>N</w:t>
      </w:r>
      <w:r w:rsidR="0073359A">
        <w:t>ew South Wales</w:t>
      </w:r>
      <w:r w:rsidR="007E43CA">
        <w:t>.</w:t>
      </w:r>
      <w:r w:rsidRPr="003A01B1">
        <w:t xml:space="preserve"> </w:t>
      </w:r>
      <w:r w:rsidR="007E43CA">
        <w:t>T</w:t>
      </w:r>
      <w:r w:rsidR="007E43CA" w:rsidRPr="003A01B1">
        <w:t xml:space="preserve">he </w:t>
      </w:r>
      <w:r w:rsidRPr="003A01B1">
        <w:t>Government</w:t>
      </w:r>
      <w:r w:rsidR="007E43CA">
        <w:t>’</w:t>
      </w:r>
      <w:r w:rsidRPr="003A01B1">
        <w:t>s policy change to reintroduce mobile speed camera warning signage and the revised implementation schedule for key Road Safety programs</w:t>
      </w:r>
      <w:r w:rsidR="007E43CA">
        <w:t xml:space="preserve"> have also contributed to the downward revision in the current year</w:t>
      </w:r>
      <w:r w:rsidR="0055073C">
        <w:t>. These</w:t>
      </w:r>
      <w:r w:rsidR="007E43CA">
        <w:t xml:space="preserve"> are also the main drivers of the</w:t>
      </w:r>
      <w:r w:rsidRPr="003A01B1">
        <w:t xml:space="preserve"> $</w:t>
      </w:r>
      <w:r>
        <w:t>209.0</w:t>
      </w:r>
      <w:r w:rsidRPr="003A01B1">
        <w:t xml:space="preserve"> million </w:t>
      </w:r>
      <w:r w:rsidR="007E43CA">
        <w:t xml:space="preserve">reduction in forecast revenue </w:t>
      </w:r>
      <w:r w:rsidRPr="003A01B1">
        <w:t>over the four years to 2025-26 compared to the 2021-22 Half-Yearly Review. </w:t>
      </w:r>
    </w:p>
    <w:p w14:paraId="7C6BA940" w14:textId="287C15F5" w:rsidR="005E420C" w:rsidRDefault="00C94D40" w:rsidP="00B12103">
      <w:pPr>
        <w:pStyle w:val="BodyText"/>
      </w:pPr>
      <w:r w:rsidRPr="003A01B1">
        <w:t xml:space="preserve">Regulatory </w:t>
      </w:r>
      <w:r w:rsidR="007C6107">
        <w:t>f</w:t>
      </w:r>
      <w:r w:rsidR="007C6107" w:rsidRPr="003A01B1">
        <w:t xml:space="preserve">ees </w:t>
      </w:r>
      <w:r w:rsidRPr="003A01B1">
        <w:t>have been revised downwards by $</w:t>
      </w:r>
      <w:r>
        <w:t>111.6</w:t>
      </w:r>
      <w:r w:rsidRPr="003A01B1">
        <w:t xml:space="preserve"> million over the four years to 2025</w:t>
      </w:r>
      <w:r w:rsidR="001654AF">
        <w:noBreakHyphen/>
      </w:r>
      <w:r w:rsidRPr="003A01B1">
        <w:t>26</w:t>
      </w:r>
      <w:r w:rsidR="00EF57C2">
        <w:t>. This is</w:t>
      </w:r>
      <w:r w:rsidRPr="003A01B1">
        <w:t xml:space="preserve"> due to reduced fine volumes</w:t>
      </w:r>
      <w:r w:rsidR="0057500E">
        <w:t xml:space="preserve">, driven by </w:t>
      </w:r>
      <w:r w:rsidR="0057500E" w:rsidRPr="0057500E">
        <w:t>the reintroduction of mobile speed camera warning signage</w:t>
      </w:r>
      <w:r w:rsidR="00231E39">
        <w:t>,</w:t>
      </w:r>
      <w:r w:rsidRPr="003A01B1">
        <w:t xml:space="preserve"> and </w:t>
      </w:r>
      <w:r w:rsidR="00E829BB">
        <w:t xml:space="preserve">increased </w:t>
      </w:r>
      <w:r w:rsidRPr="003A01B1">
        <w:t>customer uptake of Fairer Fines payment options</w:t>
      </w:r>
      <w:r w:rsidR="00910B1A">
        <w:t xml:space="preserve">, which </w:t>
      </w:r>
      <w:r w:rsidR="00910B1A" w:rsidRPr="00910B1A">
        <w:t>allows for customers to enter into payment plans and in some cases seek a fine reduction</w:t>
      </w:r>
      <w:r w:rsidRPr="003A01B1">
        <w:t>.</w:t>
      </w:r>
      <w:r w:rsidR="009D78EF">
        <w:t xml:space="preserve"> </w:t>
      </w:r>
      <w:r w:rsidR="009D78EF" w:rsidRPr="009D78EF">
        <w:t>Other revenues have been upgraded by $283.5 million over the four years to 2025</w:t>
      </w:r>
      <w:r w:rsidR="001654AF">
        <w:noBreakHyphen/>
      </w:r>
      <w:r w:rsidR="009D78EF" w:rsidRPr="009D78EF">
        <w:t xml:space="preserve">26, largely due to increased revenue for the right of user access for the </w:t>
      </w:r>
      <w:proofErr w:type="spellStart"/>
      <w:r w:rsidR="009D78EF" w:rsidRPr="009D78EF">
        <w:t>NorthConnex</w:t>
      </w:r>
      <w:proofErr w:type="spellEnd"/>
      <w:r w:rsidR="009D78EF" w:rsidRPr="009D78EF">
        <w:t xml:space="preserve"> and new M8 motorways</w:t>
      </w:r>
      <w:r w:rsidR="009D78EF">
        <w:t>.</w:t>
      </w:r>
    </w:p>
    <w:p w14:paraId="1D4D2827" w14:textId="1A9E3EEA" w:rsidR="0077628D" w:rsidRPr="007E295C" w:rsidRDefault="0077628D" w:rsidP="008A7ABC">
      <w:pPr>
        <w:pStyle w:val="Table4X"/>
      </w:pPr>
      <w:r w:rsidRPr="007E295C">
        <w:t>Fines, regulatory fees and other revenues</w:t>
      </w:r>
      <w:r w:rsidR="007E295C">
        <w:t xml:space="preserve"> </w:t>
      </w:r>
    </w:p>
    <w:tbl>
      <w:tblPr>
        <w:tblW w:w="10100" w:type="dxa"/>
        <w:tblLook w:val="04A0" w:firstRow="1" w:lastRow="0" w:firstColumn="1" w:lastColumn="0" w:noHBand="0" w:noVBand="1"/>
        <w:tblCaption w:val="Table 4.10: Fines, regulatory fees and other revenues "/>
        <w:tblDescription w:val="Table 4.10: Fines, regulatory fees and other revenues "/>
      </w:tblPr>
      <w:tblGrid>
        <w:gridCol w:w="3701"/>
        <w:gridCol w:w="876"/>
        <w:gridCol w:w="876"/>
        <w:gridCol w:w="876"/>
        <w:gridCol w:w="876"/>
        <w:gridCol w:w="876"/>
        <w:gridCol w:w="876"/>
        <w:gridCol w:w="1143"/>
      </w:tblGrid>
      <w:tr w:rsidR="0052595E" w:rsidRPr="0052595E" w14:paraId="07F238AE" w14:textId="77777777" w:rsidTr="0052595E">
        <w:trPr>
          <w:trHeight w:val="300"/>
        </w:trPr>
        <w:tc>
          <w:tcPr>
            <w:tcW w:w="3701" w:type="dxa"/>
            <w:tcBorders>
              <w:top w:val="nil"/>
              <w:left w:val="nil"/>
              <w:bottom w:val="nil"/>
              <w:right w:val="nil"/>
            </w:tcBorders>
            <w:shd w:val="clear" w:color="000000" w:fill="008EBA"/>
            <w:vAlign w:val="center"/>
            <w:hideMark/>
          </w:tcPr>
          <w:p w14:paraId="575511E6" w14:textId="77777777" w:rsidR="0052595E" w:rsidRPr="0052595E" w:rsidRDefault="0052595E" w:rsidP="0052595E">
            <w:pPr>
              <w:jc w:val="center"/>
              <w:rPr>
                <w:rFonts w:ascii="Arial" w:hAnsi="Arial" w:cs="Arial"/>
                <w:color w:val="FFFFFF"/>
                <w:sz w:val="16"/>
                <w:szCs w:val="16"/>
                <w:lang w:eastAsia="en-AU"/>
              </w:rPr>
            </w:pPr>
            <w:r w:rsidRPr="0052595E">
              <w:rPr>
                <w:rFonts w:ascii="Arial" w:hAnsi="Arial" w:cs="Arial"/>
                <w:color w:val="FFFFFF"/>
                <w:sz w:val="16"/>
                <w:szCs w:val="16"/>
                <w:lang w:eastAsia="en-AU"/>
              </w:rPr>
              <w:t> </w:t>
            </w:r>
          </w:p>
        </w:tc>
        <w:tc>
          <w:tcPr>
            <w:tcW w:w="876" w:type="dxa"/>
            <w:tcBorders>
              <w:top w:val="nil"/>
              <w:left w:val="nil"/>
              <w:bottom w:val="nil"/>
              <w:right w:val="nil"/>
            </w:tcBorders>
            <w:shd w:val="clear" w:color="000000" w:fill="008EBA"/>
            <w:noWrap/>
            <w:vAlign w:val="bottom"/>
            <w:hideMark/>
          </w:tcPr>
          <w:p w14:paraId="759C8882" w14:textId="77777777" w:rsidR="0052595E" w:rsidRPr="0052595E" w:rsidRDefault="0052595E" w:rsidP="0052595E">
            <w:pPr>
              <w:jc w:val="center"/>
              <w:rPr>
                <w:rFonts w:ascii="Arial" w:hAnsi="Arial" w:cs="Arial"/>
                <w:color w:val="FFFFFF"/>
                <w:sz w:val="16"/>
                <w:szCs w:val="16"/>
                <w:lang w:eastAsia="en-AU"/>
              </w:rPr>
            </w:pPr>
            <w:r w:rsidRPr="0052595E">
              <w:rPr>
                <w:rFonts w:ascii="Arial" w:hAnsi="Arial" w:cs="Arial"/>
                <w:color w:val="FFFFFF"/>
                <w:sz w:val="16"/>
                <w:szCs w:val="16"/>
                <w:lang w:eastAsia="en-AU"/>
              </w:rPr>
              <w:t>2020-21</w:t>
            </w:r>
          </w:p>
        </w:tc>
        <w:tc>
          <w:tcPr>
            <w:tcW w:w="876" w:type="dxa"/>
            <w:tcBorders>
              <w:top w:val="nil"/>
              <w:left w:val="nil"/>
              <w:bottom w:val="nil"/>
              <w:right w:val="nil"/>
            </w:tcBorders>
            <w:shd w:val="clear" w:color="000000" w:fill="008EBA"/>
            <w:noWrap/>
            <w:vAlign w:val="bottom"/>
            <w:hideMark/>
          </w:tcPr>
          <w:p w14:paraId="112DC8E8" w14:textId="77777777" w:rsidR="0052595E" w:rsidRPr="0052595E" w:rsidRDefault="0052595E" w:rsidP="0052595E">
            <w:pPr>
              <w:jc w:val="center"/>
              <w:rPr>
                <w:rFonts w:ascii="Arial" w:hAnsi="Arial" w:cs="Arial"/>
                <w:color w:val="FFFFFF"/>
                <w:sz w:val="16"/>
                <w:szCs w:val="16"/>
                <w:lang w:eastAsia="en-AU"/>
              </w:rPr>
            </w:pPr>
            <w:r w:rsidRPr="0052595E">
              <w:rPr>
                <w:rFonts w:ascii="Arial" w:hAnsi="Arial" w:cs="Arial"/>
                <w:color w:val="FFFFFF"/>
                <w:sz w:val="16"/>
                <w:szCs w:val="16"/>
                <w:lang w:eastAsia="en-AU"/>
              </w:rPr>
              <w:t>2021-22</w:t>
            </w:r>
          </w:p>
        </w:tc>
        <w:tc>
          <w:tcPr>
            <w:tcW w:w="876" w:type="dxa"/>
            <w:tcBorders>
              <w:top w:val="nil"/>
              <w:left w:val="nil"/>
              <w:bottom w:val="nil"/>
              <w:right w:val="nil"/>
            </w:tcBorders>
            <w:shd w:val="clear" w:color="000000" w:fill="008EBA"/>
            <w:noWrap/>
            <w:vAlign w:val="bottom"/>
            <w:hideMark/>
          </w:tcPr>
          <w:p w14:paraId="2481327E" w14:textId="77777777" w:rsidR="0052595E" w:rsidRPr="0052595E" w:rsidRDefault="0052595E" w:rsidP="0052595E">
            <w:pPr>
              <w:jc w:val="center"/>
              <w:rPr>
                <w:rFonts w:ascii="Arial" w:hAnsi="Arial" w:cs="Arial"/>
                <w:color w:val="FFFFFF"/>
                <w:sz w:val="16"/>
                <w:szCs w:val="16"/>
                <w:lang w:eastAsia="en-AU"/>
              </w:rPr>
            </w:pPr>
            <w:r w:rsidRPr="0052595E">
              <w:rPr>
                <w:rFonts w:ascii="Arial" w:hAnsi="Arial" w:cs="Arial"/>
                <w:color w:val="FFFFFF"/>
                <w:sz w:val="16"/>
                <w:szCs w:val="16"/>
                <w:lang w:eastAsia="en-AU"/>
              </w:rPr>
              <w:t>2022-23</w:t>
            </w:r>
          </w:p>
        </w:tc>
        <w:tc>
          <w:tcPr>
            <w:tcW w:w="876" w:type="dxa"/>
            <w:tcBorders>
              <w:top w:val="nil"/>
              <w:left w:val="nil"/>
              <w:bottom w:val="nil"/>
              <w:right w:val="nil"/>
            </w:tcBorders>
            <w:shd w:val="clear" w:color="000000" w:fill="008EBA"/>
            <w:noWrap/>
            <w:vAlign w:val="bottom"/>
            <w:hideMark/>
          </w:tcPr>
          <w:p w14:paraId="0B7AC6D2" w14:textId="77777777" w:rsidR="0052595E" w:rsidRPr="0052595E" w:rsidRDefault="0052595E" w:rsidP="0052595E">
            <w:pPr>
              <w:jc w:val="center"/>
              <w:rPr>
                <w:rFonts w:ascii="Arial" w:hAnsi="Arial" w:cs="Arial"/>
                <w:color w:val="FFFFFF"/>
                <w:sz w:val="16"/>
                <w:szCs w:val="16"/>
                <w:lang w:eastAsia="en-AU"/>
              </w:rPr>
            </w:pPr>
            <w:r w:rsidRPr="0052595E">
              <w:rPr>
                <w:rFonts w:ascii="Arial" w:hAnsi="Arial" w:cs="Arial"/>
                <w:color w:val="FFFFFF"/>
                <w:sz w:val="16"/>
                <w:szCs w:val="16"/>
                <w:lang w:eastAsia="en-AU"/>
              </w:rPr>
              <w:t>2023-24</w:t>
            </w:r>
          </w:p>
        </w:tc>
        <w:tc>
          <w:tcPr>
            <w:tcW w:w="876" w:type="dxa"/>
            <w:tcBorders>
              <w:top w:val="nil"/>
              <w:left w:val="nil"/>
              <w:bottom w:val="nil"/>
              <w:right w:val="nil"/>
            </w:tcBorders>
            <w:shd w:val="clear" w:color="000000" w:fill="008EBA"/>
            <w:noWrap/>
            <w:vAlign w:val="bottom"/>
            <w:hideMark/>
          </w:tcPr>
          <w:p w14:paraId="002A1EDD" w14:textId="77777777" w:rsidR="0052595E" w:rsidRPr="0052595E" w:rsidRDefault="0052595E" w:rsidP="0052595E">
            <w:pPr>
              <w:jc w:val="center"/>
              <w:rPr>
                <w:rFonts w:ascii="Arial" w:hAnsi="Arial" w:cs="Arial"/>
                <w:color w:val="FFFFFF"/>
                <w:sz w:val="16"/>
                <w:szCs w:val="16"/>
                <w:lang w:eastAsia="en-AU"/>
              </w:rPr>
            </w:pPr>
            <w:r w:rsidRPr="0052595E">
              <w:rPr>
                <w:rFonts w:ascii="Arial" w:hAnsi="Arial" w:cs="Arial"/>
                <w:color w:val="FFFFFF"/>
                <w:sz w:val="16"/>
                <w:szCs w:val="16"/>
                <w:lang w:eastAsia="en-AU"/>
              </w:rPr>
              <w:t>2024-25</w:t>
            </w:r>
          </w:p>
        </w:tc>
        <w:tc>
          <w:tcPr>
            <w:tcW w:w="876" w:type="dxa"/>
            <w:tcBorders>
              <w:top w:val="nil"/>
              <w:left w:val="nil"/>
              <w:bottom w:val="nil"/>
              <w:right w:val="nil"/>
            </w:tcBorders>
            <w:shd w:val="clear" w:color="000000" w:fill="008EBA"/>
            <w:noWrap/>
            <w:vAlign w:val="bottom"/>
            <w:hideMark/>
          </w:tcPr>
          <w:p w14:paraId="6AEEBD14" w14:textId="77777777" w:rsidR="0052595E" w:rsidRPr="0052595E" w:rsidRDefault="0052595E" w:rsidP="0052595E">
            <w:pPr>
              <w:jc w:val="center"/>
              <w:rPr>
                <w:rFonts w:ascii="Arial" w:hAnsi="Arial" w:cs="Arial"/>
                <w:color w:val="FFFFFF"/>
                <w:sz w:val="16"/>
                <w:szCs w:val="16"/>
                <w:lang w:eastAsia="en-AU"/>
              </w:rPr>
            </w:pPr>
            <w:r w:rsidRPr="0052595E">
              <w:rPr>
                <w:rFonts w:ascii="Arial" w:hAnsi="Arial" w:cs="Arial"/>
                <w:color w:val="FFFFFF"/>
                <w:sz w:val="16"/>
                <w:szCs w:val="16"/>
                <w:lang w:eastAsia="en-AU"/>
              </w:rPr>
              <w:t>2025-26</w:t>
            </w:r>
          </w:p>
        </w:tc>
        <w:tc>
          <w:tcPr>
            <w:tcW w:w="1143" w:type="dxa"/>
            <w:vMerge w:val="restart"/>
            <w:tcBorders>
              <w:top w:val="nil"/>
              <w:left w:val="nil"/>
              <w:bottom w:val="nil"/>
              <w:right w:val="nil"/>
            </w:tcBorders>
            <w:shd w:val="clear" w:color="000000" w:fill="4F4F4F"/>
            <w:vAlign w:val="center"/>
            <w:hideMark/>
          </w:tcPr>
          <w:p w14:paraId="63D89C54" w14:textId="77777777" w:rsidR="0052595E" w:rsidRPr="0052595E" w:rsidRDefault="0052595E" w:rsidP="0052595E">
            <w:pPr>
              <w:jc w:val="center"/>
              <w:rPr>
                <w:rFonts w:ascii="Arial" w:hAnsi="Arial" w:cs="Arial"/>
                <w:color w:val="FFFFFF"/>
                <w:sz w:val="16"/>
                <w:szCs w:val="16"/>
                <w:lang w:eastAsia="en-AU"/>
              </w:rPr>
            </w:pPr>
            <w:r w:rsidRPr="0052595E">
              <w:rPr>
                <w:rFonts w:ascii="Arial" w:hAnsi="Arial" w:cs="Arial"/>
                <w:color w:val="FFFFFF"/>
                <w:sz w:val="16"/>
                <w:szCs w:val="16"/>
                <w:lang w:eastAsia="en-AU"/>
              </w:rPr>
              <w:t>% Average growth p.a. 2021-22 to 2025-26</w:t>
            </w:r>
          </w:p>
        </w:tc>
      </w:tr>
      <w:tr w:rsidR="0052595E" w:rsidRPr="0052595E" w14:paraId="53D2C22C" w14:textId="77777777" w:rsidTr="0052595E">
        <w:trPr>
          <w:trHeight w:val="255"/>
        </w:trPr>
        <w:tc>
          <w:tcPr>
            <w:tcW w:w="3701" w:type="dxa"/>
            <w:tcBorders>
              <w:top w:val="nil"/>
              <w:left w:val="nil"/>
              <w:bottom w:val="nil"/>
              <w:right w:val="nil"/>
            </w:tcBorders>
            <w:shd w:val="clear" w:color="000000" w:fill="008EBA"/>
            <w:vAlign w:val="bottom"/>
            <w:hideMark/>
          </w:tcPr>
          <w:p w14:paraId="72752FD8" w14:textId="77777777" w:rsidR="0052595E" w:rsidRPr="0052595E" w:rsidRDefault="0052595E" w:rsidP="0052595E">
            <w:pPr>
              <w:jc w:val="center"/>
              <w:rPr>
                <w:rFonts w:ascii="Arial" w:hAnsi="Arial" w:cs="Arial"/>
                <w:color w:val="FFFFFF"/>
                <w:sz w:val="16"/>
                <w:szCs w:val="16"/>
                <w:lang w:eastAsia="en-AU"/>
              </w:rPr>
            </w:pPr>
            <w:r w:rsidRPr="0052595E">
              <w:rPr>
                <w:rFonts w:ascii="Arial" w:hAnsi="Arial" w:cs="Arial"/>
                <w:color w:val="FFFFFF"/>
                <w:sz w:val="16"/>
                <w:szCs w:val="16"/>
                <w:lang w:eastAsia="en-AU"/>
              </w:rPr>
              <w:t> </w:t>
            </w:r>
          </w:p>
        </w:tc>
        <w:tc>
          <w:tcPr>
            <w:tcW w:w="876" w:type="dxa"/>
            <w:tcBorders>
              <w:top w:val="nil"/>
              <w:left w:val="nil"/>
              <w:bottom w:val="nil"/>
              <w:right w:val="nil"/>
            </w:tcBorders>
            <w:shd w:val="clear" w:color="000000" w:fill="008EBA"/>
            <w:noWrap/>
            <w:vAlign w:val="center"/>
            <w:hideMark/>
          </w:tcPr>
          <w:p w14:paraId="14B959FF" w14:textId="77777777" w:rsidR="0052595E" w:rsidRPr="0052595E" w:rsidRDefault="0052595E" w:rsidP="0052595E">
            <w:pPr>
              <w:jc w:val="center"/>
              <w:rPr>
                <w:rFonts w:ascii="Arial" w:hAnsi="Arial" w:cs="Arial"/>
                <w:color w:val="FFFFFF"/>
                <w:sz w:val="16"/>
                <w:szCs w:val="16"/>
                <w:lang w:eastAsia="en-AU"/>
              </w:rPr>
            </w:pPr>
            <w:r w:rsidRPr="0052595E">
              <w:rPr>
                <w:rFonts w:ascii="Arial" w:hAnsi="Arial" w:cs="Arial"/>
                <w:color w:val="FFFFFF"/>
                <w:sz w:val="16"/>
                <w:szCs w:val="16"/>
                <w:lang w:eastAsia="en-AU"/>
              </w:rPr>
              <w:t>Actual</w:t>
            </w:r>
          </w:p>
        </w:tc>
        <w:tc>
          <w:tcPr>
            <w:tcW w:w="876" w:type="dxa"/>
            <w:tcBorders>
              <w:top w:val="nil"/>
              <w:left w:val="nil"/>
              <w:bottom w:val="nil"/>
              <w:right w:val="nil"/>
            </w:tcBorders>
            <w:shd w:val="clear" w:color="000000" w:fill="008EBA"/>
            <w:vAlign w:val="center"/>
            <w:hideMark/>
          </w:tcPr>
          <w:p w14:paraId="25BE4E1A" w14:textId="77777777" w:rsidR="0052595E" w:rsidRPr="0052595E" w:rsidRDefault="0052595E" w:rsidP="0052595E">
            <w:pPr>
              <w:jc w:val="center"/>
              <w:rPr>
                <w:rFonts w:ascii="Arial" w:hAnsi="Arial" w:cs="Arial"/>
                <w:color w:val="FFFFFF"/>
                <w:sz w:val="16"/>
                <w:szCs w:val="16"/>
                <w:lang w:eastAsia="en-AU"/>
              </w:rPr>
            </w:pPr>
            <w:r w:rsidRPr="0052595E">
              <w:rPr>
                <w:rFonts w:ascii="Arial" w:hAnsi="Arial" w:cs="Arial"/>
                <w:color w:val="FFFFFF"/>
                <w:sz w:val="16"/>
                <w:szCs w:val="16"/>
                <w:lang w:eastAsia="en-AU"/>
              </w:rPr>
              <w:t>Revised</w:t>
            </w:r>
          </w:p>
        </w:tc>
        <w:tc>
          <w:tcPr>
            <w:tcW w:w="876" w:type="dxa"/>
            <w:tcBorders>
              <w:top w:val="nil"/>
              <w:left w:val="nil"/>
              <w:bottom w:val="nil"/>
              <w:right w:val="nil"/>
            </w:tcBorders>
            <w:shd w:val="clear" w:color="000000" w:fill="008EBA"/>
            <w:vAlign w:val="center"/>
            <w:hideMark/>
          </w:tcPr>
          <w:p w14:paraId="10C6F358" w14:textId="77777777" w:rsidR="0052595E" w:rsidRPr="0052595E" w:rsidRDefault="0052595E" w:rsidP="0052595E">
            <w:pPr>
              <w:rPr>
                <w:rFonts w:ascii="Arial" w:hAnsi="Arial" w:cs="Arial"/>
                <w:color w:val="FFFFFF"/>
                <w:sz w:val="16"/>
                <w:szCs w:val="16"/>
                <w:lang w:eastAsia="en-AU"/>
              </w:rPr>
            </w:pPr>
            <w:r w:rsidRPr="0052595E">
              <w:rPr>
                <w:rFonts w:ascii="Arial" w:hAnsi="Arial" w:cs="Arial"/>
                <w:color w:val="FFFFFF"/>
                <w:sz w:val="16"/>
                <w:szCs w:val="16"/>
                <w:lang w:eastAsia="en-AU"/>
              </w:rPr>
              <w:t>Budget</w:t>
            </w:r>
          </w:p>
        </w:tc>
        <w:tc>
          <w:tcPr>
            <w:tcW w:w="2628" w:type="dxa"/>
            <w:gridSpan w:val="3"/>
            <w:tcBorders>
              <w:top w:val="nil"/>
              <w:left w:val="nil"/>
              <w:bottom w:val="nil"/>
              <w:right w:val="nil"/>
            </w:tcBorders>
            <w:shd w:val="clear" w:color="000000" w:fill="008EBA"/>
            <w:vAlign w:val="center"/>
            <w:hideMark/>
          </w:tcPr>
          <w:p w14:paraId="3B723DC7" w14:textId="77777777" w:rsidR="0052595E" w:rsidRPr="0052595E" w:rsidRDefault="0052595E" w:rsidP="0052595E">
            <w:pPr>
              <w:jc w:val="center"/>
              <w:rPr>
                <w:rFonts w:ascii="Arial" w:hAnsi="Arial" w:cs="Arial"/>
                <w:color w:val="FFFFFF"/>
                <w:sz w:val="16"/>
                <w:szCs w:val="16"/>
                <w:lang w:eastAsia="en-AU"/>
              </w:rPr>
            </w:pPr>
            <w:r w:rsidRPr="0052595E">
              <w:rPr>
                <w:rFonts w:ascii="Arial" w:hAnsi="Arial" w:cs="Arial"/>
                <w:color w:val="FFFFFF"/>
                <w:sz w:val="16"/>
                <w:szCs w:val="16"/>
                <w:lang w:eastAsia="en-AU"/>
              </w:rPr>
              <w:t>Forward Estimates</w:t>
            </w:r>
          </w:p>
        </w:tc>
        <w:tc>
          <w:tcPr>
            <w:tcW w:w="1143" w:type="dxa"/>
            <w:vMerge/>
            <w:tcBorders>
              <w:top w:val="nil"/>
              <w:left w:val="nil"/>
              <w:bottom w:val="nil"/>
              <w:right w:val="nil"/>
            </w:tcBorders>
            <w:vAlign w:val="center"/>
            <w:hideMark/>
          </w:tcPr>
          <w:p w14:paraId="28B8C7B9" w14:textId="77777777" w:rsidR="0052595E" w:rsidRPr="0052595E" w:rsidRDefault="0052595E" w:rsidP="0052595E">
            <w:pPr>
              <w:rPr>
                <w:rFonts w:ascii="Arial" w:hAnsi="Arial" w:cs="Arial"/>
                <w:color w:val="FFFFFF"/>
                <w:sz w:val="16"/>
                <w:szCs w:val="16"/>
                <w:lang w:eastAsia="en-AU"/>
              </w:rPr>
            </w:pPr>
          </w:p>
        </w:tc>
      </w:tr>
      <w:tr w:rsidR="0052595E" w:rsidRPr="0052595E" w14:paraId="7AAB970C" w14:textId="77777777" w:rsidTr="0052595E">
        <w:trPr>
          <w:trHeight w:val="270"/>
        </w:trPr>
        <w:tc>
          <w:tcPr>
            <w:tcW w:w="3701" w:type="dxa"/>
            <w:tcBorders>
              <w:top w:val="nil"/>
              <w:left w:val="nil"/>
              <w:bottom w:val="nil"/>
              <w:right w:val="nil"/>
            </w:tcBorders>
            <w:shd w:val="clear" w:color="000000" w:fill="00426F"/>
            <w:hideMark/>
          </w:tcPr>
          <w:p w14:paraId="576FF424" w14:textId="77777777" w:rsidR="0052595E" w:rsidRPr="0052595E" w:rsidRDefault="0052595E" w:rsidP="0052595E">
            <w:pPr>
              <w:jc w:val="center"/>
              <w:rPr>
                <w:rFonts w:ascii="Arial" w:hAnsi="Arial" w:cs="Arial"/>
                <w:color w:val="FFFFFF"/>
                <w:sz w:val="16"/>
                <w:szCs w:val="16"/>
                <w:lang w:eastAsia="en-AU"/>
              </w:rPr>
            </w:pPr>
            <w:r w:rsidRPr="0052595E">
              <w:rPr>
                <w:rFonts w:ascii="Arial" w:hAnsi="Arial" w:cs="Arial"/>
                <w:color w:val="FFFFFF"/>
                <w:sz w:val="16"/>
                <w:szCs w:val="16"/>
                <w:lang w:eastAsia="en-AU"/>
              </w:rPr>
              <w:t> </w:t>
            </w:r>
          </w:p>
        </w:tc>
        <w:tc>
          <w:tcPr>
            <w:tcW w:w="876" w:type="dxa"/>
            <w:tcBorders>
              <w:top w:val="nil"/>
              <w:left w:val="nil"/>
              <w:bottom w:val="nil"/>
              <w:right w:val="nil"/>
            </w:tcBorders>
            <w:shd w:val="clear" w:color="000000" w:fill="00426F"/>
            <w:hideMark/>
          </w:tcPr>
          <w:p w14:paraId="7CF5E0F7" w14:textId="77777777" w:rsidR="0052595E" w:rsidRPr="0052595E" w:rsidRDefault="0052595E" w:rsidP="0052595E">
            <w:pPr>
              <w:jc w:val="center"/>
              <w:rPr>
                <w:rFonts w:ascii="Arial" w:hAnsi="Arial" w:cs="Arial"/>
                <w:color w:val="FFFFFF"/>
                <w:sz w:val="16"/>
                <w:szCs w:val="16"/>
                <w:lang w:eastAsia="en-AU"/>
              </w:rPr>
            </w:pPr>
            <w:r w:rsidRPr="0052595E">
              <w:rPr>
                <w:rFonts w:ascii="Arial" w:hAnsi="Arial" w:cs="Arial"/>
                <w:color w:val="FFFFFF"/>
                <w:sz w:val="16"/>
                <w:szCs w:val="16"/>
                <w:lang w:eastAsia="en-AU"/>
              </w:rPr>
              <w:t>$m</w:t>
            </w:r>
          </w:p>
        </w:tc>
        <w:tc>
          <w:tcPr>
            <w:tcW w:w="876" w:type="dxa"/>
            <w:tcBorders>
              <w:top w:val="nil"/>
              <w:left w:val="nil"/>
              <w:bottom w:val="nil"/>
              <w:right w:val="nil"/>
            </w:tcBorders>
            <w:shd w:val="clear" w:color="000000" w:fill="00426F"/>
            <w:hideMark/>
          </w:tcPr>
          <w:p w14:paraId="7FC46667" w14:textId="77777777" w:rsidR="0052595E" w:rsidRPr="0052595E" w:rsidRDefault="0052595E" w:rsidP="0052595E">
            <w:pPr>
              <w:jc w:val="center"/>
              <w:rPr>
                <w:rFonts w:ascii="Arial" w:hAnsi="Arial" w:cs="Arial"/>
                <w:color w:val="FFFFFF"/>
                <w:sz w:val="16"/>
                <w:szCs w:val="16"/>
                <w:lang w:eastAsia="en-AU"/>
              </w:rPr>
            </w:pPr>
            <w:r w:rsidRPr="0052595E">
              <w:rPr>
                <w:rFonts w:ascii="Arial" w:hAnsi="Arial" w:cs="Arial"/>
                <w:color w:val="FFFFFF"/>
                <w:sz w:val="16"/>
                <w:szCs w:val="16"/>
                <w:lang w:eastAsia="en-AU"/>
              </w:rPr>
              <w:t>$m</w:t>
            </w:r>
          </w:p>
        </w:tc>
        <w:tc>
          <w:tcPr>
            <w:tcW w:w="876" w:type="dxa"/>
            <w:tcBorders>
              <w:top w:val="nil"/>
              <w:left w:val="nil"/>
              <w:bottom w:val="nil"/>
              <w:right w:val="nil"/>
            </w:tcBorders>
            <w:shd w:val="clear" w:color="000000" w:fill="00426F"/>
            <w:hideMark/>
          </w:tcPr>
          <w:p w14:paraId="2C99753B" w14:textId="77777777" w:rsidR="0052595E" w:rsidRPr="0052595E" w:rsidRDefault="0052595E" w:rsidP="0052595E">
            <w:pPr>
              <w:jc w:val="center"/>
              <w:rPr>
                <w:rFonts w:ascii="Arial" w:hAnsi="Arial" w:cs="Arial"/>
                <w:color w:val="FFFFFF"/>
                <w:sz w:val="16"/>
                <w:szCs w:val="16"/>
                <w:lang w:eastAsia="en-AU"/>
              </w:rPr>
            </w:pPr>
            <w:r w:rsidRPr="0052595E">
              <w:rPr>
                <w:rFonts w:ascii="Arial" w:hAnsi="Arial" w:cs="Arial"/>
                <w:color w:val="FFFFFF"/>
                <w:sz w:val="16"/>
                <w:szCs w:val="16"/>
                <w:lang w:eastAsia="en-AU"/>
              </w:rPr>
              <w:t>$m</w:t>
            </w:r>
          </w:p>
        </w:tc>
        <w:tc>
          <w:tcPr>
            <w:tcW w:w="876" w:type="dxa"/>
            <w:tcBorders>
              <w:top w:val="nil"/>
              <w:left w:val="nil"/>
              <w:bottom w:val="nil"/>
              <w:right w:val="nil"/>
            </w:tcBorders>
            <w:shd w:val="clear" w:color="000000" w:fill="00426F"/>
            <w:hideMark/>
          </w:tcPr>
          <w:p w14:paraId="16331CFF" w14:textId="77777777" w:rsidR="0052595E" w:rsidRPr="0052595E" w:rsidRDefault="0052595E" w:rsidP="0052595E">
            <w:pPr>
              <w:jc w:val="center"/>
              <w:rPr>
                <w:rFonts w:ascii="Arial" w:hAnsi="Arial" w:cs="Arial"/>
                <w:color w:val="FFFFFF"/>
                <w:sz w:val="16"/>
                <w:szCs w:val="16"/>
                <w:lang w:eastAsia="en-AU"/>
              </w:rPr>
            </w:pPr>
            <w:r w:rsidRPr="0052595E">
              <w:rPr>
                <w:rFonts w:ascii="Arial" w:hAnsi="Arial" w:cs="Arial"/>
                <w:color w:val="FFFFFF"/>
                <w:sz w:val="16"/>
                <w:szCs w:val="16"/>
                <w:lang w:eastAsia="en-AU"/>
              </w:rPr>
              <w:t>$m</w:t>
            </w:r>
          </w:p>
        </w:tc>
        <w:tc>
          <w:tcPr>
            <w:tcW w:w="876" w:type="dxa"/>
            <w:tcBorders>
              <w:top w:val="nil"/>
              <w:left w:val="nil"/>
              <w:bottom w:val="nil"/>
              <w:right w:val="nil"/>
            </w:tcBorders>
            <w:shd w:val="clear" w:color="000000" w:fill="00426F"/>
            <w:hideMark/>
          </w:tcPr>
          <w:p w14:paraId="41EC1DD5" w14:textId="77777777" w:rsidR="0052595E" w:rsidRPr="0052595E" w:rsidRDefault="0052595E" w:rsidP="0052595E">
            <w:pPr>
              <w:jc w:val="center"/>
              <w:rPr>
                <w:rFonts w:ascii="Arial" w:hAnsi="Arial" w:cs="Arial"/>
                <w:color w:val="FFFFFF"/>
                <w:sz w:val="16"/>
                <w:szCs w:val="16"/>
                <w:lang w:eastAsia="en-AU"/>
              </w:rPr>
            </w:pPr>
            <w:r w:rsidRPr="0052595E">
              <w:rPr>
                <w:rFonts w:ascii="Arial" w:hAnsi="Arial" w:cs="Arial"/>
                <w:color w:val="FFFFFF"/>
                <w:sz w:val="16"/>
                <w:szCs w:val="16"/>
                <w:lang w:eastAsia="en-AU"/>
              </w:rPr>
              <w:t>$m</w:t>
            </w:r>
          </w:p>
        </w:tc>
        <w:tc>
          <w:tcPr>
            <w:tcW w:w="876" w:type="dxa"/>
            <w:tcBorders>
              <w:top w:val="nil"/>
              <w:left w:val="nil"/>
              <w:bottom w:val="nil"/>
              <w:right w:val="nil"/>
            </w:tcBorders>
            <w:shd w:val="clear" w:color="000000" w:fill="00426F"/>
            <w:hideMark/>
          </w:tcPr>
          <w:p w14:paraId="1A413AE4" w14:textId="77777777" w:rsidR="0052595E" w:rsidRPr="0052595E" w:rsidRDefault="0052595E" w:rsidP="0052595E">
            <w:pPr>
              <w:jc w:val="center"/>
              <w:rPr>
                <w:rFonts w:ascii="Arial" w:hAnsi="Arial" w:cs="Arial"/>
                <w:color w:val="FFFFFF"/>
                <w:sz w:val="16"/>
                <w:szCs w:val="16"/>
                <w:lang w:eastAsia="en-AU"/>
              </w:rPr>
            </w:pPr>
            <w:r w:rsidRPr="0052595E">
              <w:rPr>
                <w:rFonts w:ascii="Arial" w:hAnsi="Arial" w:cs="Arial"/>
                <w:color w:val="FFFFFF"/>
                <w:sz w:val="16"/>
                <w:szCs w:val="16"/>
                <w:lang w:eastAsia="en-AU"/>
              </w:rPr>
              <w:t>$m</w:t>
            </w:r>
          </w:p>
        </w:tc>
        <w:tc>
          <w:tcPr>
            <w:tcW w:w="1143" w:type="dxa"/>
            <w:vMerge/>
            <w:tcBorders>
              <w:top w:val="nil"/>
              <w:left w:val="nil"/>
              <w:bottom w:val="nil"/>
              <w:right w:val="nil"/>
            </w:tcBorders>
            <w:vAlign w:val="center"/>
            <w:hideMark/>
          </w:tcPr>
          <w:p w14:paraId="537CED61" w14:textId="77777777" w:rsidR="0052595E" w:rsidRPr="0052595E" w:rsidRDefault="0052595E" w:rsidP="0052595E">
            <w:pPr>
              <w:rPr>
                <w:rFonts w:ascii="Arial" w:hAnsi="Arial" w:cs="Arial"/>
                <w:color w:val="FFFFFF"/>
                <w:sz w:val="16"/>
                <w:szCs w:val="16"/>
                <w:lang w:eastAsia="en-AU"/>
              </w:rPr>
            </w:pPr>
          </w:p>
        </w:tc>
      </w:tr>
      <w:tr w:rsidR="0052595E" w:rsidRPr="0052595E" w14:paraId="4098AF70" w14:textId="77777777" w:rsidTr="0052595E">
        <w:trPr>
          <w:trHeight w:val="290"/>
        </w:trPr>
        <w:tc>
          <w:tcPr>
            <w:tcW w:w="3701" w:type="dxa"/>
            <w:tcBorders>
              <w:top w:val="nil"/>
              <w:left w:val="nil"/>
              <w:bottom w:val="nil"/>
              <w:right w:val="nil"/>
            </w:tcBorders>
            <w:shd w:val="clear" w:color="000000" w:fill="FFFFFF"/>
            <w:noWrap/>
            <w:vAlign w:val="center"/>
            <w:hideMark/>
          </w:tcPr>
          <w:p w14:paraId="23CEAE62" w14:textId="77777777" w:rsidR="0052595E" w:rsidRPr="0052595E" w:rsidRDefault="0052595E" w:rsidP="0052595E">
            <w:pPr>
              <w:rPr>
                <w:rFonts w:ascii="Arial" w:hAnsi="Arial" w:cs="Arial"/>
                <w:sz w:val="16"/>
                <w:szCs w:val="16"/>
                <w:lang w:eastAsia="en-AU"/>
              </w:rPr>
            </w:pPr>
            <w:r w:rsidRPr="0052595E">
              <w:rPr>
                <w:rFonts w:ascii="Arial" w:hAnsi="Arial" w:cs="Arial"/>
                <w:sz w:val="16"/>
                <w:szCs w:val="16"/>
                <w:lang w:eastAsia="en-AU"/>
              </w:rPr>
              <w:t>Fines</w:t>
            </w:r>
          </w:p>
        </w:tc>
        <w:tc>
          <w:tcPr>
            <w:tcW w:w="876" w:type="dxa"/>
            <w:tcBorders>
              <w:top w:val="nil"/>
              <w:left w:val="nil"/>
              <w:bottom w:val="nil"/>
              <w:right w:val="nil"/>
            </w:tcBorders>
            <w:shd w:val="clear" w:color="000000" w:fill="FFFFFF"/>
            <w:noWrap/>
            <w:vAlign w:val="center"/>
            <w:hideMark/>
          </w:tcPr>
          <w:p w14:paraId="4B04A55D" w14:textId="77777777" w:rsidR="0052595E" w:rsidRPr="0052595E" w:rsidRDefault="0052595E" w:rsidP="0052595E">
            <w:pPr>
              <w:jc w:val="right"/>
              <w:rPr>
                <w:rFonts w:ascii="Arial" w:hAnsi="Arial" w:cs="Arial"/>
                <w:sz w:val="16"/>
                <w:szCs w:val="16"/>
                <w:lang w:eastAsia="en-AU"/>
              </w:rPr>
            </w:pPr>
            <w:r w:rsidRPr="0052595E">
              <w:rPr>
                <w:rFonts w:ascii="Arial" w:hAnsi="Arial" w:cs="Arial"/>
                <w:sz w:val="16"/>
                <w:szCs w:val="16"/>
                <w:lang w:eastAsia="en-AU"/>
              </w:rPr>
              <w:t xml:space="preserve">           675 </w:t>
            </w:r>
          </w:p>
        </w:tc>
        <w:tc>
          <w:tcPr>
            <w:tcW w:w="876" w:type="dxa"/>
            <w:tcBorders>
              <w:top w:val="nil"/>
              <w:left w:val="nil"/>
              <w:bottom w:val="nil"/>
              <w:right w:val="nil"/>
            </w:tcBorders>
            <w:shd w:val="clear" w:color="000000" w:fill="FFFFFF"/>
            <w:noWrap/>
            <w:vAlign w:val="center"/>
            <w:hideMark/>
          </w:tcPr>
          <w:p w14:paraId="0C48D0BB" w14:textId="77777777" w:rsidR="0052595E" w:rsidRPr="0052595E" w:rsidRDefault="0052595E" w:rsidP="0052595E">
            <w:pPr>
              <w:jc w:val="right"/>
              <w:rPr>
                <w:rFonts w:ascii="Arial" w:hAnsi="Arial" w:cs="Arial"/>
                <w:sz w:val="16"/>
                <w:szCs w:val="16"/>
                <w:lang w:eastAsia="en-AU"/>
              </w:rPr>
            </w:pPr>
            <w:r w:rsidRPr="0052595E">
              <w:rPr>
                <w:rFonts w:ascii="Arial" w:hAnsi="Arial" w:cs="Arial"/>
                <w:sz w:val="16"/>
                <w:szCs w:val="16"/>
                <w:lang w:eastAsia="en-AU"/>
              </w:rPr>
              <w:t xml:space="preserve">           775 </w:t>
            </w:r>
          </w:p>
        </w:tc>
        <w:tc>
          <w:tcPr>
            <w:tcW w:w="876" w:type="dxa"/>
            <w:tcBorders>
              <w:top w:val="nil"/>
              <w:left w:val="nil"/>
              <w:bottom w:val="nil"/>
              <w:right w:val="nil"/>
            </w:tcBorders>
            <w:shd w:val="clear" w:color="000000" w:fill="F2F2F2"/>
            <w:noWrap/>
            <w:vAlign w:val="center"/>
            <w:hideMark/>
          </w:tcPr>
          <w:p w14:paraId="607C57A5" w14:textId="77777777" w:rsidR="0052595E" w:rsidRPr="0052595E" w:rsidRDefault="0052595E" w:rsidP="0052595E">
            <w:pPr>
              <w:jc w:val="right"/>
              <w:rPr>
                <w:rFonts w:ascii="Arial" w:hAnsi="Arial" w:cs="Arial"/>
                <w:sz w:val="16"/>
                <w:szCs w:val="16"/>
                <w:lang w:eastAsia="en-AU"/>
              </w:rPr>
            </w:pPr>
            <w:r w:rsidRPr="0052595E">
              <w:rPr>
                <w:rFonts w:ascii="Arial" w:hAnsi="Arial" w:cs="Arial"/>
                <w:sz w:val="16"/>
                <w:szCs w:val="16"/>
                <w:lang w:eastAsia="en-AU"/>
              </w:rPr>
              <w:t xml:space="preserve">           820 </w:t>
            </w:r>
          </w:p>
        </w:tc>
        <w:tc>
          <w:tcPr>
            <w:tcW w:w="876" w:type="dxa"/>
            <w:tcBorders>
              <w:top w:val="nil"/>
              <w:left w:val="nil"/>
              <w:bottom w:val="nil"/>
              <w:right w:val="nil"/>
            </w:tcBorders>
            <w:shd w:val="clear" w:color="000000" w:fill="F2F2F2"/>
            <w:noWrap/>
            <w:vAlign w:val="center"/>
            <w:hideMark/>
          </w:tcPr>
          <w:p w14:paraId="1D3B3A3F" w14:textId="48E811D0" w:rsidR="0052595E" w:rsidRPr="0052595E" w:rsidRDefault="0052595E" w:rsidP="0052595E">
            <w:pPr>
              <w:jc w:val="right"/>
              <w:rPr>
                <w:rFonts w:ascii="Arial" w:hAnsi="Arial" w:cs="Arial"/>
                <w:sz w:val="16"/>
                <w:szCs w:val="16"/>
                <w:lang w:eastAsia="en-AU"/>
              </w:rPr>
            </w:pPr>
            <w:r w:rsidRPr="0052595E">
              <w:rPr>
                <w:rFonts w:ascii="Arial" w:hAnsi="Arial" w:cs="Arial"/>
                <w:sz w:val="16"/>
                <w:szCs w:val="16"/>
                <w:lang w:eastAsia="en-AU"/>
              </w:rPr>
              <w:t xml:space="preserve">           819 </w:t>
            </w:r>
          </w:p>
        </w:tc>
        <w:tc>
          <w:tcPr>
            <w:tcW w:w="876" w:type="dxa"/>
            <w:tcBorders>
              <w:top w:val="nil"/>
              <w:left w:val="nil"/>
              <w:bottom w:val="nil"/>
              <w:right w:val="nil"/>
            </w:tcBorders>
            <w:shd w:val="clear" w:color="000000" w:fill="F2F2F2"/>
            <w:noWrap/>
            <w:vAlign w:val="center"/>
            <w:hideMark/>
          </w:tcPr>
          <w:p w14:paraId="04364C8C" w14:textId="77777777" w:rsidR="0052595E" w:rsidRPr="0052595E" w:rsidRDefault="0052595E" w:rsidP="0052595E">
            <w:pPr>
              <w:jc w:val="right"/>
              <w:rPr>
                <w:rFonts w:ascii="Arial" w:hAnsi="Arial" w:cs="Arial"/>
                <w:sz w:val="16"/>
                <w:szCs w:val="16"/>
                <w:lang w:eastAsia="en-AU"/>
              </w:rPr>
            </w:pPr>
            <w:r w:rsidRPr="0052595E">
              <w:rPr>
                <w:rFonts w:ascii="Arial" w:hAnsi="Arial" w:cs="Arial"/>
                <w:sz w:val="16"/>
                <w:szCs w:val="16"/>
                <w:lang w:eastAsia="en-AU"/>
              </w:rPr>
              <w:t xml:space="preserve">           837 </w:t>
            </w:r>
          </w:p>
        </w:tc>
        <w:tc>
          <w:tcPr>
            <w:tcW w:w="876" w:type="dxa"/>
            <w:tcBorders>
              <w:top w:val="nil"/>
              <w:left w:val="nil"/>
              <w:bottom w:val="nil"/>
              <w:right w:val="nil"/>
            </w:tcBorders>
            <w:shd w:val="clear" w:color="000000" w:fill="F2F2F2"/>
            <w:noWrap/>
            <w:vAlign w:val="center"/>
            <w:hideMark/>
          </w:tcPr>
          <w:p w14:paraId="3223392D" w14:textId="77777777" w:rsidR="0052595E" w:rsidRPr="0052595E" w:rsidRDefault="0052595E" w:rsidP="0052595E">
            <w:pPr>
              <w:jc w:val="right"/>
              <w:rPr>
                <w:rFonts w:ascii="Arial" w:hAnsi="Arial" w:cs="Arial"/>
                <w:sz w:val="16"/>
                <w:szCs w:val="16"/>
                <w:lang w:eastAsia="en-AU"/>
              </w:rPr>
            </w:pPr>
            <w:r w:rsidRPr="0052595E">
              <w:rPr>
                <w:rFonts w:ascii="Arial" w:hAnsi="Arial" w:cs="Arial"/>
                <w:sz w:val="16"/>
                <w:szCs w:val="16"/>
                <w:lang w:eastAsia="en-AU"/>
              </w:rPr>
              <w:t xml:space="preserve">           852 </w:t>
            </w:r>
          </w:p>
        </w:tc>
        <w:tc>
          <w:tcPr>
            <w:tcW w:w="1143" w:type="dxa"/>
            <w:tcBorders>
              <w:top w:val="nil"/>
              <w:left w:val="nil"/>
              <w:bottom w:val="nil"/>
              <w:right w:val="nil"/>
            </w:tcBorders>
            <w:shd w:val="clear" w:color="000000" w:fill="FFFFFF"/>
            <w:vAlign w:val="center"/>
            <w:hideMark/>
          </w:tcPr>
          <w:p w14:paraId="0C555488" w14:textId="77777777" w:rsidR="0052595E" w:rsidRPr="0052595E" w:rsidRDefault="0052595E" w:rsidP="0052595E">
            <w:pPr>
              <w:jc w:val="center"/>
              <w:rPr>
                <w:rFonts w:ascii="Arial" w:hAnsi="Arial" w:cs="Arial"/>
                <w:sz w:val="16"/>
                <w:szCs w:val="16"/>
                <w:lang w:eastAsia="en-AU"/>
              </w:rPr>
            </w:pPr>
            <w:r w:rsidRPr="0052595E">
              <w:rPr>
                <w:rFonts w:ascii="Arial" w:hAnsi="Arial" w:cs="Arial"/>
                <w:sz w:val="16"/>
                <w:szCs w:val="16"/>
                <w:lang w:eastAsia="en-AU"/>
              </w:rPr>
              <w:t>2.4</w:t>
            </w:r>
          </w:p>
        </w:tc>
      </w:tr>
      <w:tr w:rsidR="0052595E" w:rsidRPr="0052595E" w14:paraId="0A0C9621" w14:textId="77777777" w:rsidTr="0052595E">
        <w:trPr>
          <w:trHeight w:val="290"/>
        </w:trPr>
        <w:tc>
          <w:tcPr>
            <w:tcW w:w="3701" w:type="dxa"/>
            <w:tcBorders>
              <w:top w:val="nil"/>
              <w:left w:val="nil"/>
              <w:bottom w:val="nil"/>
              <w:right w:val="nil"/>
            </w:tcBorders>
            <w:shd w:val="clear" w:color="000000" w:fill="FFFFFF"/>
            <w:noWrap/>
            <w:vAlign w:val="center"/>
            <w:hideMark/>
          </w:tcPr>
          <w:p w14:paraId="3C8F20D9" w14:textId="77777777" w:rsidR="0052595E" w:rsidRPr="0052595E" w:rsidRDefault="0052595E" w:rsidP="0052595E">
            <w:pPr>
              <w:rPr>
                <w:rFonts w:ascii="Arial" w:hAnsi="Arial" w:cs="Arial"/>
                <w:sz w:val="16"/>
                <w:szCs w:val="16"/>
                <w:lang w:eastAsia="en-AU"/>
              </w:rPr>
            </w:pPr>
            <w:r w:rsidRPr="0052595E">
              <w:rPr>
                <w:rFonts w:ascii="Arial" w:hAnsi="Arial" w:cs="Arial"/>
                <w:sz w:val="16"/>
                <w:szCs w:val="16"/>
                <w:lang w:eastAsia="en-AU"/>
              </w:rPr>
              <w:t>Regulatory fees</w:t>
            </w:r>
          </w:p>
        </w:tc>
        <w:tc>
          <w:tcPr>
            <w:tcW w:w="876" w:type="dxa"/>
            <w:tcBorders>
              <w:top w:val="nil"/>
              <w:left w:val="nil"/>
              <w:bottom w:val="nil"/>
              <w:right w:val="nil"/>
            </w:tcBorders>
            <w:shd w:val="clear" w:color="000000" w:fill="FFFFFF"/>
            <w:noWrap/>
            <w:vAlign w:val="center"/>
            <w:hideMark/>
          </w:tcPr>
          <w:p w14:paraId="59EBF168" w14:textId="77777777" w:rsidR="0052595E" w:rsidRPr="0052595E" w:rsidRDefault="0052595E" w:rsidP="0052595E">
            <w:pPr>
              <w:jc w:val="right"/>
              <w:rPr>
                <w:rFonts w:ascii="Arial" w:hAnsi="Arial" w:cs="Arial"/>
                <w:sz w:val="16"/>
                <w:szCs w:val="16"/>
                <w:lang w:eastAsia="en-AU"/>
              </w:rPr>
            </w:pPr>
            <w:r w:rsidRPr="0052595E">
              <w:rPr>
                <w:rFonts w:ascii="Arial" w:hAnsi="Arial" w:cs="Arial"/>
                <w:sz w:val="16"/>
                <w:szCs w:val="16"/>
                <w:lang w:eastAsia="en-AU"/>
              </w:rPr>
              <w:t xml:space="preserve">              93 </w:t>
            </w:r>
          </w:p>
        </w:tc>
        <w:tc>
          <w:tcPr>
            <w:tcW w:w="876" w:type="dxa"/>
            <w:tcBorders>
              <w:top w:val="nil"/>
              <w:left w:val="nil"/>
              <w:bottom w:val="nil"/>
              <w:right w:val="nil"/>
            </w:tcBorders>
            <w:shd w:val="clear" w:color="000000" w:fill="FFFFFF"/>
            <w:noWrap/>
            <w:vAlign w:val="center"/>
            <w:hideMark/>
          </w:tcPr>
          <w:p w14:paraId="4B99150C" w14:textId="77777777" w:rsidR="0052595E" w:rsidRPr="0052595E" w:rsidRDefault="0052595E" w:rsidP="0052595E">
            <w:pPr>
              <w:jc w:val="right"/>
              <w:rPr>
                <w:rFonts w:ascii="Arial" w:hAnsi="Arial" w:cs="Arial"/>
                <w:sz w:val="16"/>
                <w:szCs w:val="16"/>
                <w:lang w:eastAsia="en-AU"/>
              </w:rPr>
            </w:pPr>
            <w:r w:rsidRPr="0052595E">
              <w:rPr>
                <w:rFonts w:ascii="Arial" w:hAnsi="Arial" w:cs="Arial"/>
                <w:sz w:val="16"/>
                <w:szCs w:val="16"/>
                <w:lang w:eastAsia="en-AU"/>
              </w:rPr>
              <w:t xml:space="preserve">           144 </w:t>
            </w:r>
          </w:p>
        </w:tc>
        <w:tc>
          <w:tcPr>
            <w:tcW w:w="876" w:type="dxa"/>
            <w:tcBorders>
              <w:top w:val="nil"/>
              <w:left w:val="nil"/>
              <w:bottom w:val="nil"/>
              <w:right w:val="nil"/>
            </w:tcBorders>
            <w:shd w:val="clear" w:color="000000" w:fill="F2F2F2"/>
            <w:noWrap/>
            <w:vAlign w:val="center"/>
            <w:hideMark/>
          </w:tcPr>
          <w:p w14:paraId="4AC94746" w14:textId="77777777" w:rsidR="0052595E" w:rsidRPr="0052595E" w:rsidRDefault="0052595E" w:rsidP="0052595E">
            <w:pPr>
              <w:jc w:val="right"/>
              <w:rPr>
                <w:rFonts w:ascii="Arial" w:hAnsi="Arial" w:cs="Arial"/>
                <w:sz w:val="16"/>
                <w:szCs w:val="16"/>
                <w:lang w:eastAsia="en-AU"/>
              </w:rPr>
            </w:pPr>
            <w:r w:rsidRPr="0052595E">
              <w:rPr>
                <w:rFonts w:ascii="Arial" w:hAnsi="Arial" w:cs="Arial"/>
                <w:sz w:val="16"/>
                <w:szCs w:val="16"/>
                <w:lang w:eastAsia="en-AU"/>
              </w:rPr>
              <w:t xml:space="preserve">           142 </w:t>
            </w:r>
          </w:p>
        </w:tc>
        <w:tc>
          <w:tcPr>
            <w:tcW w:w="876" w:type="dxa"/>
            <w:tcBorders>
              <w:top w:val="nil"/>
              <w:left w:val="nil"/>
              <w:bottom w:val="nil"/>
              <w:right w:val="nil"/>
            </w:tcBorders>
            <w:shd w:val="clear" w:color="000000" w:fill="F2F2F2"/>
            <w:noWrap/>
            <w:vAlign w:val="center"/>
            <w:hideMark/>
          </w:tcPr>
          <w:p w14:paraId="26C02112" w14:textId="77777777" w:rsidR="0052595E" w:rsidRPr="0052595E" w:rsidRDefault="0052595E" w:rsidP="0052595E">
            <w:pPr>
              <w:jc w:val="right"/>
              <w:rPr>
                <w:rFonts w:ascii="Arial" w:hAnsi="Arial" w:cs="Arial"/>
                <w:sz w:val="16"/>
                <w:szCs w:val="16"/>
                <w:lang w:eastAsia="en-AU"/>
              </w:rPr>
            </w:pPr>
            <w:r w:rsidRPr="0052595E">
              <w:rPr>
                <w:rFonts w:ascii="Arial" w:hAnsi="Arial" w:cs="Arial"/>
                <w:sz w:val="16"/>
                <w:szCs w:val="16"/>
                <w:lang w:eastAsia="en-AU"/>
              </w:rPr>
              <w:t xml:space="preserve">           144 </w:t>
            </w:r>
          </w:p>
        </w:tc>
        <w:tc>
          <w:tcPr>
            <w:tcW w:w="876" w:type="dxa"/>
            <w:tcBorders>
              <w:top w:val="nil"/>
              <w:left w:val="nil"/>
              <w:bottom w:val="nil"/>
              <w:right w:val="nil"/>
            </w:tcBorders>
            <w:shd w:val="clear" w:color="000000" w:fill="F2F2F2"/>
            <w:noWrap/>
            <w:vAlign w:val="center"/>
            <w:hideMark/>
          </w:tcPr>
          <w:p w14:paraId="33C184CF" w14:textId="77777777" w:rsidR="0052595E" w:rsidRPr="0052595E" w:rsidRDefault="0052595E" w:rsidP="0052595E">
            <w:pPr>
              <w:jc w:val="right"/>
              <w:rPr>
                <w:rFonts w:ascii="Arial" w:hAnsi="Arial" w:cs="Arial"/>
                <w:sz w:val="16"/>
                <w:szCs w:val="16"/>
                <w:lang w:eastAsia="en-AU"/>
              </w:rPr>
            </w:pPr>
            <w:r w:rsidRPr="0052595E">
              <w:rPr>
                <w:rFonts w:ascii="Arial" w:hAnsi="Arial" w:cs="Arial"/>
                <w:sz w:val="16"/>
                <w:szCs w:val="16"/>
                <w:lang w:eastAsia="en-AU"/>
              </w:rPr>
              <w:t xml:space="preserve">           131 </w:t>
            </w:r>
          </w:p>
        </w:tc>
        <w:tc>
          <w:tcPr>
            <w:tcW w:w="876" w:type="dxa"/>
            <w:tcBorders>
              <w:top w:val="nil"/>
              <w:left w:val="nil"/>
              <w:bottom w:val="nil"/>
              <w:right w:val="nil"/>
            </w:tcBorders>
            <w:shd w:val="clear" w:color="000000" w:fill="F2F2F2"/>
            <w:noWrap/>
            <w:vAlign w:val="center"/>
            <w:hideMark/>
          </w:tcPr>
          <w:p w14:paraId="2210C7CD" w14:textId="77777777" w:rsidR="0052595E" w:rsidRPr="0052595E" w:rsidRDefault="0052595E" w:rsidP="0052595E">
            <w:pPr>
              <w:jc w:val="right"/>
              <w:rPr>
                <w:rFonts w:ascii="Arial" w:hAnsi="Arial" w:cs="Arial"/>
                <w:sz w:val="16"/>
                <w:szCs w:val="16"/>
                <w:lang w:eastAsia="en-AU"/>
              </w:rPr>
            </w:pPr>
            <w:r w:rsidRPr="0052595E">
              <w:rPr>
                <w:rFonts w:ascii="Arial" w:hAnsi="Arial" w:cs="Arial"/>
                <w:sz w:val="16"/>
                <w:szCs w:val="16"/>
                <w:lang w:eastAsia="en-AU"/>
              </w:rPr>
              <w:t xml:space="preserve">           144 </w:t>
            </w:r>
          </w:p>
        </w:tc>
        <w:tc>
          <w:tcPr>
            <w:tcW w:w="1143" w:type="dxa"/>
            <w:tcBorders>
              <w:top w:val="nil"/>
              <w:left w:val="nil"/>
              <w:bottom w:val="nil"/>
              <w:right w:val="nil"/>
            </w:tcBorders>
            <w:shd w:val="clear" w:color="000000" w:fill="FFFFFF"/>
            <w:vAlign w:val="center"/>
            <w:hideMark/>
          </w:tcPr>
          <w:p w14:paraId="78CDCBB3" w14:textId="77777777" w:rsidR="0052595E" w:rsidRPr="0052595E" w:rsidRDefault="0052595E" w:rsidP="0052595E">
            <w:pPr>
              <w:jc w:val="center"/>
              <w:rPr>
                <w:rFonts w:ascii="Arial" w:hAnsi="Arial" w:cs="Arial"/>
                <w:sz w:val="16"/>
                <w:szCs w:val="16"/>
                <w:lang w:eastAsia="en-AU"/>
              </w:rPr>
            </w:pPr>
            <w:r w:rsidRPr="0052595E">
              <w:rPr>
                <w:rFonts w:ascii="Arial" w:hAnsi="Arial" w:cs="Arial"/>
                <w:sz w:val="16"/>
                <w:szCs w:val="16"/>
                <w:lang w:eastAsia="en-AU"/>
              </w:rPr>
              <w:t>0.0</w:t>
            </w:r>
          </w:p>
        </w:tc>
      </w:tr>
      <w:tr w:rsidR="0052595E" w:rsidRPr="0052595E" w14:paraId="07996E1E" w14:textId="77777777" w:rsidTr="0052595E">
        <w:trPr>
          <w:trHeight w:val="290"/>
        </w:trPr>
        <w:tc>
          <w:tcPr>
            <w:tcW w:w="3701" w:type="dxa"/>
            <w:tcBorders>
              <w:top w:val="nil"/>
              <w:left w:val="nil"/>
              <w:bottom w:val="nil"/>
              <w:right w:val="nil"/>
            </w:tcBorders>
            <w:shd w:val="clear" w:color="000000" w:fill="FFFFFF"/>
            <w:noWrap/>
            <w:vAlign w:val="center"/>
            <w:hideMark/>
          </w:tcPr>
          <w:p w14:paraId="1FE82C75" w14:textId="77777777" w:rsidR="0052595E" w:rsidRPr="0052595E" w:rsidRDefault="0052595E" w:rsidP="0052595E">
            <w:pPr>
              <w:rPr>
                <w:rFonts w:ascii="Arial" w:hAnsi="Arial" w:cs="Arial"/>
                <w:sz w:val="16"/>
                <w:szCs w:val="16"/>
                <w:lang w:eastAsia="en-AU"/>
              </w:rPr>
            </w:pPr>
            <w:r w:rsidRPr="0052595E">
              <w:rPr>
                <w:rFonts w:ascii="Arial" w:hAnsi="Arial" w:cs="Arial"/>
                <w:sz w:val="16"/>
                <w:szCs w:val="16"/>
                <w:lang w:eastAsia="en-AU"/>
              </w:rPr>
              <w:t>Other revenues</w:t>
            </w:r>
          </w:p>
        </w:tc>
        <w:tc>
          <w:tcPr>
            <w:tcW w:w="876" w:type="dxa"/>
            <w:tcBorders>
              <w:top w:val="nil"/>
              <w:left w:val="nil"/>
              <w:bottom w:val="nil"/>
              <w:right w:val="nil"/>
            </w:tcBorders>
            <w:shd w:val="clear" w:color="000000" w:fill="FFFFFF"/>
            <w:noWrap/>
            <w:vAlign w:val="center"/>
            <w:hideMark/>
          </w:tcPr>
          <w:p w14:paraId="28FE4E63" w14:textId="77777777" w:rsidR="0052595E" w:rsidRPr="0052595E" w:rsidRDefault="0052595E" w:rsidP="0052595E">
            <w:pPr>
              <w:jc w:val="right"/>
              <w:rPr>
                <w:rFonts w:ascii="Arial" w:hAnsi="Arial" w:cs="Arial"/>
                <w:sz w:val="16"/>
                <w:szCs w:val="16"/>
                <w:lang w:eastAsia="en-AU"/>
              </w:rPr>
            </w:pPr>
            <w:r w:rsidRPr="0052595E">
              <w:rPr>
                <w:rFonts w:ascii="Arial" w:hAnsi="Arial" w:cs="Arial"/>
                <w:sz w:val="16"/>
                <w:szCs w:val="16"/>
                <w:lang w:eastAsia="en-AU"/>
              </w:rPr>
              <w:t xml:space="preserve">        1,823 </w:t>
            </w:r>
          </w:p>
        </w:tc>
        <w:tc>
          <w:tcPr>
            <w:tcW w:w="876" w:type="dxa"/>
            <w:tcBorders>
              <w:top w:val="nil"/>
              <w:left w:val="nil"/>
              <w:bottom w:val="nil"/>
              <w:right w:val="nil"/>
            </w:tcBorders>
            <w:shd w:val="clear" w:color="000000" w:fill="FFFFFF"/>
            <w:noWrap/>
            <w:vAlign w:val="center"/>
            <w:hideMark/>
          </w:tcPr>
          <w:p w14:paraId="3F11E330" w14:textId="77777777" w:rsidR="0052595E" w:rsidRPr="0052595E" w:rsidRDefault="0052595E" w:rsidP="0052595E">
            <w:pPr>
              <w:jc w:val="right"/>
              <w:rPr>
                <w:rFonts w:ascii="Arial" w:hAnsi="Arial" w:cs="Arial"/>
                <w:sz w:val="16"/>
                <w:szCs w:val="16"/>
                <w:lang w:eastAsia="en-AU"/>
              </w:rPr>
            </w:pPr>
            <w:r w:rsidRPr="0052595E">
              <w:rPr>
                <w:rFonts w:ascii="Arial" w:hAnsi="Arial" w:cs="Arial"/>
                <w:sz w:val="16"/>
                <w:szCs w:val="16"/>
                <w:lang w:eastAsia="en-AU"/>
              </w:rPr>
              <w:t xml:space="preserve">        2,120 </w:t>
            </w:r>
          </w:p>
        </w:tc>
        <w:tc>
          <w:tcPr>
            <w:tcW w:w="876" w:type="dxa"/>
            <w:tcBorders>
              <w:top w:val="nil"/>
              <w:left w:val="nil"/>
              <w:bottom w:val="nil"/>
              <w:right w:val="nil"/>
            </w:tcBorders>
            <w:shd w:val="clear" w:color="000000" w:fill="F2F2F2"/>
            <w:noWrap/>
            <w:vAlign w:val="center"/>
            <w:hideMark/>
          </w:tcPr>
          <w:p w14:paraId="2C457D42" w14:textId="77777777" w:rsidR="0052595E" w:rsidRPr="0052595E" w:rsidRDefault="0052595E" w:rsidP="0052595E">
            <w:pPr>
              <w:jc w:val="right"/>
              <w:rPr>
                <w:rFonts w:ascii="Arial" w:hAnsi="Arial" w:cs="Arial"/>
                <w:sz w:val="16"/>
                <w:szCs w:val="16"/>
                <w:lang w:eastAsia="en-AU"/>
              </w:rPr>
            </w:pPr>
            <w:r w:rsidRPr="0052595E">
              <w:rPr>
                <w:rFonts w:ascii="Arial" w:hAnsi="Arial" w:cs="Arial"/>
                <w:sz w:val="16"/>
                <w:szCs w:val="16"/>
                <w:lang w:eastAsia="en-AU"/>
              </w:rPr>
              <w:t xml:space="preserve">        2,067 </w:t>
            </w:r>
          </w:p>
        </w:tc>
        <w:tc>
          <w:tcPr>
            <w:tcW w:w="876" w:type="dxa"/>
            <w:tcBorders>
              <w:top w:val="nil"/>
              <w:left w:val="nil"/>
              <w:bottom w:val="nil"/>
              <w:right w:val="nil"/>
            </w:tcBorders>
            <w:shd w:val="clear" w:color="000000" w:fill="F2F2F2"/>
            <w:noWrap/>
            <w:vAlign w:val="center"/>
            <w:hideMark/>
          </w:tcPr>
          <w:p w14:paraId="00E31822" w14:textId="77777777" w:rsidR="0052595E" w:rsidRPr="0052595E" w:rsidRDefault="0052595E" w:rsidP="0052595E">
            <w:pPr>
              <w:jc w:val="right"/>
              <w:rPr>
                <w:rFonts w:ascii="Arial" w:hAnsi="Arial" w:cs="Arial"/>
                <w:sz w:val="16"/>
                <w:szCs w:val="16"/>
                <w:lang w:eastAsia="en-AU"/>
              </w:rPr>
            </w:pPr>
            <w:r w:rsidRPr="0052595E">
              <w:rPr>
                <w:rFonts w:ascii="Arial" w:hAnsi="Arial" w:cs="Arial"/>
                <w:sz w:val="16"/>
                <w:szCs w:val="16"/>
                <w:lang w:eastAsia="en-AU"/>
              </w:rPr>
              <w:t xml:space="preserve">        2,030 </w:t>
            </w:r>
          </w:p>
        </w:tc>
        <w:tc>
          <w:tcPr>
            <w:tcW w:w="876" w:type="dxa"/>
            <w:tcBorders>
              <w:top w:val="nil"/>
              <w:left w:val="nil"/>
              <w:bottom w:val="nil"/>
              <w:right w:val="nil"/>
            </w:tcBorders>
            <w:shd w:val="clear" w:color="000000" w:fill="F2F2F2"/>
            <w:noWrap/>
            <w:vAlign w:val="center"/>
            <w:hideMark/>
          </w:tcPr>
          <w:p w14:paraId="23218AF3" w14:textId="77777777" w:rsidR="0052595E" w:rsidRPr="0052595E" w:rsidRDefault="0052595E" w:rsidP="0052595E">
            <w:pPr>
              <w:jc w:val="right"/>
              <w:rPr>
                <w:rFonts w:ascii="Arial" w:hAnsi="Arial" w:cs="Arial"/>
                <w:sz w:val="16"/>
                <w:szCs w:val="16"/>
                <w:lang w:eastAsia="en-AU"/>
              </w:rPr>
            </w:pPr>
            <w:r w:rsidRPr="0052595E">
              <w:rPr>
                <w:rFonts w:ascii="Arial" w:hAnsi="Arial" w:cs="Arial"/>
                <w:sz w:val="16"/>
                <w:szCs w:val="16"/>
                <w:lang w:eastAsia="en-AU"/>
              </w:rPr>
              <w:t xml:space="preserve">        2,192 </w:t>
            </w:r>
          </w:p>
        </w:tc>
        <w:tc>
          <w:tcPr>
            <w:tcW w:w="876" w:type="dxa"/>
            <w:tcBorders>
              <w:top w:val="nil"/>
              <w:left w:val="nil"/>
              <w:bottom w:val="nil"/>
              <w:right w:val="nil"/>
            </w:tcBorders>
            <w:shd w:val="clear" w:color="000000" w:fill="F2F2F2"/>
            <w:noWrap/>
            <w:vAlign w:val="center"/>
            <w:hideMark/>
          </w:tcPr>
          <w:p w14:paraId="58DC4167" w14:textId="77777777" w:rsidR="0052595E" w:rsidRPr="0052595E" w:rsidRDefault="0052595E" w:rsidP="0052595E">
            <w:pPr>
              <w:jc w:val="right"/>
              <w:rPr>
                <w:rFonts w:ascii="Arial" w:hAnsi="Arial" w:cs="Arial"/>
                <w:sz w:val="16"/>
                <w:szCs w:val="16"/>
                <w:lang w:eastAsia="en-AU"/>
              </w:rPr>
            </w:pPr>
            <w:r w:rsidRPr="0052595E">
              <w:rPr>
                <w:rFonts w:ascii="Arial" w:hAnsi="Arial" w:cs="Arial"/>
                <w:sz w:val="16"/>
                <w:szCs w:val="16"/>
                <w:lang w:eastAsia="en-AU"/>
              </w:rPr>
              <w:t xml:space="preserve">        2,045 </w:t>
            </w:r>
          </w:p>
        </w:tc>
        <w:tc>
          <w:tcPr>
            <w:tcW w:w="1143" w:type="dxa"/>
            <w:tcBorders>
              <w:top w:val="nil"/>
              <w:left w:val="nil"/>
              <w:bottom w:val="nil"/>
              <w:right w:val="nil"/>
            </w:tcBorders>
            <w:shd w:val="clear" w:color="000000" w:fill="FFFFFF"/>
            <w:vAlign w:val="center"/>
            <w:hideMark/>
          </w:tcPr>
          <w:p w14:paraId="14C5E972" w14:textId="77777777" w:rsidR="0052595E" w:rsidRPr="0052595E" w:rsidRDefault="0052595E" w:rsidP="0052595E">
            <w:pPr>
              <w:jc w:val="center"/>
              <w:rPr>
                <w:rFonts w:ascii="Arial" w:hAnsi="Arial" w:cs="Arial"/>
                <w:sz w:val="16"/>
                <w:szCs w:val="16"/>
                <w:lang w:eastAsia="en-AU"/>
              </w:rPr>
            </w:pPr>
            <w:r w:rsidRPr="0052595E">
              <w:rPr>
                <w:rFonts w:ascii="Arial" w:hAnsi="Arial" w:cs="Arial"/>
                <w:sz w:val="16"/>
                <w:szCs w:val="16"/>
                <w:lang w:eastAsia="en-AU"/>
              </w:rPr>
              <w:t>(0.9)</w:t>
            </w:r>
          </w:p>
        </w:tc>
      </w:tr>
      <w:tr w:rsidR="00B130C2" w:rsidRPr="00B130C2" w14:paraId="525F8EA4" w14:textId="77777777" w:rsidTr="00B130C2">
        <w:trPr>
          <w:trHeight w:val="340"/>
        </w:trPr>
        <w:tc>
          <w:tcPr>
            <w:tcW w:w="3701" w:type="dxa"/>
            <w:tcBorders>
              <w:top w:val="single" w:sz="4" w:space="0" w:color="auto"/>
              <w:left w:val="nil"/>
              <w:bottom w:val="single" w:sz="4" w:space="0" w:color="auto"/>
              <w:right w:val="nil"/>
            </w:tcBorders>
            <w:shd w:val="clear" w:color="000000" w:fill="FFFFFF"/>
            <w:vAlign w:val="center"/>
            <w:hideMark/>
          </w:tcPr>
          <w:p w14:paraId="2422351D" w14:textId="30996122" w:rsidR="0052595E" w:rsidRPr="00B130C2" w:rsidRDefault="0052595E" w:rsidP="00B130C2">
            <w:pPr>
              <w:ind w:right="-232"/>
              <w:rPr>
                <w:rFonts w:ascii="Arial" w:hAnsi="Arial" w:cs="Arial"/>
                <w:b/>
                <w:bCs/>
                <w:color w:val="0079B9"/>
                <w:sz w:val="16"/>
                <w:szCs w:val="16"/>
                <w:lang w:eastAsia="en-AU"/>
              </w:rPr>
            </w:pPr>
            <w:r w:rsidRPr="00B130C2">
              <w:rPr>
                <w:rFonts w:ascii="Arial" w:hAnsi="Arial" w:cs="Arial"/>
                <w:b/>
                <w:bCs/>
                <w:color w:val="0079B9"/>
                <w:sz w:val="16"/>
                <w:szCs w:val="16"/>
                <w:lang w:eastAsia="en-AU"/>
              </w:rPr>
              <w:t xml:space="preserve">Total fines, regulatory </w:t>
            </w:r>
            <w:proofErr w:type="gramStart"/>
            <w:r w:rsidRPr="00B130C2">
              <w:rPr>
                <w:rFonts w:ascii="Arial" w:hAnsi="Arial" w:cs="Arial"/>
                <w:b/>
                <w:bCs/>
                <w:color w:val="0079B9"/>
                <w:sz w:val="16"/>
                <w:szCs w:val="16"/>
                <w:lang w:eastAsia="en-AU"/>
              </w:rPr>
              <w:t>fees</w:t>
            </w:r>
            <w:proofErr w:type="gramEnd"/>
            <w:r w:rsidRPr="00B130C2">
              <w:rPr>
                <w:rFonts w:ascii="Arial" w:hAnsi="Arial" w:cs="Arial"/>
                <w:b/>
                <w:bCs/>
                <w:color w:val="0079B9"/>
                <w:sz w:val="16"/>
                <w:szCs w:val="16"/>
                <w:lang w:eastAsia="en-AU"/>
              </w:rPr>
              <w:t xml:space="preserve"> and other</w:t>
            </w:r>
            <w:r w:rsidR="00B130C2" w:rsidRPr="00B130C2">
              <w:rPr>
                <w:rFonts w:ascii="Arial" w:hAnsi="Arial" w:cs="Arial"/>
                <w:b/>
                <w:bCs/>
                <w:color w:val="0079B9"/>
                <w:sz w:val="16"/>
                <w:szCs w:val="16"/>
                <w:lang w:eastAsia="en-AU"/>
              </w:rPr>
              <w:t xml:space="preserve"> </w:t>
            </w:r>
            <w:r w:rsidRPr="00B130C2">
              <w:rPr>
                <w:rFonts w:ascii="Arial" w:hAnsi="Arial" w:cs="Arial"/>
                <w:b/>
                <w:bCs/>
                <w:color w:val="0079B9"/>
                <w:sz w:val="16"/>
                <w:szCs w:val="16"/>
                <w:lang w:eastAsia="en-AU"/>
              </w:rPr>
              <w:t>revenues</w:t>
            </w:r>
          </w:p>
        </w:tc>
        <w:tc>
          <w:tcPr>
            <w:tcW w:w="876" w:type="dxa"/>
            <w:tcBorders>
              <w:top w:val="single" w:sz="4" w:space="0" w:color="auto"/>
              <w:left w:val="nil"/>
              <w:bottom w:val="single" w:sz="4" w:space="0" w:color="auto"/>
              <w:right w:val="nil"/>
            </w:tcBorders>
            <w:shd w:val="clear" w:color="000000" w:fill="FFFFFF"/>
            <w:noWrap/>
            <w:vAlign w:val="center"/>
            <w:hideMark/>
          </w:tcPr>
          <w:p w14:paraId="4F5C6690" w14:textId="77777777" w:rsidR="0052595E" w:rsidRPr="00B130C2" w:rsidRDefault="0052595E" w:rsidP="0052595E">
            <w:pPr>
              <w:jc w:val="right"/>
              <w:rPr>
                <w:rFonts w:ascii="Arial" w:hAnsi="Arial" w:cs="Arial"/>
                <w:b/>
                <w:bCs/>
                <w:color w:val="0079B9"/>
                <w:sz w:val="16"/>
                <w:szCs w:val="16"/>
                <w:lang w:eastAsia="en-AU"/>
              </w:rPr>
            </w:pPr>
            <w:r w:rsidRPr="00B130C2">
              <w:rPr>
                <w:rFonts w:ascii="Arial" w:hAnsi="Arial" w:cs="Arial"/>
                <w:b/>
                <w:bCs/>
                <w:color w:val="0079B9"/>
                <w:sz w:val="16"/>
                <w:szCs w:val="16"/>
                <w:lang w:eastAsia="en-AU"/>
              </w:rPr>
              <w:t>2,591</w:t>
            </w:r>
          </w:p>
        </w:tc>
        <w:tc>
          <w:tcPr>
            <w:tcW w:w="876" w:type="dxa"/>
            <w:tcBorders>
              <w:top w:val="single" w:sz="4" w:space="0" w:color="auto"/>
              <w:left w:val="nil"/>
              <w:bottom w:val="single" w:sz="4" w:space="0" w:color="auto"/>
              <w:right w:val="nil"/>
            </w:tcBorders>
            <w:shd w:val="clear" w:color="000000" w:fill="FFFFFF"/>
            <w:noWrap/>
            <w:vAlign w:val="center"/>
            <w:hideMark/>
          </w:tcPr>
          <w:p w14:paraId="26D771AA" w14:textId="77777777" w:rsidR="0052595E" w:rsidRPr="00B130C2" w:rsidRDefault="0052595E" w:rsidP="0052595E">
            <w:pPr>
              <w:jc w:val="right"/>
              <w:rPr>
                <w:rFonts w:ascii="Arial" w:hAnsi="Arial" w:cs="Arial"/>
                <w:b/>
                <w:bCs/>
                <w:color w:val="0079B9"/>
                <w:sz w:val="16"/>
                <w:szCs w:val="16"/>
                <w:lang w:eastAsia="en-AU"/>
              </w:rPr>
            </w:pPr>
            <w:r w:rsidRPr="00B130C2">
              <w:rPr>
                <w:rFonts w:ascii="Arial" w:hAnsi="Arial" w:cs="Arial"/>
                <w:b/>
                <w:bCs/>
                <w:color w:val="0079B9"/>
                <w:sz w:val="16"/>
                <w:szCs w:val="16"/>
                <w:lang w:eastAsia="en-AU"/>
              </w:rPr>
              <w:t>3,040</w:t>
            </w:r>
          </w:p>
        </w:tc>
        <w:tc>
          <w:tcPr>
            <w:tcW w:w="876" w:type="dxa"/>
            <w:tcBorders>
              <w:top w:val="single" w:sz="4" w:space="0" w:color="auto"/>
              <w:left w:val="nil"/>
              <w:bottom w:val="single" w:sz="4" w:space="0" w:color="auto"/>
              <w:right w:val="nil"/>
            </w:tcBorders>
            <w:shd w:val="clear" w:color="000000" w:fill="F2F2F2"/>
            <w:noWrap/>
            <w:vAlign w:val="center"/>
            <w:hideMark/>
          </w:tcPr>
          <w:p w14:paraId="323047F2" w14:textId="77777777" w:rsidR="0052595E" w:rsidRPr="00B130C2" w:rsidRDefault="0052595E" w:rsidP="0052595E">
            <w:pPr>
              <w:jc w:val="right"/>
              <w:rPr>
                <w:rFonts w:ascii="Arial" w:hAnsi="Arial" w:cs="Arial"/>
                <w:b/>
                <w:bCs/>
                <w:color w:val="0079B9"/>
                <w:sz w:val="16"/>
                <w:szCs w:val="16"/>
                <w:lang w:eastAsia="en-AU"/>
              </w:rPr>
            </w:pPr>
            <w:r w:rsidRPr="00B130C2">
              <w:rPr>
                <w:rFonts w:ascii="Arial" w:hAnsi="Arial" w:cs="Arial"/>
                <w:b/>
                <w:bCs/>
                <w:color w:val="0079B9"/>
                <w:sz w:val="16"/>
                <w:szCs w:val="16"/>
                <w:lang w:eastAsia="en-AU"/>
              </w:rPr>
              <w:t>3,029</w:t>
            </w:r>
          </w:p>
        </w:tc>
        <w:tc>
          <w:tcPr>
            <w:tcW w:w="876" w:type="dxa"/>
            <w:tcBorders>
              <w:top w:val="single" w:sz="4" w:space="0" w:color="auto"/>
              <w:left w:val="nil"/>
              <w:bottom w:val="single" w:sz="4" w:space="0" w:color="auto"/>
              <w:right w:val="nil"/>
            </w:tcBorders>
            <w:shd w:val="clear" w:color="000000" w:fill="F2F2F2"/>
            <w:noWrap/>
            <w:vAlign w:val="center"/>
            <w:hideMark/>
          </w:tcPr>
          <w:p w14:paraId="0144E9CE" w14:textId="77777777" w:rsidR="0052595E" w:rsidRPr="00B130C2" w:rsidRDefault="0052595E" w:rsidP="0052595E">
            <w:pPr>
              <w:jc w:val="right"/>
              <w:rPr>
                <w:rFonts w:ascii="Arial" w:hAnsi="Arial" w:cs="Arial"/>
                <w:b/>
                <w:bCs/>
                <w:color w:val="0079B9"/>
                <w:sz w:val="16"/>
                <w:szCs w:val="16"/>
                <w:lang w:eastAsia="en-AU"/>
              </w:rPr>
            </w:pPr>
            <w:r w:rsidRPr="00B130C2">
              <w:rPr>
                <w:rFonts w:ascii="Arial" w:hAnsi="Arial" w:cs="Arial"/>
                <w:b/>
                <w:bCs/>
                <w:color w:val="0079B9"/>
                <w:sz w:val="16"/>
                <w:szCs w:val="16"/>
                <w:lang w:eastAsia="en-AU"/>
              </w:rPr>
              <w:t>2,993</w:t>
            </w:r>
          </w:p>
        </w:tc>
        <w:tc>
          <w:tcPr>
            <w:tcW w:w="876" w:type="dxa"/>
            <w:tcBorders>
              <w:top w:val="single" w:sz="4" w:space="0" w:color="auto"/>
              <w:left w:val="nil"/>
              <w:bottom w:val="single" w:sz="4" w:space="0" w:color="auto"/>
              <w:right w:val="nil"/>
            </w:tcBorders>
            <w:shd w:val="clear" w:color="000000" w:fill="F2F2F2"/>
            <w:noWrap/>
            <w:vAlign w:val="center"/>
            <w:hideMark/>
          </w:tcPr>
          <w:p w14:paraId="4BCA43F9" w14:textId="77777777" w:rsidR="0052595E" w:rsidRPr="00B130C2" w:rsidRDefault="0052595E" w:rsidP="0052595E">
            <w:pPr>
              <w:jc w:val="right"/>
              <w:rPr>
                <w:rFonts w:ascii="Arial" w:hAnsi="Arial" w:cs="Arial"/>
                <w:b/>
                <w:bCs/>
                <w:color w:val="0079B9"/>
                <w:sz w:val="16"/>
                <w:szCs w:val="16"/>
                <w:lang w:eastAsia="en-AU"/>
              </w:rPr>
            </w:pPr>
            <w:r w:rsidRPr="00B130C2">
              <w:rPr>
                <w:rFonts w:ascii="Arial" w:hAnsi="Arial" w:cs="Arial"/>
                <w:b/>
                <w:bCs/>
                <w:color w:val="0079B9"/>
                <w:sz w:val="16"/>
                <w:szCs w:val="16"/>
                <w:lang w:eastAsia="en-AU"/>
              </w:rPr>
              <w:t>3,160</w:t>
            </w:r>
          </w:p>
        </w:tc>
        <w:tc>
          <w:tcPr>
            <w:tcW w:w="876" w:type="dxa"/>
            <w:tcBorders>
              <w:top w:val="single" w:sz="4" w:space="0" w:color="auto"/>
              <w:left w:val="nil"/>
              <w:bottom w:val="single" w:sz="4" w:space="0" w:color="auto"/>
              <w:right w:val="nil"/>
            </w:tcBorders>
            <w:shd w:val="clear" w:color="000000" w:fill="F2F2F2"/>
            <w:noWrap/>
            <w:vAlign w:val="center"/>
            <w:hideMark/>
          </w:tcPr>
          <w:p w14:paraId="299E93E2" w14:textId="77777777" w:rsidR="0052595E" w:rsidRPr="00B130C2" w:rsidRDefault="0052595E" w:rsidP="0052595E">
            <w:pPr>
              <w:jc w:val="right"/>
              <w:rPr>
                <w:rFonts w:ascii="Arial" w:hAnsi="Arial" w:cs="Arial"/>
                <w:b/>
                <w:bCs/>
                <w:color w:val="0079B9"/>
                <w:sz w:val="16"/>
                <w:szCs w:val="16"/>
                <w:lang w:eastAsia="en-AU"/>
              </w:rPr>
            </w:pPr>
            <w:r w:rsidRPr="00B130C2">
              <w:rPr>
                <w:rFonts w:ascii="Arial" w:hAnsi="Arial" w:cs="Arial"/>
                <w:b/>
                <w:bCs/>
                <w:color w:val="0079B9"/>
                <w:sz w:val="16"/>
                <w:szCs w:val="16"/>
                <w:lang w:eastAsia="en-AU"/>
              </w:rPr>
              <w:t>3,041</w:t>
            </w:r>
          </w:p>
        </w:tc>
        <w:tc>
          <w:tcPr>
            <w:tcW w:w="1143" w:type="dxa"/>
            <w:tcBorders>
              <w:top w:val="single" w:sz="4" w:space="0" w:color="auto"/>
              <w:left w:val="nil"/>
              <w:bottom w:val="single" w:sz="4" w:space="0" w:color="auto"/>
              <w:right w:val="nil"/>
            </w:tcBorders>
            <w:shd w:val="clear" w:color="000000" w:fill="FFFFFF"/>
            <w:vAlign w:val="center"/>
            <w:hideMark/>
          </w:tcPr>
          <w:p w14:paraId="439BFDAC" w14:textId="77777777" w:rsidR="0052595E" w:rsidRPr="00AB52E5" w:rsidRDefault="0052595E" w:rsidP="0052595E">
            <w:pPr>
              <w:jc w:val="center"/>
              <w:rPr>
                <w:rFonts w:ascii="Arial" w:hAnsi="Arial" w:cs="Arial"/>
                <w:b/>
                <w:bCs/>
                <w:color w:val="0079B9"/>
                <w:sz w:val="16"/>
                <w:szCs w:val="16"/>
                <w:lang w:eastAsia="en-AU"/>
              </w:rPr>
            </w:pPr>
            <w:r w:rsidRPr="00AB52E5">
              <w:rPr>
                <w:rFonts w:ascii="Arial" w:hAnsi="Arial" w:cs="Arial"/>
                <w:b/>
                <w:bCs/>
                <w:color w:val="0079B9"/>
                <w:sz w:val="16"/>
                <w:szCs w:val="16"/>
                <w:lang w:eastAsia="en-AU"/>
              </w:rPr>
              <w:t>0.0</w:t>
            </w:r>
          </w:p>
        </w:tc>
      </w:tr>
    </w:tbl>
    <w:p w14:paraId="7A9B3A21" w14:textId="1EFA7DC4" w:rsidR="001E5D2B" w:rsidRPr="005E2906" w:rsidRDefault="00C55E8A" w:rsidP="00EE1690">
      <w:pPr>
        <w:pStyle w:val="Heading3"/>
        <w:numPr>
          <w:ilvl w:val="0"/>
          <w:numId w:val="0"/>
        </w:numPr>
        <w:ind w:left="737" w:hanging="737"/>
        <w:rPr>
          <w:rFonts w:eastAsiaTheme="minorHAnsi"/>
        </w:rPr>
      </w:pPr>
      <w:r w:rsidRPr="005E2906">
        <w:rPr>
          <w:rFonts w:eastAsiaTheme="minorEastAsia"/>
        </w:rPr>
        <w:t>R</w:t>
      </w:r>
      <w:r w:rsidR="001E5D2B" w:rsidRPr="005E2906">
        <w:rPr>
          <w:rFonts w:eastAsiaTheme="minorEastAsia"/>
        </w:rPr>
        <w:t xml:space="preserve">oyalties </w:t>
      </w:r>
    </w:p>
    <w:p w14:paraId="47D3B6FA" w14:textId="199A85EB" w:rsidR="00391984" w:rsidRPr="008F0B8B" w:rsidRDefault="00F87B2D" w:rsidP="0009162C">
      <w:pPr>
        <w:pStyle w:val="BodyText"/>
        <w:rPr>
          <w:i/>
          <w:highlight w:val="yellow"/>
        </w:rPr>
      </w:pPr>
      <w:r w:rsidRPr="005E2906">
        <w:t>M</w:t>
      </w:r>
      <w:r w:rsidR="00F40D78" w:rsidRPr="005E2906">
        <w:t>ining royalties are forecast to</w:t>
      </w:r>
      <w:r w:rsidRPr="005E2906">
        <w:t xml:space="preserve"> </w:t>
      </w:r>
      <w:r w:rsidR="00363F23" w:rsidRPr="005E2906">
        <w:t>be</w:t>
      </w:r>
      <w:r w:rsidR="003B3623" w:rsidRPr="005E2906">
        <w:t xml:space="preserve"> </w:t>
      </w:r>
      <w:r w:rsidR="00F40D78" w:rsidRPr="00460B15">
        <w:t>$</w:t>
      </w:r>
      <w:r w:rsidR="00BC6C53" w:rsidRPr="00460B15">
        <w:t>810.1</w:t>
      </w:r>
      <w:r w:rsidR="7128C282" w:rsidRPr="00460B15">
        <w:t xml:space="preserve"> </w:t>
      </w:r>
      <w:r w:rsidR="008B39E1" w:rsidRPr="00460B15">
        <w:t>m</w:t>
      </w:r>
      <w:r w:rsidR="00F40D78" w:rsidRPr="00460B15">
        <w:t>illion</w:t>
      </w:r>
      <w:r w:rsidR="00F40D78" w:rsidRPr="005E2906">
        <w:t xml:space="preserve"> </w:t>
      </w:r>
      <w:r w:rsidR="0044017B" w:rsidRPr="005E2906">
        <w:t xml:space="preserve">higher </w:t>
      </w:r>
      <w:r w:rsidR="005E2906">
        <w:t>in 202</w:t>
      </w:r>
      <w:r w:rsidR="008B39E1">
        <w:t>1</w:t>
      </w:r>
      <w:r w:rsidR="005E2906">
        <w:t>-2</w:t>
      </w:r>
      <w:r w:rsidR="008B39E1">
        <w:t>2</w:t>
      </w:r>
      <w:r w:rsidR="005E2906">
        <w:t xml:space="preserve"> and </w:t>
      </w:r>
      <w:r w:rsidR="005E2906" w:rsidRPr="00460B15">
        <w:t>$3</w:t>
      </w:r>
      <w:r w:rsidR="008D13FB">
        <w:t>.8 b</w:t>
      </w:r>
      <w:r w:rsidR="005E2906" w:rsidRPr="00460B15">
        <w:t xml:space="preserve">illion </w:t>
      </w:r>
      <w:r w:rsidR="00BC6C53" w:rsidRPr="00460B15">
        <w:t xml:space="preserve">(or </w:t>
      </w:r>
      <w:r w:rsidR="001D135F">
        <w:t>51</w:t>
      </w:r>
      <w:r w:rsidR="00BC6C53" w:rsidRPr="00460B15">
        <w:t>.</w:t>
      </w:r>
      <w:r w:rsidR="001D135F">
        <w:t>9</w:t>
      </w:r>
      <w:r w:rsidR="00B12103">
        <w:t> </w:t>
      </w:r>
      <w:r w:rsidR="00BC6C53" w:rsidRPr="00460B15">
        <w:t>per cent)</w:t>
      </w:r>
      <w:r w:rsidR="005E2906">
        <w:t xml:space="preserve"> higher over the four years to 2025-26</w:t>
      </w:r>
      <w:r w:rsidR="0078242C">
        <w:t>, relative to</w:t>
      </w:r>
      <w:r w:rsidR="005E2906">
        <w:t xml:space="preserve"> expectations</w:t>
      </w:r>
      <w:r w:rsidR="005E2906" w:rsidRPr="005E2906">
        <w:t xml:space="preserve"> at the 2021-22 Half-Yearly Review</w:t>
      </w:r>
      <w:r w:rsidR="005E2906">
        <w:t>.</w:t>
      </w:r>
      <w:r w:rsidR="0078242C">
        <w:t xml:space="preserve"> </w:t>
      </w:r>
    </w:p>
    <w:p w14:paraId="1167DA06" w14:textId="556B898E" w:rsidR="00F45BB3" w:rsidRDefault="006E527B" w:rsidP="0009162C">
      <w:pPr>
        <w:pStyle w:val="BodyText"/>
      </w:pPr>
      <w:r>
        <w:t>Thermal coal prices began rising very quickly in late 2021</w:t>
      </w:r>
      <w:r w:rsidR="00F439F8">
        <w:t xml:space="preserve"> and</w:t>
      </w:r>
      <w:r>
        <w:t xml:space="preserve"> into 2022. Global coal supplies were temporarily curtailed by self-imposed restrictions on Indonesian exports (the largest thermal coal producer) and severe weather events across some of Australia’s major thermal coal producing regions. </w:t>
      </w:r>
      <w:r w:rsidR="00B037F1">
        <w:t xml:space="preserve">Russia’s </w:t>
      </w:r>
      <w:r w:rsidR="008C6621">
        <w:t>invasion of</w:t>
      </w:r>
      <w:r w:rsidR="00B037F1">
        <w:t xml:space="preserve"> Ukraine has</w:t>
      </w:r>
      <w:r w:rsidR="00B037F1" w:rsidRPr="00B037F1">
        <w:t xml:space="preserve"> created significant </w:t>
      </w:r>
      <w:r w:rsidR="001A1674">
        <w:t xml:space="preserve">and long-lasting </w:t>
      </w:r>
      <w:r w:rsidR="00B037F1" w:rsidRPr="00B037F1">
        <w:t>energy supply shortages and uncertainty</w:t>
      </w:r>
      <w:r w:rsidR="00B037F1">
        <w:t xml:space="preserve"> for global commodity markets. </w:t>
      </w:r>
      <w:r w:rsidR="00F45BB3">
        <w:t>Chart 4.</w:t>
      </w:r>
      <w:r w:rsidR="004A24D4">
        <w:t>6</w:t>
      </w:r>
      <w:r w:rsidR="00F45BB3">
        <w:t xml:space="preserve"> shows that t</w:t>
      </w:r>
      <w:r w:rsidR="00B037F1">
        <w:t xml:space="preserve">hermal coal prices </w:t>
      </w:r>
      <w:r w:rsidR="008B39E1">
        <w:t>peaked at more than four</w:t>
      </w:r>
      <w:r w:rsidR="00F439F8">
        <w:t xml:space="preserve"> </w:t>
      </w:r>
      <w:r w:rsidR="008B39E1">
        <w:t>times their long-run average in Ma</w:t>
      </w:r>
      <w:r w:rsidR="008C6621">
        <w:t>y</w:t>
      </w:r>
      <w:r w:rsidR="008B39E1">
        <w:t xml:space="preserve"> 2022</w:t>
      </w:r>
      <w:r w:rsidR="00F45BB3">
        <w:t xml:space="preserve">. </w:t>
      </w:r>
      <w:r w:rsidR="00143710">
        <w:t>T</w:t>
      </w:r>
      <w:r w:rsidR="00F45BB3">
        <w:t>hermal coal</w:t>
      </w:r>
      <w:r w:rsidR="005D73A8">
        <w:t xml:space="preserve"> </w:t>
      </w:r>
      <w:r w:rsidR="00F45BB3">
        <w:t xml:space="preserve">prices </w:t>
      </w:r>
      <w:r w:rsidR="00B037F1">
        <w:t xml:space="preserve">are now expected to be </w:t>
      </w:r>
      <w:r w:rsidR="00143710">
        <w:t>materially</w:t>
      </w:r>
      <w:r w:rsidR="00B037F1">
        <w:t xml:space="preserve"> higher over the four years to 2025-26, relative to 2021-22 Half-Yearly Review forecasts.</w:t>
      </w:r>
    </w:p>
    <w:p w14:paraId="672A9AA8" w14:textId="0FAE311A" w:rsidR="00CC34D4" w:rsidRDefault="00CC34D4" w:rsidP="002368DF">
      <w:pPr>
        <w:pStyle w:val="Chart41"/>
        <w:keepNext/>
        <w:ind w:left="357" w:hanging="357"/>
      </w:pPr>
      <w:r>
        <w:t>Newcastle thermal coal spot price ($US per tonne)</w:t>
      </w:r>
    </w:p>
    <w:p w14:paraId="5E81084B" w14:textId="658A3652" w:rsidR="1AE701AB" w:rsidRPr="00CC34D4" w:rsidRDefault="008F3EC4" w:rsidP="00D464D1">
      <w:pPr>
        <w:rPr>
          <w:iCs/>
        </w:rPr>
      </w:pPr>
      <w:r>
        <w:rPr>
          <w:noProof/>
        </w:rPr>
        <w:drawing>
          <wp:inline distT="0" distB="0" distL="0" distR="0" wp14:anchorId="209A6883" wp14:editId="7C258C82">
            <wp:extent cx="6120765" cy="3145809"/>
            <wp:effectExtent l="0" t="0" r="0" b="0"/>
            <wp:docPr id="1" name="Chart 1" descr="Chart 4.6: Newcastle thermal coal spot price ($US per tonne)">
              <a:extLst xmlns:a="http://schemas.openxmlformats.org/drawingml/2006/main">
                <a:ext uri="{FF2B5EF4-FFF2-40B4-BE49-F238E27FC236}">
                  <a16:creationId xmlns:a16="http://schemas.microsoft.com/office/drawing/2014/main" id="{C3A52836-11D3-490F-9F2E-E66215374C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sectPr w:rsidR="1AE701AB" w:rsidRPr="00CC34D4" w:rsidSect="00B0722F">
      <w:headerReference w:type="even" r:id="rId17"/>
      <w:headerReference w:type="default" r:id="rId18"/>
      <w:footerReference w:type="even" r:id="rId19"/>
      <w:footerReference w:type="default" r:id="rId20"/>
      <w:headerReference w:type="first" r:id="rId21"/>
      <w:footerReference w:type="first" r:id="rId22"/>
      <w:pgSz w:w="11907" w:h="16840" w:code="9"/>
      <w:pgMar w:top="1134" w:right="1134" w:bottom="510" w:left="1134" w:header="454"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F7900" w14:textId="77777777" w:rsidR="00D46694" w:rsidRDefault="00D46694" w:rsidP="007563DF">
      <w:r>
        <w:separator/>
      </w:r>
    </w:p>
  </w:endnote>
  <w:endnote w:type="continuationSeparator" w:id="0">
    <w:p w14:paraId="28095C28" w14:textId="77777777" w:rsidR="00D46694" w:rsidRDefault="00D46694" w:rsidP="007563DF">
      <w:r>
        <w:continuationSeparator/>
      </w:r>
    </w:p>
  </w:endnote>
  <w:endnote w:type="continuationNotice" w:id="1">
    <w:p w14:paraId="392C037A" w14:textId="77777777" w:rsidR="00D46694" w:rsidRDefault="00D466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ucida Sans">
    <w:altName w:val="Calibri"/>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329C9" w14:textId="24F02712" w:rsidR="009315D8" w:rsidRDefault="009315D8" w:rsidP="00ED732F">
    <w:pPr>
      <w:pBdr>
        <w:top w:val="single" w:sz="4" w:space="4" w:color="auto"/>
      </w:pBdr>
      <w:tabs>
        <w:tab w:val="right" w:pos="9639"/>
      </w:tabs>
      <w:rPr>
        <w:rFonts w:ascii="Arial" w:hAnsi="Arial" w:cs="Arial"/>
        <w:sz w:val="18"/>
        <w:szCs w:val="18"/>
      </w:rPr>
    </w:pPr>
    <w:r>
      <w:rPr>
        <w:rFonts w:ascii="Arial" w:hAnsi="Arial" w:cs="Arial"/>
        <w:sz w:val="18"/>
        <w:szCs w:val="18"/>
      </w:rPr>
      <w:t>4</w:t>
    </w:r>
    <w:r w:rsidRPr="008A6479">
      <w:rPr>
        <w:rFonts w:ascii="Arial" w:hAnsi="Arial" w:cs="Arial"/>
        <w:sz w:val="18"/>
        <w:szCs w:val="18"/>
      </w:rPr>
      <w:t xml:space="preserve"> - </w:t>
    </w:r>
    <w:r w:rsidRPr="008A6479">
      <w:rPr>
        <w:rFonts w:ascii="Arial" w:hAnsi="Arial" w:cs="Arial"/>
        <w:sz w:val="18"/>
        <w:szCs w:val="18"/>
      </w:rPr>
      <w:fldChar w:fldCharType="begin"/>
    </w:r>
    <w:r w:rsidRPr="008A6479">
      <w:rPr>
        <w:rFonts w:ascii="Arial" w:hAnsi="Arial" w:cs="Arial"/>
        <w:sz w:val="18"/>
        <w:szCs w:val="18"/>
      </w:rPr>
      <w:instrText xml:space="preserve"> PAGE   \* MERGEFORMAT </w:instrText>
    </w:r>
    <w:r w:rsidRPr="008A6479">
      <w:rPr>
        <w:rFonts w:ascii="Arial" w:hAnsi="Arial" w:cs="Arial"/>
        <w:sz w:val="18"/>
        <w:szCs w:val="18"/>
      </w:rPr>
      <w:fldChar w:fldCharType="separate"/>
    </w:r>
    <w:r>
      <w:rPr>
        <w:rFonts w:ascii="Arial" w:hAnsi="Arial" w:cs="Arial"/>
        <w:noProof/>
        <w:sz w:val="18"/>
        <w:szCs w:val="18"/>
      </w:rPr>
      <w:t>2</w:t>
    </w:r>
    <w:r w:rsidRPr="008A6479">
      <w:rPr>
        <w:rFonts w:ascii="Arial" w:hAnsi="Arial" w:cs="Arial"/>
        <w:noProof/>
        <w:sz w:val="18"/>
        <w:szCs w:val="18"/>
      </w:rPr>
      <w:fldChar w:fldCharType="end"/>
    </w:r>
    <w:r>
      <w:rPr>
        <w:rFonts w:ascii="Arial" w:hAnsi="Arial" w:cs="Arial"/>
        <w:noProof/>
        <w:sz w:val="18"/>
        <w:szCs w:val="18"/>
      </w:rPr>
      <w:tab/>
    </w:r>
    <w:r>
      <w:rPr>
        <w:rFonts w:ascii="Arial" w:hAnsi="Arial" w:cs="Arial"/>
        <w:sz w:val="18"/>
        <w:szCs w:val="18"/>
      </w:rPr>
      <w:t xml:space="preserve">Budget Statement </w:t>
    </w:r>
    <w:r w:rsidR="002F6771">
      <w:rPr>
        <w:rFonts w:ascii="Arial" w:hAnsi="Arial" w:cs="Arial"/>
        <w:sz w:val="18"/>
        <w:szCs w:val="18"/>
      </w:rPr>
      <w:t>2022-23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B13B2" w14:textId="2C17973C" w:rsidR="009315D8" w:rsidRDefault="009315D8" w:rsidP="008A6479">
    <w:pPr>
      <w:pBdr>
        <w:top w:val="single" w:sz="4" w:space="4" w:color="auto"/>
      </w:pBdr>
      <w:tabs>
        <w:tab w:val="right" w:pos="9639"/>
      </w:tabs>
      <w:rPr>
        <w:rFonts w:ascii="Arial" w:hAnsi="Arial" w:cs="Arial"/>
        <w:noProof/>
        <w:sz w:val="18"/>
        <w:szCs w:val="18"/>
      </w:rPr>
    </w:pPr>
    <w:r w:rsidRPr="008A6479">
      <w:rPr>
        <w:rFonts w:ascii="Arial" w:hAnsi="Arial" w:cs="Arial"/>
        <w:sz w:val="18"/>
        <w:szCs w:val="18"/>
      </w:rPr>
      <w:t xml:space="preserve">Budget Statement </w:t>
    </w:r>
    <w:r w:rsidR="002F6771">
      <w:rPr>
        <w:rFonts w:ascii="Arial" w:hAnsi="Arial" w:cs="Arial"/>
        <w:sz w:val="18"/>
        <w:szCs w:val="18"/>
      </w:rPr>
      <w:t>2022-23</w:t>
    </w:r>
    <w:r>
      <w:rPr>
        <w:rFonts w:ascii="Arial" w:hAnsi="Arial" w:cs="Arial"/>
        <w:sz w:val="18"/>
        <w:szCs w:val="18"/>
      </w:rPr>
      <w:tab/>
      <w:t>4</w:t>
    </w:r>
    <w:r w:rsidRPr="008A6479">
      <w:rPr>
        <w:rFonts w:ascii="Arial" w:hAnsi="Arial" w:cs="Arial"/>
        <w:sz w:val="18"/>
        <w:szCs w:val="18"/>
      </w:rPr>
      <w:t xml:space="preserve"> - </w:t>
    </w:r>
    <w:r w:rsidRPr="008A6479">
      <w:rPr>
        <w:rFonts w:ascii="Arial" w:hAnsi="Arial" w:cs="Arial"/>
        <w:sz w:val="18"/>
        <w:szCs w:val="18"/>
      </w:rPr>
      <w:fldChar w:fldCharType="begin"/>
    </w:r>
    <w:r w:rsidRPr="008A6479">
      <w:rPr>
        <w:rFonts w:ascii="Arial" w:hAnsi="Arial" w:cs="Arial"/>
        <w:sz w:val="18"/>
        <w:szCs w:val="18"/>
      </w:rPr>
      <w:instrText xml:space="preserve"> PAGE   \* MERGEFORMAT </w:instrText>
    </w:r>
    <w:r w:rsidRPr="008A6479">
      <w:rPr>
        <w:rFonts w:ascii="Arial" w:hAnsi="Arial" w:cs="Arial"/>
        <w:sz w:val="18"/>
        <w:szCs w:val="18"/>
      </w:rPr>
      <w:fldChar w:fldCharType="separate"/>
    </w:r>
    <w:r>
      <w:rPr>
        <w:rFonts w:ascii="Arial" w:hAnsi="Arial" w:cs="Arial"/>
        <w:noProof/>
        <w:sz w:val="18"/>
        <w:szCs w:val="18"/>
      </w:rPr>
      <w:t>17</w:t>
    </w:r>
    <w:r w:rsidRPr="008A6479">
      <w:rPr>
        <w:rFonts w:ascii="Arial" w:hAnsi="Arial" w:cs="Arial"/>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60E41" w14:textId="2011AD65" w:rsidR="009315D8" w:rsidRDefault="009315D8" w:rsidP="00173EA8">
    <w:pPr>
      <w:pBdr>
        <w:top w:val="single" w:sz="4" w:space="4" w:color="auto"/>
      </w:pBdr>
      <w:tabs>
        <w:tab w:val="right" w:pos="9639"/>
      </w:tabs>
      <w:rPr>
        <w:rFonts w:ascii="Arial" w:hAnsi="Arial" w:cs="Arial"/>
        <w:noProof/>
        <w:sz w:val="18"/>
        <w:szCs w:val="18"/>
      </w:rPr>
    </w:pPr>
    <w:r w:rsidRPr="00383217">
      <w:rPr>
        <w:rFonts w:ascii="Arial" w:hAnsi="Arial" w:cs="Arial"/>
        <w:sz w:val="18"/>
        <w:szCs w:val="18"/>
      </w:rPr>
      <w:t xml:space="preserve">Budget Statement </w:t>
    </w:r>
    <w:r w:rsidR="002F6771">
      <w:rPr>
        <w:rFonts w:ascii="Arial" w:hAnsi="Arial" w:cs="Arial"/>
        <w:sz w:val="18"/>
        <w:szCs w:val="18"/>
      </w:rPr>
      <w:t>2022-23</w:t>
    </w:r>
    <w:r w:rsidRPr="00383217">
      <w:rPr>
        <w:rFonts w:ascii="Arial" w:hAnsi="Arial" w:cs="Arial"/>
        <w:sz w:val="18"/>
        <w:szCs w:val="18"/>
      </w:rPr>
      <w:tab/>
    </w:r>
    <w:r>
      <w:rPr>
        <w:rFonts w:ascii="Arial" w:hAnsi="Arial" w:cs="Arial"/>
        <w:sz w:val="18"/>
        <w:szCs w:val="18"/>
      </w:rPr>
      <w:t>4</w:t>
    </w:r>
    <w:r w:rsidRPr="00383217">
      <w:rPr>
        <w:rFonts w:ascii="Arial" w:hAnsi="Arial" w:cs="Arial"/>
        <w:sz w:val="18"/>
        <w:szCs w:val="18"/>
      </w:rPr>
      <w:t xml:space="preserve"> - </w:t>
    </w:r>
    <w:r w:rsidRPr="00383217">
      <w:rPr>
        <w:rFonts w:ascii="Arial" w:hAnsi="Arial" w:cs="Arial"/>
        <w:sz w:val="18"/>
        <w:szCs w:val="18"/>
      </w:rPr>
      <w:fldChar w:fldCharType="begin"/>
    </w:r>
    <w:r w:rsidRPr="00383217">
      <w:rPr>
        <w:rFonts w:ascii="Arial" w:hAnsi="Arial" w:cs="Arial"/>
        <w:sz w:val="18"/>
        <w:szCs w:val="18"/>
      </w:rPr>
      <w:instrText xml:space="preserve"> PAGE   \* MERGEFORMAT </w:instrText>
    </w:r>
    <w:r w:rsidRPr="00383217">
      <w:rPr>
        <w:rFonts w:ascii="Arial" w:hAnsi="Arial" w:cs="Arial"/>
        <w:sz w:val="18"/>
        <w:szCs w:val="18"/>
      </w:rPr>
      <w:fldChar w:fldCharType="separate"/>
    </w:r>
    <w:r>
      <w:rPr>
        <w:rFonts w:ascii="Arial" w:hAnsi="Arial" w:cs="Arial"/>
        <w:noProof/>
        <w:sz w:val="18"/>
        <w:szCs w:val="18"/>
      </w:rPr>
      <w:t>1</w:t>
    </w:r>
    <w:r w:rsidRPr="00383217">
      <w:rPr>
        <w:rFonts w:ascii="Arial"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00D9D" w14:textId="77777777" w:rsidR="00D46694" w:rsidRDefault="00D46694" w:rsidP="007563DF">
      <w:r>
        <w:separator/>
      </w:r>
    </w:p>
  </w:footnote>
  <w:footnote w:type="continuationSeparator" w:id="0">
    <w:p w14:paraId="1EB85704" w14:textId="77777777" w:rsidR="00D46694" w:rsidRDefault="00D46694" w:rsidP="007563DF">
      <w:r>
        <w:continuationSeparator/>
      </w:r>
    </w:p>
  </w:footnote>
  <w:footnote w:type="continuationNotice" w:id="1">
    <w:p w14:paraId="0C213AA6" w14:textId="77777777" w:rsidR="00D46694" w:rsidRDefault="00D46694"/>
  </w:footnote>
  <w:footnote w:id="2">
    <w:p w14:paraId="4C855EB5" w14:textId="5D608190" w:rsidR="00426702" w:rsidRPr="00BE6C7A" w:rsidRDefault="00426702" w:rsidP="00BE6C7A">
      <w:pPr>
        <w:pStyle w:val="FootnoteText"/>
        <w:ind w:hanging="283"/>
        <w:rPr>
          <w:rFonts w:ascii="Arial" w:hAnsi="Arial" w:cs="Arial"/>
          <w:i w:val="0"/>
        </w:rPr>
      </w:pPr>
      <w:r w:rsidRPr="0080135D">
        <w:rPr>
          <w:rStyle w:val="FootnoteReference"/>
          <w:rFonts w:ascii="Arial" w:hAnsi="Arial" w:cs="Arial"/>
          <w:i w:val="0"/>
        </w:rPr>
        <w:footnoteRef/>
      </w:r>
      <w:r w:rsidRPr="0080135D">
        <w:rPr>
          <w:rFonts w:ascii="Arial" w:hAnsi="Arial" w:cs="Arial"/>
          <w:i w:val="0"/>
        </w:rPr>
        <w:t xml:space="preserve"> </w:t>
      </w:r>
      <w:r w:rsidR="00BE6C7A">
        <w:rPr>
          <w:rFonts w:ascii="Arial" w:hAnsi="Arial" w:cs="Arial"/>
        </w:rPr>
        <w:tab/>
      </w:r>
      <w:r w:rsidRPr="00BE6C7A">
        <w:rPr>
          <w:rFonts w:ascii="Arial" w:hAnsi="Arial" w:cs="Arial"/>
          <w:i w:val="0"/>
        </w:rPr>
        <w:t xml:space="preserve">All references to revenue within this chapter </w:t>
      </w:r>
      <w:r w:rsidR="00526ABA">
        <w:rPr>
          <w:rFonts w:ascii="Arial" w:hAnsi="Arial" w:cs="Arial"/>
          <w:i w:val="0"/>
        </w:rPr>
        <w:t xml:space="preserve">refer to </w:t>
      </w:r>
      <w:r w:rsidRPr="00BE6C7A">
        <w:rPr>
          <w:rFonts w:ascii="Arial" w:hAnsi="Arial" w:cs="Arial"/>
          <w:i w:val="0"/>
        </w:rPr>
        <w:t xml:space="preserve">General Government sector revenues. </w:t>
      </w:r>
      <w:r w:rsidR="006C0BAD">
        <w:rPr>
          <w:rFonts w:ascii="Arial" w:hAnsi="Arial" w:cs="Arial"/>
          <w:i w:val="0"/>
        </w:rPr>
        <w:t xml:space="preserve">Unless stated otherwise, </w:t>
      </w:r>
      <w:r w:rsidR="006635B4">
        <w:rPr>
          <w:rFonts w:ascii="Arial" w:hAnsi="Arial" w:cs="Arial"/>
          <w:i w:val="0"/>
        </w:rPr>
        <w:t xml:space="preserve">revisions </w:t>
      </w:r>
      <w:r w:rsidR="001E2C63">
        <w:rPr>
          <w:rFonts w:ascii="Arial" w:hAnsi="Arial" w:cs="Arial"/>
          <w:i w:val="0"/>
        </w:rPr>
        <w:t>a</w:t>
      </w:r>
      <w:r w:rsidR="00CF4DE5">
        <w:rPr>
          <w:rFonts w:ascii="Arial" w:hAnsi="Arial" w:cs="Arial"/>
          <w:i w:val="0"/>
        </w:rPr>
        <w:t xml:space="preserve">re </w:t>
      </w:r>
      <w:r w:rsidR="00B73D8B">
        <w:rPr>
          <w:rFonts w:ascii="Arial" w:hAnsi="Arial" w:cs="Arial"/>
          <w:i w:val="0"/>
        </w:rPr>
        <w:t xml:space="preserve">cited </w:t>
      </w:r>
      <w:r w:rsidR="00CF4DE5">
        <w:rPr>
          <w:rFonts w:ascii="Arial" w:hAnsi="Arial" w:cs="Arial"/>
          <w:i w:val="0"/>
        </w:rPr>
        <w:t xml:space="preserve">with </w:t>
      </w:r>
      <w:r w:rsidR="006635B4">
        <w:rPr>
          <w:rFonts w:ascii="Arial" w:hAnsi="Arial" w:cs="Arial"/>
          <w:i w:val="0"/>
        </w:rPr>
        <w:t>refer</w:t>
      </w:r>
      <w:r w:rsidR="00CF4DE5">
        <w:rPr>
          <w:rFonts w:ascii="Arial" w:hAnsi="Arial" w:cs="Arial"/>
          <w:i w:val="0"/>
        </w:rPr>
        <w:t>ence</w:t>
      </w:r>
      <w:r w:rsidR="006635B4">
        <w:rPr>
          <w:rFonts w:ascii="Arial" w:hAnsi="Arial" w:cs="Arial"/>
          <w:i w:val="0"/>
        </w:rPr>
        <w:t xml:space="preserve"> to</w:t>
      </w:r>
      <w:r w:rsidR="00CF4DE5">
        <w:rPr>
          <w:rFonts w:ascii="Arial" w:hAnsi="Arial" w:cs="Arial"/>
          <w:i w:val="0"/>
        </w:rPr>
        <w:t xml:space="preserve"> forecasts in</w:t>
      </w:r>
      <w:r w:rsidR="006635B4">
        <w:rPr>
          <w:rFonts w:ascii="Arial" w:hAnsi="Arial" w:cs="Arial"/>
          <w:i w:val="0"/>
        </w:rPr>
        <w:t xml:space="preserve"> the 202</w:t>
      </w:r>
      <w:r w:rsidR="00951653">
        <w:rPr>
          <w:rFonts w:ascii="Arial" w:hAnsi="Arial" w:cs="Arial"/>
          <w:i w:val="0"/>
        </w:rPr>
        <w:t>1</w:t>
      </w:r>
      <w:r w:rsidR="006635B4">
        <w:rPr>
          <w:rFonts w:ascii="Arial" w:hAnsi="Arial" w:cs="Arial"/>
          <w:i w:val="0"/>
        </w:rPr>
        <w:t>-2</w:t>
      </w:r>
      <w:r w:rsidR="00951653">
        <w:rPr>
          <w:rFonts w:ascii="Arial" w:hAnsi="Arial" w:cs="Arial"/>
          <w:i w:val="0"/>
        </w:rPr>
        <w:t>2</w:t>
      </w:r>
      <w:r w:rsidR="006635B4">
        <w:rPr>
          <w:rFonts w:ascii="Arial" w:hAnsi="Arial" w:cs="Arial"/>
          <w:i w:val="0"/>
        </w:rPr>
        <w:t xml:space="preserve"> Half-Yearly Review.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761AE" w14:textId="77777777" w:rsidR="009315D8" w:rsidRPr="00665F94" w:rsidRDefault="009315D8" w:rsidP="006D48F5">
    <w:pPr>
      <w:pBdr>
        <w:bottom w:val="single" w:sz="4" w:space="4" w:color="auto"/>
      </w:pBdr>
      <w:rPr>
        <w:rFonts w:ascii="Arial" w:eastAsia="Calibri" w:hAnsi="Arial" w:cs="Arial"/>
        <w:sz w:val="18"/>
        <w:szCs w:val="18"/>
      </w:rPr>
    </w:pPr>
    <w:r w:rsidRPr="00665F94">
      <w:rPr>
        <w:rFonts w:ascii="Arial" w:eastAsia="Calibri" w:hAnsi="Arial" w:cs="Arial"/>
        <w:sz w:val="18"/>
        <w:szCs w:val="18"/>
      </w:rPr>
      <w:t>Revenue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BFB13" w14:textId="77777777" w:rsidR="009315D8" w:rsidRPr="00665F94" w:rsidRDefault="009315D8" w:rsidP="008A6479">
    <w:pPr>
      <w:pBdr>
        <w:bottom w:val="single" w:sz="4" w:space="4" w:color="auto"/>
      </w:pBdr>
      <w:jc w:val="right"/>
      <w:rPr>
        <w:rFonts w:ascii="Arial" w:eastAsia="Calibri" w:hAnsi="Arial" w:cs="Arial"/>
        <w:sz w:val="18"/>
        <w:szCs w:val="18"/>
      </w:rPr>
    </w:pPr>
    <w:r w:rsidRPr="00665F94">
      <w:rPr>
        <w:rFonts w:ascii="Arial" w:eastAsia="Calibri" w:hAnsi="Arial" w:cs="Arial"/>
        <w:sz w:val="18"/>
        <w:szCs w:val="18"/>
      </w:rPr>
      <w:t>Revenue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4ACFA" w14:textId="77777777" w:rsidR="00277FB3" w:rsidRDefault="00277F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E5882"/>
    <w:multiLevelType w:val="hybridMultilevel"/>
    <w:tmpl w:val="022A7A84"/>
    <w:lvl w:ilvl="0" w:tplc="21EA7204">
      <w:start w:val="1"/>
      <w:numFmt w:val="bullet"/>
      <w:pStyle w:val="Bullet3"/>
      <w:lvlText w:val=""/>
      <w:lvlJc w:val="left"/>
      <w:pPr>
        <w:tabs>
          <w:tab w:val="num" w:pos="1276"/>
        </w:tabs>
        <w:ind w:left="1276" w:hanging="425"/>
      </w:pPr>
      <w:rPr>
        <w:rFonts w:ascii="Symbol" w:hAnsi="Symbol" w:hint="default"/>
        <w:sz w:val="22"/>
      </w:rPr>
    </w:lvl>
    <w:lvl w:ilvl="1" w:tplc="8B8AA224">
      <w:numFmt w:val="decimal"/>
      <w:lvlText w:val=""/>
      <w:lvlJc w:val="left"/>
    </w:lvl>
    <w:lvl w:ilvl="2" w:tplc="D35E689A">
      <w:numFmt w:val="decimal"/>
      <w:lvlText w:val=""/>
      <w:lvlJc w:val="left"/>
    </w:lvl>
    <w:lvl w:ilvl="3" w:tplc="4B76557E">
      <w:numFmt w:val="decimal"/>
      <w:lvlText w:val=""/>
      <w:lvlJc w:val="left"/>
    </w:lvl>
    <w:lvl w:ilvl="4" w:tplc="5B646C92">
      <w:numFmt w:val="decimal"/>
      <w:lvlText w:val=""/>
      <w:lvlJc w:val="left"/>
    </w:lvl>
    <w:lvl w:ilvl="5" w:tplc="8A185E8E">
      <w:numFmt w:val="decimal"/>
      <w:lvlText w:val=""/>
      <w:lvlJc w:val="left"/>
    </w:lvl>
    <w:lvl w:ilvl="6" w:tplc="F978FB4C">
      <w:numFmt w:val="decimal"/>
      <w:lvlText w:val=""/>
      <w:lvlJc w:val="left"/>
    </w:lvl>
    <w:lvl w:ilvl="7" w:tplc="47C2363E">
      <w:numFmt w:val="decimal"/>
      <w:lvlText w:val=""/>
      <w:lvlJc w:val="left"/>
    </w:lvl>
    <w:lvl w:ilvl="8" w:tplc="542205B2">
      <w:numFmt w:val="decimal"/>
      <w:lvlText w:val=""/>
      <w:lvlJc w:val="left"/>
    </w:lvl>
  </w:abstractNum>
  <w:abstractNum w:abstractNumId="1" w15:restartNumberingAfterBreak="0">
    <w:nsid w:val="09AB27D1"/>
    <w:multiLevelType w:val="hybridMultilevel"/>
    <w:tmpl w:val="5A5C0A50"/>
    <w:lvl w:ilvl="0" w:tplc="64CEA066">
      <w:start w:val="1"/>
      <w:numFmt w:val="decimal"/>
      <w:pStyle w:val="Heading2"/>
      <w:lvlText w:val="4.%1"/>
      <w:lvlJc w:val="left"/>
      <w:pPr>
        <w:ind w:left="1080" w:hanging="360"/>
      </w:pPr>
      <w:rPr>
        <w:rFonts w:ascii="Arial Bold" w:hAnsi="Arial Bold" w:hint="default"/>
        <w:b/>
        <w:i w:val="0"/>
        <w:color w:val="008EBA"/>
        <w:sz w:val="28"/>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DCB4AFF"/>
    <w:multiLevelType w:val="hybridMultilevel"/>
    <w:tmpl w:val="C4CC58DA"/>
    <w:lvl w:ilvl="0" w:tplc="54B061C6">
      <w:start w:val="1"/>
      <w:numFmt w:val="bullet"/>
      <w:pStyle w:val="ListBullet1"/>
      <w:lvlText w:val=""/>
      <w:lvlJc w:val="left"/>
      <w:pPr>
        <w:tabs>
          <w:tab w:val="num" w:pos="454"/>
        </w:tabs>
        <w:ind w:left="454" w:hanging="454"/>
      </w:pPr>
      <w:rPr>
        <w:rFonts w:ascii="Symbol" w:hAnsi="Symbol" w:hint="default"/>
      </w:rPr>
    </w:lvl>
    <w:lvl w:ilvl="1" w:tplc="5A70E5E4">
      <w:numFmt w:val="bullet"/>
      <w:lvlText w:val="-"/>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2D55888"/>
    <w:multiLevelType w:val="hybridMultilevel"/>
    <w:tmpl w:val="15FCDF06"/>
    <w:lvl w:ilvl="0" w:tplc="B3D81286">
      <w:start w:val="1"/>
      <w:numFmt w:val="decimal"/>
      <w:pStyle w:val="Table4X"/>
      <w:lvlText w:val="Table 4.%1:"/>
      <w:lvlJc w:val="left"/>
      <w:pPr>
        <w:ind w:left="720" w:hanging="720"/>
      </w:pPr>
      <w:rPr>
        <w:rFonts w:ascii="Arial" w:hAnsi="Arial" w:hint="default"/>
        <w:b w:val="0"/>
        <w:i/>
        <w:caps w:val="0"/>
        <w:color w:val="4F4F4F"/>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552376B"/>
    <w:multiLevelType w:val="hybridMultilevel"/>
    <w:tmpl w:val="C26C5F48"/>
    <w:lvl w:ilvl="0" w:tplc="A15014C4">
      <w:start w:val="1"/>
      <w:numFmt w:val="lowerLetter"/>
      <w:lvlText w:val="(%1)"/>
      <w:lvlJc w:val="left"/>
      <w:pPr>
        <w:ind w:left="720" w:hanging="360"/>
      </w:pPr>
      <w:rPr>
        <w:rFonts w:eastAsia="Times New Roman" w:hint="default"/>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57303A6"/>
    <w:multiLevelType w:val="hybridMultilevel"/>
    <w:tmpl w:val="0D862FCC"/>
    <w:lvl w:ilvl="0" w:tplc="92F68BA8">
      <w:start w:val="1"/>
      <w:numFmt w:val="decimal"/>
      <w:pStyle w:val="41Heading2"/>
      <w:lvlText w:val="4.%1"/>
      <w:lvlJc w:val="left"/>
      <w:pPr>
        <w:ind w:left="360" w:hanging="360"/>
      </w:pPr>
      <w:rPr>
        <w:rFonts w:ascii="Arial Bold" w:hAnsi="Arial Bold" w:hint="default"/>
        <w:b/>
        <w:i w:val="0"/>
        <w:caps w:val="0"/>
        <w:color w:val="008EBA"/>
        <w:sz w:val="28"/>
        <w:u w:color="008EB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59C42BE"/>
    <w:multiLevelType w:val="hybridMultilevel"/>
    <w:tmpl w:val="622CB4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BB9441E"/>
    <w:multiLevelType w:val="hybridMultilevel"/>
    <w:tmpl w:val="C4767E5A"/>
    <w:lvl w:ilvl="0" w:tplc="11C4EB6A">
      <w:start w:val="1"/>
      <w:numFmt w:val="decimal"/>
      <w:pStyle w:val="BoxHeading"/>
      <w:lvlText w:val="Box 1.%1:"/>
      <w:lvlJc w:val="left"/>
      <w:pPr>
        <w:ind w:left="720" w:hanging="360"/>
      </w:pPr>
      <w:rPr>
        <w:rFonts w:ascii="Arial Bold" w:hAnsi="Arial Bold" w:hint="default"/>
        <w:b/>
        <w:i w:val="0"/>
        <w:sz w:val="23"/>
        <w:u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2BD70C2"/>
    <w:multiLevelType w:val="hybridMultilevel"/>
    <w:tmpl w:val="577A4FCA"/>
    <w:lvl w:ilvl="0" w:tplc="4966557C">
      <w:start w:val="1"/>
      <w:numFmt w:val="bullet"/>
      <w:pStyle w:val="Bullet2"/>
      <w:lvlText w:val="–"/>
      <w:lvlJc w:val="left"/>
      <w:pPr>
        <w:tabs>
          <w:tab w:val="num" w:pos="785"/>
        </w:tabs>
        <w:ind w:left="785" w:hanging="360"/>
      </w:pPr>
      <w:rPr>
        <w:rFonts w:ascii="Lucida Sans" w:hAnsi="Lucida Sans"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0DA6701"/>
    <w:multiLevelType w:val="hybridMultilevel"/>
    <w:tmpl w:val="53402698"/>
    <w:lvl w:ilvl="0" w:tplc="DBC6CD0A">
      <w:start w:val="1"/>
      <w:numFmt w:val="bullet"/>
      <w:pStyle w:val="Bullet1inabox"/>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47110CB"/>
    <w:multiLevelType w:val="hybridMultilevel"/>
    <w:tmpl w:val="ADBA6462"/>
    <w:lvl w:ilvl="0" w:tplc="93A47ECA">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AE812FE"/>
    <w:multiLevelType w:val="hybridMultilevel"/>
    <w:tmpl w:val="5F585070"/>
    <w:lvl w:ilvl="0" w:tplc="4BBCE72E">
      <w:start w:val="1"/>
      <w:numFmt w:val="bullet"/>
      <w:pStyle w:val="Bulletrecommendtext"/>
      <w:lvlText w:val=""/>
      <w:lvlJc w:val="left"/>
      <w:pPr>
        <w:ind w:left="360" w:hanging="360"/>
      </w:pPr>
      <w:rPr>
        <w:rFonts w:ascii="Wingdings" w:hAnsi="Wingdings" w:hint="default"/>
      </w:rPr>
    </w:lvl>
    <w:lvl w:ilvl="1" w:tplc="0C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8010E7F"/>
    <w:multiLevelType w:val="hybridMultilevel"/>
    <w:tmpl w:val="2D0EDDFC"/>
    <w:lvl w:ilvl="0" w:tplc="7DE8B6F4">
      <w:start w:val="1"/>
      <w:numFmt w:val="bullet"/>
      <w:pStyle w:val="Bullet2inabox"/>
      <w:lvlText w:val="–"/>
      <w:lvlJc w:val="left"/>
      <w:pPr>
        <w:ind w:left="720" w:hanging="360"/>
      </w:pPr>
      <w:rPr>
        <w:rFonts w:ascii="Lucida Sans" w:hAnsi="Lucida Sans" w:hint="default"/>
        <w:color w:val="008EBA"/>
        <w:sz w:val="2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1A1949"/>
    <w:multiLevelType w:val="hybridMultilevel"/>
    <w:tmpl w:val="7DFE196C"/>
    <w:lvl w:ilvl="0" w:tplc="76809DFA">
      <w:start w:val="1"/>
      <w:numFmt w:val="decimal"/>
      <w:pStyle w:val="Chart41"/>
      <w:lvlText w:val="Chart 4.%1:"/>
      <w:lvlJc w:val="left"/>
      <w:pPr>
        <w:ind w:left="360" w:hanging="360"/>
      </w:pPr>
      <w:rPr>
        <w:rFonts w:ascii="Arial" w:hAnsi="Arial" w:hint="default"/>
        <w:b w:val="0"/>
        <w:i/>
        <w:sz w:val="22"/>
        <w:u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D75283"/>
    <w:multiLevelType w:val="multilevel"/>
    <w:tmpl w:val="75387DA8"/>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11"/>
  </w:num>
  <w:num w:numId="3">
    <w:abstractNumId w:val="3"/>
  </w:num>
  <w:num w:numId="4">
    <w:abstractNumId w:val="13"/>
  </w:num>
  <w:num w:numId="5">
    <w:abstractNumId w:val="14"/>
  </w:num>
  <w:num w:numId="6">
    <w:abstractNumId w:val="7"/>
  </w:num>
  <w:num w:numId="7">
    <w:abstractNumId w:val="4"/>
  </w:num>
  <w:num w:numId="8">
    <w:abstractNumId w:val="1"/>
  </w:num>
  <w:num w:numId="9">
    <w:abstractNumId w:val="6"/>
  </w:num>
  <w:num w:numId="10">
    <w:abstractNumId w:val="5"/>
  </w:num>
  <w:num w:numId="11">
    <w:abstractNumId w:val="0"/>
  </w:num>
  <w:num w:numId="12">
    <w:abstractNumId w:val="9"/>
  </w:num>
  <w:num w:numId="13">
    <w:abstractNumId w:val="8"/>
  </w:num>
  <w:num w:numId="14">
    <w:abstractNumId w:val="12"/>
  </w:num>
  <w:num w:numId="15">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7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E0NwACUzNjcwsDIyUdpeDU4uLM/DyQApNaAGK4pFksAAAA"/>
    <w:docVar w:name="SV_QUERY_LIST_4F35BF76-6C0D-4D9B-82B2-816C12CF3733" w:val="empty_477D106A-C0D6-4607-AEBD-E2C9D60EA279"/>
  </w:docVars>
  <w:rsids>
    <w:rsidRoot w:val="007563DF"/>
    <w:rsid w:val="00000075"/>
    <w:rsid w:val="00000109"/>
    <w:rsid w:val="0000020D"/>
    <w:rsid w:val="000003AE"/>
    <w:rsid w:val="000003DA"/>
    <w:rsid w:val="0000043B"/>
    <w:rsid w:val="00000441"/>
    <w:rsid w:val="0000046E"/>
    <w:rsid w:val="000004B8"/>
    <w:rsid w:val="00000659"/>
    <w:rsid w:val="000006A4"/>
    <w:rsid w:val="0000071C"/>
    <w:rsid w:val="0000075E"/>
    <w:rsid w:val="00000768"/>
    <w:rsid w:val="00000872"/>
    <w:rsid w:val="000008D5"/>
    <w:rsid w:val="000008E7"/>
    <w:rsid w:val="00000A52"/>
    <w:rsid w:val="00000BE0"/>
    <w:rsid w:val="00000D15"/>
    <w:rsid w:val="00000F3C"/>
    <w:rsid w:val="0000111A"/>
    <w:rsid w:val="00001167"/>
    <w:rsid w:val="0000123D"/>
    <w:rsid w:val="00001354"/>
    <w:rsid w:val="00001712"/>
    <w:rsid w:val="0000175C"/>
    <w:rsid w:val="000017BA"/>
    <w:rsid w:val="0000182B"/>
    <w:rsid w:val="00001AAB"/>
    <w:rsid w:val="00001B4C"/>
    <w:rsid w:val="00002096"/>
    <w:rsid w:val="000021F6"/>
    <w:rsid w:val="0000222F"/>
    <w:rsid w:val="00002538"/>
    <w:rsid w:val="00002579"/>
    <w:rsid w:val="000025F6"/>
    <w:rsid w:val="00002915"/>
    <w:rsid w:val="00002936"/>
    <w:rsid w:val="00002959"/>
    <w:rsid w:val="00002ACD"/>
    <w:rsid w:val="00002C33"/>
    <w:rsid w:val="00002D17"/>
    <w:rsid w:val="00002E50"/>
    <w:rsid w:val="00002EF9"/>
    <w:rsid w:val="0000302C"/>
    <w:rsid w:val="00003110"/>
    <w:rsid w:val="0000317D"/>
    <w:rsid w:val="00003418"/>
    <w:rsid w:val="00003594"/>
    <w:rsid w:val="00003712"/>
    <w:rsid w:val="0000376D"/>
    <w:rsid w:val="000037B7"/>
    <w:rsid w:val="00003BDB"/>
    <w:rsid w:val="00003C10"/>
    <w:rsid w:val="00003CA4"/>
    <w:rsid w:val="00003F68"/>
    <w:rsid w:val="00003FBC"/>
    <w:rsid w:val="00004024"/>
    <w:rsid w:val="0000415B"/>
    <w:rsid w:val="000042F0"/>
    <w:rsid w:val="0000432C"/>
    <w:rsid w:val="000043CB"/>
    <w:rsid w:val="000044B1"/>
    <w:rsid w:val="00004508"/>
    <w:rsid w:val="000048CA"/>
    <w:rsid w:val="00004A16"/>
    <w:rsid w:val="00004A49"/>
    <w:rsid w:val="00004A75"/>
    <w:rsid w:val="00004B31"/>
    <w:rsid w:val="00004BFF"/>
    <w:rsid w:val="00004C37"/>
    <w:rsid w:val="00004CC8"/>
    <w:rsid w:val="00004D35"/>
    <w:rsid w:val="00005038"/>
    <w:rsid w:val="00005185"/>
    <w:rsid w:val="000053DD"/>
    <w:rsid w:val="0000545D"/>
    <w:rsid w:val="0000552A"/>
    <w:rsid w:val="000056DA"/>
    <w:rsid w:val="0000570C"/>
    <w:rsid w:val="0000586D"/>
    <w:rsid w:val="00005971"/>
    <w:rsid w:val="00005A63"/>
    <w:rsid w:val="00005BBB"/>
    <w:rsid w:val="00005CAE"/>
    <w:rsid w:val="00005CCF"/>
    <w:rsid w:val="00005D56"/>
    <w:rsid w:val="00005E61"/>
    <w:rsid w:val="00005E69"/>
    <w:rsid w:val="00005F8A"/>
    <w:rsid w:val="0000600D"/>
    <w:rsid w:val="00006049"/>
    <w:rsid w:val="00006645"/>
    <w:rsid w:val="00006748"/>
    <w:rsid w:val="000067A6"/>
    <w:rsid w:val="000067CE"/>
    <w:rsid w:val="00006AB5"/>
    <w:rsid w:val="00006BFE"/>
    <w:rsid w:val="00006D05"/>
    <w:rsid w:val="00006DA4"/>
    <w:rsid w:val="00006E15"/>
    <w:rsid w:val="00006E3F"/>
    <w:rsid w:val="00006EA1"/>
    <w:rsid w:val="00006EF0"/>
    <w:rsid w:val="0000708B"/>
    <w:rsid w:val="0000726D"/>
    <w:rsid w:val="000072FF"/>
    <w:rsid w:val="000073F2"/>
    <w:rsid w:val="00007557"/>
    <w:rsid w:val="00007619"/>
    <w:rsid w:val="00007A78"/>
    <w:rsid w:val="00007B3D"/>
    <w:rsid w:val="00007C09"/>
    <w:rsid w:val="0001009F"/>
    <w:rsid w:val="000104EE"/>
    <w:rsid w:val="000105E3"/>
    <w:rsid w:val="000105FA"/>
    <w:rsid w:val="000108EF"/>
    <w:rsid w:val="00010905"/>
    <w:rsid w:val="00010966"/>
    <w:rsid w:val="00010A4E"/>
    <w:rsid w:val="00010DB3"/>
    <w:rsid w:val="00010F50"/>
    <w:rsid w:val="00010FB7"/>
    <w:rsid w:val="0001100E"/>
    <w:rsid w:val="0001106B"/>
    <w:rsid w:val="0001113C"/>
    <w:rsid w:val="00011199"/>
    <w:rsid w:val="000112CB"/>
    <w:rsid w:val="000113AE"/>
    <w:rsid w:val="000114D1"/>
    <w:rsid w:val="0001166F"/>
    <w:rsid w:val="000116B6"/>
    <w:rsid w:val="00011930"/>
    <w:rsid w:val="0001193D"/>
    <w:rsid w:val="00011940"/>
    <w:rsid w:val="00011A07"/>
    <w:rsid w:val="00011D5D"/>
    <w:rsid w:val="00011F0A"/>
    <w:rsid w:val="00011FAC"/>
    <w:rsid w:val="00011FE9"/>
    <w:rsid w:val="000120FC"/>
    <w:rsid w:val="00012258"/>
    <w:rsid w:val="00012497"/>
    <w:rsid w:val="00012649"/>
    <w:rsid w:val="00012952"/>
    <w:rsid w:val="0001296A"/>
    <w:rsid w:val="000129F8"/>
    <w:rsid w:val="000129FE"/>
    <w:rsid w:val="00012C71"/>
    <w:rsid w:val="00012D08"/>
    <w:rsid w:val="0001316D"/>
    <w:rsid w:val="00013253"/>
    <w:rsid w:val="0001330E"/>
    <w:rsid w:val="00013320"/>
    <w:rsid w:val="00013397"/>
    <w:rsid w:val="00013479"/>
    <w:rsid w:val="00013720"/>
    <w:rsid w:val="0001372A"/>
    <w:rsid w:val="000138F0"/>
    <w:rsid w:val="0001398C"/>
    <w:rsid w:val="00013B2B"/>
    <w:rsid w:val="00013C51"/>
    <w:rsid w:val="00013F0F"/>
    <w:rsid w:val="00013F8A"/>
    <w:rsid w:val="00013F9C"/>
    <w:rsid w:val="00014214"/>
    <w:rsid w:val="00014275"/>
    <w:rsid w:val="000142D8"/>
    <w:rsid w:val="000142F3"/>
    <w:rsid w:val="00014411"/>
    <w:rsid w:val="0001455D"/>
    <w:rsid w:val="00014604"/>
    <w:rsid w:val="00014622"/>
    <w:rsid w:val="00014638"/>
    <w:rsid w:val="000146FB"/>
    <w:rsid w:val="00014853"/>
    <w:rsid w:val="0001490B"/>
    <w:rsid w:val="00014A45"/>
    <w:rsid w:val="00014CCC"/>
    <w:rsid w:val="00014EAF"/>
    <w:rsid w:val="00014EEE"/>
    <w:rsid w:val="00014F67"/>
    <w:rsid w:val="00015106"/>
    <w:rsid w:val="00015142"/>
    <w:rsid w:val="0001528B"/>
    <w:rsid w:val="0001550F"/>
    <w:rsid w:val="0001559A"/>
    <w:rsid w:val="00015670"/>
    <w:rsid w:val="00015B53"/>
    <w:rsid w:val="00015C14"/>
    <w:rsid w:val="00015C93"/>
    <w:rsid w:val="00015DD2"/>
    <w:rsid w:val="00015FF4"/>
    <w:rsid w:val="0001607D"/>
    <w:rsid w:val="0001610E"/>
    <w:rsid w:val="000161E5"/>
    <w:rsid w:val="0001631C"/>
    <w:rsid w:val="000163A3"/>
    <w:rsid w:val="00016A53"/>
    <w:rsid w:val="00016F48"/>
    <w:rsid w:val="000171D2"/>
    <w:rsid w:val="000171EE"/>
    <w:rsid w:val="00017351"/>
    <w:rsid w:val="000173F3"/>
    <w:rsid w:val="000176D5"/>
    <w:rsid w:val="00017730"/>
    <w:rsid w:val="000177AB"/>
    <w:rsid w:val="00017905"/>
    <w:rsid w:val="00017963"/>
    <w:rsid w:val="000179E3"/>
    <w:rsid w:val="00017A6A"/>
    <w:rsid w:val="00017C15"/>
    <w:rsid w:val="00017DF4"/>
    <w:rsid w:val="00017EBE"/>
    <w:rsid w:val="00017FC3"/>
    <w:rsid w:val="00020089"/>
    <w:rsid w:val="00020163"/>
    <w:rsid w:val="00020304"/>
    <w:rsid w:val="000203F0"/>
    <w:rsid w:val="000207CD"/>
    <w:rsid w:val="00020870"/>
    <w:rsid w:val="00020904"/>
    <w:rsid w:val="00020B80"/>
    <w:rsid w:val="00020CA8"/>
    <w:rsid w:val="00020DB9"/>
    <w:rsid w:val="00020E41"/>
    <w:rsid w:val="00020E84"/>
    <w:rsid w:val="00020E99"/>
    <w:rsid w:val="0002100D"/>
    <w:rsid w:val="00021114"/>
    <w:rsid w:val="00021277"/>
    <w:rsid w:val="000212C4"/>
    <w:rsid w:val="0002137A"/>
    <w:rsid w:val="0002140B"/>
    <w:rsid w:val="0002142F"/>
    <w:rsid w:val="0002148D"/>
    <w:rsid w:val="00021B42"/>
    <w:rsid w:val="00021CB8"/>
    <w:rsid w:val="00021E33"/>
    <w:rsid w:val="00022030"/>
    <w:rsid w:val="0002221B"/>
    <w:rsid w:val="0002221F"/>
    <w:rsid w:val="000223B4"/>
    <w:rsid w:val="00022434"/>
    <w:rsid w:val="00022561"/>
    <w:rsid w:val="0002271F"/>
    <w:rsid w:val="000228DA"/>
    <w:rsid w:val="00022945"/>
    <w:rsid w:val="00022A84"/>
    <w:rsid w:val="00022ADC"/>
    <w:rsid w:val="00022AE8"/>
    <w:rsid w:val="00022B5E"/>
    <w:rsid w:val="00022C62"/>
    <w:rsid w:val="00022D5F"/>
    <w:rsid w:val="00022DA8"/>
    <w:rsid w:val="00022FA5"/>
    <w:rsid w:val="00023115"/>
    <w:rsid w:val="0002315A"/>
    <w:rsid w:val="0002351B"/>
    <w:rsid w:val="000236D7"/>
    <w:rsid w:val="00023754"/>
    <w:rsid w:val="000238A2"/>
    <w:rsid w:val="00023A5C"/>
    <w:rsid w:val="00023C2C"/>
    <w:rsid w:val="00023CB4"/>
    <w:rsid w:val="00023D2F"/>
    <w:rsid w:val="00023F14"/>
    <w:rsid w:val="00024064"/>
    <w:rsid w:val="0002428C"/>
    <w:rsid w:val="000242C2"/>
    <w:rsid w:val="0002438A"/>
    <w:rsid w:val="000248A4"/>
    <w:rsid w:val="000248B6"/>
    <w:rsid w:val="000249E3"/>
    <w:rsid w:val="000249F4"/>
    <w:rsid w:val="00024A01"/>
    <w:rsid w:val="00024A18"/>
    <w:rsid w:val="00024B16"/>
    <w:rsid w:val="00024B44"/>
    <w:rsid w:val="00024B8B"/>
    <w:rsid w:val="00024BA7"/>
    <w:rsid w:val="00024EA0"/>
    <w:rsid w:val="00025116"/>
    <w:rsid w:val="0002519D"/>
    <w:rsid w:val="0002548E"/>
    <w:rsid w:val="000255B4"/>
    <w:rsid w:val="000255BD"/>
    <w:rsid w:val="000256F5"/>
    <w:rsid w:val="000257F2"/>
    <w:rsid w:val="00025A22"/>
    <w:rsid w:val="00025BF2"/>
    <w:rsid w:val="00025C62"/>
    <w:rsid w:val="00025C8C"/>
    <w:rsid w:val="00025D0D"/>
    <w:rsid w:val="00025F6A"/>
    <w:rsid w:val="00026031"/>
    <w:rsid w:val="00026231"/>
    <w:rsid w:val="0002624B"/>
    <w:rsid w:val="00026262"/>
    <w:rsid w:val="000262C3"/>
    <w:rsid w:val="000263F2"/>
    <w:rsid w:val="000265D3"/>
    <w:rsid w:val="000267F9"/>
    <w:rsid w:val="000268D8"/>
    <w:rsid w:val="00026920"/>
    <w:rsid w:val="000269BC"/>
    <w:rsid w:val="00026C8A"/>
    <w:rsid w:val="00026E5F"/>
    <w:rsid w:val="00026FD2"/>
    <w:rsid w:val="000273A4"/>
    <w:rsid w:val="000274B4"/>
    <w:rsid w:val="000274FC"/>
    <w:rsid w:val="0002767E"/>
    <w:rsid w:val="000278E2"/>
    <w:rsid w:val="00027936"/>
    <w:rsid w:val="00027A3B"/>
    <w:rsid w:val="00027B67"/>
    <w:rsid w:val="00027BE2"/>
    <w:rsid w:val="00027C10"/>
    <w:rsid w:val="00027CCF"/>
    <w:rsid w:val="00030108"/>
    <w:rsid w:val="0003013F"/>
    <w:rsid w:val="000301E9"/>
    <w:rsid w:val="000301F9"/>
    <w:rsid w:val="00030768"/>
    <w:rsid w:val="000307B1"/>
    <w:rsid w:val="00030940"/>
    <w:rsid w:val="0003098A"/>
    <w:rsid w:val="000309DE"/>
    <w:rsid w:val="00030B64"/>
    <w:rsid w:val="00030E3F"/>
    <w:rsid w:val="00031000"/>
    <w:rsid w:val="00031077"/>
    <w:rsid w:val="00031172"/>
    <w:rsid w:val="00031425"/>
    <w:rsid w:val="000314BB"/>
    <w:rsid w:val="000314CD"/>
    <w:rsid w:val="000315C7"/>
    <w:rsid w:val="000317A1"/>
    <w:rsid w:val="0003182B"/>
    <w:rsid w:val="000318A6"/>
    <w:rsid w:val="00031912"/>
    <w:rsid w:val="000319DE"/>
    <w:rsid w:val="00031B7C"/>
    <w:rsid w:val="00031C47"/>
    <w:rsid w:val="00031ED2"/>
    <w:rsid w:val="0003215A"/>
    <w:rsid w:val="0003227C"/>
    <w:rsid w:val="000322D3"/>
    <w:rsid w:val="0003276C"/>
    <w:rsid w:val="000327A6"/>
    <w:rsid w:val="000328A7"/>
    <w:rsid w:val="000328C1"/>
    <w:rsid w:val="000329AF"/>
    <w:rsid w:val="00032B2A"/>
    <w:rsid w:val="00032C9D"/>
    <w:rsid w:val="00032CCB"/>
    <w:rsid w:val="00032CFD"/>
    <w:rsid w:val="00032D8C"/>
    <w:rsid w:val="00032F23"/>
    <w:rsid w:val="00032F74"/>
    <w:rsid w:val="000331D5"/>
    <w:rsid w:val="000332C1"/>
    <w:rsid w:val="0003334A"/>
    <w:rsid w:val="00033375"/>
    <w:rsid w:val="0003344D"/>
    <w:rsid w:val="00033484"/>
    <w:rsid w:val="00033595"/>
    <w:rsid w:val="0003367E"/>
    <w:rsid w:val="000337B2"/>
    <w:rsid w:val="00033956"/>
    <w:rsid w:val="00033BFB"/>
    <w:rsid w:val="00033D32"/>
    <w:rsid w:val="00033D7C"/>
    <w:rsid w:val="00033F2F"/>
    <w:rsid w:val="00033F33"/>
    <w:rsid w:val="00033F43"/>
    <w:rsid w:val="00033FBC"/>
    <w:rsid w:val="00034045"/>
    <w:rsid w:val="000341A7"/>
    <w:rsid w:val="000341AA"/>
    <w:rsid w:val="00034310"/>
    <w:rsid w:val="00034600"/>
    <w:rsid w:val="00034AC5"/>
    <w:rsid w:val="00034B0D"/>
    <w:rsid w:val="00034DB8"/>
    <w:rsid w:val="00034E3D"/>
    <w:rsid w:val="00034F92"/>
    <w:rsid w:val="0003502D"/>
    <w:rsid w:val="000350A0"/>
    <w:rsid w:val="000351D3"/>
    <w:rsid w:val="000351ED"/>
    <w:rsid w:val="00035252"/>
    <w:rsid w:val="000352B3"/>
    <w:rsid w:val="0003544B"/>
    <w:rsid w:val="0003551A"/>
    <w:rsid w:val="00035840"/>
    <w:rsid w:val="0003597F"/>
    <w:rsid w:val="000359D7"/>
    <w:rsid w:val="00035A8B"/>
    <w:rsid w:val="00035AF8"/>
    <w:rsid w:val="00035F21"/>
    <w:rsid w:val="00036065"/>
    <w:rsid w:val="00036070"/>
    <w:rsid w:val="0003619A"/>
    <w:rsid w:val="000361F8"/>
    <w:rsid w:val="0003629F"/>
    <w:rsid w:val="000362DB"/>
    <w:rsid w:val="0003636D"/>
    <w:rsid w:val="0003639F"/>
    <w:rsid w:val="00036461"/>
    <w:rsid w:val="00036472"/>
    <w:rsid w:val="000364E6"/>
    <w:rsid w:val="00036509"/>
    <w:rsid w:val="0003670E"/>
    <w:rsid w:val="000367F5"/>
    <w:rsid w:val="000369AD"/>
    <w:rsid w:val="00036B8E"/>
    <w:rsid w:val="00036E27"/>
    <w:rsid w:val="00036EB0"/>
    <w:rsid w:val="00036EC5"/>
    <w:rsid w:val="00036F37"/>
    <w:rsid w:val="00037059"/>
    <w:rsid w:val="000371AB"/>
    <w:rsid w:val="0003721A"/>
    <w:rsid w:val="00037368"/>
    <w:rsid w:val="00037934"/>
    <w:rsid w:val="000379E9"/>
    <w:rsid w:val="00037AA7"/>
    <w:rsid w:val="00037FC8"/>
    <w:rsid w:val="0004002F"/>
    <w:rsid w:val="000401E4"/>
    <w:rsid w:val="00040427"/>
    <w:rsid w:val="000404BB"/>
    <w:rsid w:val="00040937"/>
    <w:rsid w:val="00040A98"/>
    <w:rsid w:val="00040C6D"/>
    <w:rsid w:val="000410C8"/>
    <w:rsid w:val="00041257"/>
    <w:rsid w:val="000413D7"/>
    <w:rsid w:val="0004165D"/>
    <w:rsid w:val="00041ACA"/>
    <w:rsid w:val="00041B16"/>
    <w:rsid w:val="00041B84"/>
    <w:rsid w:val="0004219D"/>
    <w:rsid w:val="000421C9"/>
    <w:rsid w:val="00042437"/>
    <w:rsid w:val="000426CF"/>
    <w:rsid w:val="00042707"/>
    <w:rsid w:val="00042740"/>
    <w:rsid w:val="00042906"/>
    <w:rsid w:val="00042994"/>
    <w:rsid w:val="00042BE8"/>
    <w:rsid w:val="00042DF7"/>
    <w:rsid w:val="00042E51"/>
    <w:rsid w:val="00042F4F"/>
    <w:rsid w:val="0004309C"/>
    <w:rsid w:val="00043298"/>
    <w:rsid w:val="000432B2"/>
    <w:rsid w:val="00043374"/>
    <w:rsid w:val="00043892"/>
    <w:rsid w:val="00043CC9"/>
    <w:rsid w:val="00043CE0"/>
    <w:rsid w:val="00043D84"/>
    <w:rsid w:val="00043D9E"/>
    <w:rsid w:val="00043EB0"/>
    <w:rsid w:val="00043F52"/>
    <w:rsid w:val="00044049"/>
    <w:rsid w:val="000440BE"/>
    <w:rsid w:val="00044125"/>
    <w:rsid w:val="00044298"/>
    <w:rsid w:val="000442B0"/>
    <w:rsid w:val="000442C4"/>
    <w:rsid w:val="00044450"/>
    <w:rsid w:val="000447EF"/>
    <w:rsid w:val="00044801"/>
    <w:rsid w:val="000448DE"/>
    <w:rsid w:val="00044954"/>
    <w:rsid w:val="00044995"/>
    <w:rsid w:val="000449B2"/>
    <w:rsid w:val="00044A9B"/>
    <w:rsid w:val="00044B6E"/>
    <w:rsid w:val="00044C75"/>
    <w:rsid w:val="00044F82"/>
    <w:rsid w:val="00044FE1"/>
    <w:rsid w:val="00044FFC"/>
    <w:rsid w:val="000451DB"/>
    <w:rsid w:val="0004539D"/>
    <w:rsid w:val="000453D3"/>
    <w:rsid w:val="00045436"/>
    <w:rsid w:val="00045663"/>
    <w:rsid w:val="00045697"/>
    <w:rsid w:val="0004579A"/>
    <w:rsid w:val="00045A0C"/>
    <w:rsid w:val="00045AB5"/>
    <w:rsid w:val="00045ADB"/>
    <w:rsid w:val="00045AE2"/>
    <w:rsid w:val="00045B56"/>
    <w:rsid w:val="00045BB7"/>
    <w:rsid w:val="00045DE6"/>
    <w:rsid w:val="00045DF7"/>
    <w:rsid w:val="00045FB8"/>
    <w:rsid w:val="0004609F"/>
    <w:rsid w:val="000461C0"/>
    <w:rsid w:val="000462B5"/>
    <w:rsid w:val="0004635F"/>
    <w:rsid w:val="000465EC"/>
    <w:rsid w:val="00046600"/>
    <w:rsid w:val="000466FA"/>
    <w:rsid w:val="00046849"/>
    <w:rsid w:val="00046947"/>
    <w:rsid w:val="00046BD8"/>
    <w:rsid w:val="00046C3A"/>
    <w:rsid w:val="00046CC2"/>
    <w:rsid w:val="00046D91"/>
    <w:rsid w:val="00046DEC"/>
    <w:rsid w:val="00046E8B"/>
    <w:rsid w:val="00047167"/>
    <w:rsid w:val="000471BC"/>
    <w:rsid w:val="0004729E"/>
    <w:rsid w:val="000472A6"/>
    <w:rsid w:val="0004748B"/>
    <w:rsid w:val="000474FB"/>
    <w:rsid w:val="0004758C"/>
    <w:rsid w:val="00047759"/>
    <w:rsid w:val="00047A4E"/>
    <w:rsid w:val="00047CCD"/>
    <w:rsid w:val="00047E6D"/>
    <w:rsid w:val="00047EBF"/>
    <w:rsid w:val="00050007"/>
    <w:rsid w:val="00050022"/>
    <w:rsid w:val="00050049"/>
    <w:rsid w:val="0005004B"/>
    <w:rsid w:val="00050083"/>
    <w:rsid w:val="0005008E"/>
    <w:rsid w:val="00050091"/>
    <w:rsid w:val="0005024A"/>
    <w:rsid w:val="0005037C"/>
    <w:rsid w:val="0005042B"/>
    <w:rsid w:val="00050472"/>
    <w:rsid w:val="000506FA"/>
    <w:rsid w:val="00050752"/>
    <w:rsid w:val="00050808"/>
    <w:rsid w:val="00050904"/>
    <w:rsid w:val="000509F7"/>
    <w:rsid w:val="00050A2C"/>
    <w:rsid w:val="00050A84"/>
    <w:rsid w:val="00050C61"/>
    <w:rsid w:val="00050CF4"/>
    <w:rsid w:val="00050E71"/>
    <w:rsid w:val="00050E9F"/>
    <w:rsid w:val="00051243"/>
    <w:rsid w:val="000514AF"/>
    <w:rsid w:val="000515BB"/>
    <w:rsid w:val="0005172E"/>
    <w:rsid w:val="000517C4"/>
    <w:rsid w:val="00051979"/>
    <w:rsid w:val="00051A29"/>
    <w:rsid w:val="00051A69"/>
    <w:rsid w:val="00051AA2"/>
    <w:rsid w:val="00051AEA"/>
    <w:rsid w:val="00051D2F"/>
    <w:rsid w:val="00051E77"/>
    <w:rsid w:val="00052005"/>
    <w:rsid w:val="00052085"/>
    <w:rsid w:val="0005212A"/>
    <w:rsid w:val="000523D5"/>
    <w:rsid w:val="00052844"/>
    <w:rsid w:val="000529F1"/>
    <w:rsid w:val="000529F4"/>
    <w:rsid w:val="00052ACC"/>
    <w:rsid w:val="00052B11"/>
    <w:rsid w:val="00052B1B"/>
    <w:rsid w:val="00052CD2"/>
    <w:rsid w:val="00052D86"/>
    <w:rsid w:val="00052ED6"/>
    <w:rsid w:val="00052FB3"/>
    <w:rsid w:val="00052FF7"/>
    <w:rsid w:val="0005306C"/>
    <w:rsid w:val="00053193"/>
    <w:rsid w:val="00053237"/>
    <w:rsid w:val="00053360"/>
    <w:rsid w:val="000533E4"/>
    <w:rsid w:val="0005366F"/>
    <w:rsid w:val="00053896"/>
    <w:rsid w:val="000538B5"/>
    <w:rsid w:val="00053A3E"/>
    <w:rsid w:val="00053C0F"/>
    <w:rsid w:val="00053F75"/>
    <w:rsid w:val="0005423B"/>
    <w:rsid w:val="00054462"/>
    <w:rsid w:val="00054683"/>
    <w:rsid w:val="000548EC"/>
    <w:rsid w:val="00054B1F"/>
    <w:rsid w:val="00054BA3"/>
    <w:rsid w:val="00054CE7"/>
    <w:rsid w:val="00054CFC"/>
    <w:rsid w:val="00054D24"/>
    <w:rsid w:val="00054DB5"/>
    <w:rsid w:val="00054E2E"/>
    <w:rsid w:val="00054E37"/>
    <w:rsid w:val="00054F5C"/>
    <w:rsid w:val="00054FB1"/>
    <w:rsid w:val="0005507D"/>
    <w:rsid w:val="00055294"/>
    <w:rsid w:val="000552B2"/>
    <w:rsid w:val="000552CC"/>
    <w:rsid w:val="00055352"/>
    <w:rsid w:val="0005549D"/>
    <w:rsid w:val="000555B3"/>
    <w:rsid w:val="000555DC"/>
    <w:rsid w:val="00055611"/>
    <w:rsid w:val="000556F0"/>
    <w:rsid w:val="00055B6B"/>
    <w:rsid w:val="00055BD4"/>
    <w:rsid w:val="00055D45"/>
    <w:rsid w:val="00055D84"/>
    <w:rsid w:val="00056342"/>
    <w:rsid w:val="00056834"/>
    <w:rsid w:val="00056947"/>
    <w:rsid w:val="000569C8"/>
    <w:rsid w:val="00056B2B"/>
    <w:rsid w:val="00056C25"/>
    <w:rsid w:val="00056DA8"/>
    <w:rsid w:val="00056EA0"/>
    <w:rsid w:val="000574CA"/>
    <w:rsid w:val="00057587"/>
    <w:rsid w:val="000576DD"/>
    <w:rsid w:val="000577AF"/>
    <w:rsid w:val="00057805"/>
    <w:rsid w:val="0005787D"/>
    <w:rsid w:val="00057A0A"/>
    <w:rsid w:val="00057A78"/>
    <w:rsid w:val="00057CDB"/>
    <w:rsid w:val="00057D30"/>
    <w:rsid w:val="00057E8C"/>
    <w:rsid w:val="00057EE5"/>
    <w:rsid w:val="0006006F"/>
    <w:rsid w:val="00060138"/>
    <w:rsid w:val="00060321"/>
    <w:rsid w:val="000604F8"/>
    <w:rsid w:val="000606EB"/>
    <w:rsid w:val="000606F6"/>
    <w:rsid w:val="0006075B"/>
    <w:rsid w:val="000607C1"/>
    <w:rsid w:val="000608BD"/>
    <w:rsid w:val="00060900"/>
    <w:rsid w:val="00060916"/>
    <w:rsid w:val="00060A35"/>
    <w:rsid w:val="00060B88"/>
    <w:rsid w:val="00060C8E"/>
    <w:rsid w:val="00060E29"/>
    <w:rsid w:val="00060EBD"/>
    <w:rsid w:val="00060F65"/>
    <w:rsid w:val="00060F66"/>
    <w:rsid w:val="00060F8F"/>
    <w:rsid w:val="0006115F"/>
    <w:rsid w:val="000611A3"/>
    <w:rsid w:val="0006120C"/>
    <w:rsid w:val="000612B8"/>
    <w:rsid w:val="000613FE"/>
    <w:rsid w:val="00061411"/>
    <w:rsid w:val="0006146E"/>
    <w:rsid w:val="000615DA"/>
    <w:rsid w:val="00061632"/>
    <w:rsid w:val="0006187B"/>
    <w:rsid w:val="000618E8"/>
    <w:rsid w:val="00061A8E"/>
    <w:rsid w:val="00061AAE"/>
    <w:rsid w:val="00061BAD"/>
    <w:rsid w:val="00061C3A"/>
    <w:rsid w:val="00061D10"/>
    <w:rsid w:val="00061EBB"/>
    <w:rsid w:val="00062131"/>
    <w:rsid w:val="000623E7"/>
    <w:rsid w:val="00062512"/>
    <w:rsid w:val="00062783"/>
    <w:rsid w:val="000627D1"/>
    <w:rsid w:val="000627DD"/>
    <w:rsid w:val="00062892"/>
    <w:rsid w:val="000629B4"/>
    <w:rsid w:val="00062A98"/>
    <w:rsid w:val="00062AA7"/>
    <w:rsid w:val="00062AD7"/>
    <w:rsid w:val="00062B80"/>
    <w:rsid w:val="00062B93"/>
    <w:rsid w:val="00062CF7"/>
    <w:rsid w:val="00062E99"/>
    <w:rsid w:val="00063003"/>
    <w:rsid w:val="000630AF"/>
    <w:rsid w:val="000632AD"/>
    <w:rsid w:val="000632FD"/>
    <w:rsid w:val="00063311"/>
    <w:rsid w:val="00063373"/>
    <w:rsid w:val="000633E6"/>
    <w:rsid w:val="00063591"/>
    <w:rsid w:val="000635AC"/>
    <w:rsid w:val="000635C1"/>
    <w:rsid w:val="000636B1"/>
    <w:rsid w:val="0006372D"/>
    <w:rsid w:val="0006373E"/>
    <w:rsid w:val="00063859"/>
    <w:rsid w:val="00063984"/>
    <w:rsid w:val="00063A24"/>
    <w:rsid w:val="00063A4A"/>
    <w:rsid w:val="00063AC7"/>
    <w:rsid w:val="00063B81"/>
    <w:rsid w:val="00063BB2"/>
    <w:rsid w:val="00064039"/>
    <w:rsid w:val="0006419D"/>
    <w:rsid w:val="0006425D"/>
    <w:rsid w:val="00064321"/>
    <w:rsid w:val="00064326"/>
    <w:rsid w:val="0006475A"/>
    <w:rsid w:val="000647A6"/>
    <w:rsid w:val="00064906"/>
    <w:rsid w:val="0006493A"/>
    <w:rsid w:val="00064945"/>
    <w:rsid w:val="00064A46"/>
    <w:rsid w:val="00064B65"/>
    <w:rsid w:val="00064BEE"/>
    <w:rsid w:val="00064C7C"/>
    <w:rsid w:val="00064E22"/>
    <w:rsid w:val="00064ED9"/>
    <w:rsid w:val="00064F47"/>
    <w:rsid w:val="00064F58"/>
    <w:rsid w:val="0006513F"/>
    <w:rsid w:val="00065193"/>
    <w:rsid w:val="000651AC"/>
    <w:rsid w:val="000651AE"/>
    <w:rsid w:val="000653F6"/>
    <w:rsid w:val="000657C5"/>
    <w:rsid w:val="000658BC"/>
    <w:rsid w:val="00065A70"/>
    <w:rsid w:val="00065AAD"/>
    <w:rsid w:val="00065AB0"/>
    <w:rsid w:val="00065AFF"/>
    <w:rsid w:val="00065DC9"/>
    <w:rsid w:val="00065EB8"/>
    <w:rsid w:val="00065EC5"/>
    <w:rsid w:val="00065FDC"/>
    <w:rsid w:val="00066169"/>
    <w:rsid w:val="00066217"/>
    <w:rsid w:val="00066332"/>
    <w:rsid w:val="00066341"/>
    <w:rsid w:val="00066457"/>
    <w:rsid w:val="000664ED"/>
    <w:rsid w:val="000665AE"/>
    <w:rsid w:val="000665E1"/>
    <w:rsid w:val="00066734"/>
    <w:rsid w:val="0006690D"/>
    <w:rsid w:val="0006710C"/>
    <w:rsid w:val="00067148"/>
    <w:rsid w:val="00067164"/>
    <w:rsid w:val="000672B5"/>
    <w:rsid w:val="000672C1"/>
    <w:rsid w:val="00067482"/>
    <w:rsid w:val="00067563"/>
    <w:rsid w:val="00067664"/>
    <w:rsid w:val="00067754"/>
    <w:rsid w:val="00067ADB"/>
    <w:rsid w:val="00067AE8"/>
    <w:rsid w:val="00067BAD"/>
    <w:rsid w:val="00067D55"/>
    <w:rsid w:val="00067E6F"/>
    <w:rsid w:val="000700DE"/>
    <w:rsid w:val="000700F0"/>
    <w:rsid w:val="00070145"/>
    <w:rsid w:val="00070321"/>
    <w:rsid w:val="000703F4"/>
    <w:rsid w:val="0007048F"/>
    <w:rsid w:val="00070527"/>
    <w:rsid w:val="000705E2"/>
    <w:rsid w:val="0007060A"/>
    <w:rsid w:val="00070648"/>
    <w:rsid w:val="0007067A"/>
    <w:rsid w:val="000709A5"/>
    <w:rsid w:val="00070A59"/>
    <w:rsid w:val="00070C9B"/>
    <w:rsid w:val="00070D00"/>
    <w:rsid w:val="00070D18"/>
    <w:rsid w:val="00070FE4"/>
    <w:rsid w:val="00071002"/>
    <w:rsid w:val="0007107C"/>
    <w:rsid w:val="000710BB"/>
    <w:rsid w:val="000710F0"/>
    <w:rsid w:val="0007110D"/>
    <w:rsid w:val="000711B5"/>
    <w:rsid w:val="0007123F"/>
    <w:rsid w:val="0007132A"/>
    <w:rsid w:val="00071395"/>
    <w:rsid w:val="000715FE"/>
    <w:rsid w:val="000716D1"/>
    <w:rsid w:val="00071771"/>
    <w:rsid w:val="0007195D"/>
    <w:rsid w:val="00071A5F"/>
    <w:rsid w:val="00071B51"/>
    <w:rsid w:val="00071C20"/>
    <w:rsid w:val="00071E76"/>
    <w:rsid w:val="00071FBB"/>
    <w:rsid w:val="00072045"/>
    <w:rsid w:val="000724DB"/>
    <w:rsid w:val="00072501"/>
    <w:rsid w:val="0007259A"/>
    <w:rsid w:val="000725C5"/>
    <w:rsid w:val="00072696"/>
    <w:rsid w:val="000726A7"/>
    <w:rsid w:val="000726E8"/>
    <w:rsid w:val="0007284D"/>
    <w:rsid w:val="000729AF"/>
    <w:rsid w:val="00072D2C"/>
    <w:rsid w:val="00072F22"/>
    <w:rsid w:val="00072FDE"/>
    <w:rsid w:val="000731D2"/>
    <w:rsid w:val="0007323E"/>
    <w:rsid w:val="0007326F"/>
    <w:rsid w:val="000734C2"/>
    <w:rsid w:val="000734F4"/>
    <w:rsid w:val="00073670"/>
    <w:rsid w:val="000737C8"/>
    <w:rsid w:val="000739EE"/>
    <w:rsid w:val="00073A22"/>
    <w:rsid w:val="00073A6F"/>
    <w:rsid w:val="00073C57"/>
    <w:rsid w:val="00073D54"/>
    <w:rsid w:val="00073EF1"/>
    <w:rsid w:val="00073FD9"/>
    <w:rsid w:val="00073FDA"/>
    <w:rsid w:val="0007410D"/>
    <w:rsid w:val="00074192"/>
    <w:rsid w:val="000742E6"/>
    <w:rsid w:val="000743F9"/>
    <w:rsid w:val="0007441A"/>
    <w:rsid w:val="00074509"/>
    <w:rsid w:val="00074578"/>
    <w:rsid w:val="000745CA"/>
    <w:rsid w:val="00074605"/>
    <w:rsid w:val="00074774"/>
    <w:rsid w:val="000748C6"/>
    <w:rsid w:val="000748C9"/>
    <w:rsid w:val="00074C6B"/>
    <w:rsid w:val="00075000"/>
    <w:rsid w:val="000750F8"/>
    <w:rsid w:val="0007512C"/>
    <w:rsid w:val="0007520F"/>
    <w:rsid w:val="000753FA"/>
    <w:rsid w:val="000755F0"/>
    <w:rsid w:val="0007577B"/>
    <w:rsid w:val="00075A25"/>
    <w:rsid w:val="00075D90"/>
    <w:rsid w:val="00075DAD"/>
    <w:rsid w:val="00075DC8"/>
    <w:rsid w:val="00075E6F"/>
    <w:rsid w:val="00075F1B"/>
    <w:rsid w:val="0007606F"/>
    <w:rsid w:val="000760D4"/>
    <w:rsid w:val="00076168"/>
    <w:rsid w:val="000761E3"/>
    <w:rsid w:val="000764A7"/>
    <w:rsid w:val="000764B3"/>
    <w:rsid w:val="000765B5"/>
    <w:rsid w:val="000765EA"/>
    <w:rsid w:val="00076901"/>
    <w:rsid w:val="00076BA3"/>
    <w:rsid w:val="00076CA8"/>
    <w:rsid w:val="00076FC8"/>
    <w:rsid w:val="00076FE6"/>
    <w:rsid w:val="000771CA"/>
    <w:rsid w:val="000775BE"/>
    <w:rsid w:val="0007770D"/>
    <w:rsid w:val="0007779F"/>
    <w:rsid w:val="00077891"/>
    <w:rsid w:val="00077894"/>
    <w:rsid w:val="0007796A"/>
    <w:rsid w:val="00077B73"/>
    <w:rsid w:val="00077B9E"/>
    <w:rsid w:val="00077C33"/>
    <w:rsid w:val="00077DA2"/>
    <w:rsid w:val="00077F9B"/>
    <w:rsid w:val="00080042"/>
    <w:rsid w:val="00080115"/>
    <w:rsid w:val="00080181"/>
    <w:rsid w:val="00080259"/>
    <w:rsid w:val="00080296"/>
    <w:rsid w:val="0008044B"/>
    <w:rsid w:val="0008045C"/>
    <w:rsid w:val="000808D4"/>
    <w:rsid w:val="000808D8"/>
    <w:rsid w:val="000808EB"/>
    <w:rsid w:val="0008097B"/>
    <w:rsid w:val="00080AF1"/>
    <w:rsid w:val="00080CB7"/>
    <w:rsid w:val="00080E42"/>
    <w:rsid w:val="00080EFC"/>
    <w:rsid w:val="00081064"/>
    <w:rsid w:val="00081130"/>
    <w:rsid w:val="000811F2"/>
    <w:rsid w:val="000812B2"/>
    <w:rsid w:val="000812B3"/>
    <w:rsid w:val="000812B6"/>
    <w:rsid w:val="00081630"/>
    <w:rsid w:val="0008171F"/>
    <w:rsid w:val="000817DD"/>
    <w:rsid w:val="000819A1"/>
    <w:rsid w:val="00081A92"/>
    <w:rsid w:val="00081AA4"/>
    <w:rsid w:val="00081D76"/>
    <w:rsid w:val="00081F0D"/>
    <w:rsid w:val="00081FFA"/>
    <w:rsid w:val="000820AC"/>
    <w:rsid w:val="00082220"/>
    <w:rsid w:val="00082268"/>
    <w:rsid w:val="000822B6"/>
    <w:rsid w:val="00082392"/>
    <w:rsid w:val="0008256C"/>
    <w:rsid w:val="0008261E"/>
    <w:rsid w:val="00082732"/>
    <w:rsid w:val="0008277E"/>
    <w:rsid w:val="00082B77"/>
    <w:rsid w:val="00082CAB"/>
    <w:rsid w:val="00082CF5"/>
    <w:rsid w:val="00082DC3"/>
    <w:rsid w:val="00082E9B"/>
    <w:rsid w:val="00082E9C"/>
    <w:rsid w:val="00082F1A"/>
    <w:rsid w:val="00083001"/>
    <w:rsid w:val="000831C5"/>
    <w:rsid w:val="00083338"/>
    <w:rsid w:val="000835AD"/>
    <w:rsid w:val="000836D5"/>
    <w:rsid w:val="00083827"/>
    <w:rsid w:val="000839A2"/>
    <w:rsid w:val="000839E8"/>
    <w:rsid w:val="00083A6B"/>
    <w:rsid w:val="00083BD2"/>
    <w:rsid w:val="00083D46"/>
    <w:rsid w:val="00083DA7"/>
    <w:rsid w:val="00083E59"/>
    <w:rsid w:val="000841F6"/>
    <w:rsid w:val="000842D8"/>
    <w:rsid w:val="00084379"/>
    <w:rsid w:val="0008449D"/>
    <w:rsid w:val="000846A8"/>
    <w:rsid w:val="000847FE"/>
    <w:rsid w:val="00084855"/>
    <w:rsid w:val="00084857"/>
    <w:rsid w:val="000848B5"/>
    <w:rsid w:val="00084A05"/>
    <w:rsid w:val="00084A06"/>
    <w:rsid w:val="00084A3B"/>
    <w:rsid w:val="00084AB9"/>
    <w:rsid w:val="00084AC3"/>
    <w:rsid w:val="00084B0A"/>
    <w:rsid w:val="00084BC7"/>
    <w:rsid w:val="00084D8B"/>
    <w:rsid w:val="00084DD1"/>
    <w:rsid w:val="0008558E"/>
    <w:rsid w:val="00085929"/>
    <w:rsid w:val="00085947"/>
    <w:rsid w:val="000859B0"/>
    <w:rsid w:val="00085A99"/>
    <w:rsid w:val="00085BF7"/>
    <w:rsid w:val="00085EC3"/>
    <w:rsid w:val="00085F7B"/>
    <w:rsid w:val="00086048"/>
    <w:rsid w:val="000861CC"/>
    <w:rsid w:val="00086642"/>
    <w:rsid w:val="0008672B"/>
    <w:rsid w:val="00086763"/>
    <w:rsid w:val="000868DE"/>
    <w:rsid w:val="0008691B"/>
    <w:rsid w:val="00086A8D"/>
    <w:rsid w:val="00086AA0"/>
    <w:rsid w:val="00086C1D"/>
    <w:rsid w:val="00086FCE"/>
    <w:rsid w:val="00087341"/>
    <w:rsid w:val="0008737F"/>
    <w:rsid w:val="000876EF"/>
    <w:rsid w:val="00087880"/>
    <w:rsid w:val="0008795A"/>
    <w:rsid w:val="00087C16"/>
    <w:rsid w:val="00087C73"/>
    <w:rsid w:val="000900C5"/>
    <w:rsid w:val="0009018D"/>
    <w:rsid w:val="00090303"/>
    <w:rsid w:val="00090335"/>
    <w:rsid w:val="00090405"/>
    <w:rsid w:val="0009057B"/>
    <w:rsid w:val="000906D6"/>
    <w:rsid w:val="000907D5"/>
    <w:rsid w:val="000909EF"/>
    <w:rsid w:val="00090A26"/>
    <w:rsid w:val="00090A49"/>
    <w:rsid w:val="00090AE8"/>
    <w:rsid w:val="00090DE6"/>
    <w:rsid w:val="00090F0E"/>
    <w:rsid w:val="00091236"/>
    <w:rsid w:val="0009138B"/>
    <w:rsid w:val="00091400"/>
    <w:rsid w:val="0009162C"/>
    <w:rsid w:val="00091829"/>
    <w:rsid w:val="00091930"/>
    <w:rsid w:val="000919D5"/>
    <w:rsid w:val="00091A05"/>
    <w:rsid w:val="00091BAA"/>
    <w:rsid w:val="00091BAE"/>
    <w:rsid w:val="00091BB5"/>
    <w:rsid w:val="00091CA7"/>
    <w:rsid w:val="00091CB5"/>
    <w:rsid w:val="00091D9D"/>
    <w:rsid w:val="00091E1D"/>
    <w:rsid w:val="00091E3A"/>
    <w:rsid w:val="00092028"/>
    <w:rsid w:val="00092087"/>
    <w:rsid w:val="000923A0"/>
    <w:rsid w:val="000925A8"/>
    <w:rsid w:val="000926AB"/>
    <w:rsid w:val="00092703"/>
    <w:rsid w:val="00092737"/>
    <w:rsid w:val="000928E7"/>
    <w:rsid w:val="0009291F"/>
    <w:rsid w:val="00092C9C"/>
    <w:rsid w:val="00092D13"/>
    <w:rsid w:val="00092FDF"/>
    <w:rsid w:val="000930AD"/>
    <w:rsid w:val="00093125"/>
    <w:rsid w:val="00093134"/>
    <w:rsid w:val="00093217"/>
    <w:rsid w:val="000932DA"/>
    <w:rsid w:val="00093542"/>
    <w:rsid w:val="00093A02"/>
    <w:rsid w:val="00093C29"/>
    <w:rsid w:val="00093D35"/>
    <w:rsid w:val="00093EBF"/>
    <w:rsid w:val="00093F15"/>
    <w:rsid w:val="00094229"/>
    <w:rsid w:val="00094283"/>
    <w:rsid w:val="000943B5"/>
    <w:rsid w:val="000945BB"/>
    <w:rsid w:val="000945C2"/>
    <w:rsid w:val="000947E2"/>
    <w:rsid w:val="0009480A"/>
    <w:rsid w:val="00094896"/>
    <w:rsid w:val="000949AF"/>
    <w:rsid w:val="00094B13"/>
    <w:rsid w:val="00094BDB"/>
    <w:rsid w:val="00094CC1"/>
    <w:rsid w:val="00094D85"/>
    <w:rsid w:val="00094DF9"/>
    <w:rsid w:val="00094E73"/>
    <w:rsid w:val="00094F49"/>
    <w:rsid w:val="00095152"/>
    <w:rsid w:val="000952E6"/>
    <w:rsid w:val="0009535B"/>
    <w:rsid w:val="00095865"/>
    <w:rsid w:val="00095980"/>
    <w:rsid w:val="00095B1D"/>
    <w:rsid w:val="00095BFA"/>
    <w:rsid w:val="00095C21"/>
    <w:rsid w:val="00095E7B"/>
    <w:rsid w:val="00095E85"/>
    <w:rsid w:val="0009602E"/>
    <w:rsid w:val="00096043"/>
    <w:rsid w:val="0009604B"/>
    <w:rsid w:val="0009678A"/>
    <w:rsid w:val="000967FF"/>
    <w:rsid w:val="00096A02"/>
    <w:rsid w:val="00096AFE"/>
    <w:rsid w:val="00096B29"/>
    <w:rsid w:val="00096C76"/>
    <w:rsid w:val="00096CDB"/>
    <w:rsid w:val="00096CFF"/>
    <w:rsid w:val="00096E5C"/>
    <w:rsid w:val="00096E97"/>
    <w:rsid w:val="00096EE5"/>
    <w:rsid w:val="000971E1"/>
    <w:rsid w:val="0009723F"/>
    <w:rsid w:val="00097272"/>
    <w:rsid w:val="00097449"/>
    <w:rsid w:val="00097625"/>
    <w:rsid w:val="000976AA"/>
    <w:rsid w:val="000976D3"/>
    <w:rsid w:val="000978E1"/>
    <w:rsid w:val="00097967"/>
    <w:rsid w:val="00097B4A"/>
    <w:rsid w:val="00097B4E"/>
    <w:rsid w:val="00097CF2"/>
    <w:rsid w:val="000A00BC"/>
    <w:rsid w:val="000A00E1"/>
    <w:rsid w:val="000A0171"/>
    <w:rsid w:val="000A018D"/>
    <w:rsid w:val="000A01EA"/>
    <w:rsid w:val="000A0244"/>
    <w:rsid w:val="000A02E3"/>
    <w:rsid w:val="000A04E5"/>
    <w:rsid w:val="000A0615"/>
    <w:rsid w:val="000A06D6"/>
    <w:rsid w:val="000A0738"/>
    <w:rsid w:val="000A07AA"/>
    <w:rsid w:val="000A0BB5"/>
    <w:rsid w:val="000A0C21"/>
    <w:rsid w:val="000A0CC8"/>
    <w:rsid w:val="000A0CFD"/>
    <w:rsid w:val="000A0DD1"/>
    <w:rsid w:val="000A0EA0"/>
    <w:rsid w:val="000A1060"/>
    <w:rsid w:val="000A108A"/>
    <w:rsid w:val="000A1128"/>
    <w:rsid w:val="000A1154"/>
    <w:rsid w:val="000A1301"/>
    <w:rsid w:val="000A1387"/>
    <w:rsid w:val="000A139C"/>
    <w:rsid w:val="000A14CD"/>
    <w:rsid w:val="000A150F"/>
    <w:rsid w:val="000A15CA"/>
    <w:rsid w:val="000A160E"/>
    <w:rsid w:val="000A1714"/>
    <w:rsid w:val="000A181C"/>
    <w:rsid w:val="000A1A49"/>
    <w:rsid w:val="000A1A58"/>
    <w:rsid w:val="000A1A6C"/>
    <w:rsid w:val="000A1B23"/>
    <w:rsid w:val="000A1B97"/>
    <w:rsid w:val="000A1C12"/>
    <w:rsid w:val="000A1C5E"/>
    <w:rsid w:val="000A1C65"/>
    <w:rsid w:val="000A1E71"/>
    <w:rsid w:val="000A1ED4"/>
    <w:rsid w:val="000A204E"/>
    <w:rsid w:val="000A20E1"/>
    <w:rsid w:val="000A21EB"/>
    <w:rsid w:val="000A2336"/>
    <w:rsid w:val="000A2774"/>
    <w:rsid w:val="000A27E3"/>
    <w:rsid w:val="000A2983"/>
    <w:rsid w:val="000A2B37"/>
    <w:rsid w:val="000A2CF1"/>
    <w:rsid w:val="000A3099"/>
    <w:rsid w:val="000A30B9"/>
    <w:rsid w:val="000A3492"/>
    <w:rsid w:val="000A34F0"/>
    <w:rsid w:val="000A357C"/>
    <w:rsid w:val="000A35EA"/>
    <w:rsid w:val="000A366D"/>
    <w:rsid w:val="000A36AD"/>
    <w:rsid w:val="000A36D6"/>
    <w:rsid w:val="000A3A5F"/>
    <w:rsid w:val="000A3AB2"/>
    <w:rsid w:val="000A3B25"/>
    <w:rsid w:val="000A3C58"/>
    <w:rsid w:val="000A3C85"/>
    <w:rsid w:val="000A3CB5"/>
    <w:rsid w:val="000A4034"/>
    <w:rsid w:val="000A4085"/>
    <w:rsid w:val="000A409B"/>
    <w:rsid w:val="000A40CB"/>
    <w:rsid w:val="000A413A"/>
    <w:rsid w:val="000A427C"/>
    <w:rsid w:val="000A4348"/>
    <w:rsid w:val="000A4472"/>
    <w:rsid w:val="000A466F"/>
    <w:rsid w:val="000A467F"/>
    <w:rsid w:val="000A46F5"/>
    <w:rsid w:val="000A4845"/>
    <w:rsid w:val="000A4920"/>
    <w:rsid w:val="000A49CF"/>
    <w:rsid w:val="000A4A50"/>
    <w:rsid w:val="000A4A69"/>
    <w:rsid w:val="000A4A82"/>
    <w:rsid w:val="000A4B1B"/>
    <w:rsid w:val="000A4F64"/>
    <w:rsid w:val="000A50ED"/>
    <w:rsid w:val="000A5224"/>
    <w:rsid w:val="000A548F"/>
    <w:rsid w:val="000A5498"/>
    <w:rsid w:val="000A5704"/>
    <w:rsid w:val="000A59CA"/>
    <w:rsid w:val="000A5AB6"/>
    <w:rsid w:val="000A5C48"/>
    <w:rsid w:val="000A5CB1"/>
    <w:rsid w:val="000A5CBF"/>
    <w:rsid w:val="000A5E10"/>
    <w:rsid w:val="000A60D0"/>
    <w:rsid w:val="000A6126"/>
    <w:rsid w:val="000A63AD"/>
    <w:rsid w:val="000A6663"/>
    <w:rsid w:val="000A667A"/>
    <w:rsid w:val="000A6740"/>
    <w:rsid w:val="000A678F"/>
    <w:rsid w:val="000A682C"/>
    <w:rsid w:val="000A6E68"/>
    <w:rsid w:val="000A6F92"/>
    <w:rsid w:val="000A7103"/>
    <w:rsid w:val="000A7184"/>
    <w:rsid w:val="000A71E0"/>
    <w:rsid w:val="000A71EE"/>
    <w:rsid w:val="000A732A"/>
    <w:rsid w:val="000A732F"/>
    <w:rsid w:val="000A75F3"/>
    <w:rsid w:val="000A7661"/>
    <w:rsid w:val="000A76C3"/>
    <w:rsid w:val="000A7729"/>
    <w:rsid w:val="000A7743"/>
    <w:rsid w:val="000A77CF"/>
    <w:rsid w:val="000A78E2"/>
    <w:rsid w:val="000A7BD5"/>
    <w:rsid w:val="000A7C0F"/>
    <w:rsid w:val="000A7CBB"/>
    <w:rsid w:val="000A7D3B"/>
    <w:rsid w:val="000A7EC7"/>
    <w:rsid w:val="000A7F2F"/>
    <w:rsid w:val="000A7F42"/>
    <w:rsid w:val="000B0401"/>
    <w:rsid w:val="000B042B"/>
    <w:rsid w:val="000B043A"/>
    <w:rsid w:val="000B0454"/>
    <w:rsid w:val="000B058F"/>
    <w:rsid w:val="000B06AD"/>
    <w:rsid w:val="000B0857"/>
    <w:rsid w:val="000B0890"/>
    <w:rsid w:val="000B08B0"/>
    <w:rsid w:val="000B090F"/>
    <w:rsid w:val="000B0A48"/>
    <w:rsid w:val="000B0A78"/>
    <w:rsid w:val="000B0A9F"/>
    <w:rsid w:val="000B0B0B"/>
    <w:rsid w:val="000B0CB6"/>
    <w:rsid w:val="000B0EE2"/>
    <w:rsid w:val="000B1107"/>
    <w:rsid w:val="000B119B"/>
    <w:rsid w:val="000B11DB"/>
    <w:rsid w:val="000B12E2"/>
    <w:rsid w:val="000B1648"/>
    <w:rsid w:val="000B16F6"/>
    <w:rsid w:val="000B18AD"/>
    <w:rsid w:val="000B199E"/>
    <w:rsid w:val="000B1FE7"/>
    <w:rsid w:val="000B2034"/>
    <w:rsid w:val="000B2213"/>
    <w:rsid w:val="000B2531"/>
    <w:rsid w:val="000B25C1"/>
    <w:rsid w:val="000B27BB"/>
    <w:rsid w:val="000B27F3"/>
    <w:rsid w:val="000B2888"/>
    <w:rsid w:val="000B29B4"/>
    <w:rsid w:val="000B29CA"/>
    <w:rsid w:val="000B2A1C"/>
    <w:rsid w:val="000B2B72"/>
    <w:rsid w:val="000B2BA7"/>
    <w:rsid w:val="000B2CA5"/>
    <w:rsid w:val="000B2FCA"/>
    <w:rsid w:val="000B3140"/>
    <w:rsid w:val="000B3224"/>
    <w:rsid w:val="000B33ED"/>
    <w:rsid w:val="000B349C"/>
    <w:rsid w:val="000B3526"/>
    <w:rsid w:val="000B355F"/>
    <w:rsid w:val="000B3599"/>
    <w:rsid w:val="000B35FC"/>
    <w:rsid w:val="000B3670"/>
    <w:rsid w:val="000B384D"/>
    <w:rsid w:val="000B3931"/>
    <w:rsid w:val="000B3BEA"/>
    <w:rsid w:val="000B3BFF"/>
    <w:rsid w:val="000B3CB1"/>
    <w:rsid w:val="000B3FD1"/>
    <w:rsid w:val="000B414D"/>
    <w:rsid w:val="000B419E"/>
    <w:rsid w:val="000B4322"/>
    <w:rsid w:val="000B43D0"/>
    <w:rsid w:val="000B4481"/>
    <w:rsid w:val="000B454A"/>
    <w:rsid w:val="000B4719"/>
    <w:rsid w:val="000B472A"/>
    <w:rsid w:val="000B48C6"/>
    <w:rsid w:val="000B4950"/>
    <w:rsid w:val="000B498B"/>
    <w:rsid w:val="000B4A58"/>
    <w:rsid w:val="000B4B5B"/>
    <w:rsid w:val="000B4B77"/>
    <w:rsid w:val="000B4B7C"/>
    <w:rsid w:val="000B4BF6"/>
    <w:rsid w:val="000B4C18"/>
    <w:rsid w:val="000B4E0B"/>
    <w:rsid w:val="000B5135"/>
    <w:rsid w:val="000B54A8"/>
    <w:rsid w:val="000B57CE"/>
    <w:rsid w:val="000B586B"/>
    <w:rsid w:val="000B58A5"/>
    <w:rsid w:val="000B58D9"/>
    <w:rsid w:val="000B5960"/>
    <w:rsid w:val="000B5B4B"/>
    <w:rsid w:val="000B5CA3"/>
    <w:rsid w:val="000B5E8E"/>
    <w:rsid w:val="000B5EDC"/>
    <w:rsid w:val="000B5F5B"/>
    <w:rsid w:val="000B6119"/>
    <w:rsid w:val="000B61BA"/>
    <w:rsid w:val="000B6228"/>
    <w:rsid w:val="000B6421"/>
    <w:rsid w:val="000B65D4"/>
    <w:rsid w:val="000B669D"/>
    <w:rsid w:val="000B687B"/>
    <w:rsid w:val="000B68D3"/>
    <w:rsid w:val="000B6AAD"/>
    <w:rsid w:val="000B6AFC"/>
    <w:rsid w:val="000B6BAD"/>
    <w:rsid w:val="000B6CAB"/>
    <w:rsid w:val="000B6CFD"/>
    <w:rsid w:val="000B6D0B"/>
    <w:rsid w:val="000B6DC0"/>
    <w:rsid w:val="000B6FD6"/>
    <w:rsid w:val="000B708A"/>
    <w:rsid w:val="000B7317"/>
    <w:rsid w:val="000B7497"/>
    <w:rsid w:val="000B76D6"/>
    <w:rsid w:val="000B7740"/>
    <w:rsid w:val="000B778E"/>
    <w:rsid w:val="000B77C7"/>
    <w:rsid w:val="000B7A0B"/>
    <w:rsid w:val="000B7C3A"/>
    <w:rsid w:val="000B7DB9"/>
    <w:rsid w:val="000B7E0E"/>
    <w:rsid w:val="000C00B5"/>
    <w:rsid w:val="000C01BF"/>
    <w:rsid w:val="000C01D6"/>
    <w:rsid w:val="000C037E"/>
    <w:rsid w:val="000C04AD"/>
    <w:rsid w:val="000C0534"/>
    <w:rsid w:val="000C0552"/>
    <w:rsid w:val="000C0666"/>
    <w:rsid w:val="000C0695"/>
    <w:rsid w:val="000C06EE"/>
    <w:rsid w:val="000C0807"/>
    <w:rsid w:val="000C08A7"/>
    <w:rsid w:val="000C0963"/>
    <w:rsid w:val="000C0AD3"/>
    <w:rsid w:val="000C0B50"/>
    <w:rsid w:val="000C0BD4"/>
    <w:rsid w:val="000C0BE2"/>
    <w:rsid w:val="000C0CCA"/>
    <w:rsid w:val="000C0D80"/>
    <w:rsid w:val="000C0E91"/>
    <w:rsid w:val="000C0F0F"/>
    <w:rsid w:val="000C0F83"/>
    <w:rsid w:val="000C1300"/>
    <w:rsid w:val="000C1621"/>
    <w:rsid w:val="000C171B"/>
    <w:rsid w:val="000C17A1"/>
    <w:rsid w:val="000C1867"/>
    <w:rsid w:val="000C190D"/>
    <w:rsid w:val="000C197F"/>
    <w:rsid w:val="000C1C70"/>
    <w:rsid w:val="000C1D7C"/>
    <w:rsid w:val="000C1D9D"/>
    <w:rsid w:val="000C1DBD"/>
    <w:rsid w:val="000C1E2A"/>
    <w:rsid w:val="000C1E43"/>
    <w:rsid w:val="000C1F01"/>
    <w:rsid w:val="000C218B"/>
    <w:rsid w:val="000C25C7"/>
    <w:rsid w:val="000C268F"/>
    <w:rsid w:val="000C2700"/>
    <w:rsid w:val="000C2715"/>
    <w:rsid w:val="000C2C53"/>
    <w:rsid w:val="000C2CF6"/>
    <w:rsid w:val="000C2E57"/>
    <w:rsid w:val="000C2EB5"/>
    <w:rsid w:val="000C3029"/>
    <w:rsid w:val="000C3125"/>
    <w:rsid w:val="000C3192"/>
    <w:rsid w:val="000C3243"/>
    <w:rsid w:val="000C34E9"/>
    <w:rsid w:val="000C3672"/>
    <w:rsid w:val="000C380E"/>
    <w:rsid w:val="000C3846"/>
    <w:rsid w:val="000C38FC"/>
    <w:rsid w:val="000C3915"/>
    <w:rsid w:val="000C393C"/>
    <w:rsid w:val="000C3982"/>
    <w:rsid w:val="000C3A05"/>
    <w:rsid w:val="000C3ACE"/>
    <w:rsid w:val="000C42A6"/>
    <w:rsid w:val="000C42FF"/>
    <w:rsid w:val="000C438A"/>
    <w:rsid w:val="000C43F3"/>
    <w:rsid w:val="000C4418"/>
    <w:rsid w:val="000C445A"/>
    <w:rsid w:val="000C4742"/>
    <w:rsid w:val="000C4869"/>
    <w:rsid w:val="000C4AD3"/>
    <w:rsid w:val="000C4B24"/>
    <w:rsid w:val="000C4B26"/>
    <w:rsid w:val="000C4B99"/>
    <w:rsid w:val="000C4CCC"/>
    <w:rsid w:val="000C4E13"/>
    <w:rsid w:val="000C4ED5"/>
    <w:rsid w:val="000C4FA0"/>
    <w:rsid w:val="000C50FE"/>
    <w:rsid w:val="000C5226"/>
    <w:rsid w:val="000C52CE"/>
    <w:rsid w:val="000C535C"/>
    <w:rsid w:val="000C5449"/>
    <w:rsid w:val="000C549B"/>
    <w:rsid w:val="000C5898"/>
    <w:rsid w:val="000C5A27"/>
    <w:rsid w:val="000C5C34"/>
    <w:rsid w:val="000C5D06"/>
    <w:rsid w:val="000C5D5A"/>
    <w:rsid w:val="000C5DDF"/>
    <w:rsid w:val="000C5F26"/>
    <w:rsid w:val="000C603D"/>
    <w:rsid w:val="000C6258"/>
    <w:rsid w:val="000C651D"/>
    <w:rsid w:val="000C67B1"/>
    <w:rsid w:val="000C68C3"/>
    <w:rsid w:val="000C695A"/>
    <w:rsid w:val="000C6999"/>
    <w:rsid w:val="000C6AA7"/>
    <w:rsid w:val="000C6B6A"/>
    <w:rsid w:val="000C6C4B"/>
    <w:rsid w:val="000C6C67"/>
    <w:rsid w:val="000C6D16"/>
    <w:rsid w:val="000C6EAA"/>
    <w:rsid w:val="000C7037"/>
    <w:rsid w:val="000C70C2"/>
    <w:rsid w:val="000C70EB"/>
    <w:rsid w:val="000C7324"/>
    <w:rsid w:val="000C74C3"/>
    <w:rsid w:val="000C75BD"/>
    <w:rsid w:val="000C76C1"/>
    <w:rsid w:val="000C76C7"/>
    <w:rsid w:val="000C77B4"/>
    <w:rsid w:val="000C7804"/>
    <w:rsid w:val="000C7857"/>
    <w:rsid w:val="000C7893"/>
    <w:rsid w:val="000C7941"/>
    <w:rsid w:val="000C7A4E"/>
    <w:rsid w:val="000C7D08"/>
    <w:rsid w:val="000C7D42"/>
    <w:rsid w:val="000C7E4A"/>
    <w:rsid w:val="000C7EDA"/>
    <w:rsid w:val="000C7EEA"/>
    <w:rsid w:val="000D01A4"/>
    <w:rsid w:val="000D0490"/>
    <w:rsid w:val="000D0505"/>
    <w:rsid w:val="000D05D7"/>
    <w:rsid w:val="000D065C"/>
    <w:rsid w:val="000D0668"/>
    <w:rsid w:val="000D0687"/>
    <w:rsid w:val="000D08CF"/>
    <w:rsid w:val="000D0A1D"/>
    <w:rsid w:val="000D0AE4"/>
    <w:rsid w:val="000D0B98"/>
    <w:rsid w:val="000D0DCB"/>
    <w:rsid w:val="000D0DF8"/>
    <w:rsid w:val="000D104D"/>
    <w:rsid w:val="000D1057"/>
    <w:rsid w:val="000D124C"/>
    <w:rsid w:val="000D138E"/>
    <w:rsid w:val="000D1572"/>
    <w:rsid w:val="000D15FA"/>
    <w:rsid w:val="000D1768"/>
    <w:rsid w:val="000D17B6"/>
    <w:rsid w:val="000D1835"/>
    <w:rsid w:val="000D1BA7"/>
    <w:rsid w:val="000D1BAA"/>
    <w:rsid w:val="000D1C55"/>
    <w:rsid w:val="000D1D1D"/>
    <w:rsid w:val="000D1D7A"/>
    <w:rsid w:val="000D1EC0"/>
    <w:rsid w:val="000D1FD5"/>
    <w:rsid w:val="000D2155"/>
    <w:rsid w:val="000D21D6"/>
    <w:rsid w:val="000D2506"/>
    <w:rsid w:val="000D25BB"/>
    <w:rsid w:val="000D2665"/>
    <w:rsid w:val="000D26A7"/>
    <w:rsid w:val="000D27E3"/>
    <w:rsid w:val="000D2858"/>
    <w:rsid w:val="000D289F"/>
    <w:rsid w:val="000D2A10"/>
    <w:rsid w:val="000D2B07"/>
    <w:rsid w:val="000D2BB7"/>
    <w:rsid w:val="000D2F22"/>
    <w:rsid w:val="000D2F36"/>
    <w:rsid w:val="000D3008"/>
    <w:rsid w:val="000D3067"/>
    <w:rsid w:val="000D3170"/>
    <w:rsid w:val="000D32EB"/>
    <w:rsid w:val="000D32FC"/>
    <w:rsid w:val="000D33EC"/>
    <w:rsid w:val="000D3849"/>
    <w:rsid w:val="000D384E"/>
    <w:rsid w:val="000D3AB1"/>
    <w:rsid w:val="000D3AEC"/>
    <w:rsid w:val="000D3C70"/>
    <w:rsid w:val="000D3C80"/>
    <w:rsid w:val="000D3D1D"/>
    <w:rsid w:val="000D3D42"/>
    <w:rsid w:val="000D3DAD"/>
    <w:rsid w:val="000D3F35"/>
    <w:rsid w:val="000D4112"/>
    <w:rsid w:val="000D417D"/>
    <w:rsid w:val="000D4181"/>
    <w:rsid w:val="000D42CF"/>
    <w:rsid w:val="000D441B"/>
    <w:rsid w:val="000D4445"/>
    <w:rsid w:val="000D4666"/>
    <w:rsid w:val="000D46FA"/>
    <w:rsid w:val="000D482E"/>
    <w:rsid w:val="000D4AA9"/>
    <w:rsid w:val="000D4AD4"/>
    <w:rsid w:val="000D4CA9"/>
    <w:rsid w:val="000D4E65"/>
    <w:rsid w:val="000D50DD"/>
    <w:rsid w:val="000D52D3"/>
    <w:rsid w:val="000D538C"/>
    <w:rsid w:val="000D5838"/>
    <w:rsid w:val="000D58AA"/>
    <w:rsid w:val="000D59F5"/>
    <w:rsid w:val="000D5AAF"/>
    <w:rsid w:val="000D5B1D"/>
    <w:rsid w:val="000D5D04"/>
    <w:rsid w:val="000D5E8E"/>
    <w:rsid w:val="000D5FC7"/>
    <w:rsid w:val="000D62B9"/>
    <w:rsid w:val="000D6375"/>
    <w:rsid w:val="000D63F2"/>
    <w:rsid w:val="000D6587"/>
    <w:rsid w:val="000D6615"/>
    <w:rsid w:val="000D666C"/>
    <w:rsid w:val="000D673F"/>
    <w:rsid w:val="000D68A9"/>
    <w:rsid w:val="000D68E5"/>
    <w:rsid w:val="000D6919"/>
    <w:rsid w:val="000D6950"/>
    <w:rsid w:val="000D6C2A"/>
    <w:rsid w:val="000D6D50"/>
    <w:rsid w:val="000D6FAB"/>
    <w:rsid w:val="000D6FE9"/>
    <w:rsid w:val="000D7336"/>
    <w:rsid w:val="000D73B4"/>
    <w:rsid w:val="000D7A2F"/>
    <w:rsid w:val="000D7AFB"/>
    <w:rsid w:val="000D7B54"/>
    <w:rsid w:val="000D7D2C"/>
    <w:rsid w:val="000D7E8D"/>
    <w:rsid w:val="000E011E"/>
    <w:rsid w:val="000E02F6"/>
    <w:rsid w:val="000E02F8"/>
    <w:rsid w:val="000E053A"/>
    <w:rsid w:val="000E0932"/>
    <w:rsid w:val="000E0ADC"/>
    <w:rsid w:val="000E0C95"/>
    <w:rsid w:val="000E11A2"/>
    <w:rsid w:val="000E1550"/>
    <w:rsid w:val="000E1606"/>
    <w:rsid w:val="000E1741"/>
    <w:rsid w:val="000E17A5"/>
    <w:rsid w:val="000E186E"/>
    <w:rsid w:val="000E18C4"/>
    <w:rsid w:val="000E19B3"/>
    <w:rsid w:val="000E19C0"/>
    <w:rsid w:val="000E1A83"/>
    <w:rsid w:val="000E1BF6"/>
    <w:rsid w:val="000E1C6C"/>
    <w:rsid w:val="000E1EEA"/>
    <w:rsid w:val="000E212D"/>
    <w:rsid w:val="000E22FB"/>
    <w:rsid w:val="000E230B"/>
    <w:rsid w:val="000E2344"/>
    <w:rsid w:val="000E25FC"/>
    <w:rsid w:val="000E26A6"/>
    <w:rsid w:val="000E277C"/>
    <w:rsid w:val="000E29DA"/>
    <w:rsid w:val="000E2C4A"/>
    <w:rsid w:val="000E2D2F"/>
    <w:rsid w:val="000E3090"/>
    <w:rsid w:val="000E316F"/>
    <w:rsid w:val="000E3357"/>
    <w:rsid w:val="000E3426"/>
    <w:rsid w:val="000E362A"/>
    <w:rsid w:val="000E3638"/>
    <w:rsid w:val="000E3701"/>
    <w:rsid w:val="000E3805"/>
    <w:rsid w:val="000E387E"/>
    <w:rsid w:val="000E3972"/>
    <w:rsid w:val="000E39B3"/>
    <w:rsid w:val="000E39CB"/>
    <w:rsid w:val="000E3BC3"/>
    <w:rsid w:val="000E3BF5"/>
    <w:rsid w:val="000E3C34"/>
    <w:rsid w:val="000E3CA9"/>
    <w:rsid w:val="000E3CEC"/>
    <w:rsid w:val="000E3E33"/>
    <w:rsid w:val="000E3EF6"/>
    <w:rsid w:val="000E418E"/>
    <w:rsid w:val="000E41A7"/>
    <w:rsid w:val="000E41E1"/>
    <w:rsid w:val="000E442A"/>
    <w:rsid w:val="000E452D"/>
    <w:rsid w:val="000E4738"/>
    <w:rsid w:val="000E476C"/>
    <w:rsid w:val="000E4BFD"/>
    <w:rsid w:val="000E4CD0"/>
    <w:rsid w:val="000E4D6B"/>
    <w:rsid w:val="000E4DC9"/>
    <w:rsid w:val="000E4E03"/>
    <w:rsid w:val="000E4F1A"/>
    <w:rsid w:val="000E502A"/>
    <w:rsid w:val="000E5278"/>
    <w:rsid w:val="000E5433"/>
    <w:rsid w:val="000E5477"/>
    <w:rsid w:val="000E54BC"/>
    <w:rsid w:val="000E54CD"/>
    <w:rsid w:val="000E5613"/>
    <w:rsid w:val="000E56E0"/>
    <w:rsid w:val="000E57A7"/>
    <w:rsid w:val="000E5870"/>
    <w:rsid w:val="000E5D8E"/>
    <w:rsid w:val="000E5DC9"/>
    <w:rsid w:val="000E5F8B"/>
    <w:rsid w:val="000E5FFD"/>
    <w:rsid w:val="000E631A"/>
    <w:rsid w:val="000E6441"/>
    <w:rsid w:val="000E6719"/>
    <w:rsid w:val="000E6779"/>
    <w:rsid w:val="000E69CE"/>
    <w:rsid w:val="000E6DC9"/>
    <w:rsid w:val="000E6E53"/>
    <w:rsid w:val="000E6E58"/>
    <w:rsid w:val="000E6EDD"/>
    <w:rsid w:val="000E6F9D"/>
    <w:rsid w:val="000E6FE1"/>
    <w:rsid w:val="000E7009"/>
    <w:rsid w:val="000E70CD"/>
    <w:rsid w:val="000E726C"/>
    <w:rsid w:val="000E72CD"/>
    <w:rsid w:val="000E74B2"/>
    <w:rsid w:val="000E74CC"/>
    <w:rsid w:val="000E75F5"/>
    <w:rsid w:val="000E76DA"/>
    <w:rsid w:val="000E7745"/>
    <w:rsid w:val="000E7C7A"/>
    <w:rsid w:val="000E7D22"/>
    <w:rsid w:val="000E7D5C"/>
    <w:rsid w:val="000E7E4E"/>
    <w:rsid w:val="000E7FFD"/>
    <w:rsid w:val="000F00A1"/>
    <w:rsid w:val="000F0131"/>
    <w:rsid w:val="000F0145"/>
    <w:rsid w:val="000F02DD"/>
    <w:rsid w:val="000F0573"/>
    <w:rsid w:val="000F05A8"/>
    <w:rsid w:val="000F05C7"/>
    <w:rsid w:val="000F05C9"/>
    <w:rsid w:val="000F09B4"/>
    <w:rsid w:val="000F0B07"/>
    <w:rsid w:val="000F0BDD"/>
    <w:rsid w:val="000F0E4D"/>
    <w:rsid w:val="000F0E84"/>
    <w:rsid w:val="000F1100"/>
    <w:rsid w:val="000F119F"/>
    <w:rsid w:val="000F1252"/>
    <w:rsid w:val="000F1291"/>
    <w:rsid w:val="000F1548"/>
    <w:rsid w:val="000F1678"/>
    <w:rsid w:val="000F17C4"/>
    <w:rsid w:val="000F1A50"/>
    <w:rsid w:val="000F1AE7"/>
    <w:rsid w:val="000F1C19"/>
    <w:rsid w:val="000F1C59"/>
    <w:rsid w:val="000F1E0A"/>
    <w:rsid w:val="000F1E0F"/>
    <w:rsid w:val="000F1EE0"/>
    <w:rsid w:val="000F1F18"/>
    <w:rsid w:val="000F1FDF"/>
    <w:rsid w:val="000F206E"/>
    <w:rsid w:val="000F208C"/>
    <w:rsid w:val="000F2096"/>
    <w:rsid w:val="000F20EB"/>
    <w:rsid w:val="000F21A4"/>
    <w:rsid w:val="000F21C7"/>
    <w:rsid w:val="000F22EB"/>
    <w:rsid w:val="000F244C"/>
    <w:rsid w:val="000F25DE"/>
    <w:rsid w:val="000F2641"/>
    <w:rsid w:val="000F27FE"/>
    <w:rsid w:val="000F28A4"/>
    <w:rsid w:val="000F2A08"/>
    <w:rsid w:val="000F2A48"/>
    <w:rsid w:val="000F2D93"/>
    <w:rsid w:val="000F3027"/>
    <w:rsid w:val="000F315A"/>
    <w:rsid w:val="000F3187"/>
    <w:rsid w:val="000F32AC"/>
    <w:rsid w:val="000F3357"/>
    <w:rsid w:val="000F34FD"/>
    <w:rsid w:val="000F3571"/>
    <w:rsid w:val="000F357E"/>
    <w:rsid w:val="000F35D9"/>
    <w:rsid w:val="000F3601"/>
    <w:rsid w:val="000F3955"/>
    <w:rsid w:val="000F398F"/>
    <w:rsid w:val="000F3C9A"/>
    <w:rsid w:val="000F3D8D"/>
    <w:rsid w:val="000F3DCF"/>
    <w:rsid w:val="000F3F9C"/>
    <w:rsid w:val="000F40AD"/>
    <w:rsid w:val="000F41CC"/>
    <w:rsid w:val="000F4476"/>
    <w:rsid w:val="000F4504"/>
    <w:rsid w:val="000F45EC"/>
    <w:rsid w:val="000F476B"/>
    <w:rsid w:val="000F479F"/>
    <w:rsid w:val="000F4B8B"/>
    <w:rsid w:val="000F4BA1"/>
    <w:rsid w:val="000F4BFA"/>
    <w:rsid w:val="000F4C41"/>
    <w:rsid w:val="000F4DFF"/>
    <w:rsid w:val="000F4EBA"/>
    <w:rsid w:val="000F5015"/>
    <w:rsid w:val="000F50F3"/>
    <w:rsid w:val="000F514E"/>
    <w:rsid w:val="000F5245"/>
    <w:rsid w:val="000F5483"/>
    <w:rsid w:val="000F5544"/>
    <w:rsid w:val="000F56B9"/>
    <w:rsid w:val="000F57AB"/>
    <w:rsid w:val="000F5882"/>
    <w:rsid w:val="000F5B78"/>
    <w:rsid w:val="000F5CFA"/>
    <w:rsid w:val="000F5D30"/>
    <w:rsid w:val="000F5F2C"/>
    <w:rsid w:val="000F613A"/>
    <w:rsid w:val="000F621E"/>
    <w:rsid w:val="000F623F"/>
    <w:rsid w:val="000F6256"/>
    <w:rsid w:val="000F62FF"/>
    <w:rsid w:val="000F6376"/>
    <w:rsid w:val="000F6471"/>
    <w:rsid w:val="000F651D"/>
    <w:rsid w:val="000F668F"/>
    <w:rsid w:val="000F6746"/>
    <w:rsid w:val="000F6899"/>
    <w:rsid w:val="000F69C3"/>
    <w:rsid w:val="000F6A02"/>
    <w:rsid w:val="000F6A95"/>
    <w:rsid w:val="000F6B4E"/>
    <w:rsid w:val="000F6ED8"/>
    <w:rsid w:val="000F7070"/>
    <w:rsid w:val="000F7360"/>
    <w:rsid w:val="000F7361"/>
    <w:rsid w:val="000F7408"/>
    <w:rsid w:val="000F743D"/>
    <w:rsid w:val="000F74F3"/>
    <w:rsid w:val="000F7651"/>
    <w:rsid w:val="000F7726"/>
    <w:rsid w:val="000F7766"/>
    <w:rsid w:val="000F7811"/>
    <w:rsid w:val="000F79F3"/>
    <w:rsid w:val="000F7AFE"/>
    <w:rsid w:val="000F7C76"/>
    <w:rsid w:val="000F7DE6"/>
    <w:rsid w:val="000F7E61"/>
    <w:rsid w:val="000F7EDF"/>
    <w:rsid w:val="000F7F16"/>
    <w:rsid w:val="00100030"/>
    <w:rsid w:val="0010004C"/>
    <w:rsid w:val="00100696"/>
    <w:rsid w:val="00100768"/>
    <w:rsid w:val="00100845"/>
    <w:rsid w:val="001008D1"/>
    <w:rsid w:val="001008FE"/>
    <w:rsid w:val="00100920"/>
    <w:rsid w:val="00100935"/>
    <w:rsid w:val="00100A03"/>
    <w:rsid w:val="00100A0A"/>
    <w:rsid w:val="00100A0F"/>
    <w:rsid w:val="00100B1D"/>
    <w:rsid w:val="00100B59"/>
    <w:rsid w:val="00100B8C"/>
    <w:rsid w:val="00100F1A"/>
    <w:rsid w:val="00100F78"/>
    <w:rsid w:val="001011A4"/>
    <w:rsid w:val="001011AB"/>
    <w:rsid w:val="0010123F"/>
    <w:rsid w:val="00101438"/>
    <w:rsid w:val="00101583"/>
    <w:rsid w:val="0010176E"/>
    <w:rsid w:val="0010182E"/>
    <w:rsid w:val="00101925"/>
    <w:rsid w:val="00101956"/>
    <w:rsid w:val="00101989"/>
    <w:rsid w:val="00101AE3"/>
    <w:rsid w:val="00101D3D"/>
    <w:rsid w:val="00101DEE"/>
    <w:rsid w:val="00101E09"/>
    <w:rsid w:val="00101F62"/>
    <w:rsid w:val="00102246"/>
    <w:rsid w:val="0010231D"/>
    <w:rsid w:val="00102397"/>
    <w:rsid w:val="00102462"/>
    <w:rsid w:val="00102620"/>
    <w:rsid w:val="001026F4"/>
    <w:rsid w:val="0010270A"/>
    <w:rsid w:val="0010270D"/>
    <w:rsid w:val="00102796"/>
    <w:rsid w:val="00102814"/>
    <w:rsid w:val="00102915"/>
    <w:rsid w:val="00102970"/>
    <w:rsid w:val="00102A4B"/>
    <w:rsid w:val="00102C52"/>
    <w:rsid w:val="00102C70"/>
    <w:rsid w:val="00102D23"/>
    <w:rsid w:val="00102D25"/>
    <w:rsid w:val="00102D5D"/>
    <w:rsid w:val="00102DF9"/>
    <w:rsid w:val="00102F47"/>
    <w:rsid w:val="00102F9D"/>
    <w:rsid w:val="00103041"/>
    <w:rsid w:val="00103293"/>
    <w:rsid w:val="0010330D"/>
    <w:rsid w:val="001033DA"/>
    <w:rsid w:val="001033FC"/>
    <w:rsid w:val="0010355C"/>
    <w:rsid w:val="00103669"/>
    <w:rsid w:val="00103866"/>
    <w:rsid w:val="001039A0"/>
    <w:rsid w:val="001039BF"/>
    <w:rsid w:val="00103A7A"/>
    <w:rsid w:val="00103B14"/>
    <w:rsid w:val="00103CFE"/>
    <w:rsid w:val="00103D05"/>
    <w:rsid w:val="00104007"/>
    <w:rsid w:val="0010407A"/>
    <w:rsid w:val="0010408A"/>
    <w:rsid w:val="0010412E"/>
    <w:rsid w:val="00104277"/>
    <w:rsid w:val="00104310"/>
    <w:rsid w:val="00104398"/>
    <w:rsid w:val="00104541"/>
    <w:rsid w:val="00104597"/>
    <w:rsid w:val="001046D7"/>
    <w:rsid w:val="001046F2"/>
    <w:rsid w:val="001048A9"/>
    <w:rsid w:val="001048CD"/>
    <w:rsid w:val="0010492C"/>
    <w:rsid w:val="00104A09"/>
    <w:rsid w:val="00104BA0"/>
    <w:rsid w:val="00104DEC"/>
    <w:rsid w:val="00104F47"/>
    <w:rsid w:val="00105305"/>
    <w:rsid w:val="001053F8"/>
    <w:rsid w:val="0010547E"/>
    <w:rsid w:val="00105483"/>
    <w:rsid w:val="00105500"/>
    <w:rsid w:val="00105566"/>
    <w:rsid w:val="00105586"/>
    <w:rsid w:val="00105644"/>
    <w:rsid w:val="0010565D"/>
    <w:rsid w:val="00105693"/>
    <w:rsid w:val="0010576A"/>
    <w:rsid w:val="0010586A"/>
    <w:rsid w:val="00105900"/>
    <w:rsid w:val="00105AF4"/>
    <w:rsid w:val="00105C22"/>
    <w:rsid w:val="00105D12"/>
    <w:rsid w:val="00105EB6"/>
    <w:rsid w:val="00105EC0"/>
    <w:rsid w:val="00105EDE"/>
    <w:rsid w:val="00105EE8"/>
    <w:rsid w:val="00106038"/>
    <w:rsid w:val="0010604C"/>
    <w:rsid w:val="001061B5"/>
    <w:rsid w:val="001061F0"/>
    <w:rsid w:val="00106263"/>
    <w:rsid w:val="001064F2"/>
    <w:rsid w:val="0010653B"/>
    <w:rsid w:val="001065D2"/>
    <w:rsid w:val="0010661A"/>
    <w:rsid w:val="00106644"/>
    <w:rsid w:val="001066D7"/>
    <w:rsid w:val="00106826"/>
    <w:rsid w:val="00106B02"/>
    <w:rsid w:val="00106B26"/>
    <w:rsid w:val="00106B46"/>
    <w:rsid w:val="00106B65"/>
    <w:rsid w:val="00106F2D"/>
    <w:rsid w:val="00106FF2"/>
    <w:rsid w:val="00106FF3"/>
    <w:rsid w:val="001070CF"/>
    <w:rsid w:val="001071B8"/>
    <w:rsid w:val="001072A3"/>
    <w:rsid w:val="00107471"/>
    <w:rsid w:val="001074E7"/>
    <w:rsid w:val="001077F6"/>
    <w:rsid w:val="0010786A"/>
    <w:rsid w:val="001078C4"/>
    <w:rsid w:val="00107903"/>
    <w:rsid w:val="00107EAD"/>
    <w:rsid w:val="00107F6F"/>
    <w:rsid w:val="00110360"/>
    <w:rsid w:val="0011040C"/>
    <w:rsid w:val="0011069F"/>
    <w:rsid w:val="001108AC"/>
    <w:rsid w:val="00110980"/>
    <w:rsid w:val="00110AD9"/>
    <w:rsid w:val="00110B70"/>
    <w:rsid w:val="00110DD2"/>
    <w:rsid w:val="00110F86"/>
    <w:rsid w:val="00110FAF"/>
    <w:rsid w:val="0011101A"/>
    <w:rsid w:val="001110C7"/>
    <w:rsid w:val="0011122A"/>
    <w:rsid w:val="00111251"/>
    <w:rsid w:val="00111347"/>
    <w:rsid w:val="001114EB"/>
    <w:rsid w:val="001117A0"/>
    <w:rsid w:val="00111820"/>
    <w:rsid w:val="00111968"/>
    <w:rsid w:val="00111A06"/>
    <w:rsid w:val="00111AE1"/>
    <w:rsid w:val="00111B68"/>
    <w:rsid w:val="00111CEE"/>
    <w:rsid w:val="00111E0E"/>
    <w:rsid w:val="001123C2"/>
    <w:rsid w:val="0011240C"/>
    <w:rsid w:val="0011242A"/>
    <w:rsid w:val="001124B6"/>
    <w:rsid w:val="0011270D"/>
    <w:rsid w:val="00112731"/>
    <w:rsid w:val="00112821"/>
    <w:rsid w:val="001128F3"/>
    <w:rsid w:val="00112A08"/>
    <w:rsid w:val="00112D52"/>
    <w:rsid w:val="00112FB8"/>
    <w:rsid w:val="00112FD4"/>
    <w:rsid w:val="0011305F"/>
    <w:rsid w:val="001131F9"/>
    <w:rsid w:val="001133FF"/>
    <w:rsid w:val="00113528"/>
    <w:rsid w:val="00113581"/>
    <w:rsid w:val="00113ADC"/>
    <w:rsid w:val="00113D86"/>
    <w:rsid w:val="00113F31"/>
    <w:rsid w:val="00114154"/>
    <w:rsid w:val="00114174"/>
    <w:rsid w:val="001141AD"/>
    <w:rsid w:val="001144AA"/>
    <w:rsid w:val="00114C1C"/>
    <w:rsid w:val="00114CC8"/>
    <w:rsid w:val="00114D4D"/>
    <w:rsid w:val="00114D6D"/>
    <w:rsid w:val="00114D95"/>
    <w:rsid w:val="00115167"/>
    <w:rsid w:val="00115215"/>
    <w:rsid w:val="00115249"/>
    <w:rsid w:val="00115396"/>
    <w:rsid w:val="001153B9"/>
    <w:rsid w:val="001153D1"/>
    <w:rsid w:val="001153E4"/>
    <w:rsid w:val="001154D2"/>
    <w:rsid w:val="00115538"/>
    <w:rsid w:val="00115595"/>
    <w:rsid w:val="0011582A"/>
    <w:rsid w:val="001159FD"/>
    <w:rsid w:val="00115A23"/>
    <w:rsid w:val="00115ADC"/>
    <w:rsid w:val="00115B9A"/>
    <w:rsid w:val="00115C1C"/>
    <w:rsid w:val="00116063"/>
    <w:rsid w:val="0011636D"/>
    <w:rsid w:val="001163DF"/>
    <w:rsid w:val="001165FC"/>
    <w:rsid w:val="0011678B"/>
    <w:rsid w:val="0011688B"/>
    <w:rsid w:val="001169F1"/>
    <w:rsid w:val="00116A00"/>
    <w:rsid w:val="00116C12"/>
    <w:rsid w:val="00116C5E"/>
    <w:rsid w:val="00116EFE"/>
    <w:rsid w:val="0011709C"/>
    <w:rsid w:val="001170ED"/>
    <w:rsid w:val="001171FC"/>
    <w:rsid w:val="00117273"/>
    <w:rsid w:val="001173DF"/>
    <w:rsid w:val="00117463"/>
    <w:rsid w:val="00117539"/>
    <w:rsid w:val="0011753E"/>
    <w:rsid w:val="001175B3"/>
    <w:rsid w:val="001175FF"/>
    <w:rsid w:val="00117675"/>
    <w:rsid w:val="00117758"/>
    <w:rsid w:val="001177A8"/>
    <w:rsid w:val="001179FC"/>
    <w:rsid w:val="00117A2A"/>
    <w:rsid w:val="00117B27"/>
    <w:rsid w:val="00117BF2"/>
    <w:rsid w:val="00117C2B"/>
    <w:rsid w:val="00117C8C"/>
    <w:rsid w:val="00117D60"/>
    <w:rsid w:val="00117FB8"/>
    <w:rsid w:val="00120000"/>
    <w:rsid w:val="00120069"/>
    <w:rsid w:val="00120184"/>
    <w:rsid w:val="001201D1"/>
    <w:rsid w:val="001202D7"/>
    <w:rsid w:val="00120316"/>
    <w:rsid w:val="001205DD"/>
    <w:rsid w:val="00120608"/>
    <w:rsid w:val="0012069B"/>
    <w:rsid w:val="00120718"/>
    <w:rsid w:val="001207E6"/>
    <w:rsid w:val="0012085F"/>
    <w:rsid w:val="00120918"/>
    <w:rsid w:val="0012098D"/>
    <w:rsid w:val="001209B3"/>
    <w:rsid w:val="00120A00"/>
    <w:rsid w:val="00120A54"/>
    <w:rsid w:val="00120D33"/>
    <w:rsid w:val="00120F99"/>
    <w:rsid w:val="00121150"/>
    <w:rsid w:val="00121180"/>
    <w:rsid w:val="00121201"/>
    <w:rsid w:val="0012127B"/>
    <w:rsid w:val="001212C3"/>
    <w:rsid w:val="001215E0"/>
    <w:rsid w:val="00121938"/>
    <w:rsid w:val="00121C35"/>
    <w:rsid w:val="00121C8D"/>
    <w:rsid w:val="00121D50"/>
    <w:rsid w:val="00121EDB"/>
    <w:rsid w:val="00121EE4"/>
    <w:rsid w:val="00121F42"/>
    <w:rsid w:val="0012215B"/>
    <w:rsid w:val="00122222"/>
    <w:rsid w:val="001223F4"/>
    <w:rsid w:val="001224C0"/>
    <w:rsid w:val="001224F7"/>
    <w:rsid w:val="0012253A"/>
    <w:rsid w:val="0012260C"/>
    <w:rsid w:val="00122747"/>
    <w:rsid w:val="00122843"/>
    <w:rsid w:val="0012284B"/>
    <w:rsid w:val="0012294E"/>
    <w:rsid w:val="00122A44"/>
    <w:rsid w:val="00122A76"/>
    <w:rsid w:val="00122AB9"/>
    <w:rsid w:val="00122CD7"/>
    <w:rsid w:val="00122F82"/>
    <w:rsid w:val="00122F8A"/>
    <w:rsid w:val="00123071"/>
    <w:rsid w:val="001231AC"/>
    <w:rsid w:val="0012349E"/>
    <w:rsid w:val="001234A8"/>
    <w:rsid w:val="001237B5"/>
    <w:rsid w:val="001238DA"/>
    <w:rsid w:val="00123A48"/>
    <w:rsid w:val="00123C70"/>
    <w:rsid w:val="00123EA2"/>
    <w:rsid w:val="00123EA7"/>
    <w:rsid w:val="00123F45"/>
    <w:rsid w:val="00123FDA"/>
    <w:rsid w:val="0012406D"/>
    <w:rsid w:val="001240CD"/>
    <w:rsid w:val="00124343"/>
    <w:rsid w:val="0012444F"/>
    <w:rsid w:val="00124584"/>
    <w:rsid w:val="00124653"/>
    <w:rsid w:val="001246D0"/>
    <w:rsid w:val="001247CA"/>
    <w:rsid w:val="00124A66"/>
    <w:rsid w:val="00124AAB"/>
    <w:rsid w:val="00124B71"/>
    <w:rsid w:val="00124C0A"/>
    <w:rsid w:val="00124C0E"/>
    <w:rsid w:val="00124C3B"/>
    <w:rsid w:val="00124C63"/>
    <w:rsid w:val="00124DE9"/>
    <w:rsid w:val="00124E6A"/>
    <w:rsid w:val="00124EF4"/>
    <w:rsid w:val="0012512C"/>
    <w:rsid w:val="001251BB"/>
    <w:rsid w:val="001251DC"/>
    <w:rsid w:val="00125526"/>
    <w:rsid w:val="00125537"/>
    <w:rsid w:val="001255AE"/>
    <w:rsid w:val="00125742"/>
    <w:rsid w:val="00125749"/>
    <w:rsid w:val="00125A7A"/>
    <w:rsid w:val="00125AF1"/>
    <w:rsid w:val="00125CE7"/>
    <w:rsid w:val="00125DD2"/>
    <w:rsid w:val="001260FD"/>
    <w:rsid w:val="001261C6"/>
    <w:rsid w:val="00126304"/>
    <w:rsid w:val="0012647B"/>
    <w:rsid w:val="001265B0"/>
    <w:rsid w:val="001265DB"/>
    <w:rsid w:val="001266DC"/>
    <w:rsid w:val="00126753"/>
    <w:rsid w:val="0012686E"/>
    <w:rsid w:val="00126873"/>
    <w:rsid w:val="001268BE"/>
    <w:rsid w:val="00126938"/>
    <w:rsid w:val="00126B01"/>
    <w:rsid w:val="00126BCD"/>
    <w:rsid w:val="00126C6C"/>
    <w:rsid w:val="00126CBD"/>
    <w:rsid w:val="00126ED2"/>
    <w:rsid w:val="00126F53"/>
    <w:rsid w:val="00127384"/>
    <w:rsid w:val="0012746A"/>
    <w:rsid w:val="001275C9"/>
    <w:rsid w:val="0012770A"/>
    <w:rsid w:val="00127D4A"/>
    <w:rsid w:val="00127D81"/>
    <w:rsid w:val="00127EE0"/>
    <w:rsid w:val="00127EF8"/>
    <w:rsid w:val="00130054"/>
    <w:rsid w:val="0013018D"/>
    <w:rsid w:val="00130252"/>
    <w:rsid w:val="00130384"/>
    <w:rsid w:val="00130493"/>
    <w:rsid w:val="00130498"/>
    <w:rsid w:val="0013057A"/>
    <w:rsid w:val="0013058B"/>
    <w:rsid w:val="001306E0"/>
    <w:rsid w:val="001308DC"/>
    <w:rsid w:val="0013091D"/>
    <w:rsid w:val="00130992"/>
    <w:rsid w:val="00130B34"/>
    <w:rsid w:val="00130B4C"/>
    <w:rsid w:val="00130B5E"/>
    <w:rsid w:val="00130C4A"/>
    <w:rsid w:val="00130E6A"/>
    <w:rsid w:val="001310D5"/>
    <w:rsid w:val="0013124E"/>
    <w:rsid w:val="001312AF"/>
    <w:rsid w:val="0013130F"/>
    <w:rsid w:val="00131392"/>
    <w:rsid w:val="001315E7"/>
    <w:rsid w:val="001315E8"/>
    <w:rsid w:val="0013166A"/>
    <w:rsid w:val="00131698"/>
    <w:rsid w:val="00131773"/>
    <w:rsid w:val="001317B7"/>
    <w:rsid w:val="00131949"/>
    <w:rsid w:val="00131A12"/>
    <w:rsid w:val="00131A99"/>
    <w:rsid w:val="00131B0A"/>
    <w:rsid w:val="00131C71"/>
    <w:rsid w:val="00131EB2"/>
    <w:rsid w:val="00131F3B"/>
    <w:rsid w:val="00131F55"/>
    <w:rsid w:val="00132050"/>
    <w:rsid w:val="001321A1"/>
    <w:rsid w:val="00132354"/>
    <w:rsid w:val="001323D6"/>
    <w:rsid w:val="00132470"/>
    <w:rsid w:val="00132505"/>
    <w:rsid w:val="00132523"/>
    <w:rsid w:val="001325C5"/>
    <w:rsid w:val="00132641"/>
    <w:rsid w:val="00132678"/>
    <w:rsid w:val="001327AA"/>
    <w:rsid w:val="00132B75"/>
    <w:rsid w:val="00132BDB"/>
    <w:rsid w:val="00132CAF"/>
    <w:rsid w:val="00132E1D"/>
    <w:rsid w:val="00132F3B"/>
    <w:rsid w:val="00132FB8"/>
    <w:rsid w:val="001331BB"/>
    <w:rsid w:val="00133286"/>
    <w:rsid w:val="001334D8"/>
    <w:rsid w:val="001335BB"/>
    <w:rsid w:val="0013389A"/>
    <w:rsid w:val="001338B9"/>
    <w:rsid w:val="00133B78"/>
    <w:rsid w:val="00133B82"/>
    <w:rsid w:val="00133CC7"/>
    <w:rsid w:val="00133CF9"/>
    <w:rsid w:val="0013407C"/>
    <w:rsid w:val="0013455C"/>
    <w:rsid w:val="001348D8"/>
    <w:rsid w:val="001348EF"/>
    <w:rsid w:val="00134ABB"/>
    <w:rsid w:val="00134DCB"/>
    <w:rsid w:val="001350C7"/>
    <w:rsid w:val="0013510A"/>
    <w:rsid w:val="00135248"/>
    <w:rsid w:val="0013527E"/>
    <w:rsid w:val="001353D4"/>
    <w:rsid w:val="0013569D"/>
    <w:rsid w:val="001356D8"/>
    <w:rsid w:val="00135730"/>
    <w:rsid w:val="001357B2"/>
    <w:rsid w:val="001357CE"/>
    <w:rsid w:val="00135810"/>
    <w:rsid w:val="00135B9F"/>
    <w:rsid w:val="00135C85"/>
    <w:rsid w:val="00135E88"/>
    <w:rsid w:val="00135FA1"/>
    <w:rsid w:val="001361B0"/>
    <w:rsid w:val="00136298"/>
    <w:rsid w:val="001362D5"/>
    <w:rsid w:val="00136393"/>
    <w:rsid w:val="001366BD"/>
    <w:rsid w:val="00136751"/>
    <w:rsid w:val="00136765"/>
    <w:rsid w:val="0013695F"/>
    <w:rsid w:val="00136BA5"/>
    <w:rsid w:val="00136C3B"/>
    <w:rsid w:val="00136EC7"/>
    <w:rsid w:val="00136ED3"/>
    <w:rsid w:val="001370CF"/>
    <w:rsid w:val="001373A4"/>
    <w:rsid w:val="001379DE"/>
    <w:rsid w:val="00137A44"/>
    <w:rsid w:val="00137A55"/>
    <w:rsid w:val="00137AC6"/>
    <w:rsid w:val="00137CD4"/>
    <w:rsid w:val="0014002F"/>
    <w:rsid w:val="001400E8"/>
    <w:rsid w:val="00140165"/>
    <w:rsid w:val="0014061D"/>
    <w:rsid w:val="0014079B"/>
    <w:rsid w:val="001407C2"/>
    <w:rsid w:val="001408A2"/>
    <w:rsid w:val="00140958"/>
    <w:rsid w:val="00140BB7"/>
    <w:rsid w:val="00140C64"/>
    <w:rsid w:val="00140C70"/>
    <w:rsid w:val="00140CF0"/>
    <w:rsid w:val="00140E0C"/>
    <w:rsid w:val="00140E40"/>
    <w:rsid w:val="00140EF9"/>
    <w:rsid w:val="00140F1F"/>
    <w:rsid w:val="00140F6D"/>
    <w:rsid w:val="00140FAE"/>
    <w:rsid w:val="0014121C"/>
    <w:rsid w:val="0014122E"/>
    <w:rsid w:val="001412AC"/>
    <w:rsid w:val="0014131E"/>
    <w:rsid w:val="001414AD"/>
    <w:rsid w:val="00141500"/>
    <w:rsid w:val="00141519"/>
    <w:rsid w:val="00141542"/>
    <w:rsid w:val="00141B42"/>
    <w:rsid w:val="00141BDD"/>
    <w:rsid w:val="00141DF7"/>
    <w:rsid w:val="00141E18"/>
    <w:rsid w:val="0014211C"/>
    <w:rsid w:val="00142222"/>
    <w:rsid w:val="001423FF"/>
    <w:rsid w:val="0014240A"/>
    <w:rsid w:val="001425C3"/>
    <w:rsid w:val="001425E8"/>
    <w:rsid w:val="001426F3"/>
    <w:rsid w:val="001427E8"/>
    <w:rsid w:val="00142800"/>
    <w:rsid w:val="001428DA"/>
    <w:rsid w:val="00142EBC"/>
    <w:rsid w:val="00142F17"/>
    <w:rsid w:val="00142FE9"/>
    <w:rsid w:val="00143097"/>
    <w:rsid w:val="001432EF"/>
    <w:rsid w:val="00143425"/>
    <w:rsid w:val="001434CC"/>
    <w:rsid w:val="00143710"/>
    <w:rsid w:val="001437D7"/>
    <w:rsid w:val="001437ED"/>
    <w:rsid w:val="0014390D"/>
    <w:rsid w:val="0014398F"/>
    <w:rsid w:val="00143B4C"/>
    <w:rsid w:val="00143F0A"/>
    <w:rsid w:val="0014422B"/>
    <w:rsid w:val="001442FD"/>
    <w:rsid w:val="001443E6"/>
    <w:rsid w:val="00144400"/>
    <w:rsid w:val="0014458E"/>
    <w:rsid w:val="00144593"/>
    <w:rsid w:val="001447BA"/>
    <w:rsid w:val="00144852"/>
    <w:rsid w:val="00144A33"/>
    <w:rsid w:val="00144B1D"/>
    <w:rsid w:val="00144CB1"/>
    <w:rsid w:val="00144D56"/>
    <w:rsid w:val="00144DAB"/>
    <w:rsid w:val="00144FD2"/>
    <w:rsid w:val="00145032"/>
    <w:rsid w:val="001450FE"/>
    <w:rsid w:val="00145207"/>
    <w:rsid w:val="00145243"/>
    <w:rsid w:val="00145553"/>
    <w:rsid w:val="001456A7"/>
    <w:rsid w:val="0014580B"/>
    <w:rsid w:val="001458E3"/>
    <w:rsid w:val="00145917"/>
    <w:rsid w:val="001459C4"/>
    <w:rsid w:val="001459F7"/>
    <w:rsid w:val="00145E65"/>
    <w:rsid w:val="00145F0E"/>
    <w:rsid w:val="00145FE3"/>
    <w:rsid w:val="0014601F"/>
    <w:rsid w:val="00146128"/>
    <w:rsid w:val="00146201"/>
    <w:rsid w:val="001464BD"/>
    <w:rsid w:val="00146540"/>
    <w:rsid w:val="0014659B"/>
    <w:rsid w:val="001465B7"/>
    <w:rsid w:val="0014660A"/>
    <w:rsid w:val="001466CA"/>
    <w:rsid w:val="001467FE"/>
    <w:rsid w:val="00146807"/>
    <w:rsid w:val="0014687A"/>
    <w:rsid w:val="00146895"/>
    <w:rsid w:val="0014689D"/>
    <w:rsid w:val="00146D98"/>
    <w:rsid w:val="00146D9A"/>
    <w:rsid w:val="00146DCA"/>
    <w:rsid w:val="00146DD1"/>
    <w:rsid w:val="00146E47"/>
    <w:rsid w:val="00146FDB"/>
    <w:rsid w:val="00147028"/>
    <w:rsid w:val="00147078"/>
    <w:rsid w:val="0014720C"/>
    <w:rsid w:val="001472CB"/>
    <w:rsid w:val="001475F0"/>
    <w:rsid w:val="0014766C"/>
    <w:rsid w:val="00147671"/>
    <w:rsid w:val="00147719"/>
    <w:rsid w:val="001477EC"/>
    <w:rsid w:val="0014783E"/>
    <w:rsid w:val="00147879"/>
    <w:rsid w:val="0014794E"/>
    <w:rsid w:val="00147ED6"/>
    <w:rsid w:val="00147F96"/>
    <w:rsid w:val="0015024D"/>
    <w:rsid w:val="001502DE"/>
    <w:rsid w:val="00150384"/>
    <w:rsid w:val="0015062E"/>
    <w:rsid w:val="0015087D"/>
    <w:rsid w:val="00150954"/>
    <w:rsid w:val="00150CE9"/>
    <w:rsid w:val="00150F89"/>
    <w:rsid w:val="00150FC3"/>
    <w:rsid w:val="001510EC"/>
    <w:rsid w:val="0015124E"/>
    <w:rsid w:val="001512D5"/>
    <w:rsid w:val="0015132A"/>
    <w:rsid w:val="001513C5"/>
    <w:rsid w:val="00151456"/>
    <w:rsid w:val="0015151A"/>
    <w:rsid w:val="0015167C"/>
    <w:rsid w:val="00151957"/>
    <w:rsid w:val="00151A31"/>
    <w:rsid w:val="00151AD1"/>
    <w:rsid w:val="00151BB8"/>
    <w:rsid w:val="00151C58"/>
    <w:rsid w:val="00151C97"/>
    <w:rsid w:val="0015239F"/>
    <w:rsid w:val="0015242D"/>
    <w:rsid w:val="0015260F"/>
    <w:rsid w:val="0015261B"/>
    <w:rsid w:val="001526D9"/>
    <w:rsid w:val="00152C4F"/>
    <w:rsid w:val="00152D84"/>
    <w:rsid w:val="00152D98"/>
    <w:rsid w:val="00152DC4"/>
    <w:rsid w:val="00152DF3"/>
    <w:rsid w:val="00152E72"/>
    <w:rsid w:val="00152E7C"/>
    <w:rsid w:val="00152E83"/>
    <w:rsid w:val="00152EF3"/>
    <w:rsid w:val="00152F93"/>
    <w:rsid w:val="00153343"/>
    <w:rsid w:val="001534B6"/>
    <w:rsid w:val="0015356B"/>
    <w:rsid w:val="00153702"/>
    <w:rsid w:val="0015374C"/>
    <w:rsid w:val="00153814"/>
    <w:rsid w:val="001539FD"/>
    <w:rsid w:val="00153ACB"/>
    <w:rsid w:val="00153B79"/>
    <w:rsid w:val="00153CF3"/>
    <w:rsid w:val="00154037"/>
    <w:rsid w:val="00154398"/>
    <w:rsid w:val="001544C1"/>
    <w:rsid w:val="001544DE"/>
    <w:rsid w:val="001544F0"/>
    <w:rsid w:val="0015457D"/>
    <w:rsid w:val="00154910"/>
    <w:rsid w:val="00154CAE"/>
    <w:rsid w:val="00154F0A"/>
    <w:rsid w:val="001551F5"/>
    <w:rsid w:val="00155208"/>
    <w:rsid w:val="0015546A"/>
    <w:rsid w:val="0015563D"/>
    <w:rsid w:val="00155AE8"/>
    <w:rsid w:val="00155C73"/>
    <w:rsid w:val="00155C75"/>
    <w:rsid w:val="00156056"/>
    <w:rsid w:val="0015614C"/>
    <w:rsid w:val="00156216"/>
    <w:rsid w:val="0015629F"/>
    <w:rsid w:val="00156357"/>
    <w:rsid w:val="00156374"/>
    <w:rsid w:val="00156501"/>
    <w:rsid w:val="001565BF"/>
    <w:rsid w:val="001567EB"/>
    <w:rsid w:val="00156A03"/>
    <w:rsid w:val="00156BA8"/>
    <w:rsid w:val="00156EE1"/>
    <w:rsid w:val="00157019"/>
    <w:rsid w:val="00157023"/>
    <w:rsid w:val="001575CE"/>
    <w:rsid w:val="00157972"/>
    <w:rsid w:val="00157A14"/>
    <w:rsid w:val="00157B29"/>
    <w:rsid w:val="00157B5D"/>
    <w:rsid w:val="00157DAA"/>
    <w:rsid w:val="00157F41"/>
    <w:rsid w:val="001600A2"/>
    <w:rsid w:val="00160272"/>
    <w:rsid w:val="001604BC"/>
    <w:rsid w:val="00160A16"/>
    <w:rsid w:val="00160B36"/>
    <w:rsid w:val="00160C16"/>
    <w:rsid w:val="00160CE3"/>
    <w:rsid w:val="00160CF3"/>
    <w:rsid w:val="00160E29"/>
    <w:rsid w:val="00161276"/>
    <w:rsid w:val="00161296"/>
    <w:rsid w:val="00161378"/>
    <w:rsid w:val="001614F6"/>
    <w:rsid w:val="00161664"/>
    <w:rsid w:val="001616CA"/>
    <w:rsid w:val="001619E2"/>
    <w:rsid w:val="00161A43"/>
    <w:rsid w:val="00161C19"/>
    <w:rsid w:val="00161C3F"/>
    <w:rsid w:val="00161F34"/>
    <w:rsid w:val="001620A6"/>
    <w:rsid w:val="001621E3"/>
    <w:rsid w:val="001621E9"/>
    <w:rsid w:val="001624B7"/>
    <w:rsid w:val="0016277B"/>
    <w:rsid w:val="0016292D"/>
    <w:rsid w:val="00162AC2"/>
    <w:rsid w:val="00162DB2"/>
    <w:rsid w:val="0016309E"/>
    <w:rsid w:val="001636D5"/>
    <w:rsid w:val="00163737"/>
    <w:rsid w:val="00163751"/>
    <w:rsid w:val="001637AE"/>
    <w:rsid w:val="0016383B"/>
    <w:rsid w:val="00163886"/>
    <w:rsid w:val="001638E7"/>
    <w:rsid w:val="001639BE"/>
    <w:rsid w:val="00163B50"/>
    <w:rsid w:val="00163C41"/>
    <w:rsid w:val="00163CCD"/>
    <w:rsid w:val="00163DD6"/>
    <w:rsid w:val="00163E1B"/>
    <w:rsid w:val="00163EA8"/>
    <w:rsid w:val="00163ED1"/>
    <w:rsid w:val="00163FE5"/>
    <w:rsid w:val="001640E2"/>
    <w:rsid w:val="0016413D"/>
    <w:rsid w:val="001641B7"/>
    <w:rsid w:val="001641E0"/>
    <w:rsid w:val="0016426E"/>
    <w:rsid w:val="0016441B"/>
    <w:rsid w:val="00164485"/>
    <w:rsid w:val="0016467F"/>
    <w:rsid w:val="001648DE"/>
    <w:rsid w:val="001648FB"/>
    <w:rsid w:val="001649FD"/>
    <w:rsid w:val="00164BB3"/>
    <w:rsid w:val="00164E0B"/>
    <w:rsid w:val="00164F4C"/>
    <w:rsid w:val="001650BA"/>
    <w:rsid w:val="00165143"/>
    <w:rsid w:val="00165211"/>
    <w:rsid w:val="001654AF"/>
    <w:rsid w:val="001654ED"/>
    <w:rsid w:val="0016597B"/>
    <w:rsid w:val="00165A30"/>
    <w:rsid w:val="00165B1D"/>
    <w:rsid w:val="00165C0A"/>
    <w:rsid w:val="00165C3B"/>
    <w:rsid w:val="00165FB9"/>
    <w:rsid w:val="00166113"/>
    <w:rsid w:val="00166267"/>
    <w:rsid w:val="001662E6"/>
    <w:rsid w:val="00166577"/>
    <w:rsid w:val="0016686F"/>
    <w:rsid w:val="00166874"/>
    <w:rsid w:val="0016687A"/>
    <w:rsid w:val="0016690F"/>
    <w:rsid w:val="00166961"/>
    <w:rsid w:val="00166B89"/>
    <w:rsid w:val="00166B94"/>
    <w:rsid w:val="00166BCB"/>
    <w:rsid w:val="00166F3C"/>
    <w:rsid w:val="0016704A"/>
    <w:rsid w:val="001671EF"/>
    <w:rsid w:val="00167343"/>
    <w:rsid w:val="001674BB"/>
    <w:rsid w:val="00167516"/>
    <w:rsid w:val="00167542"/>
    <w:rsid w:val="00167616"/>
    <w:rsid w:val="00167691"/>
    <w:rsid w:val="001676CF"/>
    <w:rsid w:val="001676EF"/>
    <w:rsid w:val="00167896"/>
    <w:rsid w:val="00167C71"/>
    <w:rsid w:val="00167CEB"/>
    <w:rsid w:val="00167D45"/>
    <w:rsid w:val="00167DA4"/>
    <w:rsid w:val="00167DE7"/>
    <w:rsid w:val="00167DF9"/>
    <w:rsid w:val="00167E9A"/>
    <w:rsid w:val="00167FCC"/>
    <w:rsid w:val="00170190"/>
    <w:rsid w:val="001703E4"/>
    <w:rsid w:val="0017056F"/>
    <w:rsid w:val="001705C1"/>
    <w:rsid w:val="00170623"/>
    <w:rsid w:val="00170756"/>
    <w:rsid w:val="00170762"/>
    <w:rsid w:val="00170850"/>
    <w:rsid w:val="00170875"/>
    <w:rsid w:val="00170A7F"/>
    <w:rsid w:val="00170A99"/>
    <w:rsid w:val="00170B5C"/>
    <w:rsid w:val="00170ED3"/>
    <w:rsid w:val="00170F55"/>
    <w:rsid w:val="00170F98"/>
    <w:rsid w:val="00171137"/>
    <w:rsid w:val="001711C6"/>
    <w:rsid w:val="00171264"/>
    <w:rsid w:val="00171311"/>
    <w:rsid w:val="00171365"/>
    <w:rsid w:val="001713F1"/>
    <w:rsid w:val="00171585"/>
    <w:rsid w:val="0017180B"/>
    <w:rsid w:val="0017195A"/>
    <w:rsid w:val="00171960"/>
    <w:rsid w:val="00171AC7"/>
    <w:rsid w:val="00171DF0"/>
    <w:rsid w:val="0017202F"/>
    <w:rsid w:val="0017212D"/>
    <w:rsid w:val="0017217B"/>
    <w:rsid w:val="00172245"/>
    <w:rsid w:val="0017237A"/>
    <w:rsid w:val="001723B2"/>
    <w:rsid w:val="00172415"/>
    <w:rsid w:val="001725CD"/>
    <w:rsid w:val="00172611"/>
    <w:rsid w:val="00172939"/>
    <w:rsid w:val="00172A0D"/>
    <w:rsid w:val="00172A98"/>
    <w:rsid w:val="00172BD4"/>
    <w:rsid w:val="00172BF3"/>
    <w:rsid w:val="00172C64"/>
    <w:rsid w:val="00172CBE"/>
    <w:rsid w:val="00172D35"/>
    <w:rsid w:val="00172D88"/>
    <w:rsid w:val="001731A4"/>
    <w:rsid w:val="001731DE"/>
    <w:rsid w:val="0017323E"/>
    <w:rsid w:val="00173383"/>
    <w:rsid w:val="0017348C"/>
    <w:rsid w:val="001735A0"/>
    <w:rsid w:val="00173781"/>
    <w:rsid w:val="00173805"/>
    <w:rsid w:val="001739C1"/>
    <w:rsid w:val="00173A09"/>
    <w:rsid w:val="00173A5E"/>
    <w:rsid w:val="00173B09"/>
    <w:rsid w:val="00173BE7"/>
    <w:rsid w:val="00173DFD"/>
    <w:rsid w:val="00173EA8"/>
    <w:rsid w:val="00174043"/>
    <w:rsid w:val="00174141"/>
    <w:rsid w:val="00174260"/>
    <w:rsid w:val="00174483"/>
    <w:rsid w:val="00174B3C"/>
    <w:rsid w:val="00174BBB"/>
    <w:rsid w:val="00174D03"/>
    <w:rsid w:val="00174F17"/>
    <w:rsid w:val="00174F43"/>
    <w:rsid w:val="001750A6"/>
    <w:rsid w:val="00175486"/>
    <w:rsid w:val="0017591C"/>
    <w:rsid w:val="0017595B"/>
    <w:rsid w:val="0017595D"/>
    <w:rsid w:val="001759C6"/>
    <w:rsid w:val="00175EA2"/>
    <w:rsid w:val="00175F95"/>
    <w:rsid w:val="00176089"/>
    <w:rsid w:val="00176124"/>
    <w:rsid w:val="00176169"/>
    <w:rsid w:val="001762C9"/>
    <w:rsid w:val="00176661"/>
    <w:rsid w:val="001766D4"/>
    <w:rsid w:val="00176745"/>
    <w:rsid w:val="00176863"/>
    <w:rsid w:val="001768BC"/>
    <w:rsid w:val="001769DE"/>
    <w:rsid w:val="00176CFC"/>
    <w:rsid w:val="00176D07"/>
    <w:rsid w:val="00176E0E"/>
    <w:rsid w:val="00176E10"/>
    <w:rsid w:val="00176EDF"/>
    <w:rsid w:val="00176F00"/>
    <w:rsid w:val="001770A8"/>
    <w:rsid w:val="0017720B"/>
    <w:rsid w:val="0017721E"/>
    <w:rsid w:val="0017732E"/>
    <w:rsid w:val="0017738B"/>
    <w:rsid w:val="0017752E"/>
    <w:rsid w:val="00177536"/>
    <w:rsid w:val="00177667"/>
    <w:rsid w:val="001776CE"/>
    <w:rsid w:val="00177743"/>
    <w:rsid w:val="00177AC2"/>
    <w:rsid w:val="00177C08"/>
    <w:rsid w:val="00177C55"/>
    <w:rsid w:val="00177E15"/>
    <w:rsid w:val="0017962C"/>
    <w:rsid w:val="00180427"/>
    <w:rsid w:val="001804A8"/>
    <w:rsid w:val="00180575"/>
    <w:rsid w:val="0018089F"/>
    <w:rsid w:val="001808DE"/>
    <w:rsid w:val="001808F3"/>
    <w:rsid w:val="00180CD1"/>
    <w:rsid w:val="00180E4C"/>
    <w:rsid w:val="00180ECB"/>
    <w:rsid w:val="00180FCC"/>
    <w:rsid w:val="0018122B"/>
    <w:rsid w:val="00181238"/>
    <w:rsid w:val="001813DC"/>
    <w:rsid w:val="00181526"/>
    <w:rsid w:val="00181715"/>
    <w:rsid w:val="00181B53"/>
    <w:rsid w:val="00181B8D"/>
    <w:rsid w:val="00181BDC"/>
    <w:rsid w:val="00181C43"/>
    <w:rsid w:val="00181D4B"/>
    <w:rsid w:val="001823D9"/>
    <w:rsid w:val="00182528"/>
    <w:rsid w:val="00182591"/>
    <w:rsid w:val="001826C9"/>
    <w:rsid w:val="001827A9"/>
    <w:rsid w:val="00182855"/>
    <w:rsid w:val="00182A5C"/>
    <w:rsid w:val="00182A81"/>
    <w:rsid w:val="00182B8A"/>
    <w:rsid w:val="00182C66"/>
    <w:rsid w:val="00182DC5"/>
    <w:rsid w:val="0018300B"/>
    <w:rsid w:val="001830D2"/>
    <w:rsid w:val="0018313D"/>
    <w:rsid w:val="0018343E"/>
    <w:rsid w:val="0018346E"/>
    <w:rsid w:val="00183550"/>
    <w:rsid w:val="001835BF"/>
    <w:rsid w:val="0018361F"/>
    <w:rsid w:val="00183651"/>
    <w:rsid w:val="001837ED"/>
    <w:rsid w:val="00183867"/>
    <w:rsid w:val="001839C9"/>
    <w:rsid w:val="00183A1E"/>
    <w:rsid w:val="00183B8F"/>
    <w:rsid w:val="00183BDA"/>
    <w:rsid w:val="00183D25"/>
    <w:rsid w:val="0018406C"/>
    <w:rsid w:val="00184092"/>
    <w:rsid w:val="001841FA"/>
    <w:rsid w:val="00184271"/>
    <w:rsid w:val="001842CD"/>
    <w:rsid w:val="00184354"/>
    <w:rsid w:val="001844B7"/>
    <w:rsid w:val="0018451F"/>
    <w:rsid w:val="0018464B"/>
    <w:rsid w:val="00184715"/>
    <w:rsid w:val="00184A6A"/>
    <w:rsid w:val="00184B03"/>
    <w:rsid w:val="00184B56"/>
    <w:rsid w:val="00184FA0"/>
    <w:rsid w:val="001850E1"/>
    <w:rsid w:val="00185208"/>
    <w:rsid w:val="0018525A"/>
    <w:rsid w:val="001852D0"/>
    <w:rsid w:val="0018537F"/>
    <w:rsid w:val="0018583E"/>
    <w:rsid w:val="00185895"/>
    <w:rsid w:val="00185921"/>
    <w:rsid w:val="00185938"/>
    <w:rsid w:val="00185B4D"/>
    <w:rsid w:val="00185C12"/>
    <w:rsid w:val="00185F45"/>
    <w:rsid w:val="00185F9C"/>
    <w:rsid w:val="00185F9F"/>
    <w:rsid w:val="001862E0"/>
    <w:rsid w:val="00186313"/>
    <w:rsid w:val="00186421"/>
    <w:rsid w:val="00186498"/>
    <w:rsid w:val="001864EE"/>
    <w:rsid w:val="001868EE"/>
    <w:rsid w:val="00186A99"/>
    <w:rsid w:val="0018705A"/>
    <w:rsid w:val="00187066"/>
    <w:rsid w:val="001870CC"/>
    <w:rsid w:val="001871B3"/>
    <w:rsid w:val="00187250"/>
    <w:rsid w:val="0018732A"/>
    <w:rsid w:val="001873C8"/>
    <w:rsid w:val="001875A4"/>
    <w:rsid w:val="001875F5"/>
    <w:rsid w:val="00187A1C"/>
    <w:rsid w:val="00187A60"/>
    <w:rsid w:val="00187B49"/>
    <w:rsid w:val="00187BC7"/>
    <w:rsid w:val="00187C51"/>
    <w:rsid w:val="00187DE7"/>
    <w:rsid w:val="0019002C"/>
    <w:rsid w:val="001904F1"/>
    <w:rsid w:val="00190507"/>
    <w:rsid w:val="00190795"/>
    <w:rsid w:val="001907DD"/>
    <w:rsid w:val="00190809"/>
    <w:rsid w:val="001908EA"/>
    <w:rsid w:val="001908F0"/>
    <w:rsid w:val="001908F1"/>
    <w:rsid w:val="0019091F"/>
    <w:rsid w:val="00190D91"/>
    <w:rsid w:val="00190F5F"/>
    <w:rsid w:val="00191027"/>
    <w:rsid w:val="0019113E"/>
    <w:rsid w:val="001912DA"/>
    <w:rsid w:val="0019133D"/>
    <w:rsid w:val="00191349"/>
    <w:rsid w:val="00191464"/>
    <w:rsid w:val="001914A4"/>
    <w:rsid w:val="00191538"/>
    <w:rsid w:val="0019153D"/>
    <w:rsid w:val="001915FC"/>
    <w:rsid w:val="001917C0"/>
    <w:rsid w:val="001917FB"/>
    <w:rsid w:val="0019192B"/>
    <w:rsid w:val="00191A56"/>
    <w:rsid w:val="00191B63"/>
    <w:rsid w:val="00191D48"/>
    <w:rsid w:val="00191EBF"/>
    <w:rsid w:val="00191FA1"/>
    <w:rsid w:val="00192105"/>
    <w:rsid w:val="001926C6"/>
    <w:rsid w:val="001927DE"/>
    <w:rsid w:val="00192933"/>
    <w:rsid w:val="001929D8"/>
    <w:rsid w:val="00192B47"/>
    <w:rsid w:val="00192C1A"/>
    <w:rsid w:val="00192CC3"/>
    <w:rsid w:val="00192D2F"/>
    <w:rsid w:val="00193090"/>
    <w:rsid w:val="001930AE"/>
    <w:rsid w:val="00193234"/>
    <w:rsid w:val="00193333"/>
    <w:rsid w:val="001933D2"/>
    <w:rsid w:val="0019345D"/>
    <w:rsid w:val="00193523"/>
    <w:rsid w:val="001935C8"/>
    <w:rsid w:val="001937A3"/>
    <w:rsid w:val="0019387B"/>
    <w:rsid w:val="001938DC"/>
    <w:rsid w:val="00193DCC"/>
    <w:rsid w:val="00193E8D"/>
    <w:rsid w:val="00193F4C"/>
    <w:rsid w:val="001940D6"/>
    <w:rsid w:val="001941B2"/>
    <w:rsid w:val="001942D0"/>
    <w:rsid w:val="001942E9"/>
    <w:rsid w:val="001945C6"/>
    <w:rsid w:val="001945CE"/>
    <w:rsid w:val="001946C9"/>
    <w:rsid w:val="00194716"/>
    <w:rsid w:val="001949DC"/>
    <w:rsid w:val="00194AC3"/>
    <w:rsid w:val="00194BFA"/>
    <w:rsid w:val="00194E56"/>
    <w:rsid w:val="00194FC2"/>
    <w:rsid w:val="00195146"/>
    <w:rsid w:val="00195391"/>
    <w:rsid w:val="001953C9"/>
    <w:rsid w:val="0019552D"/>
    <w:rsid w:val="0019553C"/>
    <w:rsid w:val="00195602"/>
    <w:rsid w:val="00195652"/>
    <w:rsid w:val="0019569A"/>
    <w:rsid w:val="00195734"/>
    <w:rsid w:val="00195744"/>
    <w:rsid w:val="001958B0"/>
    <w:rsid w:val="001958BF"/>
    <w:rsid w:val="00195934"/>
    <w:rsid w:val="00195DD6"/>
    <w:rsid w:val="00195F6D"/>
    <w:rsid w:val="00195F7A"/>
    <w:rsid w:val="001961A9"/>
    <w:rsid w:val="0019628C"/>
    <w:rsid w:val="00196312"/>
    <w:rsid w:val="0019634C"/>
    <w:rsid w:val="001963DA"/>
    <w:rsid w:val="00196613"/>
    <w:rsid w:val="0019675E"/>
    <w:rsid w:val="00196777"/>
    <w:rsid w:val="00196946"/>
    <w:rsid w:val="00196B99"/>
    <w:rsid w:val="00196BAF"/>
    <w:rsid w:val="00196CC7"/>
    <w:rsid w:val="00196F84"/>
    <w:rsid w:val="0019709E"/>
    <w:rsid w:val="0019712A"/>
    <w:rsid w:val="00197132"/>
    <w:rsid w:val="00197260"/>
    <w:rsid w:val="0019747E"/>
    <w:rsid w:val="00197502"/>
    <w:rsid w:val="00197578"/>
    <w:rsid w:val="00197673"/>
    <w:rsid w:val="0019767F"/>
    <w:rsid w:val="001976F4"/>
    <w:rsid w:val="0019796E"/>
    <w:rsid w:val="00197B0E"/>
    <w:rsid w:val="00197E97"/>
    <w:rsid w:val="001A0123"/>
    <w:rsid w:val="001A015E"/>
    <w:rsid w:val="001A0270"/>
    <w:rsid w:val="001A040D"/>
    <w:rsid w:val="001A054A"/>
    <w:rsid w:val="001A06AF"/>
    <w:rsid w:val="001A08A1"/>
    <w:rsid w:val="001A0925"/>
    <w:rsid w:val="001A0930"/>
    <w:rsid w:val="001A096A"/>
    <w:rsid w:val="001A0B4D"/>
    <w:rsid w:val="001A0B95"/>
    <w:rsid w:val="001A0BC1"/>
    <w:rsid w:val="001A0CF4"/>
    <w:rsid w:val="001A0EDF"/>
    <w:rsid w:val="001A0F7E"/>
    <w:rsid w:val="001A1132"/>
    <w:rsid w:val="001A11B1"/>
    <w:rsid w:val="001A12B6"/>
    <w:rsid w:val="001A12C8"/>
    <w:rsid w:val="001A1445"/>
    <w:rsid w:val="001A1659"/>
    <w:rsid w:val="001A1674"/>
    <w:rsid w:val="001A16CD"/>
    <w:rsid w:val="001A1788"/>
    <w:rsid w:val="001A17D4"/>
    <w:rsid w:val="001A183D"/>
    <w:rsid w:val="001A1899"/>
    <w:rsid w:val="001A189E"/>
    <w:rsid w:val="001A1BF5"/>
    <w:rsid w:val="001A1CFB"/>
    <w:rsid w:val="001A1D89"/>
    <w:rsid w:val="001A1D9A"/>
    <w:rsid w:val="001A1E9C"/>
    <w:rsid w:val="001A1FB9"/>
    <w:rsid w:val="001A22A1"/>
    <w:rsid w:val="001A244C"/>
    <w:rsid w:val="001A24E8"/>
    <w:rsid w:val="001A2697"/>
    <w:rsid w:val="001A27CD"/>
    <w:rsid w:val="001A2AB1"/>
    <w:rsid w:val="001A2B43"/>
    <w:rsid w:val="001A2B8E"/>
    <w:rsid w:val="001A2BD2"/>
    <w:rsid w:val="001A2C0F"/>
    <w:rsid w:val="001A2D18"/>
    <w:rsid w:val="001A2E8E"/>
    <w:rsid w:val="001A2EC4"/>
    <w:rsid w:val="001A2F81"/>
    <w:rsid w:val="001A2F8C"/>
    <w:rsid w:val="001A2FC6"/>
    <w:rsid w:val="001A3273"/>
    <w:rsid w:val="001A32C3"/>
    <w:rsid w:val="001A33E6"/>
    <w:rsid w:val="001A3407"/>
    <w:rsid w:val="001A3483"/>
    <w:rsid w:val="001A34E0"/>
    <w:rsid w:val="001A37F4"/>
    <w:rsid w:val="001A3B1B"/>
    <w:rsid w:val="001A3B37"/>
    <w:rsid w:val="001A3C65"/>
    <w:rsid w:val="001A3FCB"/>
    <w:rsid w:val="001A40B7"/>
    <w:rsid w:val="001A4177"/>
    <w:rsid w:val="001A4209"/>
    <w:rsid w:val="001A420F"/>
    <w:rsid w:val="001A44FD"/>
    <w:rsid w:val="001A4504"/>
    <w:rsid w:val="001A4505"/>
    <w:rsid w:val="001A46C5"/>
    <w:rsid w:val="001A4917"/>
    <w:rsid w:val="001A491E"/>
    <w:rsid w:val="001A4AA1"/>
    <w:rsid w:val="001A4BDF"/>
    <w:rsid w:val="001A4BE8"/>
    <w:rsid w:val="001A51DA"/>
    <w:rsid w:val="001A52A6"/>
    <w:rsid w:val="001A53C8"/>
    <w:rsid w:val="001A54A5"/>
    <w:rsid w:val="001A55C3"/>
    <w:rsid w:val="001A574E"/>
    <w:rsid w:val="001A57F9"/>
    <w:rsid w:val="001A5994"/>
    <w:rsid w:val="001A59B5"/>
    <w:rsid w:val="001A5B08"/>
    <w:rsid w:val="001A5C77"/>
    <w:rsid w:val="001A5DB3"/>
    <w:rsid w:val="001A5F13"/>
    <w:rsid w:val="001A5FD8"/>
    <w:rsid w:val="001A601A"/>
    <w:rsid w:val="001A6031"/>
    <w:rsid w:val="001A6233"/>
    <w:rsid w:val="001A64CF"/>
    <w:rsid w:val="001A64D1"/>
    <w:rsid w:val="001A6865"/>
    <w:rsid w:val="001A6CEB"/>
    <w:rsid w:val="001A6DAE"/>
    <w:rsid w:val="001A6FB3"/>
    <w:rsid w:val="001A7324"/>
    <w:rsid w:val="001A73A1"/>
    <w:rsid w:val="001A7697"/>
    <w:rsid w:val="001A7803"/>
    <w:rsid w:val="001A7CBA"/>
    <w:rsid w:val="001A7E6A"/>
    <w:rsid w:val="001A7FF3"/>
    <w:rsid w:val="001B0149"/>
    <w:rsid w:val="001B01AD"/>
    <w:rsid w:val="001B031D"/>
    <w:rsid w:val="001B03ED"/>
    <w:rsid w:val="001B051F"/>
    <w:rsid w:val="001B087B"/>
    <w:rsid w:val="001B0933"/>
    <w:rsid w:val="001B0A14"/>
    <w:rsid w:val="001B0A78"/>
    <w:rsid w:val="001B0AA8"/>
    <w:rsid w:val="001B0BAB"/>
    <w:rsid w:val="001B0BD0"/>
    <w:rsid w:val="001B0D86"/>
    <w:rsid w:val="001B0DBC"/>
    <w:rsid w:val="001B0E45"/>
    <w:rsid w:val="001B118C"/>
    <w:rsid w:val="001B12E5"/>
    <w:rsid w:val="001B13B9"/>
    <w:rsid w:val="001B13BA"/>
    <w:rsid w:val="001B1826"/>
    <w:rsid w:val="001B186F"/>
    <w:rsid w:val="001B18FF"/>
    <w:rsid w:val="001B1928"/>
    <w:rsid w:val="001B197E"/>
    <w:rsid w:val="001B1A50"/>
    <w:rsid w:val="001B1DCC"/>
    <w:rsid w:val="001B1DF3"/>
    <w:rsid w:val="001B2097"/>
    <w:rsid w:val="001B2192"/>
    <w:rsid w:val="001B2429"/>
    <w:rsid w:val="001B2442"/>
    <w:rsid w:val="001B253C"/>
    <w:rsid w:val="001B258D"/>
    <w:rsid w:val="001B2640"/>
    <w:rsid w:val="001B264D"/>
    <w:rsid w:val="001B270C"/>
    <w:rsid w:val="001B2846"/>
    <w:rsid w:val="001B28AF"/>
    <w:rsid w:val="001B28DC"/>
    <w:rsid w:val="001B28F5"/>
    <w:rsid w:val="001B2ABD"/>
    <w:rsid w:val="001B2C06"/>
    <w:rsid w:val="001B2C34"/>
    <w:rsid w:val="001B2CB0"/>
    <w:rsid w:val="001B325A"/>
    <w:rsid w:val="001B3280"/>
    <w:rsid w:val="001B3434"/>
    <w:rsid w:val="001B353C"/>
    <w:rsid w:val="001B3573"/>
    <w:rsid w:val="001B357D"/>
    <w:rsid w:val="001B362D"/>
    <w:rsid w:val="001B3685"/>
    <w:rsid w:val="001B375E"/>
    <w:rsid w:val="001B3AB6"/>
    <w:rsid w:val="001B3BD3"/>
    <w:rsid w:val="001B3C0C"/>
    <w:rsid w:val="001B3C34"/>
    <w:rsid w:val="001B3D8C"/>
    <w:rsid w:val="001B3E27"/>
    <w:rsid w:val="001B3E8E"/>
    <w:rsid w:val="001B3F04"/>
    <w:rsid w:val="001B3F8E"/>
    <w:rsid w:val="001B402A"/>
    <w:rsid w:val="001B40C8"/>
    <w:rsid w:val="001B446A"/>
    <w:rsid w:val="001B44A4"/>
    <w:rsid w:val="001B4570"/>
    <w:rsid w:val="001B45EE"/>
    <w:rsid w:val="001B4B53"/>
    <w:rsid w:val="001B4C8F"/>
    <w:rsid w:val="001B50AF"/>
    <w:rsid w:val="001B5157"/>
    <w:rsid w:val="001B5315"/>
    <w:rsid w:val="001B564D"/>
    <w:rsid w:val="001B58D5"/>
    <w:rsid w:val="001B5A5F"/>
    <w:rsid w:val="001B5A62"/>
    <w:rsid w:val="001B5BB2"/>
    <w:rsid w:val="001B5C6F"/>
    <w:rsid w:val="001B5C86"/>
    <w:rsid w:val="001B5CA3"/>
    <w:rsid w:val="001B61AD"/>
    <w:rsid w:val="001B62FB"/>
    <w:rsid w:val="001B64F6"/>
    <w:rsid w:val="001B65FE"/>
    <w:rsid w:val="001B6650"/>
    <w:rsid w:val="001B68D9"/>
    <w:rsid w:val="001B690B"/>
    <w:rsid w:val="001B6A1E"/>
    <w:rsid w:val="001B6A61"/>
    <w:rsid w:val="001B6AF0"/>
    <w:rsid w:val="001B6B48"/>
    <w:rsid w:val="001B6E62"/>
    <w:rsid w:val="001B6F2D"/>
    <w:rsid w:val="001B7034"/>
    <w:rsid w:val="001B7303"/>
    <w:rsid w:val="001B7564"/>
    <w:rsid w:val="001B782E"/>
    <w:rsid w:val="001B7D83"/>
    <w:rsid w:val="001B7E1C"/>
    <w:rsid w:val="001B7F9F"/>
    <w:rsid w:val="001BA58B"/>
    <w:rsid w:val="001C0032"/>
    <w:rsid w:val="001C00A7"/>
    <w:rsid w:val="001C01B7"/>
    <w:rsid w:val="001C0274"/>
    <w:rsid w:val="001C04A9"/>
    <w:rsid w:val="001C04FD"/>
    <w:rsid w:val="001C0508"/>
    <w:rsid w:val="001C05BB"/>
    <w:rsid w:val="001C0780"/>
    <w:rsid w:val="001C09BD"/>
    <w:rsid w:val="001C0EDC"/>
    <w:rsid w:val="001C0F6A"/>
    <w:rsid w:val="001C117A"/>
    <w:rsid w:val="001C1281"/>
    <w:rsid w:val="001C13F0"/>
    <w:rsid w:val="001C14B7"/>
    <w:rsid w:val="001C15A4"/>
    <w:rsid w:val="001C160B"/>
    <w:rsid w:val="001C1842"/>
    <w:rsid w:val="001C1AE5"/>
    <w:rsid w:val="001C1B1F"/>
    <w:rsid w:val="001C1BBC"/>
    <w:rsid w:val="001C1CF6"/>
    <w:rsid w:val="001C1D50"/>
    <w:rsid w:val="001C1D9F"/>
    <w:rsid w:val="001C1EAF"/>
    <w:rsid w:val="001C1EFB"/>
    <w:rsid w:val="001C1F26"/>
    <w:rsid w:val="001C2049"/>
    <w:rsid w:val="001C20D4"/>
    <w:rsid w:val="001C21BC"/>
    <w:rsid w:val="001C25D9"/>
    <w:rsid w:val="001C26A0"/>
    <w:rsid w:val="001C28D7"/>
    <w:rsid w:val="001C2948"/>
    <w:rsid w:val="001C2A7D"/>
    <w:rsid w:val="001C2A7E"/>
    <w:rsid w:val="001C2D7F"/>
    <w:rsid w:val="001C2DB5"/>
    <w:rsid w:val="001C2E9C"/>
    <w:rsid w:val="001C2F53"/>
    <w:rsid w:val="001C3179"/>
    <w:rsid w:val="001C329A"/>
    <w:rsid w:val="001C32AC"/>
    <w:rsid w:val="001C341F"/>
    <w:rsid w:val="001C36CA"/>
    <w:rsid w:val="001C36F0"/>
    <w:rsid w:val="001C3998"/>
    <w:rsid w:val="001C3B8D"/>
    <w:rsid w:val="001C3BB9"/>
    <w:rsid w:val="001C3BD6"/>
    <w:rsid w:val="001C3C1E"/>
    <w:rsid w:val="001C3D15"/>
    <w:rsid w:val="001C3DF4"/>
    <w:rsid w:val="001C3ECF"/>
    <w:rsid w:val="001C4327"/>
    <w:rsid w:val="001C4434"/>
    <w:rsid w:val="001C4441"/>
    <w:rsid w:val="001C44D0"/>
    <w:rsid w:val="001C451D"/>
    <w:rsid w:val="001C459D"/>
    <w:rsid w:val="001C4C1D"/>
    <w:rsid w:val="001C4CB7"/>
    <w:rsid w:val="001C4D49"/>
    <w:rsid w:val="001C4DEE"/>
    <w:rsid w:val="001C5084"/>
    <w:rsid w:val="001C5511"/>
    <w:rsid w:val="001C55E6"/>
    <w:rsid w:val="001C5B9A"/>
    <w:rsid w:val="001C5D32"/>
    <w:rsid w:val="001C5D54"/>
    <w:rsid w:val="001C5E82"/>
    <w:rsid w:val="001C5FD8"/>
    <w:rsid w:val="001C6138"/>
    <w:rsid w:val="001C6288"/>
    <w:rsid w:val="001C6482"/>
    <w:rsid w:val="001C6625"/>
    <w:rsid w:val="001C6628"/>
    <w:rsid w:val="001C6699"/>
    <w:rsid w:val="001C6771"/>
    <w:rsid w:val="001C695E"/>
    <w:rsid w:val="001C6AAE"/>
    <w:rsid w:val="001C6AB7"/>
    <w:rsid w:val="001C6D50"/>
    <w:rsid w:val="001C6D84"/>
    <w:rsid w:val="001C6EE1"/>
    <w:rsid w:val="001C72BF"/>
    <w:rsid w:val="001C75D9"/>
    <w:rsid w:val="001C75E9"/>
    <w:rsid w:val="001C7710"/>
    <w:rsid w:val="001C77F4"/>
    <w:rsid w:val="001C7B31"/>
    <w:rsid w:val="001C7BAC"/>
    <w:rsid w:val="001C7C77"/>
    <w:rsid w:val="001C7D28"/>
    <w:rsid w:val="001C7FEB"/>
    <w:rsid w:val="001D00CB"/>
    <w:rsid w:val="001D0136"/>
    <w:rsid w:val="001D027D"/>
    <w:rsid w:val="001D0521"/>
    <w:rsid w:val="001D055F"/>
    <w:rsid w:val="001D0565"/>
    <w:rsid w:val="001D08DA"/>
    <w:rsid w:val="001D095F"/>
    <w:rsid w:val="001D0A1F"/>
    <w:rsid w:val="001D0A36"/>
    <w:rsid w:val="001D0AB4"/>
    <w:rsid w:val="001D0E34"/>
    <w:rsid w:val="001D0E77"/>
    <w:rsid w:val="001D0EB7"/>
    <w:rsid w:val="001D1011"/>
    <w:rsid w:val="001D10F2"/>
    <w:rsid w:val="001D135F"/>
    <w:rsid w:val="001D1433"/>
    <w:rsid w:val="001D1968"/>
    <w:rsid w:val="001D1AF4"/>
    <w:rsid w:val="001D1B3F"/>
    <w:rsid w:val="001D1C32"/>
    <w:rsid w:val="001D1DF7"/>
    <w:rsid w:val="001D1EBB"/>
    <w:rsid w:val="001D1F07"/>
    <w:rsid w:val="001D1FC5"/>
    <w:rsid w:val="001D20C2"/>
    <w:rsid w:val="001D2424"/>
    <w:rsid w:val="001D251A"/>
    <w:rsid w:val="001D2564"/>
    <w:rsid w:val="001D2614"/>
    <w:rsid w:val="001D2923"/>
    <w:rsid w:val="001D2A0C"/>
    <w:rsid w:val="001D2ADB"/>
    <w:rsid w:val="001D2CD7"/>
    <w:rsid w:val="001D2D57"/>
    <w:rsid w:val="001D2DB0"/>
    <w:rsid w:val="001D2E52"/>
    <w:rsid w:val="001D2E6B"/>
    <w:rsid w:val="001D2FD5"/>
    <w:rsid w:val="001D30FD"/>
    <w:rsid w:val="001D3211"/>
    <w:rsid w:val="001D3480"/>
    <w:rsid w:val="001D3701"/>
    <w:rsid w:val="001D38CB"/>
    <w:rsid w:val="001D38CD"/>
    <w:rsid w:val="001D3C4C"/>
    <w:rsid w:val="001D3CA5"/>
    <w:rsid w:val="001D3CF3"/>
    <w:rsid w:val="001D3D4E"/>
    <w:rsid w:val="001D3DBF"/>
    <w:rsid w:val="001D444C"/>
    <w:rsid w:val="001D4596"/>
    <w:rsid w:val="001D459A"/>
    <w:rsid w:val="001D460B"/>
    <w:rsid w:val="001D495E"/>
    <w:rsid w:val="001D4963"/>
    <w:rsid w:val="001D4B5D"/>
    <w:rsid w:val="001D4BDA"/>
    <w:rsid w:val="001D50A1"/>
    <w:rsid w:val="001D515D"/>
    <w:rsid w:val="001D5266"/>
    <w:rsid w:val="001D53B6"/>
    <w:rsid w:val="001D55BA"/>
    <w:rsid w:val="001D57C4"/>
    <w:rsid w:val="001D584D"/>
    <w:rsid w:val="001D59A2"/>
    <w:rsid w:val="001D59D2"/>
    <w:rsid w:val="001D5B3F"/>
    <w:rsid w:val="001D5C1D"/>
    <w:rsid w:val="001D5FE3"/>
    <w:rsid w:val="001D61FF"/>
    <w:rsid w:val="001D6412"/>
    <w:rsid w:val="001D65C8"/>
    <w:rsid w:val="001D6637"/>
    <w:rsid w:val="001D676C"/>
    <w:rsid w:val="001D68B4"/>
    <w:rsid w:val="001D699E"/>
    <w:rsid w:val="001D69D6"/>
    <w:rsid w:val="001D6A98"/>
    <w:rsid w:val="001D6C61"/>
    <w:rsid w:val="001D6C9F"/>
    <w:rsid w:val="001D6CEF"/>
    <w:rsid w:val="001D6D78"/>
    <w:rsid w:val="001D6E55"/>
    <w:rsid w:val="001D71F5"/>
    <w:rsid w:val="001D72F7"/>
    <w:rsid w:val="001D7566"/>
    <w:rsid w:val="001D7665"/>
    <w:rsid w:val="001D77B1"/>
    <w:rsid w:val="001D793E"/>
    <w:rsid w:val="001D798D"/>
    <w:rsid w:val="001D7A29"/>
    <w:rsid w:val="001D7C7C"/>
    <w:rsid w:val="001D7C9A"/>
    <w:rsid w:val="001D7D0D"/>
    <w:rsid w:val="001D7E7B"/>
    <w:rsid w:val="001D7F60"/>
    <w:rsid w:val="001DCF2E"/>
    <w:rsid w:val="001E00F3"/>
    <w:rsid w:val="001E023C"/>
    <w:rsid w:val="001E03F8"/>
    <w:rsid w:val="001E0490"/>
    <w:rsid w:val="001E04D3"/>
    <w:rsid w:val="001E0734"/>
    <w:rsid w:val="001E074A"/>
    <w:rsid w:val="001E08DE"/>
    <w:rsid w:val="001E09B0"/>
    <w:rsid w:val="001E0B17"/>
    <w:rsid w:val="001E0C89"/>
    <w:rsid w:val="001E0D35"/>
    <w:rsid w:val="001E0F93"/>
    <w:rsid w:val="001E1096"/>
    <w:rsid w:val="001E10B7"/>
    <w:rsid w:val="001E117A"/>
    <w:rsid w:val="001E123E"/>
    <w:rsid w:val="001E1240"/>
    <w:rsid w:val="001E15A9"/>
    <w:rsid w:val="001E1611"/>
    <w:rsid w:val="001E16FF"/>
    <w:rsid w:val="001E1961"/>
    <w:rsid w:val="001E198F"/>
    <w:rsid w:val="001E1BBE"/>
    <w:rsid w:val="001E1D52"/>
    <w:rsid w:val="001E1DF0"/>
    <w:rsid w:val="001E1F41"/>
    <w:rsid w:val="001E2053"/>
    <w:rsid w:val="001E2266"/>
    <w:rsid w:val="001E232D"/>
    <w:rsid w:val="001E23BD"/>
    <w:rsid w:val="001E2691"/>
    <w:rsid w:val="001E2852"/>
    <w:rsid w:val="001E28DE"/>
    <w:rsid w:val="001E2902"/>
    <w:rsid w:val="001E296F"/>
    <w:rsid w:val="001E29C8"/>
    <w:rsid w:val="001E29DD"/>
    <w:rsid w:val="001E2ADC"/>
    <w:rsid w:val="001E2BD2"/>
    <w:rsid w:val="001E2C63"/>
    <w:rsid w:val="001E2CA2"/>
    <w:rsid w:val="001E2DCB"/>
    <w:rsid w:val="001E2EC2"/>
    <w:rsid w:val="001E2F0E"/>
    <w:rsid w:val="001E307B"/>
    <w:rsid w:val="001E3096"/>
    <w:rsid w:val="001E30A9"/>
    <w:rsid w:val="001E324E"/>
    <w:rsid w:val="001E3363"/>
    <w:rsid w:val="001E341D"/>
    <w:rsid w:val="001E34B4"/>
    <w:rsid w:val="001E374C"/>
    <w:rsid w:val="001E3A29"/>
    <w:rsid w:val="001E3E89"/>
    <w:rsid w:val="001E3EAF"/>
    <w:rsid w:val="001E401C"/>
    <w:rsid w:val="001E40AF"/>
    <w:rsid w:val="001E418A"/>
    <w:rsid w:val="001E4206"/>
    <w:rsid w:val="001E4291"/>
    <w:rsid w:val="001E430F"/>
    <w:rsid w:val="001E43AE"/>
    <w:rsid w:val="001E43EE"/>
    <w:rsid w:val="001E4562"/>
    <w:rsid w:val="001E45A4"/>
    <w:rsid w:val="001E4620"/>
    <w:rsid w:val="001E4670"/>
    <w:rsid w:val="001E4785"/>
    <w:rsid w:val="001E4882"/>
    <w:rsid w:val="001E4979"/>
    <w:rsid w:val="001E4A2D"/>
    <w:rsid w:val="001E4B5D"/>
    <w:rsid w:val="001E4D63"/>
    <w:rsid w:val="001E4E07"/>
    <w:rsid w:val="001E4E17"/>
    <w:rsid w:val="001E4F69"/>
    <w:rsid w:val="001E53A1"/>
    <w:rsid w:val="001E5446"/>
    <w:rsid w:val="001E5486"/>
    <w:rsid w:val="001E5507"/>
    <w:rsid w:val="001E56AA"/>
    <w:rsid w:val="001E5A10"/>
    <w:rsid w:val="001E5A2D"/>
    <w:rsid w:val="001E5B45"/>
    <w:rsid w:val="001E5D2B"/>
    <w:rsid w:val="001E5DBF"/>
    <w:rsid w:val="001E6322"/>
    <w:rsid w:val="001E6456"/>
    <w:rsid w:val="001E6553"/>
    <w:rsid w:val="001E6668"/>
    <w:rsid w:val="001E6672"/>
    <w:rsid w:val="001E66D9"/>
    <w:rsid w:val="001E68FD"/>
    <w:rsid w:val="001E6A49"/>
    <w:rsid w:val="001E6D0E"/>
    <w:rsid w:val="001E6E94"/>
    <w:rsid w:val="001E6FBC"/>
    <w:rsid w:val="001E7021"/>
    <w:rsid w:val="001E70B4"/>
    <w:rsid w:val="001E70EA"/>
    <w:rsid w:val="001E7334"/>
    <w:rsid w:val="001E73BF"/>
    <w:rsid w:val="001E74E2"/>
    <w:rsid w:val="001E76BF"/>
    <w:rsid w:val="001E779A"/>
    <w:rsid w:val="001E7B22"/>
    <w:rsid w:val="001E7D36"/>
    <w:rsid w:val="001E7E93"/>
    <w:rsid w:val="001E7ED3"/>
    <w:rsid w:val="001F0113"/>
    <w:rsid w:val="001F0119"/>
    <w:rsid w:val="001F0140"/>
    <w:rsid w:val="001F020E"/>
    <w:rsid w:val="001F061E"/>
    <w:rsid w:val="001F0821"/>
    <w:rsid w:val="001F08F9"/>
    <w:rsid w:val="001F091A"/>
    <w:rsid w:val="001F0D49"/>
    <w:rsid w:val="001F0EDB"/>
    <w:rsid w:val="001F0F38"/>
    <w:rsid w:val="001F100B"/>
    <w:rsid w:val="001F1046"/>
    <w:rsid w:val="001F13E7"/>
    <w:rsid w:val="001F16E9"/>
    <w:rsid w:val="001F1752"/>
    <w:rsid w:val="001F17F1"/>
    <w:rsid w:val="001F182D"/>
    <w:rsid w:val="001F1966"/>
    <w:rsid w:val="001F1A05"/>
    <w:rsid w:val="001F1CC9"/>
    <w:rsid w:val="001F1CFA"/>
    <w:rsid w:val="001F1D45"/>
    <w:rsid w:val="001F1E29"/>
    <w:rsid w:val="001F205E"/>
    <w:rsid w:val="001F2060"/>
    <w:rsid w:val="001F2083"/>
    <w:rsid w:val="001F215C"/>
    <w:rsid w:val="001F221B"/>
    <w:rsid w:val="001F2334"/>
    <w:rsid w:val="001F2370"/>
    <w:rsid w:val="001F27A9"/>
    <w:rsid w:val="001F27DF"/>
    <w:rsid w:val="001F29A6"/>
    <w:rsid w:val="001F2A57"/>
    <w:rsid w:val="001F2B32"/>
    <w:rsid w:val="001F2C5B"/>
    <w:rsid w:val="001F2E29"/>
    <w:rsid w:val="001F2E5E"/>
    <w:rsid w:val="001F2E6E"/>
    <w:rsid w:val="001F30FB"/>
    <w:rsid w:val="001F3125"/>
    <w:rsid w:val="001F3242"/>
    <w:rsid w:val="001F3637"/>
    <w:rsid w:val="001F36E7"/>
    <w:rsid w:val="001F38C7"/>
    <w:rsid w:val="001F3D0C"/>
    <w:rsid w:val="001F3D84"/>
    <w:rsid w:val="001F3DF4"/>
    <w:rsid w:val="001F3F26"/>
    <w:rsid w:val="001F4165"/>
    <w:rsid w:val="001F42B3"/>
    <w:rsid w:val="001F4632"/>
    <w:rsid w:val="001F46AC"/>
    <w:rsid w:val="001F4739"/>
    <w:rsid w:val="001F477A"/>
    <w:rsid w:val="001F47E3"/>
    <w:rsid w:val="001F48D5"/>
    <w:rsid w:val="001F4922"/>
    <w:rsid w:val="001F4C19"/>
    <w:rsid w:val="001F4D68"/>
    <w:rsid w:val="001F4E40"/>
    <w:rsid w:val="001F4FA8"/>
    <w:rsid w:val="001F50B1"/>
    <w:rsid w:val="001F519C"/>
    <w:rsid w:val="001F5282"/>
    <w:rsid w:val="001F52EF"/>
    <w:rsid w:val="001F5643"/>
    <w:rsid w:val="001F57F9"/>
    <w:rsid w:val="001F59CF"/>
    <w:rsid w:val="001F5B94"/>
    <w:rsid w:val="001F5BBF"/>
    <w:rsid w:val="001F5BE0"/>
    <w:rsid w:val="001F5DD9"/>
    <w:rsid w:val="001F5ED8"/>
    <w:rsid w:val="001F5FD7"/>
    <w:rsid w:val="001F60A9"/>
    <w:rsid w:val="001F60FD"/>
    <w:rsid w:val="001F6344"/>
    <w:rsid w:val="001F6418"/>
    <w:rsid w:val="001F6738"/>
    <w:rsid w:val="001F6860"/>
    <w:rsid w:val="001F6861"/>
    <w:rsid w:val="001F6A2B"/>
    <w:rsid w:val="001F6ED1"/>
    <w:rsid w:val="001F71C7"/>
    <w:rsid w:val="001F7366"/>
    <w:rsid w:val="001F7387"/>
    <w:rsid w:val="001F73C9"/>
    <w:rsid w:val="001F765E"/>
    <w:rsid w:val="001F76D5"/>
    <w:rsid w:val="001F7752"/>
    <w:rsid w:val="001F7868"/>
    <w:rsid w:val="001F790E"/>
    <w:rsid w:val="001F792E"/>
    <w:rsid w:val="001F7A60"/>
    <w:rsid w:val="001F7BBF"/>
    <w:rsid w:val="001F7CCE"/>
    <w:rsid w:val="001F7D89"/>
    <w:rsid w:val="001F7DF0"/>
    <w:rsid w:val="001F7F03"/>
    <w:rsid w:val="001F7F2B"/>
    <w:rsid w:val="00200013"/>
    <w:rsid w:val="0020007E"/>
    <w:rsid w:val="002001AC"/>
    <w:rsid w:val="0020059E"/>
    <w:rsid w:val="00200799"/>
    <w:rsid w:val="00200A1C"/>
    <w:rsid w:val="00200A6A"/>
    <w:rsid w:val="00200BAF"/>
    <w:rsid w:val="00200C7E"/>
    <w:rsid w:val="00200CB7"/>
    <w:rsid w:val="00200D20"/>
    <w:rsid w:val="00200E29"/>
    <w:rsid w:val="002010B5"/>
    <w:rsid w:val="002017E1"/>
    <w:rsid w:val="00201B45"/>
    <w:rsid w:val="00201B6E"/>
    <w:rsid w:val="00201C21"/>
    <w:rsid w:val="00201D87"/>
    <w:rsid w:val="00201EA1"/>
    <w:rsid w:val="00201EB1"/>
    <w:rsid w:val="00201EC1"/>
    <w:rsid w:val="00201F7E"/>
    <w:rsid w:val="002020C4"/>
    <w:rsid w:val="0020212C"/>
    <w:rsid w:val="00202133"/>
    <w:rsid w:val="002021CC"/>
    <w:rsid w:val="002026BA"/>
    <w:rsid w:val="002026C2"/>
    <w:rsid w:val="002027FF"/>
    <w:rsid w:val="002028F7"/>
    <w:rsid w:val="00202CA5"/>
    <w:rsid w:val="00202CB2"/>
    <w:rsid w:val="00202E68"/>
    <w:rsid w:val="0020308C"/>
    <w:rsid w:val="00203303"/>
    <w:rsid w:val="00203436"/>
    <w:rsid w:val="002034A3"/>
    <w:rsid w:val="002036B5"/>
    <w:rsid w:val="0020376A"/>
    <w:rsid w:val="00203841"/>
    <w:rsid w:val="002039EB"/>
    <w:rsid w:val="00203D65"/>
    <w:rsid w:val="002040FF"/>
    <w:rsid w:val="00204110"/>
    <w:rsid w:val="00204550"/>
    <w:rsid w:val="00204654"/>
    <w:rsid w:val="00204844"/>
    <w:rsid w:val="00204858"/>
    <w:rsid w:val="002048D5"/>
    <w:rsid w:val="00204997"/>
    <w:rsid w:val="00204B60"/>
    <w:rsid w:val="00204CB8"/>
    <w:rsid w:val="00204CEF"/>
    <w:rsid w:val="00204E5B"/>
    <w:rsid w:val="00204FA2"/>
    <w:rsid w:val="0020544A"/>
    <w:rsid w:val="00205590"/>
    <w:rsid w:val="002057FB"/>
    <w:rsid w:val="0020595C"/>
    <w:rsid w:val="00205A2B"/>
    <w:rsid w:val="00205B08"/>
    <w:rsid w:val="00205B83"/>
    <w:rsid w:val="00205C23"/>
    <w:rsid w:val="00205C51"/>
    <w:rsid w:val="00205C94"/>
    <w:rsid w:val="00205CC4"/>
    <w:rsid w:val="00205D21"/>
    <w:rsid w:val="00205DF0"/>
    <w:rsid w:val="00205E5D"/>
    <w:rsid w:val="00205EBA"/>
    <w:rsid w:val="00205ED7"/>
    <w:rsid w:val="00205F60"/>
    <w:rsid w:val="0020622C"/>
    <w:rsid w:val="0020627F"/>
    <w:rsid w:val="002066F5"/>
    <w:rsid w:val="002068E4"/>
    <w:rsid w:val="00206A8A"/>
    <w:rsid w:val="00206B1F"/>
    <w:rsid w:val="00206C82"/>
    <w:rsid w:val="00206F0C"/>
    <w:rsid w:val="00206F2A"/>
    <w:rsid w:val="0020705B"/>
    <w:rsid w:val="00207180"/>
    <w:rsid w:val="002073FA"/>
    <w:rsid w:val="002074CC"/>
    <w:rsid w:val="0020767D"/>
    <w:rsid w:val="002078FF"/>
    <w:rsid w:val="00207A05"/>
    <w:rsid w:val="00207A9E"/>
    <w:rsid w:val="00207BB3"/>
    <w:rsid w:val="0021008C"/>
    <w:rsid w:val="002100AA"/>
    <w:rsid w:val="00210551"/>
    <w:rsid w:val="002105B3"/>
    <w:rsid w:val="002106AB"/>
    <w:rsid w:val="00210755"/>
    <w:rsid w:val="002107F5"/>
    <w:rsid w:val="0021081F"/>
    <w:rsid w:val="00210972"/>
    <w:rsid w:val="002109E2"/>
    <w:rsid w:val="00210B23"/>
    <w:rsid w:val="00210BD5"/>
    <w:rsid w:val="00210D6C"/>
    <w:rsid w:val="00211098"/>
    <w:rsid w:val="0021125B"/>
    <w:rsid w:val="0021147E"/>
    <w:rsid w:val="002117A1"/>
    <w:rsid w:val="002117E5"/>
    <w:rsid w:val="00211B35"/>
    <w:rsid w:val="00211C91"/>
    <w:rsid w:val="00211C93"/>
    <w:rsid w:val="00211F2C"/>
    <w:rsid w:val="00211F4D"/>
    <w:rsid w:val="002121BE"/>
    <w:rsid w:val="00212321"/>
    <w:rsid w:val="002126F3"/>
    <w:rsid w:val="002128BC"/>
    <w:rsid w:val="002128FB"/>
    <w:rsid w:val="00212A75"/>
    <w:rsid w:val="00212AD6"/>
    <w:rsid w:val="00212B72"/>
    <w:rsid w:val="00212BFB"/>
    <w:rsid w:val="00212C2E"/>
    <w:rsid w:val="00212CBC"/>
    <w:rsid w:val="00212F15"/>
    <w:rsid w:val="00213102"/>
    <w:rsid w:val="0021325A"/>
    <w:rsid w:val="002132F1"/>
    <w:rsid w:val="00213524"/>
    <w:rsid w:val="0021353B"/>
    <w:rsid w:val="0021354E"/>
    <w:rsid w:val="00213618"/>
    <w:rsid w:val="002138C4"/>
    <w:rsid w:val="00213942"/>
    <w:rsid w:val="00213ACE"/>
    <w:rsid w:val="00213CE8"/>
    <w:rsid w:val="00213D4B"/>
    <w:rsid w:val="00213FB3"/>
    <w:rsid w:val="002142F0"/>
    <w:rsid w:val="0021430B"/>
    <w:rsid w:val="00214356"/>
    <w:rsid w:val="00214361"/>
    <w:rsid w:val="00214459"/>
    <w:rsid w:val="00214481"/>
    <w:rsid w:val="00214491"/>
    <w:rsid w:val="0021467A"/>
    <w:rsid w:val="00214735"/>
    <w:rsid w:val="00214C23"/>
    <w:rsid w:val="00214CF2"/>
    <w:rsid w:val="00214F2D"/>
    <w:rsid w:val="00214F3E"/>
    <w:rsid w:val="00214FE7"/>
    <w:rsid w:val="00215079"/>
    <w:rsid w:val="0021518C"/>
    <w:rsid w:val="00215247"/>
    <w:rsid w:val="002152A4"/>
    <w:rsid w:val="00215374"/>
    <w:rsid w:val="0021549D"/>
    <w:rsid w:val="002155E7"/>
    <w:rsid w:val="00215655"/>
    <w:rsid w:val="002156F9"/>
    <w:rsid w:val="00215721"/>
    <w:rsid w:val="00215799"/>
    <w:rsid w:val="002157E1"/>
    <w:rsid w:val="00215812"/>
    <w:rsid w:val="002158BB"/>
    <w:rsid w:val="002158ED"/>
    <w:rsid w:val="00215AC5"/>
    <w:rsid w:val="00215BEB"/>
    <w:rsid w:val="00215C03"/>
    <w:rsid w:val="00215FE4"/>
    <w:rsid w:val="00216128"/>
    <w:rsid w:val="00216209"/>
    <w:rsid w:val="00216372"/>
    <w:rsid w:val="0021645F"/>
    <w:rsid w:val="0021649D"/>
    <w:rsid w:val="00216802"/>
    <w:rsid w:val="00216B3B"/>
    <w:rsid w:val="00216BCB"/>
    <w:rsid w:val="00216CAB"/>
    <w:rsid w:val="00216D74"/>
    <w:rsid w:val="00216E2D"/>
    <w:rsid w:val="00216F72"/>
    <w:rsid w:val="00217096"/>
    <w:rsid w:val="0021715F"/>
    <w:rsid w:val="0021734C"/>
    <w:rsid w:val="0021785F"/>
    <w:rsid w:val="002178ED"/>
    <w:rsid w:val="002179F8"/>
    <w:rsid w:val="00217A82"/>
    <w:rsid w:val="00217F02"/>
    <w:rsid w:val="00217F53"/>
    <w:rsid w:val="002201DF"/>
    <w:rsid w:val="002201E9"/>
    <w:rsid w:val="00220272"/>
    <w:rsid w:val="0022029E"/>
    <w:rsid w:val="002203B0"/>
    <w:rsid w:val="0022040F"/>
    <w:rsid w:val="00220583"/>
    <w:rsid w:val="002205A8"/>
    <w:rsid w:val="00220684"/>
    <w:rsid w:val="00220688"/>
    <w:rsid w:val="00220714"/>
    <w:rsid w:val="00220772"/>
    <w:rsid w:val="002208EF"/>
    <w:rsid w:val="00220BCA"/>
    <w:rsid w:val="00220C40"/>
    <w:rsid w:val="00220DFA"/>
    <w:rsid w:val="00220E66"/>
    <w:rsid w:val="00220EF7"/>
    <w:rsid w:val="0022110E"/>
    <w:rsid w:val="00221161"/>
    <w:rsid w:val="0022119D"/>
    <w:rsid w:val="002213BB"/>
    <w:rsid w:val="00221564"/>
    <w:rsid w:val="0022163C"/>
    <w:rsid w:val="00221753"/>
    <w:rsid w:val="0022183F"/>
    <w:rsid w:val="00221851"/>
    <w:rsid w:val="002219B6"/>
    <w:rsid w:val="00221A66"/>
    <w:rsid w:val="00221CC9"/>
    <w:rsid w:val="00221EBF"/>
    <w:rsid w:val="00222000"/>
    <w:rsid w:val="002220D4"/>
    <w:rsid w:val="0022218A"/>
    <w:rsid w:val="00222288"/>
    <w:rsid w:val="002224D6"/>
    <w:rsid w:val="002225FE"/>
    <w:rsid w:val="002226C6"/>
    <w:rsid w:val="00222967"/>
    <w:rsid w:val="00222A9C"/>
    <w:rsid w:val="00222B79"/>
    <w:rsid w:val="00222BA6"/>
    <w:rsid w:val="00222D05"/>
    <w:rsid w:val="00222DF1"/>
    <w:rsid w:val="00222E11"/>
    <w:rsid w:val="00222F36"/>
    <w:rsid w:val="00222F9D"/>
    <w:rsid w:val="00222FB2"/>
    <w:rsid w:val="0022316E"/>
    <w:rsid w:val="00223224"/>
    <w:rsid w:val="00223324"/>
    <w:rsid w:val="00223475"/>
    <w:rsid w:val="002236F4"/>
    <w:rsid w:val="002236F7"/>
    <w:rsid w:val="002237AE"/>
    <w:rsid w:val="002239A3"/>
    <w:rsid w:val="00223DD7"/>
    <w:rsid w:val="00224010"/>
    <w:rsid w:val="002240AF"/>
    <w:rsid w:val="002240C2"/>
    <w:rsid w:val="00224250"/>
    <w:rsid w:val="002242B1"/>
    <w:rsid w:val="0022441F"/>
    <w:rsid w:val="002246B2"/>
    <w:rsid w:val="002248FC"/>
    <w:rsid w:val="00224A0B"/>
    <w:rsid w:val="00224A10"/>
    <w:rsid w:val="00224A59"/>
    <w:rsid w:val="00224B62"/>
    <w:rsid w:val="00224CF5"/>
    <w:rsid w:val="00224DFA"/>
    <w:rsid w:val="00224F40"/>
    <w:rsid w:val="00225030"/>
    <w:rsid w:val="0022504A"/>
    <w:rsid w:val="002251AB"/>
    <w:rsid w:val="002251F1"/>
    <w:rsid w:val="0022540E"/>
    <w:rsid w:val="0022545E"/>
    <w:rsid w:val="002256CB"/>
    <w:rsid w:val="00225BE6"/>
    <w:rsid w:val="00225C0E"/>
    <w:rsid w:val="00225CDC"/>
    <w:rsid w:val="00225DEA"/>
    <w:rsid w:val="00225EDF"/>
    <w:rsid w:val="00226043"/>
    <w:rsid w:val="00226163"/>
    <w:rsid w:val="002261C4"/>
    <w:rsid w:val="00226378"/>
    <w:rsid w:val="0022637A"/>
    <w:rsid w:val="002263B2"/>
    <w:rsid w:val="002264E9"/>
    <w:rsid w:val="0022659F"/>
    <w:rsid w:val="00226774"/>
    <w:rsid w:val="002269D9"/>
    <w:rsid w:val="00226A1D"/>
    <w:rsid w:val="00226D1E"/>
    <w:rsid w:val="00226E39"/>
    <w:rsid w:val="00226EF6"/>
    <w:rsid w:val="00226F49"/>
    <w:rsid w:val="0022703D"/>
    <w:rsid w:val="002270D4"/>
    <w:rsid w:val="00227110"/>
    <w:rsid w:val="002273D3"/>
    <w:rsid w:val="00227665"/>
    <w:rsid w:val="00227814"/>
    <w:rsid w:val="00227818"/>
    <w:rsid w:val="00227897"/>
    <w:rsid w:val="002278C7"/>
    <w:rsid w:val="002279CA"/>
    <w:rsid w:val="00227B1C"/>
    <w:rsid w:val="00227B3B"/>
    <w:rsid w:val="00227CB4"/>
    <w:rsid w:val="00227CEB"/>
    <w:rsid w:val="002300B3"/>
    <w:rsid w:val="002300CA"/>
    <w:rsid w:val="00230210"/>
    <w:rsid w:val="0023021B"/>
    <w:rsid w:val="002304BE"/>
    <w:rsid w:val="0023086A"/>
    <w:rsid w:val="00230BC2"/>
    <w:rsid w:val="00230E4B"/>
    <w:rsid w:val="0023100D"/>
    <w:rsid w:val="0023102C"/>
    <w:rsid w:val="0023119B"/>
    <w:rsid w:val="002312E4"/>
    <w:rsid w:val="002314CC"/>
    <w:rsid w:val="00231506"/>
    <w:rsid w:val="002315E7"/>
    <w:rsid w:val="00231650"/>
    <w:rsid w:val="0023176B"/>
    <w:rsid w:val="00231A31"/>
    <w:rsid w:val="00231B8A"/>
    <w:rsid w:val="00231C21"/>
    <w:rsid w:val="00231C23"/>
    <w:rsid w:val="00231E39"/>
    <w:rsid w:val="0023224F"/>
    <w:rsid w:val="0023237B"/>
    <w:rsid w:val="0023279D"/>
    <w:rsid w:val="0023281E"/>
    <w:rsid w:val="00232891"/>
    <w:rsid w:val="00232A1A"/>
    <w:rsid w:val="00232C31"/>
    <w:rsid w:val="00232EB9"/>
    <w:rsid w:val="00232F68"/>
    <w:rsid w:val="00233001"/>
    <w:rsid w:val="00233447"/>
    <w:rsid w:val="00233667"/>
    <w:rsid w:val="002337DF"/>
    <w:rsid w:val="0023388E"/>
    <w:rsid w:val="0023389C"/>
    <w:rsid w:val="002339DA"/>
    <w:rsid w:val="002339F6"/>
    <w:rsid w:val="00233D88"/>
    <w:rsid w:val="00233E5C"/>
    <w:rsid w:val="00233E7E"/>
    <w:rsid w:val="002341A5"/>
    <w:rsid w:val="00234375"/>
    <w:rsid w:val="0023441D"/>
    <w:rsid w:val="00234520"/>
    <w:rsid w:val="002345F8"/>
    <w:rsid w:val="002346C7"/>
    <w:rsid w:val="00234863"/>
    <w:rsid w:val="00234956"/>
    <w:rsid w:val="00234B1C"/>
    <w:rsid w:val="00234B44"/>
    <w:rsid w:val="00234B7E"/>
    <w:rsid w:val="00234BDA"/>
    <w:rsid w:val="00234C23"/>
    <w:rsid w:val="00234C75"/>
    <w:rsid w:val="00234D75"/>
    <w:rsid w:val="00234FBC"/>
    <w:rsid w:val="00234FD6"/>
    <w:rsid w:val="00234FEA"/>
    <w:rsid w:val="00235033"/>
    <w:rsid w:val="00235156"/>
    <w:rsid w:val="002351CF"/>
    <w:rsid w:val="0023525D"/>
    <w:rsid w:val="00235279"/>
    <w:rsid w:val="002352C1"/>
    <w:rsid w:val="0023548D"/>
    <w:rsid w:val="002354BF"/>
    <w:rsid w:val="00235621"/>
    <w:rsid w:val="0023573F"/>
    <w:rsid w:val="00235903"/>
    <w:rsid w:val="00235A51"/>
    <w:rsid w:val="00235ADF"/>
    <w:rsid w:val="00235C8D"/>
    <w:rsid w:val="00235CC6"/>
    <w:rsid w:val="00235D7F"/>
    <w:rsid w:val="00236009"/>
    <w:rsid w:val="00236027"/>
    <w:rsid w:val="00236240"/>
    <w:rsid w:val="0023636C"/>
    <w:rsid w:val="0023636E"/>
    <w:rsid w:val="002364B3"/>
    <w:rsid w:val="0023656E"/>
    <w:rsid w:val="002365AE"/>
    <w:rsid w:val="002368BF"/>
    <w:rsid w:val="002368DF"/>
    <w:rsid w:val="002368F8"/>
    <w:rsid w:val="0023699F"/>
    <w:rsid w:val="00236FBC"/>
    <w:rsid w:val="0023702E"/>
    <w:rsid w:val="00237296"/>
    <w:rsid w:val="002372F5"/>
    <w:rsid w:val="0023753B"/>
    <w:rsid w:val="002375AB"/>
    <w:rsid w:val="002375E1"/>
    <w:rsid w:val="00237616"/>
    <w:rsid w:val="002376E5"/>
    <w:rsid w:val="002376F6"/>
    <w:rsid w:val="002377EA"/>
    <w:rsid w:val="002379C7"/>
    <w:rsid w:val="002379E9"/>
    <w:rsid w:val="00237A8E"/>
    <w:rsid w:val="00240090"/>
    <w:rsid w:val="002402E9"/>
    <w:rsid w:val="0024033C"/>
    <w:rsid w:val="00240373"/>
    <w:rsid w:val="00240542"/>
    <w:rsid w:val="0024060C"/>
    <w:rsid w:val="0024063C"/>
    <w:rsid w:val="00240BFE"/>
    <w:rsid w:val="00240C28"/>
    <w:rsid w:val="00240F3E"/>
    <w:rsid w:val="0024118B"/>
    <w:rsid w:val="0024131F"/>
    <w:rsid w:val="00241560"/>
    <w:rsid w:val="002415E6"/>
    <w:rsid w:val="002415F4"/>
    <w:rsid w:val="00241780"/>
    <w:rsid w:val="0024178C"/>
    <w:rsid w:val="002417C6"/>
    <w:rsid w:val="0024193F"/>
    <w:rsid w:val="00241A38"/>
    <w:rsid w:val="00241BB4"/>
    <w:rsid w:val="00241EA6"/>
    <w:rsid w:val="0024226D"/>
    <w:rsid w:val="00242469"/>
    <w:rsid w:val="002429E1"/>
    <w:rsid w:val="00242B24"/>
    <w:rsid w:val="00242B42"/>
    <w:rsid w:val="00242C10"/>
    <w:rsid w:val="00242DF3"/>
    <w:rsid w:val="00242E3C"/>
    <w:rsid w:val="0024309E"/>
    <w:rsid w:val="00243191"/>
    <w:rsid w:val="00243464"/>
    <w:rsid w:val="002434EF"/>
    <w:rsid w:val="00243531"/>
    <w:rsid w:val="002439ED"/>
    <w:rsid w:val="00243A4C"/>
    <w:rsid w:val="002440EA"/>
    <w:rsid w:val="0024410F"/>
    <w:rsid w:val="00244272"/>
    <w:rsid w:val="00244493"/>
    <w:rsid w:val="00244915"/>
    <w:rsid w:val="00244919"/>
    <w:rsid w:val="00244985"/>
    <w:rsid w:val="00244AC7"/>
    <w:rsid w:val="00244BF7"/>
    <w:rsid w:val="00244C98"/>
    <w:rsid w:val="00244FFC"/>
    <w:rsid w:val="00245065"/>
    <w:rsid w:val="0024508A"/>
    <w:rsid w:val="0024519C"/>
    <w:rsid w:val="0024524A"/>
    <w:rsid w:val="0024531A"/>
    <w:rsid w:val="0024539B"/>
    <w:rsid w:val="002453B4"/>
    <w:rsid w:val="0024563E"/>
    <w:rsid w:val="002459E5"/>
    <w:rsid w:val="00245A60"/>
    <w:rsid w:val="00245DB1"/>
    <w:rsid w:val="00245EB6"/>
    <w:rsid w:val="00246189"/>
    <w:rsid w:val="0024620C"/>
    <w:rsid w:val="002462F4"/>
    <w:rsid w:val="00246510"/>
    <w:rsid w:val="002465C0"/>
    <w:rsid w:val="002468B6"/>
    <w:rsid w:val="002468CB"/>
    <w:rsid w:val="00246AB7"/>
    <w:rsid w:val="00246C44"/>
    <w:rsid w:val="00246C93"/>
    <w:rsid w:val="00246D54"/>
    <w:rsid w:val="00246D85"/>
    <w:rsid w:val="00246D8D"/>
    <w:rsid w:val="00246DC0"/>
    <w:rsid w:val="00246E65"/>
    <w:rsid w:val="00246F31"/>
    <w:rsid w:val="00246FCF"/>
    <w:rsid w:val="0024702F"/>
    <w:rsid w:val="00247176"/>
    <w:rsid w:val="002472A2"/>
    <w:rsid w:val="002472B5"/>
    <w:rsid w:val="0024741E"/>
    <w:rsid w:val="0024745A"/>
    <w:rsid w:val="00247538"/>
    <w:rsid w:val="00247660"/>
    <w:rsid w:val="002477C1"/>
    <w:rsid w:val="00247B56"/>
    <w:rsid w:val="00247C57"/>
    <w:rsid w:val="00247C87"/>
    <w:rsid w:val="00247D1A"/>
    <w:rsid w:val="00247DA2"/>
    <w:rsid w:val="00247E1D"/>
    <w:rsid w:val="00247F67"/>
    <w:rsid w:val="00250028"/>
    <w:rsid w:val="002501E7"/>
    <w:rsid w:val="00250268"/>
    <w:rsid w:val="00250408"/>
    <w:rsid w:val="0025047F"/>
    <w:rsid w:val="00250572"/>
    <w:rsid w:val="002506D2"/>
    <w:rsid w:val="002506F1"/>
    <w:rsid w:val="00250784"/>
    <w:rsid w:val="002507C1"/>
    <w:rsid w:val="002508C9"/>
    <w:rsid w:val="002509D3"/>
    <w:rsid w:val="00250DAE"/>
    <w:rsid w:val="00250E59"/>
    <w:rsid w:val="00250E97"/>
    <w:rsid w:val="00251160"/>
    <w:rsid w:val="002511F8"/>
    <w:rsid w:val="00251401"/>
    <w:rsid w:val="00251456"/>
    <w:rsid w:val="00251757"/>
    <w:rsid w:val="00251807"/>
    <w:rsid w:val="00251939"/>
    <w:rsid w:val="0025199B"/>
    <w:rsid w:val="002519D2"/>
    <w:rsid w:val="00251B66"/>
    <w:rsid w:val="00251B6E"/>
    <w:rsid w:val="00251B8B"/>
    <w:rsid w:val="00251DFB"/>
    <w:rsid w:val="00252251"/>
    <w:rsid w:val="0025263B"/>
    <w:rsid w:val="00252724"/>
    <w:rsid w:val="0025274E"/>
    <w:rsid w:val="00252950"/>
    <w:rsid w:val="00252A14"/>
    <w:rsid w:val="00252A5E"/>
    <w:rsid w:val="00252B3A"/>
    <w:rsid w:val="00252BA2"/>
    <w:rsid w:val="00252CA8"/>
    <w:rsid w:val="002531E2"/>
    <w:rsid w:val="0025320C"/>
    <w:rsid w:val="0025320E"/>
    <w:rsid w:val="00253406"/>
    <w:rsid w:val="00253621"/>
    <w:rsid w:val="002537A8"/>
    <w:rsid w:val="00253847"/>
    <w:rsid w:val="00253A02"/>
    <w:rsid w:val="00253E48"/>
    <w:rsid w:val="00253F8A"/>
    <w:rsid w:val="0025405D"/>
    <w:rsid w:val="002540C7"/>
    <w:rsid w:val="0025445D"/>
    <w:rsid w:val="002548D4"/>
    <w:rsid w:val="002548DA"/>
    <w:rsid w:val="00254A55"/>
    <w:rsid w:val="00254C92"/>
    <w:rsid w:val="002550D0"/>
    <w:rsid w:val="00255297"/>
    <w:rsid w:val="00255330"/>
    <w:rsid w:val="00255422"/>
    <w:rsid w:val="002555D4"/>
    <w:rsid w:val="002556BA"/>
    <w:rsid w:val="002559FA"/>
    <w:rsid w:val="00255AAF"/>
    <w:rsid w:val="00255B90"/>
    <w:rsid w:val="00255BA5"/>
    <w:rsid w:val="00255C4C"/>
    <w:rsid w:val="00255CB5"/>
    <w:rsid w:val="00255DD0"/>
    <w:rsid w:val="00255E77"/>
    <w:rsid w:val="002563DD"/>
    <w:rsid w:val="002567EA"/>
    <w:rsid w:val="00256817"/>
    <w:rsid w:val="0025681E"/>
    <w:rsid w:val="002568DB"/>
    <w:rsid w:val="00256978"/>
    <w:rsid w:val="00256B15"/>
    <w:rsid w:val="00256C11"/>
    <w:rsid w:val="00256D47"/>
    <w:rsid w:val="00256ECA"/>
    <w:rsid w:val="00256EE9"/>
    <w:rsid w:val="00256FDE"/>
    <w:rsid w:val="0025704E"/>
    <w:rsid w:val="00257056"/>
    <w:rsid w:val="002570F0"/>
    <w:rsid w:val="0025710B"/>
    <w:rsid w:val="002572EB"/>
    <w:rsid w:val="00257465"/>
    <w:rsid w:val="00257707"/>
    <w:rsid w:val="00257724"/>
    <w:rsid w:val="002577B5"/>
    <w:rsid w:val="0025780C"/>
    <w:rsid w:val="00257901"/>
    <w:rsid w:val="00257A5B"/>
    <w:rsid w:val="00257AAF"/>
    <w:rsid w:val="00257AC7"/>
    <w:rsid w:val="00257AEC"/>
    <w:rsid w:val="00257BF7"/>
    <w:rsid w:val="00257CAB"/>
    <w:rsid w:val="00257D1B"/>
    <w:rsid w:val="00257DBD"/>
    <w:rsid w:val="00257DE0"/>
    <w:rsid w:val="00260147"/>
    <w:rsid w:val="00260279"/>
    <w:rsid w:val="002602E8"/>
    <w:rsid w:val="0026039C"/>
    <w:rsid w:val="00260432"/>
    <w:rsid w:val="00260454"/>
    <w:rsid w:val="002604CC"/>
    <w:rsid w:val="002607B6"/>
    <w:rsid w:val="00260956"/>
    <w:rsid w:val="00260B27"/>
    <w:rsid w:val="00260BB9"/>
    <w:rsid w:val="00260C6C"/>
    <w:rsid w:val="00260D77"/>
    <w:rsid w:val="00260E32"/>
    <w:rsid w:val="00260EA1"/>
    <w:rsid w:val="00260EA3"/>
    <w:rsid w:val="00260EAE"/>
    <w:rsid w:val="002612AB"/>
    <w:rsid w:val="002617C1"/>
    <w:rsid w:val="00261929"/>
    <w:rsid w:val="002619B1"/>
    <w:rsid w:val="00261BDE"/>
    <w:rsid w:val="00261D13"/>
    <w:rsid w:val="00262222"/>
    <w:rsid w:val="00262265"/>
    <w:rsid w:val="00262279"/>
    <w:rsid w:val="00262296"/>
    <w:rsid w:val="00262361"/>
    <w:rsid w:val="00262396"/>
    <w:rsid w:val="002623B1"/>
    <w:rsid w:val="0026273D"/>
    <w:rsid w:val="00262874"/>
    <w:rsid w:val="002628BD"/>
    <w:rsid w:val="002628FA"/>
    <w:rsid w:val="00262A31"/>
    <w:rsid w:val="00262A47"/>
    <w:rsid w:val="00262E7F"/>
    <w:rsid w:val="00262F92"/>
    <w:rsid w:val="002630AA"/>
    <w:rsid w:val="0026331F"/>
    <w:rsid w:val="0026337E"/>
    <w:rsid w:val="0026347C"/>
    <w:rsid w:val="00263498"/>
    <w:rsid w:val="00263720"/>
    <w:rsid w:val="002638D9"/>
    <w:rsid w:val="00263D3B"/>
    <w:rsid w:val="00263DE9"/>
    <w:rsid w:val="00263EEA"/>
    <w:rsid w:val="00263FEA"/>
    <w:rsid w:val="0026414B"/>
    <w:rsid w:val="002643AE"/>
    <w:rsid w:val="00264477"/>
    <w:rsid w:val="00264488"/>
    <w:rsid w:val="00264569"/>
    <w:rsid w:val="00264725"/>
    <w:rsid w:val="00264735"/>
    <w:rsid w:val="002647B6"/>
    <w:rsid w:val="002647C8"/>
    <w:rsid w:val="00264932"/>
    <w:rsid w:val="0026495E"/>
    <w:rsid w:val="00264981"/>
    <w:rsid w:val="00264AAA"/>
    <w:rsid w:val="00264B71"/>
    <w:rsid w:val="00264C75"/>
    <w:rsid w:val="00264DB1"/>
    <w:rsid w:val="00264F8D"/>
    <w:rsid w:val="00264FB8"/>
    <w:rsid w:val="00264FE5"/>
    <w:rsid w:val="0026506A"/>
    <w:rsid w:val="00265109"/>
    <w:rsid w:val="0026511E"/>
    <w:rsid w:val="002651B3"/>
    <w:rsid w:val="0026524A"/>
    <w:rsid w:val="0026536D"/>
    <w:rsid w:val="00265425"/>
    <w:rsid w:val="00265716"/>
    <w:rsid w:val="002657AF"/>
    <w:rsid w:val="00265989"/>
    <w:rsid w:val="00265A13"/>
    <w:rsid w:val="00265BC0"/>
    <w:rsid w:val="00265BF6"/>
    <w:rsid w:val="0026602F"/>
    <w:rsid w:val="00266165"/>
    <w:rsid w:val="0026616B"/>
    <w:rsid w:val="00266179"/>
    <w:rsid w:val="0026620F"/>
    <w:rsid w:val="0026624D"/>
    <w:rsid w:val="00266358"/>
    <w:rsid w:val="00266393"/>
    <w:rsid w:val="00266443"/>
    <w:rsid w:val="0026650A"/>
    <w:rsid w:val="0026656D"/>
    <w:rsid w:val="0026678F"/>
    <w:rsid w:val="0026683E"/>
    <w:rsid w:val="00266873"/>
    <w:rsid w:val="00266CA0"/>
    <w:rsid w:val="00266DF8"/>
    <w:rsid w:val="00266FBD"/>
    <w:rsid w:val="002672B7"/>
    <w:rsid w:val="0026737C"/>
    <w:rsid w:val="002673F8"/>
    <w:rsid w:val="00267545"/>
    <w:rsid w:val="0026760E"/>
    <w:rsid w:val="0026774F"/>
    <w:rsid w:val="002677A7"/>
    <w:rsid w:val="00267936"/>
    <w:rsid w:val="00267ABD"/>
    <w:rsid w:val="00267BBE"/>
    <w:rsid w:val="00267E58"/>
    <w:rsid w:val="00267FB0"/>
    <w:rsid w:val="0027002D"/>
    <w:rsid w:val="002700C5"/>
    <w:rsid w:val="002700E5"/>
    <w:rsid w:val="00270375"/>
    <w:rsid w:val="002705D5"/>
    <w:rsid w:val="0027062A"/>
    <w:rsid w:val="00270AE0"/>
    <w:rsid w:val="00270BAE"/>
    <w:rsid w:val="00270BDB"/>
    <w:rsid w:val="00270EC9"/>
    <w:rsid w:val="002710F0"/>
    <w:rsid w:val="00271243"/>
    <w:rsid w:val="002712AC"/>
    <w:rsid w:val="002712E4"/>
    <w:rsid w:val="002714EC"/>
    <w:rsid w:val="00271586"/>
    <w:rsid w:val="00271A45"/>
    <w:rsid w:val="00271DA1"/>
    <w:rsid w:val="00271F36"/>
    <w:rsid w:val="00272029"/>
    <w:rsid w:val="0027209A"/>
    <w:rsid w:val="002722A0"/>
    <w:rsid w:val="002726FE"/>
    <w:rsid w:val="00272727"/>
    <w:rsid w:val="0027272F"/>
    <w:rsid w:val="0027289E"/>
    <w:rsid w:val="0027296B"/>
    <w:rsid w:val="00272AB7"/>
    <w:rsid w:val="00272C1D"/>
    <w:rsid w:val="00272D4D"/>
    <w:rsid w:val="00272E5C"/>
    <w:rsid w:val="00273226"/>
    <w:rsid w:val="00273261"/>
    <w:rsid w:val="00273562"/>
    <w:rsid w:val="00273605"/>
    <w:rsid w:val="00273841"/>
    <w:rsid w:val="00273975"/>
    <w:rsid w:val="002741A1"/>
    <w:rsid w:val="00274244"/>
    <w:rsid w:val="00274338"/>
    <w:rsid w:val="002743AB"/>
    <w:rsid w:val="00274425"/>
    <w:rsid w:val="002749CC"/>
    <w:rsid w:val="00274ADC"/>
    <w:rsid w:val="00274BC4"/>
    <w:rsid w:val="00274E61"/>
    <w:rsid w:val="00274FAD"/>
    <w:rsid w:val="00274FE5"/>
    <w:rsid w:val="002750B2"/>
    <w:rsid w:val="00275158"/>
    <w:rsid w:val="00275169"/>
    <w:rsid w:val="00275190"/>
    <w:rsid w:val="002752B8"/>
    <w:rsid w:val="00275376"/>
    <w:rsid w:val="00275820"/>
    <w:rsid w:val="00275871"/>
    <w:rsid w:val="0027593D"/>
    <w:rsid w:val="00275962"/>
    <w:rsid w:val="00275A6D"/>
    <w:rsid w:val="00275BF4"/>
    <w:rsid w:val="00275C7C"/>
    <w:rsid w:val="00275D26"/>
    <w:rsid w:val="00275D8F"/>
    <w:rsid w:val="00275D95"/>
    <w:rsid w:val="00275EE4"/>
    <w:rsid w:val="002760D0"/>
    <w:rsid w:val="00276264"/>
    <w:rsid w:val="002763BC"/>
    <w:rsid w:val="0027641F"/>
    <w:rsid w:val="002767E5"/>
    <w:rsid w:val="0027681B"/>
    <w:rsid w:val="00276ABD"/>
    <w:rsid w:val="00276B33"/>
    <w:rsid w:val="00276B7E"/>
    <w:rsid w:val="00276B9E"/>
    <w:rsid w:val="00276C46"/>
    <w:rsid w:val="00276D01"/>
    <w:rsid w:val="00276D3D"/>
    <w:rsid w:val="00276E77"/>
    <w:rsid w:val="00276EEF"/>
    <w:rsid w:val="0027729D"/>
    <w:rsid w:val="00277329"/>
    <w:rsid w:val="00277487"/>
    <w:rsid w:val="002774F9"/>
    <w:rsid w:val="002775C5"/>
    <w:rsid w:val="0027767B"/>
    <w:rsid w:val="002776AF"/>
    <w:rsid w:val="002776E9"/>
    <w:rsid w:val="0027772B"/>
    <w:rsid w:val="0027789E"/>
    <w:rsid w:val="002778DD"/>
    <w:rsid w:val="0027797A"/>
    <w:rsid w:val="00277BEB"/>
    <w:rsid w:val="00277C77"/>
    <w:rsid w:val="00277EDD"/>
    <w:rsid w:val="00277F51"/>
    <w:rsid w:val="00277F6A"/>
    <w:rsid w:val="00277FB3"/>
    <w:rsid w:val="0028004E"/>
    <w:rsid w:val="0028019B"/>
    <w:rsid w:val="00280265"/>
    <w:rsid w:val="002803FB"/>
    <w:rsid w:val="00280489"/>
    <w:rsid w:val="00280577"/>
    <w:rsid w:val="00280908"/>
    <w:rsid w:val="00280A3B"/>
    <w:rsid w:val="00280AA0"/>
    <w:rsid w:val="00280B0F"/>
    <w:rsid w:val="00280B40"/>
    <w:rsid w:val="00280B6D"/>
    <w:rsid w:val="00280EA4"/>
    <w:rsid w:val="002812FA"/>
    <w:rsid w:val="002813FF"/>
    <w:rsid w:val="002816BA"/>
    <w:rsid w:val="00281A0D"/>
    <w:rsid w:val="00281AA5"/>
    <w:rsid w:val="00281B53"/>
    <w:rsid w:val="00281CF9"/>
    <w:rsid w:val="00281E56"/>
    <w:rsid w:val="00281F8A"/>
    <w:rsid w:val="0028203C"/>
    <w:rsid w:val="002820B5"/>
    <w:rsid w:val="00282113"/>
    <w:rsid w:val="00282344"/>
    <w:rsid w:val="002823A1"/>
    <w:rsid w:val="0028249F"/>
    <w:rsid w:val="002826FF"/>
    <w:rsid w:val="002827F5"/>
    <w:rsid w:val="0028282F"/>
    <w:rsid w:val="002828C9"/>
    <w:rsid w:val="002829AB"/>
    <w:rsid w:val="00283172"/>
    <w:rsid w:val="002832B3"/>
    <w:rsid w:val="00283447"/>
    <w:rsid w:val="0028344F"/>
    <w:rsid w:val="00283461"/>
    <w:rsid w:val="002835D8"/>
    <w:rsid w:val="002835F3"/>
    <w:rsid w:val="0028375D"/>
    <w:rsid w:val="002838BB"/>
    <w:rsid w:val="00283A07"/>
    <w:rsid w:val="00283A68"/>
    <w:rsid w:val="00283B5B"/>
    <w:rsid w:val="00283DD2"/>
    <w:rsid w:val="00283ED8"/>
    <w:rsid w:val="00283F47"/>
    <w:rsid w:val="00283FD5"/>
    <w:rsid w:val="002841EE"/>
    <w:rsid w:val="00284248"/>
    <w:rsid w:val="002843D2"/>
    <w:rsid w:val="00284551"/>
    <w:rsid w:val="00284723"/>
    <w:rsid w:val="0028496F"/>
    <w:rsid w:val="0028498B"/>
    <w:rsid w:val="002849D5"/>
    <w:rsid w:val="00284ACD"/>
    <w:rsid w:val="00284E0E"/>
    <w:rsid w:val="00284EA5"/>
    <w:rsid w:val="00284FEA"/>
    <w:rsid w:val="002850D0"/>
    <w:rsid w:val="002850F5"/>
    <w:rsid w:val="0028516C"/>
    <w:rsid w:val="00285262"/>
    <w:rsid w:val="002852AF"/>
    <w:rsid w:val="002854D2"/>
    <w:rsid w:val="00285521"/>
    <w:rsid w:val="00285636"/>
    <w:rsid w:val="002856CC"/>
    <w:rsid w:val="002857C2"/>
    <w:rsid w:val="00285965"/>
    <w:rsid w:val="00285A41"/>
    <w:rsid w:val="00285A86"/>
    <w:rsid w:val="00285C4A"/>
    <w:rsid w:val="00285E85"/>
    <w:rsid w:val="00285F30"/>
    <w:rsid w:val="00285F3F"/>
    <w:rsid w:val="00286181"/>
    <w:rsid w:val="002861C6"/>
    <w:rsid w:val="00286256"/>
    <w:rsid w:val="002864BE"/>
    <w:rsid w:val="00286569"/>
    <w:rsid w:val="002866FE"/>
    <w:rsid w:val="00286732"/>
    <w:rsid w:val="0028681F"/>
    <w:rsid w:val="00286885"/>
    <w:rsid w:val="0028694C"/>
    <w:rsid w:val="00286994"/>
    <w:rsid w:val="002869CF"/>
    <w:rsid w:val="00286ACA"/>
    <w:rsid w:val="00286DFD"/>
    <w:rsid w:val="00286EF7"/>
    <w:rsid w:val="00286F0F"/>
    <w:rsid w:val="00286F64"/>
    <w:rsid w:val="00286FAB"/>
    <w:rsid w:val="002871CF"/>
    <w:rsid w:val="00287393"/>
    <w:rsid w:val="002873B4"/>
    <w:rsid w:val="002875B5"/>
    <w:rsid w:val="00287862"/>
    <w:rsid w:val="00287961"/>
    <w:rsid w:val="00287AE3"/>
    <w:rsid w:val="00287B1D"/>
    <w:rsid w:val="00287B94"/>
    <w:rsid w:val="00287E51"/>
    <w:rsid w:val="00287EFF"/>
    <w:rsid w:val="00290119"/>
    <w:rsid w:val="0029023D"/>
    <w:rsid w:val="0029026C"/>
    <w:rsid w:val="002906D8"/>
    <w:rsid w:val="00290825"/>
    <w:rsid w:val="00290882"/>
    <w:rsid w:val="002908A9"/>
    <w:rsid w:val="00290B41"/>
    <w:rsid w:val="00290BF3"/>
    <w:rsid w:val="00290C6A"/>
    <w:rsid w:val="00290DFB"/>
    <w:rsid w:val="00290ED7"/>
    <w:rsid w:val="00290F97"/>
    <w:rsid w:val="00291091"/>
    <w:rsid w:val="002910B9"/>
    <w:rsid w:val="0029116E"/>
    <w:rsid w:val="00291252"/>
    <w:rsid w:val="00291289"/>
    <w:rsid w:val="00291290"/>
    <w:rsid w:val="00291467"/>
    <w:rsid w:val="00291505"/>
    <w:rsid w:val="0029155D"/>
    <w:rsid w:val="00291678"/>
    <w:rsid w:val="0029177A"/>
    <w:rsid w:val="00291847"/>
    <w:rsid w:val="002918E4"/>
    <w:rsid w:val="00291907"/>
    <w:rsid w:val="002919CA"/>
    <w:rsid w:val="00291BF6"/>
    <w:rsid w:val="00291BFF"/>
    <w:rsid w:val="00291CCD"/>
    <w:rsid w:val="00291CFD"/>
    <w:rsid w:val="00291EC9"/>
    <w:rsid w:val="00291F7F"/>
    <w:rsid w:val="0029204E"/>
    <w:rsid w:val="002920B1"/>
    <w:rsid w:val="00292336"/>
    <w:rsid w:val="002923AE"/>
    <w:rsid w:val="002927BE"/>
    <w:rsid w:val="00292892"/>
    <w:rsid w:val="00292966"/>
    <w:rsid w:val="00292A7A"/>
    <w:rsid w:val="00292E6F"/>
    <w:rsid w:val="00292F04"/>
    <w:rsid w:val="0029308B"/>
    <w:rsid w:val="0029316D"/>
    <w:rsid w:val="002932DC"/>
    <w:rsid w:val="0029359A"/>
    <w:rsid w:val="002938B7"/>
    <w:rsid w:val="002938D9"/>
    <w:rsid w:val="00293973"/>
    <w:rsid w:val="002939E8"/>
    <w:rsid w:val="00293B22"/>
    <w:rsid w:val="00293E45"/>
    <w:rsid w:val="00293F2A"/>
    <w:rsid w:val="002940FC"/>
    <w:rsid w:val="00294197"/>
    <w:rsid w:val="002942A1"/>
    <w:rsid w:val="00294432"/>
    <w:rsid w:val="00294442"/>
    <w:rsid w:val="002945DF"/>
    <w:rsid w:val="002945ED"/>
    <w:rsid w:val="00294779"/>
    <w:rsid w:val="002947A0"/>
    <w:rsid w:val="002948FC"/>
    <w:rsid w:val="00294A4D"/>
    <w:rsid w:val="00294C6F"/>
    <w:rsid w:val="00294D9A"/>
    <w:rsid w:val="00294E80"/>
    <w:rsid w:val="002951E6"/>
    <w:rsid w:val="00295566"/>
    <w:rsid w:val="0029568B"/>
    <w:rsid w:val="0029570E"/>
    <w:rsid w:val="00295B61"/>
    <w:rsid w:val="00295D9D"/>
    <w:rsid w:val="00295F36"/>
    <w:rsid w:val="00295F8E"/>
    <w:rsid w:val="002963F5"/>
    <w:rsid w:val="002964D6"/>
    <w:rsid w:val="0029651C"/>
    <w:rsid w:val="0029654B"/>
    <w:rsid w:val="002967A5"/>
    <w:rsid w:val="00296A03"/>
    <w:rsid w:val="00296B42"/>
    <w:rsid w:val="00296BA0"/>
    <w:rsid w:val="00296BAB"/>
    <w:rsid w:val="00296BB4"/>
    <w:rsid w:val="00297085"/>
    <w:rsid w:val="002971DB"/>
    <w:rsid w:val="002971F8"/>
    <w:rsid w:val="0029721A"/>
    <w:rsid w:val="00297288"/>
    <w:rsid w:val="002977C0"/>
    <w:rsid w:val="0029789B"/>
    <w:rsid w:val="00297B8A"/>
    <w:rsid w:val="00297E3B"/>
    <w:rsid w:val="00297FCA"/>
    <w:rsid w:val="002A0114"/>
    <w:rsid w:val="002A0542"/>
    <w:rsid w:val="002A060F"/>
    <w:rsid w:val="002A0625"/>
    <w:rsid w:val="002A0666"/>
    <w:rsid w:val="002A06AF"/>
    <w:rsid w:val="002A0849"/>
    <w:rsid w:val="002A084C"/>
    <w:rsid w:val="002A0A3A"/>
    <w:rsid w:val="002A0AB3"/>
    <w:rsid w:val="002A0C6D"/>
    <w:rsid w:val="002A0C82"/>
    <w:rsid w:val="002A0C8A"/>
    <w:rsid w:val="002A0F0E"/>
    <w:rsid w:val="002A0FF1"/>
    <w:rsid w:val="002A114C"/>
    <w:rsid w:val="002A1672"/>
    <w:rsid w:val="002A17CF"/>
    <w:rsid w:val="002A183C"/>
    <w:rsid w:val="002A18D9"/>
    <w:rsid w:val="002A190E"/>
    <w:rsid w:val="002A1BE3"/>
    <w:rsid w:val="002A1E80"/>
    <w:rsid w:val="002A1EF1"/>
    <w:rsid w:val="002A21DD"/>
    <w:rsid w:val="002A2361"/>
    <w:rsid w:val="002A2494"/>
    <w:rsid w:val="002A25B9"/>
    <w:rsid w:val="002A27A2"/>
    <w:rsid w:val="002A2B0D"/>
    <w:rsid w:val="002A2B78"/>
    <w:rsid w:val="002A2BE5"/>
    <w:rsid w:val="002A2C61"/>
    <w:rsid w:val="002A2D4F"/>
    <w:rsid w:val="002A2E2C"/>
    <w:rsid w:val="002A302C"/>
    <w:rsid w:val="002A3128"/>
    <w:rsid w:val="002A3138"/>
    <w:rsid w:val="002A3228"/>
    <w:rsid w:val="002A339B"/>
    <w:rsid w:val="002A34D4"/>
    <w:rsid w:val="002A369D"/>
    <w:rsid w:val="002A37DA"/>
    <w:rsid w:val="002A38DE"/>
    <w:rsid w:val="002A39A9"/>
    <w:rsid w:val="002A39AA"/>
    <w:rsid w:val="002A3C10"/>
    <w:rsid w:val="002A3E1D"/>
    <w:rsid w:val="002A3E32"/>
    <w:rsid w:val="002A3F74"/>
    <w:rsid w:val="002A3FB7"/>
    <w:rsid w:val="002A4012"/>
    <w:rsid w:val="002A4066"/>
    <w:rsid w:val="002A410B"/>
    <w:rsid w:val="002A41BF"/>
    <w:rsid w:val="002A439D"/>
    <w:rsid w:val="002A43D3"/>
    <w:rsid w:val="002A467A"/>
    <w:rsid w:val="002A47E6"/>
    <w:rsid w:val="002A49B9"/>
    <w:rsid w:val="002A4B73"/>
    <w:rsid w:val="002A4E76"/>
    <w:rsid w:val="002A4E87"/>
    <w:rsid w:val="002A4ECB"/>
    <w:rsid w:val="002A52A0"/>
    <w:rsid w:val="002A52A8"/>
    <w:rsid w:val="002A5462"/>
    <w:rsid w:val="002A56F1"/>
    <w:rsid w:val="002A5953"/>
    <w:rsid w:val="002A5B13"/>
    <w:rsid w:val="002A5CB3"/>
    <w:rsid w:val="002A5D43"/>
    <w:rsid w:val="002A5DAE"/>
    <w:rsid w:val="002A5EE3"/>
    <w:rsid w:val="002A60E8"/>
    <w:rsid w:val="002A60F5"/>
    <w:rsid w:val="002A6153"/>
    <w:rsid w:val="002A61E4"/>
    <w:rsid w:val="002A6276"/>
    <w:rsid w:val="002A62E2"/>
    <w:rsid w:val="002A6420"/>
    <w:rsid w:val="002A66CD"/>
    <w:rsid w:val="002A6737"/>
    <w:rsid w:val="002A6F5D"/>
    <w:rsid w:val="002A6F9F"/>
    <w:rsid w:val="002A7029"/>
    <w:rsid w:val="002A70D4"/>
    <w:rsid w:val="002A7122"/>
    <w:rsid w:val="002A72AD"/>
    <w:rsid w:val="002A73AB"/>
    <w:rsid w:val="002A740B"/>
    <w:rsid w:val="002A74AB"/>
    <w:rsid w:val="002A75F7"/>
    <w:rsid w:val="002A77BF"/>
    <w:rsid w:val="002A7ACF"/>
    <w:rsid w:val="002A7AF7"/>
    <w:rsid w:val="002A7B7E"/>
    <w:rsid w:val="002A7B99"/>
    <w:rsid w:val="002A7BF5"/>
    <w:rsid w:val="002A7D18"/>
    <w:rsid w:val="002A7DAE"/>
    <w:rsid w:val="002A7EDE"/>
    <w:rsid w:val="002A7FCC"/>
    <w:rsid w:val="002B00E3"/>
    <w:rsid w:val="002B028B"/>
    <w:rsid w:val="002B0403"/>
    <w:rsid w:val="002B0570"/>
    <w:rsid w:val="002B072C"/>
    <w:rsid w:val="002B0784"/>
    <w:rsid w:val="002B07AC"/>
    <w:rsid w:val="002B0838"/>
    <w:rsid w:val="002B0995"/>
    <w:rsid w:val="002B0A8F"/>
    <w:rsid w:val="002B0B89"/>
    <w:rsid w:val="002B0DB5"/>
    <w:rsid w:val="002B0E0B"/>
    <w:rsid w:val="002B0EB7"/>
    <w:rsid w:val="002B0FB0"/>
    <w:rsid w:val="002B1059"/>
    <w:rsid w:val="002B13AA"/>
    <w:rsid w:val="002B13D2"/>
    <w:rsid w:val="002B15B7"/>
    <w:rsid w:val="002B1896"/>
    <w:rsid w:val="002B18A7"/>
    <w:rsid w:val="002B1ACC"/>
    <w:rsid w:val="002B1AF3"/>
    <w:rsid w:val="002B1B0F"/>
    <w:rsid w:val="002B1B99"/>
    <w:rsid w:val="002B1BCA"/>
    <w:rsid w:val="002B1CC2"/>
    <w:rsid w:val="002B1D42"/>
    <w:rsid w:val="002B1D51"/>
    <w:rsid w:val="002B1ECF"/>
    <w:rsid w:val="002B1F2F"/>
    <w:rsid w:val="002B213C"/>
    <w:rsid w:val="002B226A"/>
    <w:rsid w:val="002B2302"/>
    <w:rsid w:val="002B2393"/>
    <w:rsid w:val="002B23B7"/>
    <w:rsid w:val="002B23D8"/>
    <w:rsid w:val="002B243E"/>
    <w:rsid w:val="002B251C"/>
    <w:rsid w:val="002B263B"/>
    <w:rsid w:val="002B26FE"/>
    <w:rsid w:val="002B2CAE"/>
    <w:rsid w:val="002B2D9C"/>
    <w:rsid w:val="002B2E04"/>
    <w:rsid w:val="002B2F5A"/>
    <w:rsid w:val="002B2FE3"/>
    <w:rsid w:val="002B30F2"/>
    <w:rsid w:val="002B31E8"/>
    <w:rsid w:val="002B3448"/>
    <w:rsid w:val="002B36A2"/>
    <w:rsid w:val="002B36C8"/>
    <w:rsid w:val="002B378B"/>
    <w:rsid w:val="002B3869"/>
    <w:rsid w:val="002B3A41"/>
    <w:rsid w:val="002B3A42"/>
    <w:rsid w:val="002B3C71"/>
    <w:rsid w:val="002B3DB3"/>
    <w:rsid w:val="002B4056"/>
    <w:rsid w:val="002B417B"/>
    <w:rsid w:val="002B4323"/>
    <w:rsid w:val="002B43C9"/>
    <w:rsid w:val="002B4468"/>
    <w:rsid w:val="002B45DA"/>
    <w:rsid w:val="002B45ED"/>
    <w:rsid w:val="002B4864"/>
    <w:rsid w:val="002B4A07"/>
    <w:rsid w:val="002B4B1E"/>
    <w:rsid w:val="002B4DA9"/>
    <w:rsid w:val="002B4EA4"/>
    <w:rsid w:val="002B5459"/>
    <w:rsid w:val="002B565E"/>
    <w:rsid w:val="002B5783"/>
    <w:rsid w:val="002B59C4"/>
    <w:rsid w:val="002B5C6F"/>
    <w:rsid w:val="002B5F69"/>
    <w:rsid w:val="002B5F8D"/>
    <w:rsid w:val="002B5FA6"/>
    <w:rsid w:val="002B6338"/>
    <w:rsid w:val="002B6415"/>
    <w:rsid w:val="002B6445"/>
    <w:rsid w:val="002B6607"/>
    <w:rsid w:val="002B68D8"/>
    <w:rsid w:val="002B6D63"/>
    <w:rsid w:val="002B6DDF"/>
    <w:rsid w:val="002B6ED9"/>
    <w:rsid w:val="002B6FCC"/>
    <w:rsid w:val="002B7106"/>
    <w:rsid w:val="002B71D2"/>
    <w:rsid w:val="002B720E"/>
    <w:rsid w:val="002B73A3"/>
    <w:rsid w:val="002B74E3"/>
    <w:rsid w:val="002B76C5"/>
    <w:rsid w:val="002B772D"/>
    <w:rsid w:val="002B77BE"/>
    <w:rsid w:val="002B7820"/>
    <w:rsid w:val="002B7A86"/>
    <w:rsid w:val="002B7B47"/>
    <w:rsid w:val="002B7D6E"/>
    <w:rsid w:val="002B7EFD"/>
    <w:rsid w:val="002C0211"/>
    <w:rsid w:val="002C0661"/>
    <w:rsid w:val="002C08AE"/>
    <w:rsid w:val="002C08FD"/>
    <w:rsid w:val="002C096B"/>
    <w:rsid w:val="002C0A50"/>
    <w:rsid w:val="002C0A98"/>
    <w:rsid w:val="002C0B14"/>
    <w:rsid w:val="002C0BEE"/>
    <w:rsid w:val="002C1020"/>
    <w:rsid w:val="002C1025"/>
    <w:rsid w:val="002C1417"/>
    <w:rsid w:val="002C14D3"/>
    <w:rsid w:val="002C17E3"/>
    <w:rsid w:val="002C1AE4"/>
    <w:rsid w:val="002C1BEB"/>
    <w:rsid w:val="002C1C81"/>
    <w:rsid w:val="002C1CEB"/>
    <w:rsid w:val="002C1DD9"/>
    <w:rsid w:val="002C1E67"/>
    <w:rsid w:val="002C1E83"/>
    <w:rsid w:val="002C1EF5"/>
    <w:rsid w:val="002C20B3"/>
    <w:rsid w:val="002C2105"/>
    <w:rsid w:val="002C21A5"/>
    <w:rsid w:val="002C2271"/>
    <w:rsid w:val="002C2687"/>
    <w:rsid w:val="002C2749"/>
    <w:rsid w:val="002C275D"/>
    <w:rsid w:val="002C281D"/>
    <w:rsid w:val="002C283C"/>
    <w:rsid w:val="002C2A63"/>
    <w:rsid w:val="002C2BAF"/>
    <w:rsid w:val="002C2BC1"/>
    <w:rsid w:val="002C2CD0"/>
    <w:rsid w:val="002C2D02"/>
    <w:rsid w:val="002C2EC0"/>
    <w:rsid w:val="002C305A"/>
    <w:rsid w:val="002C3310"/>
    <w:rsid w:val="002C33FD"/>
    <w:rsid w:val="002C363A"/>
    <w:rsid w:val="002C36F9"/>
    <w:rsid w:val="002C3748"/>
    <w:rsid w:val="002C38B2"/>
    <w:rsid w:val="002C39D3"/>
    <w:rsid w:val="002C3B54"/>
    <w:rsid w:val="002C3B7C"/>
    <w:rsid w:val="002C3BB4"/>
    <w:rsid w:val="002C3CAC"/>
    <w:rsid w:val="002C3EE6"/>
    <w:rsid w:val="002C3F04"/>
    <w:rsid w:val="002C3FD7"/>
    <w:rsid w:val="002C432B"/>
    <w:rsid w:val="002C4526"/>
    <w:rsid w:val="002C465F"/>
    <w:rsid w:val="002C466E"/>
    <w:rsid w:val="002C470B"/>
    <w:rsid w:val="002C4F94"/>
    <w:rsid w:val="002C501A"/>
    <w:rsid w:val="002C5593"/>
    <w:rsid w:val="002C5602"/>
    <w:rsid w:val="002C570F"/>
    <w:rsid w:val="002C5730"/>
    <w:rsid w:val="002C59E2"/>
    <w:rsid w:val="002C5A50"/>
    <w:rsid w:val="002C5B21"/>
    <w:rsid w:val="002C5B93"/>
    <w:rsid w:val="002C5BFC"/>
    <w:rsid w:val="002C5F68"/>
    <w:rsid w:val="002C6021"/>
    <w:rsid w:val="002C6070"/>
    <w:rsid w:val="002C62AD"/>
    <w:rsid w:val="002C62E9"/>
    <w:rsid w:val="002C641A"/>
    <w:rsid w:val="002C6525"/>
    <w:rsid w:val="002C65DA"/>
    <w:rsid w:val="002C66F0"/>
    <w:rsid w:val="002C69F6"/>
    <w:rsid w:val="002C6FBF"/>
    <w:rsid w:val="002C707B"/>
    <w:rsid w:val="002C7347"/>
    <w:rsid w:val="002C735F"/>
    <w:rsid w:val="002C7716"/>
    <w:rsid w:val="002C77B1"/>
    <w:rsid w:val="002C79AD"/>
    <w:rsid w:val="002C79FD"/>
    <w:rsid w:val="002C7A4A"/>
    <w:rsid w:val="002C7D7C"/>
    <w:rsid w:val="002C7E0B"/>
    <w:rsid w:val="002C7F40"/>
    <w:rsid w:val="002C7FF1"/>
    <w:rsid w:val="002D0297"/>
    <w:rsid w:val="002D0356"/>
    <w:rsid w:val="002D038F"/>
    <w:rsid w:val="002D0397"/>
    <w:rsid w:val="002D043E"/>
    <w:rsid w:val="002D047A"/>
    <w:rsid w:val="002D0671"/>
    <w:rsid w:val="002D08F1"/>
    <w:rsid w:val="002D0A87"/>
    <w:rsid w:val="002D0DD5"/>
    <w:rsid w:val="002D0E35"/>
    <w:rsid w:val="002D0E53"/>
    <w:rsid w:val="002D0F6D"/>
    <w:rsid w:val="002D0F78"/>
    <w:rsid w:val="002D1399"/>
    <w:rsid w:val="002D13E0"/>
    <w:rsid w:val="002D14F0"/>
    <w:rsid w:val="002D14F5"/>
    <w:rsid w:val="002D1748"/>
    <w:rsid w:val="002D1777"/>
    <w:rsid w:val="002D1792"/>
    <w:rsid w:val="002D17FF"/>
    <w:rsid w:val="002D1B37"/>
    <w:rsid w:val="002D1C7A"/>
    <w:rsid w:val="002D1D5D"/>
    <w:rsid w:val="002D1E4E"/>
    <w:rsid w:val="002D1F0B"/>
    <w:rsid w:val="002D20C3"/>
    <w:rsid w:val="002D213F"/>
    <w:rsid w:val="002D21E5"/>
    <w:rsid w:val="002D2226"/>
    <w:rsid w:val="002D2282"/>
    <w:rsid w:val="002D23F5"/>
    <w:rsid w:val="002D24E5"/>
    <w:rsid w:val="002D253C"/>
    <w:rsid w:val="002D2896"/>
    <w:rsid w:val="002D2CDB"/>
    <w:rsid w:val="002D2EEE"/>
    <w:rsid w:val="002D2FFD"/>
    <w:rsid w:val="002D311C"/>
    <w:rsid w:val="002D313A"/>
    <w:rsid w:val="002D317A"/>
    <w:rsid w:val="002D31C6"/>
    <w:rsid w:val="002D3527"/>
    <w:rsid w:val="002D354C"/>
    <w:rsid w:val="002D3586"/>
    <w:rsid w:val="002D3640"/>
    <w:rsid w:val="002D3671"/>
    <w:rsid w:val="002D36CE"/>
    <w:rsid w:val="002D37AA"/>
    <w:rsid w:val="002D3812"/>
    <w:rsid w:val="002D395D"/>
    <w:rsid w:val="002D3B4B"/>
    <w:rsid w:val="002D40EA"/>
    <w:rsid w:val="002D4133"/>
    <w:rsid w:val="002D4155"/>
    <w:rsid w:val="002D418E"/>
    <w:rsid w:val="002D4241"/>
    <w:rsid w:val="002D436A"/>
    <w:rsid w:val="002D43E8"/>
    <w:rsid w:val="002D44B5"/>
    <w:rsid w:val="002D4513"/>
    <w:rsid w:val="002D4545"/>
    <w:rsid w:val="002D4982"/>
    <w:rsid w:val="002D4D44"/>
    <w:rsid w:val="002D4D9C"/>
    <w:rsid w:val="002D4E48"/>
    <w:rsid w:val="002D4FF7"/>
    <w:rsid w:val="002D506B"/>
    <w:rsid w:val="002D506E"/>
    <w:rsid w:val="002D50FB"/>
    <w:rsid w:val="002D5244"/>
    <w:rsid w:val="002D527E"/>
    <w:rsid w:val="002D52D9"/>
    <w:rsid w:val="002D5344"/>
    <w:rsid w:val="002D53FB"/>
    <w:rsid w:val="002D545E"/>
    <w:rsid w:val="002D547B"/>
    <w:rsid w:val="002D5563"/>
    <w:rsid w:val="002D5675"/>
    <w:rsid w:val="002D5681"/>
    <w:rsid w:val="002D5904"/>
    <w:rsid w:val="002D5981"/>
    <w:rsid w:val="002D5C8C"/>
    <w:rsid w:val="002D5D46"/>
    <w:rsid w:val="002D5DD7"/>
    <w:rsid w:val="002D5E41"/>
    <w:rsid w:val="002D5EE9"/>
    <w:rsid w:val="002D62FA"/>
    <w:rsid w:val="002D65F1"/>
    <w:rsid w:val="002D664F"/>
    <w:rsid w:val="002D665B"/>
    <w:rsid w:val="002D6B7C"/>
    <w:rsid w:val="002D6F6C"/>
    <w:rsid w:val="002D6FCE"/>
    <w:rsid w:val="002D7094"/>
    <w:rsid w:val="002D72C2"/>
    <w:rsid w:val="002D730D"/>
    <w:rsid w:val="002D744C"/>
    <w:rsid w:val="002D74E3"/>
    <w:rsid w:val="002D74FD"/>
    <w:rsid w:val="002D7666"/>
    <w:rsid w:val="002D7801"/>
    <w:rsid w:val="002D7858"/>
    <w:rsid w:val="002D7B7F"/>
    <w:rsid w:val="002D7C4F"/>
    <w:rsid w:val="002D7E27"/>
    <w:rsid w:val="002E01DD"/>
    <w:rsid w:val="002E0206"/>
    <w:rsid w:val="002E06C1"/>
    <w:rsid w:val="002E0721"/>
    <w:rsid w:val="002E07A1"/>
    <w:rsid w:val="002E088D"/>
    <w:rsid w:val="002E0896"/>
    <w:rsid w:val="002E0A41"/>
    <w:rsid w:val="002E0B64"/>
    <w:rsid w:val="002E0E09"/>
    <w:rsid w:val="002E1065"/>
    <w:rsid w:val="002E133A"/>
    <w:rsid w:val="002E140D"/>
    <w:rsid w:val="002E1601"/>
    <w:rsid w:val="002E16CD"/>
    <w:rsid w:val="002E1BE4"/>
    <w:rsid w:val="002E1D30"/>
    <w:rsid w:val="002E1DBE"/>
    <w:rsid w:val="002E1DF7"/>
    <w:rsid w:val="002E212A"/>
    <w:rsid w:val="002E21D4"/>
    <w:rsid w:val="002E2228"/>
    <w:rsid w:val="002E22B2"/>
    <w:rsid w:val="002E23AD"/>
    <w:rsid w:val="002E24B2"/>
    <w:rsid w:val="002E24ED"/>
    <w:rsid w:val="002E2615"/>
    <w:rsid w:val="002E2645"/>
    <w:rsid w:val="002E2681"/>
    <w:rsid w:val="002E2833"/>
    <w:rsid w:val="002E2948"/>
    <w:rsid w:val="002E29ED"/>
    <w:rsid w:val="002E2AB3"/>
    <w:rsid w:val="002E2D29"/>
    <w:rsid w:val="002E2D9F"/>
    <w:rsid w:val="002E2FC8"/>
    <w:rsid w:val="002E3084"/>
    <w:rsid w:val="002E31DE"/>
    <w:rsid w:val="002E3227"/>
    <w:rsid w:val="002E345C"/>
    <w:rsid w:val="002E3640"/>
    <w:rsid w:val="002E36ED"/>
    <w:rsid w:val="002E3825"/>
    <w:rsid w:val="002E3952"/>
    <w:rsid w:val="002E39A6"/>
    <w:rsid w:val="002E39F2"/>
    <w:rsid w:val="002E3B2D"/>
    <w:rsid w:val="002E3F65"/>
    <w:rsid w:val="002E3FA0"/>
    <w:rsid w:val="002E3FE5"/>
    <w:rsid w:val="002E44E3"/>
    <w:rsid w:val="002E4596"/>
    <w:rsid w:val="002E459E"/>
    <w:rsid w:val="002E4690"/>
    <w:rsid w:val="002E4A41"/>
    <w:rsid w:val="002E4B45"/>
    <w:rsid w:val="002E4B74"/>
    <w:rsid w:val="002E50F7"/>
    <w:rsid w:val="002E5143"/>
    <w:rsid w:val="002E51D2"/>
    <w:rsid w:val="002E52B9"/>
    <w:rsid w:val="002E53F4"/>
    <w:rsid w:val="002E545C"/>
    <w:rsid w:val="002E546D"/>
    <w:rsid w:val="002E5550"/>
    <w:rsid w:val="002E56F1"/>
    <w:rsid w:val="002E56F5"/>
    <w:rsid w:val="002E570A"/>
    <w:rsid w:val="002E581F"/>
    <w:rsid w:val="002E583B"/>
    <w:rsid w:val="002E587E"/>
    <w:rsid w:val="002E5926"/>
    <w:rsid w:val="002E60F9"/>
    <w:rsid w:val="002E62BA"/>
    <w:rsid w:val="002E6790"/>
    <w:rsid w:val="002E69E1"/>
    <w:rsid w:val="002E6A38"/>
    <w:rsid w:val="002E6A3C"/>
    <w:rsid w:val="002E6C97"/>
    <w:rsid w:val="002E6D7F"/>
    <w:rsid w:val="002E6DE7"/>
    <w:rsid w:val="002E6E11"/>
    <w:rsid w:val="002E6E4E"/>
    <w:rsid w:val="002E7054"/>
    <w:rsid w:val="002E713B"/>
    <w:rsid w:val="002E723A"/>
    <w:rsid w:val="002E745E"/>
    <w:rsid w:val="002E7504"/>
    <w:rsid w:val="002E75BF"/>
    <w:rsid w:val="002E75C0"/>
    <w:rsid w:val="002E75C7"/>
    <w:rsid w:val="002E76B6"/>
    <w:rsid w:val="002E76B7"/>
    <w:rsid w:val="002E79A3"/>
    <w:rsid w:val="002E7A08"/>
    <w:rsid w:val="002E7CB8"/>
    <w:rsid w:val="002E7DE5"/>
    <w:rsid w:val="002E7EC0"/>
    <w:rsid w:val="002E7EE8"/>
    <w:rsid w:val="002F00A3"/>
    <w:rsid w:val="002F0327"/>
    <w:rsid w:val="002F03A7"/>
    <w:rsid w:val="002F03DE"/>
    <w:rsid w:val="002F0438"/>
    <w:rsid w:val="002F04F2"/>
    <w:rsid w:val="002F0803"/>
    <w:rsid w:val="002F0B3B"/>
    <w:rsid w:val="002F0CB2"/>
    <w:rsid w:val="002F0CE3"/>
    <w:rsid w:val="002F0D82"/>
    <w:rsid w:val="002F0F34"/>
    <w:rsid w:val="002F1034"/>
    <w:rsid w:val="002F10F0"/>
    <w:rsid w:val="002F1163"/>
    <w:rsid w:val="002F120C"/>
    <w:rsid w:val="002F12B0"/>
    <w:rsid w:val="002F131F"/>
    <w:rsid w:val="002F16B1"/>
    <w:rsid w:val="002F184B"/>
    <w:rsid w:val="002F2089"/>
    <w:rsid w:val="002F20D2"/>
    <w:rsid w:val="002F2180"/>
    <w:rsid w:val="002F22DB"/>
    <w:rsid w:val="002F23FD"/>
    <w:rsid w:val="002F242E"/>
    <w:rsid w:val="002F274E"/>
    <w:rsid w:val="002F28AF"/>
    <w:rsid w:val="002F28F1"/>
    <w:rsid w:val="002F297C"/>
    <w:rsid w:val="002F299F"/>
    <w:rsid w:val="002F29A8"/>
    <w:rsid w:val="002F29AD"/>
    <w:rsid w:val="002F2A7F"/>
    <w:rsid w:val="002F2D80"/>
    <w:rsid w:val="002F2D8A"/>
    <w:rsid w:val="002F2EEB"/>
    <w:rsid w:val="002F2F19"/>
    <w:rsid w:val="002F2F82"/>
    <w:rsid w:val="002F311F"/>
    <w:rsid w:val="002F3224"/>
    <w:rsid w:val="002F34E2"/>
    <w:rsid w:val="002F34F1"/>
    <w:rsid w:val="002F3575"/>
    <w:rsid w:val="002F3799"/>
    <w:rsid w:val="002F3823"/>
    <w:rsid w:val="002F3B68"/>
    <w:rsid w:val="002F3BB2"/>
    <w:rsid w:val="002F3BE0"/>
    <w:rsid w:val="002F3CCF"/>
    <w:rsid w:val="002F3D81"/>
    <w:rsid w:val="002F3FC9"/>
    <w:rsid w:val="002F4217"/>
    <w:rsid w:val="002F426B"/>
    <w:rsid w:val="002F43C0"/>
    <w:rsid w:val="002F44C6"/>
    <w:rsid w:val="002F459E"/>
    <w:rsid w:val="002F460D"/>
    <w:rsid w:val="002F4797"/>
    <w:rsid w:val="002F47B2"/>
    <w:rsid w:val="002F4960"/>
    <w:rsid w:val="002F4A1A"/>
    <w:rsid w:val="002F4AF9"/>
    <w:rsid w:val="002F4CEA"/>
    <w:rsid w:val="002F4D49"/>
    <w:rsid w:val="002F4DE5"/>
    <w:rsid w:val="002F4E35"/>
    <w:rsid w:val="002F4E66"/>
    <w:rsid w:val="002F4F7E"/>
    <w:rsid w:val="002F50B7"/>
    <w:rsid w:val="002F54B8"/>
    <w:rsid w:val="002F551A"/>
    <w:rsid w:val="002F5587"/>
    <w:rsid w:val="002F593D"/>
    <w:rsid w:val="002F5D35"/>
    <w:rsid w:val="002F5DDC"/>
    <w:rsid w:val="002F5DE3"/>
    <w:rsid w:val="002F61FC"/>
    <w:rsid w:val="002F6247"/>
    <w:rsid w:val="002F6257"/>
    <w:rsid w:val="002F63AA"/>
    <w:rsid w:val="002F645A"/>
    <w:rsid w:val="002F650B"/>
    <w:rsid w:val="002F6684"/>
    <w:rsid w:val="002F6771"/>
    <w:rsid w:val="002F689D"/>
    <w:rsid w:val="002F6B9C"/>
    <w:rsid w:val="002F6C30"/>
    <w:rsid w:val="002F6D86"/>
    <w:rsid w:val="002F7028"/>
    <w:rsid w:val="002F7035"/>
    <w:rsid w:val="002F7046"/>
    <w:rsid w:val="002F714A"/>
    <w:rsid w:val="002F7437"/>
    <w:rsid w:val="002F74B8"/>
    <w:rsid w:val="002F76BD"/>
    <w:rsid w:val="002F79DE"/>
    <w:rsid w:val="002F7C32"/>
    <w:rsid w:val="00300534"/>
    <w:rsid w:val="003005D5"/>
    <w:rsid w:val="003007E9"/>
    <w:rsid w:val="00300840"/>
    <w:rsid w:val="003008B3"/>
    <w:rsid w:val="003008C6"/>
    <w:rsid w:val="00300977"/>
    <w:rsid w:val="00300A2F"/>
    <w:rsid w:val="00300A6E"/>
    <w:rsid w:val="00300AE5"/>
    <w:rsid w:val="00300BFC"/>
    <w:rsid w:val="00300C72"/>
    <w:rsid w:val="00300EF8"/>
    <w:rsid w:val="003011E0"/>
    <w:rsid w:val="0030126A"/>
    <w:rsid w:val="0030136E"/>
    <w:rsid w:val="0030160F"/>
    <w:rsid w:val="00301ADC"/>
    <w:rsid w:val="00301BC2"/>
    <w:rsid w:val="00301CF5"/>
    <w:rsid w:val="00302113"/>
    <w:rsid w:val="0030212C"/>
    <w:rsid w:val="00302173"/>
    <w:rsid w:val="00302181"/>
    <w:rsid w:val="0030255A"/>
    <w:rsid w:val="003025A3"/>
    <w:rsid w:val="00302659"/>
    <w:rsid w:val="003026AD"/>
    <w:rsid w:val="0030277A"/>
    <w:rsid w:val="0030291A"/>
    <w:rsid w:val="003029CE"/>
    <w:rsid w:val="00302B95"/>
    <w:rsid w:val="00302C05"/>
    <w:rsid w:val="00302C61"/>
    <w:rsid w:val="00302F61"/>
    <w:rsid w:val="00303046"/>
    <w:rsid w:val="0030310C"/>
    <w:rsid w:val="0030342C"/>
    <w:rsid w:val="003035DE"/>
    <w:rsid w:val="0030363E"/>
    <w:rsid w:val="003037C7"/>
    <w:rsid w:val="00303879"/>
    <w:rsid w:val="00303887"/>
    <w:rsid w:val="003039C1"/>
    <w:rsid w:val="003039E2"/>
    <w:rsid w:val="00303ACA"/>
    <w:rsid w:val="00303AD5"/>
    <w:rsid w:val="00303C5B"/>
    <w:rsid w:val="00303CE5"/>
    <w:rsid w:val="00303D35"/>
    <w:rsid w:val="00303F33"/>
    <w:rsid w:val="00303F3F"/>
    <w:rsid w:val="00303F8D"/>
    <w:rsid w:val="00303FA5"/>
    <w:rsid w:val="00304024"/>
    <w:rsid w:val="00304090"/>
    <w:rsid w:val="003042CC"/>
    <w:rsid w:val="003043A9"/>
    <w:rsid w:val="00304478"/>
    <w:rsid w:val="0030461D"/>
    <w:rsid w:val="003048F5"/>
    <w:rsid w:val="00304A22"/>
    <w:rsid w:val="00304C41"/>
    <w:rsid w:val="00304E06"/>
    <w:rsid w:val="00304EDA"/>
    <w:rsid w:val="00304F39"/>
    <w:rsid w:val="00305095"/>
    <w:rsid w:val="00305196"/>
    <w:rsid w:val="003052E4"/>
    <w:rsid w:val="003053A6"/>
    <w:rsid w:val="0030543B"/>
    <w:rsid w:val="003055F1"/>
    <w:rsid w:val="003055FB"/>
    <w:rsid w:val="003057A3"/>
    <w:rsid w:val="00305910"/>
    <w:rsid w:val="00305970"/>
    <w:rsid w:val="00305A08"/>
    <w:rsid w:val="00305B67"/>
    <w:rsid w:val="00305B98"/>
    <w:rsid w:val="00305BFC"/>
    <w:rsid w:val="00305C6E"/>
    <w:rsid w:val="00305EC7"/>
    <w:rsid w:val="00305F75"/>
    <w:rsid w:val="0030601D"/>
    <w:rsid w:val="00306195"/>
    <w:rsid w:val="0030633D"/>
    <w:rsid w:val="003064E5"/>
    <w:rsid w:val="003064FD"/>
    <w:rsid w:val="0030662F"/>
    <w:rsid w:val="00306838"/>
    <w:rsid w:val="00306B72"/>
    <w:rsid w:val="00306F71"/>
    <w:rsid w:val="00306FA1"/>
    <w:rsid w:val="0030706E"/>
    <w:rsid w:val="00307135"/>
    <w:rsid w:val="003071A2"/>
    <w:rsid w:val="003072E0"/>
    <w:rsid w:val="003075F5"/>
    <w:rsid w:val="0030766F"/>
    <w:rsid w:val="0030791E"/>
    <w:rsid w:val="00307927"/>
    <w:rsid w:val="00307928"/>
    <w:rsid w:val="003079BA"/>
    <w:rsid w:val="003079E8"/>
    <w:rsid w:val="00307A18"/>
    <w:rsid w:val="00307A72"/>
    <w:rsid w:val="00307B14"/>
    <w:rsid w:val="00307D93"/>
    <w:rsid w:val="00307DEF"/>
    <w:rsid w:val="003100A0"/>
    <w:rsid w:val="00310217"/>
    <w:rsid w:val="00310241"/>
    <w:rsid w:val="00310454"/>
    <w:rsid w:val="003104A3"/>
    <w:rsid w:val="00310549"/>
    <w:rsid w:val="00310729"/>
    <w:rsid w:val="00310903"/>
    <w:rsid w:val="00310A89"/>
    <w:rsid w:val="00310BF4"/>
    <w:rsid w:val="0031106E"/>
    <w:rsid w:val="003116FF"/>
    <w:rsid w:val="00311721"/>
    <w:rsid w:val="003117C2"/>
    <w:rsid w:val="003117D6"/>
    <w:rsid w:val="003119A5"/>
    <w:rsid w:val="003119AC"/>
    <w:rsid w:val="00311A38"/>
    <w:rsid w:val="00311A51"/>
    <w:rsid w:val="00311A97"/>
    <w:rsid w:val="00311D4A"/>
    <w:rsid w:val="0031200C"/>
    <w:rsid w:val="0031225B"/>
    <w:rsid w:val="00312397"/>
    <w:rsid w:val="003123BA"/>
    <w:rsid w:val="003123CF"/>
    <w:rsid w:val="0031256D"/>
    <w:rsid w:val="00312577"/>
    <w:rsid w:val="00312712"/>
    <w:rsid w:val="00312A1C"/>
    <w:rsid w:val="00312A1F"/>
    <w:rsid w:val="00312A73"/>
    <w:rsid w:val="00312B3D"/>
    <w:rsid w:val="00312C2C"/>
    <w:rsid w:val="0031309A"/>
    <w:rsid w:val="003130BD"/>
    <w:rsid w:val="0031323A"/>
    <w:rsid w:val="0031324F"/>
    <w:rsid w:val="00313260"/>
    <w:rsid w:val="00313439"/>
    <w:rsid w:val="00313471"/>
    <w:rsid w:val="003134BE"/>
    <w:rsid w:val="0031372B"/>
    <w:rsid w:val="003138FF"/>
    <w:rsid w:val="00313950"/>
    <w:rsid w:val="003139B8"/>
    <w:rsid w:val="003139F0"/>
    <w:rsid w:val="00313A9E"/>
    <w:rsid w:val="00313AA7"/>
    <w:rsid w:val="00313C50"/>
    <w:rsid w:val="00313C64"/>
    <w:rsid w:val="00313D62"/>
    <w:rsid w:val="00313DE2"/>
    <w:rsid w:val="00313EFC"/>
    <w:rsid w:val="0031407B"/>
    <w:rsid w:val="00314145"/>
    <w:rsid w:val="0031417E"/>
    <w:rsid w:val="00314263"/>
    <w:rsid w:val="00314290"/>
    <w:rsid w:val="00314647"/>
    <w:rsid w:val="003147A9"/>
    <w:rsid w:val="003147CF"/>
    <w:rsid w:val="003149A3"/>
    <w:rsid w:val="00314C2B"/>
    <w:rsid w:val="00314D4C"/>
    <w:rsid w:val="00315040"/>
    <w:rsid w:val="003150BA"/>
    <w:rsid w:val="003150E0"/>
    <w:rsid w:val="0031522A"/>
    <w:rsid w:val="003154F6"/>
    <w:rsid w:val="00315AA9"/>
    <w:rsid w:val="00315BD0"/>
    <w:rsid w:val="00315C56"/>
    <w:rsid w:val="00315CD2"/>
    <w:rsid w:val="00315D22"/>
    <w:rsid w:val="00315DD5"/>
    <w:rsid w:val="00316042"/>
    <w:rsid w:val="00316549"/>
    <w:rsid w:val="003166B3"/>
    <w:rsid w:val="003167D9"/>
    <w:rsid w:val="0031683F"/>
    <w:rsid w:val="003168A4"/>
    <w:rsid w:val="003168BA"/>
    <w:rsid w:val="003168D9"/>
    <w:rsid w:val="003168E3"/>
    <w:rsid w:val="00316A1C"/>
    <w:rsid w:val="00316B2D"/>
    <w:rsid w:val="00316CA9"/>
    <w:rsid w:val="00316D40"/>
    <w:rsid w:val="00316E01"/>
    <w:rsid w:val="00317224"/>
    <w:rsid w:val="003174D3"/>
    <w:rsid w:val="00317543"/>
    <w:rsid w:val="00317694"/>
    <w:rsid w:val="003176C7"/>
    <w:rsid w:val="00317798"/>
    <w:rsid w:val="0031782E"/>
    <w:rsid w:val="0031783B"/>
    <w:rsid w:val="0031790A"/>
    <w:rsid w:val="00317922"/>
    <w:rsid w:val="00317A18"/>
    <w:rsid w:val="00317D23"/>
    <w:rsid w:val="00317DDF"/>
    <w:rsid w:val="00317EA3"/>
    <w:rsid w:val="00317EC9"/>
    <w:rsid w:val="00317F64"/>
    <w:rsid w:val="00320043"/>
    <w:rsid w:val="003200A2"/>
    <w:rsid w:val="0032019E"/>
    <w:rsid w:val="00320439"/>
    <w:rsid w:val="003204F9"/>
    <w:rsid w:val="00320543"/>
    <w:rsid w:val="0032054F"/>
    <w:rsid w:val="0032061D"/>
    <w:rsid w:val="00320628"/>
    <w:rsid w:val="00320792"/>
    <w:rsid w:val="0032086B"/>
    <w:rsid w:val="00320894"/>
    <w:rsid w:val="003208D1"/>
    <w:rsid w:val="003208DB"/>
    <w:rsid w:val="0032097B"/>
    <w:rsid w:val="00320AE7"/>
    <w:rsid w:val="00320E43"/>
    <w:rsid w:val="00321192"/>
    <w:rsid w:val="00321305"/>
    <w:rsid w:val="0032141D"/>
    <w:rsid w:val="00321536"/>
    <w:rsid w:val="00321710"/>
    <w:rsid w:val="0032183A"/>
    <w:rsid w:val="00321A4F"/>
    <w:rsid w:val="00321AFA"/>
    <w:rsid w:val="00321B24"/>
    <w:rsid w:val="00321B4E"/>
    <w:rsid w:val="00321EE4"/>
    <w:rsid w:val="003220D1"/>
    <w:rsid w:val="003222F7"/>
    <w:rsid w:val="0032259D"/>
    <w:rsid w:val="00322657"/>
    <w:rsid w:val="00322881"/>
    <w:rsid w:val="0032293F"/>
    <w:rsid w:val="00322F9A"/>
    <w:rsid w:val="003231FB"/>
    <w:rsid w:val="00323607"/>
    <w:rsid w:val="003236E4"/>
    <w:rsid w:val="0032389F"/>
    <w:rsid w:val="00323A25"/>
    <w:rsid w:val="003248D4"/>
    <w:rsid w:val="00324AD1"/>
    <w:rsid w:val="00324B94"/>
    <w:rsid w:val="00324DF9"/>
    <w:rsid w:val="00324E89"/>
    <w:rsid w:val="0032514E"/>
    <w:rsid w:val="003251C2"/>
    <w:rsid w:val="003255DC"/>
    <w:rsid w:val="003256D6"/>
    <w:rsid w:val="00325793"/>
    <w:rsid w:val="00325908"/>
    <w:rsid w:val="00325967"/>
    <w:rsid w:val="003259B8"/>
    <w:rsid w:val="00325E85"/>
    <w:rsid w:val="00325F06"/>
    <w:rsid w:val="00326180"/>
    <w:rsid w:val="00326295"/>
    <w:rsid w:val="00326649"/>
    <w:rsid w:val="00326745"/>
    <w:rsid w:val="00326891"/>
    <w:rsid w:val="0032692E"/>
    <w:rsid w:val="00326964"/>
    <w:rsid w:val="00326D32"/>
    <w:rsid w:val="0032704C"/>
    <w:rsid w:val="00327064"/>
    <w:rsid w:val="003270C4"/>
    <w:rsid w:val="003271C9"/>
    <w:rsid w:val="003274B4"/>
    <w:rsid w:val="003274C4"/>
    <w:rsid w:val="00327C2D"/>
    <w:rsid w:val="00327CFE"/>
    <w:rsid w:val="00327FD3"/>
    <w:rsid w:val="0032CCEB"/>
    <w:rsid w:val="00330088"/>
    <w:rsid w:val="003301E7"/>
    <w:rsid w:val="003304CD"/>
    <w:rsid w:val="00330767"/>
    <w:rsid w:val="003309C8"/>
    <w:rsid w:val="00330A32"/>
    <w:rsid w:val="00330BA5"/>
    <w:rsid w:val="00330C47"/>
    <w:rsid w:val="00330EC1"/>
    <w:rsid w:val="00331156"/>
    <w:rsid w:val="0033123E"/>
    <w:rsid w:val="00331305"/>
    <w:rsid w:val="00331451"/>
    <w:rsid w:val="003314A1"/>
    <w:rsid w:val="003314D7"/>
    <w:rsid w:val="0033150C"/>
    <w:rsid w:val="003316B1"/>
    <w:rsid w:val="00331705"/>
    <w:rsid w:val="0033176D"/>
    <w:rsid w:val="00331B92"/>
    <w:rsid w:val="00331CA8"/>
    <w:rsid w:val="00332024"/>
    <w:rsid w:val="0033208B"/>
    <w:rsid w:val="003320E6"/>
    <w:rsid w:val="00332299"/>
    <w:rsid w:val="00332476"/>
    <w:rsid w:val="00332501"/>
    <w:rsid w:val="00332523"/>
    <w:rsid w:val="00332625"/>
    <w:rsid w:val="00332A49"/>
    <w:rsid w:val="00332ABC"/>
    <w:rsid w:val="00332AD4"/>
    <w:rsid w:val="00332C9F"/>
    <w:rsid w:val="00332EC2"/>
    <w:rsid w:val="00332F0B"/>
    <w:rsid w:val="003330FC"/>
    <w:rsid w:val="003331DF"/>
    <w:rsid w:val="00333485"/>
    <w:rsid w:val="00333695"/>
    <w:rsid w:val="003336BF"/>
    <w:rsid w:val="00333773"/>
    <w:rsid w:val="00333A7F"/>
    <w:rsid w:val="00333E2A"/>
    <w:rsid w:val="003340C2"/>
    <w:rsid w:val="003341C2"/>
    <w:rsid w:val="00334357"/>
    <w:rsid w:val="00334539"/>
    <w:rsid w:val="00334556"/>
    <w:rsid w:val="003347F4"/>
    <w:rsid w:val="003348C6"/>
    <w:rsid w:val="0033497C"/>
    <w:rsid w:val="00334A0C"/>
    <w:rsid w:val="00334A16"/>
    <w:rsid w:val="00334A3D"/>
    <w:rsid w:val="00334C8D"/>
    <w:rsid w:val="00334D2B"/>
    <w:rsid w:val="00334DAA"/>
    <w:rsid w:val="00334DBF"/>
    <w:rsid w:val="00334F86"/>
    <w:rsid w:val="003351AF"/>
    <w:rsid w:val="00335245"/>
    <w:rsid w:val="003356AE"/>
    <w:rsid w:val="0033581B"/>
    <w:rsid w:val="003358A3"/>
    <w:rsid w:val="003358BA"/>
    <w:rsid w:val="003359FA"/>
    <w:rsid w:val="00335B0E"/>
    <w:rsid w:val="00335D01"/>
    <w:rsid w:val="00335DCC"/>
    <w:rsid w:val="00335DD3"/>
    <w:rsid w:val="00335F79"/>
    <w:rsid w:val="00335FCA"/>
    <w:rsid w:val="0033614A"/>
    <w:rsid w:val="003363F0"/>
    <w:rsid w:val="003364B7"/>
    <w:rsid w:val="003365E1"/>
    <w:rsid w:val="00336708"/>
    <w:rsid w:val="003369F0"/>
    <w:rsid w:val="00336DAF"/>
    <w:rsid w:val="00336F8B"/>
    <w:rsid w:val="0033718E"/>
    <w:rsid w:val="0033726F"/>
    <w:rsid w:val="003375A8"/>
    <w:rsid w:val="0033765F"/>
    <w:rsid w:val="003376D4"/>
    <w:rsid w:val="00337708"/>
    <w:rsid w:val="003378C0"/>
    <w:rsid w:val="00337A88"/>
    <w:rsid w:val="00337B3A"/>
    <w:rsid w:val="00337B8E"/>
    <w:rsid w:val="00337C5C"/>
    <w:rsid w:val="00337D54"/>
    <w:rsid w:val="00337F18"/>
    <w:rsid w:val="00337F31"/>
    <w:rsid w:val="00337F8D"/>
    <w:rsid w:val="0034044D"/>
    <w:rsid w:val="0034050C"/>
    <w:rsid w:val="003405BF"/>
    <w:rsid w:val="0034080C"/>
    <w:rsid w:val="00340A04"/>
    <w:rsid w:val="00340B61"/>
    <w:rsid w:val="00340B6D"/>
    <w:rsid w:val="00340D88"/>
    <w:rsid w:val="00340E8F"/>
    <w:rsid w:val="003410C3"/>
    <w:rsid w:val="003410D5"/>
    <w:rsid w:val="0034110A"/>
    <w:rsid w:val="00341192"/>
    <w:rsid w:val="003413C4"/>
    <w:rsid w:val="0034140C"/>
    <w:rsid w:val="00341442"/>
    <w:rsid w:val="003415D0"/>
    <w:rsid w:val="0034161C"/>
    <w:rsid w:val="0034168C"/>
    <w:rsid w:val="0034187D"/>
    <w:rsid w:val="00341A5A"/>
    <w:rsid w:val="00341D00"/>
    <w:rsid w:val="00342095"/>
    <w:rsid w:val="003420E0"/>
    <w:rsid w:val="003420F6"/>
    <w:rsid w:val="00342153"/>
    <w:rsid w:val="0034216B"/>
    <w:rsid w:val="0034239C"/>
    <w:rsid w:val="003424A6"/>
    <w:rsid w:val="00342545"/>
    <w:rsid w:val="00342573"/>
    <w:rsid w:val="00342608"/>
    <w:rsid w:val="0034262C"/>
    <w:rsid w:val="003426A4"/>
    <w:rsid w:val="0034275A"/>
    <w:rsid w:val="003427A6"/>
    <w:rsid w:val="0034287E"/>
    <w:rsid w:val="003429BB"/>
    <w:rsid w:val="00342AAB"/>
    <w:rsid w:val="00342B60"/>
    <w:rsid w:val="00342B8A"/>
    <w:rsid w:val="00342FBC"/>
    <w:rsid w:val="00342FC1"/>
    <w:rsid w:val="003430BB"/>
    <w:rsid w:val="00343106"/>
    <w:rsid w:val="003433DA"/>
    <w:rsid w:val="0034373C"/>
    <w:rsid w:val="003437C6"/>
    <w:rsid w:val="00343882"/>
    <w:rsid w:val="00343AA2"/>
    <w:rsid w:val="00343BBB"/>
    <w:rsid w:val="00343CF9"/>
    <w:rsid w:val="00343D8E"/>
    <w:rsid w:val="00343FA3"/>
    <w:rsid w:val="00344017"/>
    <w:rsid w:val="00344099"/>
    <w:rsid w:val="003442AA"/>
    <w:rsid w:val="003442F8"/>
    <w:rsid w:val="00344362"/>
    <w:rsid w:val="00344553"/>
    <w:rsid w:val="00344766"/>
    <w:rsid w:val="00344938"/>
    <w:rsid w:val="00344BAF"/>
    <w:rsid w:val="00344C21"/>
    <w:rsid w:val="00344C77"/>
    <w:rsid w:val="003451DC"/>
    <w:rsid w:val="0034523D"/>
    <w:rsid w:val="00345434"/>
    <w:rsid w:val="003456F6"/>
    <w:rsid w:val="003458B7"/>
    <w:rsid w:val="003459DB"/>
    <w:rsid w:val="00345A37"/>
    <w:rsid w:val="00345AB7"/>
    <w:rsid w:val="00345B75"/>
    <w:rsid w:val="00346029"/>
    <w:rsid w:val="0034610B"/>
    <w:rsid w:val="003461EE"/>
    <w:rsid w:val="003462C2"/>
    <w:rsid w:val="003462D8"/>
    <w:rsid w:val="00346334"/>
    <w:rsid w:val="003463CD"/>
    <w:rsid w:val="00346468"/>
    <w:rsid w:val="00346623"/>
    <w:rsid w:val="0034678B"/>
    <w:rsid w:val="0034698B"/>
    <w:rsid w:val="00346A48"/>
    <w:rsid w:val="00346A65"/>
    <w:rsid w:val="00346A75"/>
    <w:rsid w:val="00346ABF"/>
    <w:rsid w:val="00346ACB"/>
    <w:rsid w:val="00346C46"/>
    <w:rsid w:val="00346C81"/>
    <w:rsid w:val="00346DC3"/>
    <w:rsid w:val="00346F2C"/>
    <w:rsid w:val="00346FF7"/>
    <w:rsid w:val="00347089"/>
    <w:rsid w:val="003470F6"/>
    <w:rsid w:val="003471A5"/>
    <w:rsid w:val="003472F0"/>
    <w:rsid w:val="003473BE"/>
    <w:rsid w:val="003474DA"/>
    <w:rsid w:val="003475BF"/>
    <w:rsid w:val="00347758"/>
    <w:rsid w:val="00347826"/>
    <w:rsid w:val="003478EF"/>
    <w:rsid w:val="0034796F"/>
    <w:rsid w:val="00347A69"/>
    <w:rsid w:val="00347C38"/>
    <w:rsid w:val="00347C50"/>
    <w:rsid w:val="00347CDC"/>
    <w:rsid w:val="00347F51"/>
    <w:rsid w:val="00347F5C"/>
    <w:rsid w:val="0035016F"/>
    <w:rsid w:val="003503FC"/>
    <w:rsid w:val="003504BE"/>
    <w:rsid w:val="003508D9"/>
    <w:rsid w:val="00350A07"/>
    <w:rsid w:val="00350A31"/>
    <w:rsid w:val="00350B89"/>
    <w:rsid w:val="00350C4E"/>
    <w:rsid w:val="00350C7E"/>
    <w:rsid w:val="00350DF7"/>
    <w:rsid w:val="00350E77"/>
    <w:rsid w:val="00350EEC"/>
    <w:rsid w:val="00350FE5"/>
    <w:rsid w:val="00351120"/>
    <w:rsid w:val="0035117D"/>
    <w:rsid w:val="00351333"/>
    <w:rsid w:val="00351558"/>
    <w:rsid w:val="003516E7"/>
    <w:rsid w:val="00351BF5"/>
    <w:rsid w:val="00351C4A"/>
    <w:rsid w:val="00351CB8"/>
    <w:rsid w:val="00352173"/>
    <w:rsid w:val="00352313"/>
    <w:rsid w:val="0035236D"/>
    <w:rsid w:val="0035241A"/>
    <w:rsid w:val="00352471"/>
    <w:rsid w:val="003526C2"/>
    <w:rsid w:val="00352844"/>
    <w:rsid w:val="00352B08"/>
    <w:rsid w:val="00352BB6"/>
    <w:rsid w:val="00352C1F"/>
    <w:rsid w:val="00352CDB"/>
    <w:rsid w:val="00352FE9"/>
    <w:rsid w:val="00353091"/>
    <w:rsid w:val="0035315E"/>
    <w:rsid w:val="00353417"/>
    <w:rsid w:val="0035353E"/>
    <w:rsid w:val="003535A7"/>
    <w:rsid w:val="00353605"/>
    <w:rsid w:val="0035376D"/>
    <w:rsid w:val="00353776"/>
    <w:rsid w:val="0035380E"/>
    <w:rsid w:val="00353A30"/>
    <w:rsid w:val="00353BCC"/>
    <w:rsid w:val="00353D6C"/>
    <w:rsid w:val="00353D73"/>
    <w:rsid w:val="00353E93"/>
    <w:rsid w:val="003542C6"/>
    <w:rsid w:val="0035432A"/>
    <w:rsid w:val="00354344"/>
    <w:rsid w:val="0035455D"/>
    <w:rsid w:val="003545C7"/>
    <w:rsid w:val="00354B84"/>
    <w:rsid w:val="00354C4A"/>
    <w:rsid w:val="00354D2D"/>
    <w:rsid w:val="00354F48"/>
    <w:rsid w:val="003550A5"/>
    <w:rsid w:val="0035525C"/>
    <w:rsid w:val="003552D6"/>
    <w:rsid w:val="00355479"/>
    <w:rsid w:val="00355522"/>
    <w:rsid w:val="00355770"/>
    <w:rsid w:val="003557D8"/>
    <w:rsid w:val="003558AA"/>
    <w:rsid w:val="0035596A"/>
    <w:rsid w:val="00355A18"/>
    <w:rsid w:val="00355BC9"/>
    <w:rsid w:val="00355F3E"/>
    <w:rsid w:val="00356025"/>
    <w:rsid w:val="00356088"/>
    <w:rsid w:val="003560F9"/>
    <w:rsid w:val="00356102"/>
    <w:rsid w:val="003562BB"/>
    <w:rsid w:val="00356386"/>
    <w:rsid w:val="00356418"/>
    <w:rsid w:val="0035664C"/>
    <w:rsid w:val="0035677E"/>
    <w:rsid w:val="00356B93"/>
    <w:rsid w:val="00356BAA"/>
    <w:rsid w:val="00356BDB"/>
    <w:rsid w:val="00356BDC"/>
    <w:rsid w:val="00356E71"/>
    <w:rsid w:val="00357028"/>
    <w:rsid w:val="0035708A"/>
    <w:rsid w:val="003574E5"/>
    <w:rsid w:val="0035753C"/>
    <w:rsid w:val="003575DC"/>
    <w:rsid w:val="003577A0"/>
    <w:rsid w:val="00357A78"/>
    <w:rsid w:val="00357ADC"/>
    <w:rsid w:val="00357B83"/>
    <w:rsid w:val="00357C18"/>
    <w:rsid w:val="00357C29"/>
    <w:rsid w:val="00357CA4"/>
    <w:rsid w:val="00357E0E"/>
    <w:rsid w:val="00357F5A"/>
    <w:rsid w:val="003600C3"/>
    <w:rsid w:val="00360526"/>
    <w:rsid w:val="00360542"/>
    <w:rsid w:val="00360711"/>
    <w:rsid w:val="00360B47"/>
    <w:rsid w:val="00360BF9"/>
    <w:rsid w:val="00360CAA"/>
    <w:rsid w:val="00360D42"/>
    <w:rsid w:val="00361024"/>
    <w:rsid w:val="003610E4"/>
    <w:rsid w:val="00361158"/>
    <w:rsid w:val="003611A0"/>
    <w:rsid w:val="00361240"/>
    <w:rsid w:val="00361570"/>
    <w:rsid w:val="00361591"/>
    <w:rsid w:val="003616C5"/>
    <w:rsid w:val="00361715"/>
    <w:rsid w:val="003617AF"/>
    <w:rsid w:val="003618A3"/>
    <w:rsid w:val="003619EF"/>
    <w:rsid w:val="00361BB3"/>
    <w:rsid w:val="00361C6D"/>
    <w:rsid w:val="00361C80"/>
    <w:rsid w:val="00361D09"/>
    <w:rsid w:val="00361E37"/>
    <w:rsid w:val="003625F6"/>
    <w:rsid w:val="0036294E"/>
    <w:rsid w:val="00362B1E"/>
    <w:rsid w:val="00362B2B"/>
    <w:rsid w:val="00362F96"/>
    <w:rsid w:val="003632E1"/>
    <w:rsid w:val="003632EC"/>
    <w:rsid w:val="003635FD"/>
    <w:rsid w:val="00363618"/>
    <w:rsid w:val="003637CF"/>
    <w:rsid w:val="00363A56"/>
    <w:rsid w:val="00363D66"/>
    <w:rsid w:val="00363D6B"/>
    <w:rsid w:val="00363E77"/>
    <w:rsid w:val="00363EC1"/>
    <w:rsid w:val="00363F23"/>
    <w:rsid w:val="00363F5A"/>
    <w:rsid w:val="00364028"/>
    <w:rsid w:val="003643CE"/>
    <w:rsid w:val="00364562"/>
    <w:rsid w:val="003645AF"/>
    <w:rsid w:val="0036471A"/>
    <w:rsid w:val="003647E2"/>
    <w:rsid w:val="0036496F"/>
    <w:rsid w:val="00364A00"/>
    <w:rsid w:val="00364A77"/>
    <w:rsid w:val="00364AB3"/>
    <w:rsid w:val="00364BAB"/>
    <w:rsid w:val="00364F4D"/>
    <w:rsid w:val="00364FBB"/>
    <w:rsid w:val="00365140"/>
    <w:rsid w:val="00365191"/>
    <w:rsid w:val="00365206"/>
    <w:rsid w:val="00365224"/>
    <w:rsid w:val="0036525D"/>
    <w:rsid w:val="0036530F"/>
    <w:rsid w:val="00365717"/>
    <w:rsid w:val="003657A1"/>
    <w:rsid w:val="003657C2"/>
    <w:rsid w:val="003657E5"/>
    <w:rsid w:val="00365A12"/>
    <w:rsid w:val="00365A71"/>
    <w:rsid w:val="00365BC8"/>
    <w:rsid w:val="00365BD1"/>
    <w:rsid w:val="00365EA2"/>
    <w:rsid w:val="00365F5A"/>
    <w:rsid w:val="00365FA8"/>
    <w:rsid w:val="0036648A"/>
    <w:rsid w:val="00366596"/>
    <w:rsid w:val="00366656"/>
    <w:rsid w:val="003669D6"/>
    <w:rsid w:val="00366BC9"/>
    <w:rsid w:val="00366C0A"/>
    <w:rsid w:val="00366CBC"/>
    <w:rsid w:val="00366DC9"/>
    <w:rsid w:val="00366EAE"/>
    <w:rsid w:val="00366F72"/>
    <w:rsid w:val="00367070"/>
    <w:rsid w:val="00367135"/>
    <w:rsid w:val="00367B75"/>
    <w:rsid w:val="00370367"/>
    <w:rsid w:val="003703D1"/>
    <w:rsid w:val="0037044C"/>
    <w:rsid w:val="003704E8"/>
    <w:rsid w:val="003708E0"/>
    <w:rsid w:val="00370960"/>
    <w:rsid w:val="00370A39"/>
    <w:rsid w:val="00370C21"/>
    <w:rsid w:val="00370D42"/>
    <w:rsid w:val="00370E3E"/>
    <w:rsid w:val="00370E92"/>
    <w:rsid w:val="00370F56"/>
    <w:rsid w:val="0037100D"/>
    <w:rsid w:val="00371013"/>
    <w:rsid w:val="003713E8"/>
    <w:rsid w:val="00371406"/>
    <w:rsid w:val="0037150B"/>
    <w:rsid w:val="003717FA"/>
    <w:rsid w:val="00371AC0"/>
    <w:rsid w:val="00371B43"/>
    <w:rsid w:val="00371D79"/>
    <w:rsid w:val="00371E87"/>
    <w:rsid w:val="00371F17"/>
    <w:rsid w:val="00371FB9"/>
    <w:rsid w:val="0037231F"/>
    <w:rsid w:val="0037256E"/>
    <w:rsid w:val="0037256F"/>
    <w:rsid w:val="003725D0"/>
    <w:rsid w:val="003726E5"/>
    <w:rsid w:val="00372987"/>
    <w:rsid w:val="00372A86"/>
    <w:rsid w:val="00372B1B"/>
    <w:rsid w:val="00372B47"/>
    <w:rsid w:val="00372DD0"/>
    <w:rsid w:val="00372E66"/>
    <w:rsid w:val="003730EC"/>
    <w:rsid w:val="00373172"/>
    <w:rsid w:val="003732C1"/>
    <w:rsid w:val="003734B7"/>
    <w:rsid w:val="00373548"/>
    <w:rsid w:val="0037357E"/>
    <w:rsid w:val="003736E6"/>
    <w:rsid w:val="003736F2"/>
    <w:rsid w:val="003738C6"/>
    <w:rsid w:val="00373B85"/>
    <w:rsid w:val="00373C69"/>
    <w:rsid w:val="00373D3F"/>
    <w:rsid w:val="00373DC1"/>
    <w:rsid w:val="00373ED9"/>
    <w:rsid w:val="00373FD7"/>
    <w:rsid w:val="003744BA"/>
    <w:rsid w:val="00374532"/>
    <w:rsid w:val="00374564"/>
    <w:rsid w:val="00374632"/>
    <w:rsid w:val="003746E1"/>
    <w:rsid w:val="00374780"/>
    <w:rsid w:val="00374A00"/>
    <w:rsid w:val="00374C4A"/>
    <w:rsid w:val="00374CBE"/>
    <w:rsid w:val="00374CFD"/>
    <w:rsid w:val="00374DFA"/>
    <w:rsid w:val="003753C0"/>
    <w:rsid w:val="003753E0"/>
    <w:rsid w:val="0037564B"/>
    <w:rsid w:val="00375918"/>
    <w:rsid w:val="00375B8F"/>
    <w:rsid w:val="00375BE0"/>
    <w:rsid w:val="00375CAD"/>
    <w:rsid w:val="00375DE4"/>
    <w:rsid w:val="00375F45"/>
    <w:rsid w:val="00375F67"/>
    <w:rsid w:val="003764B1"/>
    <w:rsid w:val="00376513"/>
    <w:rsid w:val="00376525"/>
    <w:rsid w:val="0037659F"/>
    <w:rsid w:val="003767E9"/>
    <w:rsid w:val="00376896"/>
    <w:rsid w:val="003768EA"/>
    <w:rsid w:val="00376CEB"/>
    <w:rsid w:val="00376DF0"/>
    <w:rsid w:val="00376E6E"/>
    <w:rsid w:val="00376FB9"/>
    <w:rsid w:val="00377032"/>
    <w:rsid w:val="003770D3"/>
    <w:rsid w:val="003771FB"/>
    <w:rsid w:val="00377409"/>
    <w:rsid w:val="00377706"/>
    <w:rsid w:val="0037775A"/>
    <w:rsid w:val="00377CFE"/>
    <w:rsid w:val="00377D43"/>
    <w:rsid w:val="00377E7E"/>
    <w:rsid w:val="00377FB6"/>
    <w:rsid w:val="00377FBE"/>
    <w:rsid w:val="00377FC0"/>
    <w:rsid w:val="0038000C"/>
    <w:rsid w:val="0038009C"/>
    <w:rsid w:val="00380207"/>
    <w:rsid w:val="0038035D"/>
    <w:rsid w:val="00380735"/>
    <w:rsid w:val="0038088C"/>
    <w:rsid w:val="00380972"/>
    <w:rsid w:val="00380A4F"/>
    <w:rsid w:val="00380BAD"/>
    <w:rsid w:val="00380DCB"/>
    <w:rsid w:val="00380E7A"/>
    <w:rsid w:val="00380F82"/>
    <w:rsid w:val="00381260"/>
    <w:rsid w:val="0038137F"/>
    <w:rsid w:val="003813E0"/>
    <w:rsid w:val="003814FC"/>
    <w:rsid w:val="00381522"/>
    <w:rsid w:val="0038154D"/>
    <w:rsid w:val="0038171C"/>
    <w:rsid w:val="003817F8"/>
    <w:rsid w:val="00381853"/>
    <w:rsid w:val="003819E6"/>
    <w:rsid w:val="00381C51"/>
    <w:rsid w:val="00381C63"/>
    <w:rsid w:val="00381CA5"/>
    <w:rsid w:val="00381E13"/>
    <w:rsid w:val="00381F29"/>
    <w:rsid w:val="00382145"/>
    <w:rsid w:val="0038218F"/>
    <w:rsid w:val="00382204"/>
    <w:rsid w:val="0038233F"/>
    <w:rsid w:val="00382434"/>
    <w:rsid w:val="0038245E"/>
    <w:rsid w:val="00382467"/>
    <w:rsid w:val="003824F9"/>
    <w:rsid w:val="00382542"/>
    <w:rsid w:val="00382560"/>
    <w:rsid w:val="00382633"/>
    <w:rsid w:val="00382868"/>
    <w:rsid w:val="00382891"/>
    <w:rsid w:val="00382A8A"/>
    <w:rsid w:val="00382B69"/>
    <w:rsid w:val="00382B97"/>
    <w:rsid w:val="00382BA4"/>
    <w:rsid w:val="00382D38"/>
    <w:rsid w:val="00382D4A"/>
    <w:rsid w:val="00382E83"/>
    <w:rsid w:val="00383118"/>
    <w:rsid w:val="00383123"/>
    <w:rsid w:val="00383179"/>
    <w:rsid w:val="0038319E"/>
    <w:rsid w:val="00383217"/>
    <w:rsid w:val="003832DF"/>
    <w:rsid w:val="00383527"/>
    <w:rsid w:val="00383669"/>
    <w:rsid w:val="003837CC"/>
    <w:rsid w:val="00383861"/>
    <w:rsid w:val="00383A8F"/>
    <w:rsid w:val="00383ADE"/>
    <w:rsid w:val="00383C39"/>
    <w:rsid w:val="00383C92"/>
    <w:rsid w:val="00383D0C"/>
    <w:rsid w:val="00383F29"/>
    <w:rsid w:val="00383F48"/>
    <w:rsid w:val="0038402B"/>
    <w:rsid w:val="0038414D"/>
    <w:rsid w:val="003841BA"/>
    <w:rsid w:val="00384217"/>
    <w:rsid w:val="003842BF"/>
    <w:rsid w:val="0038443E"/>
    <w:rsid w:val="00384452"/>
    <w:rsid w:val="00384599"/>
    <w:rsid w:val="00384606"/>
    <w:rsid w:val="00384967"/>
    <w:rsid w:val="00384A08"/>
    <w:rsid w:val="00384B56"/>
    <w:rsid w:val="00384B8B"/>
    <w:rsid w:val="00384CD4"/>
    <w:rsid w:val="00384E30"/>
    <w:rsid w:val="00384E74"/>
    <w:rsid w:val="00384EE5"/>
    <w:rsid w:val="00384FF1"/>
    <w:rsid w:val="0038504A"/>
    <w:rsid w:val="00385140"/>
    <w:rsid w:val="003852FB"/>
    <w:rsid w:val="003853AD"/>
    <w:rsid w:val="00385437"/>
    <w:rsid w:val="00385658"/>
    <w:rsid w:val="0038585A"/>
    <w:rsid w:val="003858DE"/>
    <w:rsid w:val="00385A22"/>
    <w:rsid w:val="00385DBF"/>
    <w:rsid w:val="00385E10"/>
    <w:rsid w:val="00386151"/>
    <w:rsid w:val="0038619F"/>
    <w:rsid w:val="00386296"/>
    <w:rsid w:val="003865C3"/>
    <w:rsid w:val="0038681C"/>
    <w:rsid w:val="00386888"/>
    <w:rsid w:val="00386998"/>
    <w:rsid w:val="00386DA4"/>
    <w:rsid w:val="00386E2C"/>
    <w:rsid w:val="00386F02"/>
    <w:rsid w:val="00386F8D"/>
    <w:rsid w:val="003871CD"/>
    <w:rsid w:val="003872CC"/>
    <w:rsid w:val="00387301"/>
    <w:rsid w:val="003873FC"/>
    <w:rsid w:val="003876AF"/>
    <w:rsid w:val="00387745"/>
    <w:rsid w:val="003877DB"/>
    <w:rsid w:val="00387912"/>
    <w:rsid w:val="00387AAE"/>
    <w:rsid w:val="00387B21"/>
    <w:rsid w:val="00387BD5"/>
    <w:rsid w:val="00387CEF"/>
    <w:rsid w:val="0039003B"/>
    <w:rsid w:val="003900C1"/>
    <w:rsid w:val="003902D2"/>
    <w:rsid w:val="00390308"/>
    <w:rsid w:val="00390345"/>
    <w:rsid w:val="003903CC"/>
    <w:rsid w:val="003903EC"/>
    <w:rsid w:val="00390476"/>
    <w:rsid w:val="00390790"/>
    <w:rsid w:val="00390A7E"/>
    <w:rsid w:val="00390C4A"/>
    <w:rsid w:val="00390D2F"/>
    <w:rsid w:val="00390DFC"/>
    <w:rsid w:val="00390EEC"/>
    <w:rsid w:val="00391096"/>
    <w:rsid w:val="00391148"/>
    <w:rsid w:val="00391173"/>
    <w:rsid w:val="00391258"/>
    <w:rsid w:val="00391459"/>
    <w:rsid w:val="00391888"/>
    <w:rsid w:val="0039196C"/>
    <w:rsid w:val="00391984"/>
    <w:rsid w:val="003919DC"/>
    <w:rsid w:val="00391A47"/>
    <w:rsid w:val="00391A5D"/>
    <w:rsid w:val="00391AF2"/>
    <w:rsid w:val="00391BF9"/>
    <w:rsid w:val="00391C0C"/>
    <w:rsid w:val="00391E33"/>
    <w:rsid w:val="00391EED"/>
    <w:rsid w:val="00392433"/>
    <w:rsid w:val="0039243A"/>
    <w:rsid w:val="00392470"/>
    <w:rsid w:val="00392502"/>
    <w:rsid w:val="003927E6"/>
    <w:rsid w:val="003928A5"/>
    <w:rsid w:val="003928C3"/>
    <w:rsid w:val="003928C9"/>
    <w:rsid w:val="003928EC"/>
    <w:rsid w:val="00392A6C"/>
    <w:rsid w:val="00392C51"/>
    <w:rsid w:val="00392E74"/>
    <w:rsid w:val="00392EB9"/>
    <w:rsid w:val="003931CD"/>
    <w:rsid w:val="00393201"/>
    <w:rsid w:val="00393388"/>
    <w:rsid w:val="00393402"/>
    <w:rsid w:val="003934C8"/>
    <w:rsid w:val="00393708"/>
    <w:rsid w:val="003937C0"/>
    <w:rsid w:val="00393862"/>
    <w:rsid w:val="003938C5"/>
    <w:rsid w:val="0039392B"/>
    <w:rsid w:val="00393A80"/>
    <w:rsid w:val="00393AA7"/>
    <w:rsid w:val="00393D58"/>
    <w:rsid w:val="00393E06"/>
    <w:rsid w:val="00393E1D"/>
    <w:rsid w:val="003940B9"/>
    <w:rsid w:val="0039411C"/>
    <w:rsid w:val="00394166"/>
    <w:rsid w:val="0039446F"/>
    <w:rsid w:val="003944E9"/>
    <w:rsid w:val="00394575"/>
    <w:rsid w:val="00394638"/>
    <w:rsid w:val="00394761"/>
    <w:rsid w:val="0039478F"/>
    <w:rsid w:val="003947AC"/>
    <w:rsid w:val="003948D1"/>
    <w:rsid w:val="003949EC"/>
    <w:rsid w:val="00394AAF"/>
    <w:rsid w:val="00394C8B"/>
    <w:rsid w:val="00394D0D"/>
    <w:rsid w:val="00394D8B"/>
    <w:rsid w:val="00394DBE"/>
    <w:rsid w:val="00394ECF"/>
    <w:rsid w:val="0039510A"/>
    <w:rsid w:val="0039516C"/>
    <w:rsid w:val="0039523D"/>
    <w:rsid w:val="003953C7"/>
    <w:rsid w:val="00395458"/>
    <w:rsid w:val="003955AB"/>
    <w:rsid w:val="003955B0"/>
    <w:rsid w:val="003957AE"/>
    <w:rsid w:val="003958DA"/>
    <w:rsid w:val="00395A40"/>
    <w:rsid w:val="00395C09"/>
    <w:rsid w:val="00396215"/>
    <w:rsid w:val="00396348"/>
    <w:rsid w:val="0039643D"/>
    <w:rsid w:val="003964F8"/>
    <w:rsid w:val="00396616"/>
    <w:rsid w:val="00396889"/>
    <w:rsid w:val="0039688B"/>
    <w:rsid w:val="00396920"/>
    <w:rsid w:val="003969C5"/>
    <w:rsid w:val="00396AE2"/>
    <w:rsid w:val="00396D8A"/>
    <w:rsid w:val="00397041"/>
    <w:rsid w:val="003971F1"/>
    <w:rsid w:val="003973E1"/>
    <w:rsid w:val="00397654"/>
    <w:rsid w:val="00397855"/>
    <w:rsid w:val="0039793B"/>
    <w:rsid w:val="00397A00"/>
    <w:rsid w:val="00397B0E"/>
    <w:rsid w:val="00397BB3"/>
    <w:rsid w:val="00397DB4"/>
    <w:rsid w:val="00397E1E"/>
    <w:rsid w:val="00397EC5"/>
    <w:rsid w:val="00397F5C"/>
    <w:rsid w:val="003A000B"/>
    <w:rsid w:val="003A007A"/>
    <w:rsid w:val="003A01B1"/>
    <w:rsid w:val="003A05EA"/>
    <w:rsid w:val="003A065D"/>
    <w:rsid w:val="003A0799"/>
    <w:rsid w:val="003A07EA"/>
    <w:rsid w:val="003A0919"/>
    <w:rsid w:val="003A0A54"/>
    <w:rsid w:val="003A0B40"/>
    <w:rsid w:val="003A0BFE"/>
    <w:rsid w:val="003A0CF2"/>
    <w:rsid w:val="003A1058"/>
    <w:rsid w:val="003A1089"/>
    <w:rsid w:val="003A1117"/>
    <w:rsid w:val="003A1176"/>
    <w:rsid w:val="003A1336"/>
    <w:rsid w:val="003A1664"/>
    <w:rsid w:val="003A16CF"/>
    <w:rsid w:val="003A1753"/>
    <w:rsid w:val="003A189E"/>
    <w:rsid w:val="003A18D4"/>
    <w:rsid w:val="003A1A26"/>
    <w:rsid w:val="003A1BCF"/>
    <w:rsid w:val="003A1BF8"/>
    <w:rsid w:val="003A1D10"/>
    <w:rsid w:val="003A1DE5"/>
    <w:rsid w:val="003A1E77"/>
    <w:rsid w:val="003A1EB5"/>
    <w:rsid w:val="003A1F75"/>
    <w:rsid w:val="003A1FFA"/>
    <w:rsid w:val="003A2A6C"/>
    <w:rsid w:val="003A2AC3"/>
    <w:rsid w:val="003A2AF0"/>
    <w:rsid w:val="003A2B85"/>
    <w:rsid w:val="003A2B91"/>
    <w:rsid w:val="003A2BCB"/>
    <w:rsid w:val="003A2C76"/>
    <w:rsid w:val="003A2CA7"/>
    <w:rsid w:val="003A2CDF"/>
    <w:rsid w:val="003A2D4A"/>
    <w:rsid w:val="003A2E16"/>
    <w:rsid w:val="003A3054"/>
    <w:rsid w:val="003A30F6"/>
    <w:rsid w:val="003A3347"/>
    <w:rsid w:val="003A34D4"/>
    <w:rsid w:val="003A358D"/>
    <w:rsid w:val="003A3CE3"/>
    <w:rsid w:val="003A3D3F"/>
    <w:rsid w:val="003A3DF7"/>
    <w:rsid w:val="003A3F71"/>
    <w:rsid w:val="003A4098"/>
    <w:rsid w:val="003A43C3"/>
    <w:rsid w:val="003A44DD"/>
    <w:rsid w:val="003A45AA"/>
    <w:rsid w:val="003A4847"/>
    <w:rsid w:val="003A49D7"/>
    <w:rsid w:val="003A49E2"/>
    <w:rsid w:val="003A4B57"/>
    <w:rsid w:val="003A5137"/>
    <w:rsid w:val="003A5166"/>
    <w:rsid w:val="003A538E"/>
    <w:rsid w:val="003A5583"/>
    <w:rsid w:val="003A5745"/>
    <w:rsid w:val="003A5751"/>
    <w:rsid w:val="003A5777"/>
    <w:rsid w:val="003A578B"/>
    <w:rsid w:val="003A5887"/>
    <w:rsid w:val="003A58B3"/>
    <w:rsid w:val="003A5A65"/>
    <w:rsid w:val="003A5D24"/>
    <w:rsid w:val="003A5E6D"/>
    <w:rsid w:val="003A5ECD"/>
    <w:rsid w:val="003A5F3B"/>
    <w:rsid w:val="003A5F9A"/>
    <w:rsid w:val="003A60D4"/>
    <w:rsid w:val="003A620E"/>
    <w:rsid w:val="003A65E5"/>
    <w:rsid w:val="003A6772"/>
    <w:rsid w:val="003A6B6B"/>
    <w:rsid w:val="003A6D56"/>
    <w:rsid w:val="003A6D65"/>
    <w:rsid w:val="003A7344"/>
    <w:rsid w:val="003A7791"/>
    <w:rsid w:val="003A79A1"/>
    <w:rsid w:val="003A7AF4"/>
    <w:rsid w:val="003A7B72"/>
    <w:rsid w:val="003A7C6D"/>
    <w:rsid w:val="003A7D4E"/>
    <w:rsid w:val="003A7E84"/>
    <w:rsid w:val="003B029E"/>
    <w:rsid w:val="003B0385"/>
    <w:rsid w:val="003B061C"/>
    <w:rsid w:val="003B0651"/>
    <w:rsid w:val="003B0693"/>
    <w:rsid w:val="003B0717"/>
    <w:rsid w:val="003B079D"/>
    <w:rsid w:val="003B09B8"/>
    <w:rsid w:val="003B09CC"/>
    <w:rsid w:val="003B0B91"/>
    <w:rsid w:val="003B0D54"/>
    <w:rsid w:val="003B0E2E"/>
    <w:rsid w:val="003B0F0C"/>
    <w:rsid w:val="003B1174"/>
    <w:rsid w:val="003B11C8"/>
    <w:rsid w:val="003B128A"/>
    <w:rsid w:val="003B128D"/>
    <w:rsid w:val="003B16C7"/>
    <w:rsid w:val="003B1792"/>
    <w:rsid w:val="003B18CE"/>
    <w:rsid w:val="003B1945"/>
    <w:rsid w:val="003B1A18"/>
    <w:rsid w:val="003B1A9C"/>
    <w:rsid w:val="003B1B51"/>
    <w:rsid w:val="003B1CDD"/>
    <w:rsid w:val="003B1D36"/>
    <w:rsid w:val="003B1EFD"/>
    <w:rsid w:val="003B1F03"/>
    <w:rsid w:val="003B20E6"/>
    <w:rsid w:val="003B235E"/>
    <w:rsid w:val="003B243C"/>
    <w:rsid w:val="003B24D0"/>
    <w:rsid w:val="003B251D"/>
    <w:rsid w:val="003B2633"/>
    <w:rsid w:val="003B2748"/>
    <w:rsid w:val="003B2933"/>
    <w:rsid w:val="003B2967"/>
    <w:rsid w:val="003B2998"/>
    <w:rsid w:val="003B2A4B"/>
    <w:rsid w:val="003B2AA0"/>
    <w:rsid w:val="003B2D5C"/>
    <w:rsid w:val="003B2D88"/>
    <w:rsid w:val="003B2DBB"/>
    <w:rsid w:val="003B2DEC"/>
    <w:rsid w:val="003B2EBA"/>
    <w:rsid w:val="003B30B1"/>
    <w:rsid w:val="003B3112"/>
    <w:rsid w:val="003B3132"/>
    <w:rsid w:val="003B3234"/>
    <w:rsid w:val="003B3268"/>
    <w:rsid w:val="003B332D"/>
    <w:rsid w:val="003B3391"/>
    <w:rsid w:val="003B3538"/>
    <w:rsid w:val="003B357B"/>
    <w:rsid w:val="003B3623"/>
    <w:rsid w:val="003B364A"/>
    <w:rsid w:val="003B379C"/>
    <w:rsid w:val="003B385E"/>
    <w:rsid w:val="003B3C64"/>
    <w:rsid w:val="003B3E73"/>
    <w:rsid w:val="003B3F1C"/>
    <w:rsid w:val="003B3F65"/>
    <w:rsid w:val="003B40BE"/>
    <w:rsid w:val="003B4428"/>
    <w:rsid w:val="003B4524"/>
    <w:rsid w:val="003B464E"/>
    <w:rsid w:val="003B4686"/>
    <w:rsid w:val="003B4788"/>
    <w:rsid w:val="003B4998"/>
    <w:rsid w:val="003B4BFF"/>
    <w:rsid w:val="003B4C05"/>
    <w:rsid w:val="003B4C73"/>
    <w:rsid w:val="003B4D26"/>
    <w:rsid w:val="003B4E8F"/>
    <w:rsid w:val="003B4FED"/>
    <w:rsid w:val="003B519F"/>
    <w:rsid w:val="003B51F0"/>
    <w:rsid w:val="003B52F9"/>
    <w:rsid w:val="003B537B"/>
    <w:rsid w:val="003B56B5"/>
    <w:rsid w:val="003B5712"/>
    <w:rsid w:val="003B58D8"/>
    <w:rsid w:val="003B5955"/>
    <w:rsid w:val="003B5999"/>
    <w:rsid w:val="003B5B11"/>
    <w:rsid w:val="003B5C65"/>
    <w:rsid w:val="003B5FF3"/>
    <w:rsid w:val="003B609B"/>
    <w:rsid w:val="003B61C9"/>
    <w:rsid w:val="003B63C2"/>
    <w:rsid w:val="003B63CE"/>
    <w:rsid w:val="003B643C"/>
    <w:rsid w:val="003B64C0"/>
    <w:rsid w:val="003B64C6"/>
    <w:rsid w:val="003B6567"/>
    <w:rsid w:val="003B66C2"/>
    <w:rsid w:val="003B67E2"/>
    <w:rsid w:val="003B6827"/>
    <w:rsid w:val="003B68B9"/>
    <w:rsid w:val="003B6985"/>
    <w:rsid w:val="003B6B0A"/>
    <w:rsid w:val="003B6E51"/>
    <w:rsid w:val="003B6E82"/>
    <w:rsid w:val="003B6F0A"/>
    <w:rsid w:val="003B6F47"/>
    <w:rsid w:val="003B6F86"/>
    <w:rsid w:val="003B6F92"/>
    <w:rsid w:val="003B706B"/>
    <w:rsid w:val="003B713A"/>
    <w:rsid w:val="003B73C5"/>
    <w:rsid w:val="003B7409"/>
    <w:rsid w:val="003B746C"/>
    <w:rsid w:val="003B7497"/>
    <w:rsid w:val="003B74B2"/>
    <w:rsid w:val="003B75DB"/>
    <w:rsid w:val="003B7606"/>
    <w:rsid w:val="003B76B9"/>
    <w:rsid w:val="003B76BC"/>
    <w:rsid w:val="003B77E4"/>
    <w:rsid w:val="003B7829"/>
    <w:rsid w:val="003B7838"/>
    <w:rsid w:val="003B7863"/>
    <w:rsid w:val="003B7C7E"/>
    <w:rsid w:val="003B7D4C"/>
    <w:rsid w:val="003B7D78"/>
    <w:rsid w:val="003C005E"/>
    <w:rsid w:val="003C0179"/>
    <w:rsid w:val="003C01FA"/>
    <w:rsid w:val="003C021D"/>
    <w:rsid w:val="003C02E2"/>
    <w:rsid w:val="003C0307"/>
    <w:rsid w:val="003C03AA"/>
    <w:rsid w:val="003C042C"/>
    <w:rsid w:val="003C06DC"/>
    <w:rsid w:val="003C0A49"/>
    <w:rsid w:val="003C0A7D"/>
    <w:rsid w:val="003C0AB8"/>
    <w:rsid w:val="003C0B82"/>
    <w:rsid w:val="003C0BB1"/>
    <w:rsid w:val="003C0DF9"/>
    <w:rsid w:val="003C0F47"/>
    <w:rsid w:val="003C0FAC"/>
    <w:rsid w:val="003C0FF1"/>
    <w:rsid w:val="003C102D"/>
    <w:rsid w:val="003C10FD"/>
    <w:rsid w:val="003C134C"/>
    <w:rsid w:val="003C13B0"/>
    <w:rsid w:val="003C144F"/>
    <w:rsid w:val="003C1649"/>
    <w:rsid w:val="003C169B"/>
    <w:rsid w:val="003C170E"/>
    <w:rsid w:val="003C19D6"/>
    <w:rsid w:val="003C1AAC"/>
    <w:rsid w:val="003C1F27"/>
    <w:rsid w:val="003C20C9"/>
    <w:rsid w:val="003C2184"/>
    <w:rsid w:val="003C25F0"/>
    <w:rsid w:val="003C280B"/>
    <w:rsid w:val="003C2A61"/>
    <w:rsid w:val="003C2CA4"/>
    <w:rsid w:val="003C2D96"/>
    <w:rsid w:val="003C2DFF"/>
    <w:rsid w:val="003C2F4A"/>
    <w:rsid w:val="003C2FF8"/>
    <w:rsid w:val="003C3439"/>
    <w:rsid w:val="003C3513"/>
    <w:rsid w:val="003C3594"/>
    <w:rsid w:val="003C3779"/>
    <w:rsid w:val="003C3863"/>
    <w:rsid w:val="003C3A0E"/>
    <w:rsid w:val="003C3AC4"/>
    <w:rsid w:val="003C3B22"/>
    <w:rsid w:val="003C3D20"/>
    <w:rsid w:val="003C3DD0"/>
    <w:rsid w:val="003C3DEA"/>
    <w:rsid w:val="003C406C"/>
    <w:rsid w:val="003C408A"/>
    <w:rsid w:val="003C4275"/>
    <w:rsid w:val="003C42E1"/>
    <w:rsid w:val="003C43DB"/>
    <w:rsid w:val="003C44FD"/>
    <w:rsid w:val="003C477C"/>
    <w:rsid w:val="003C48E9"/>
    <w:rsid w:val="003C49E7"/>
    <w:rsid w:val="003C4A93"/>
    <w:rsid w:val="003C4CBF"/>
    <w:rsid w:val="003C4D24"/>
    <w:rsid w:val="003C4E0B"/>
    <w:rsid w:val="003C4EC8"/>
    <w:rsid w:val="003C4F10"/>
    <w:rsid w:val="003C4FB7"/>
    <w:rsid w:val="003C5045"/>
    <w:rsid w:val="003C514F"/>
    <w:rsid w:val="003C51D0"/>
    <w:rsid w:val="003C5280"/>
    <w:rsid w:val="003C52C2"/>
    <w:rsid w:val="003C52F6"/>
    <w:rsid w:val="003C53CA"/>
    <w:rsid w:val="003C5571"/>
    <w:rsid w:val="003C55D6"/>
    <w:rsid w:val="003C5637"/>
    <w:rsid w:val="003C56E1"/>
    <w:rsid w:val="003C5869"/>
    <w:rsid w:val="003C5877"/>
    <w:rsid w:val="003C5889"/>
    <w:rsid w:val="003C5893"/>
    <w:rsid w:val="003C58A3"/>
    <w:rsid w:val="003C5BE3"/>
    <w:rsid w:val="003C6082"/>
    <w:rsid w:val="003C6495"/>
    <w:rsid w:val="003C6518"/>
    <w:rsid w:val="003C656D"/>
    <w:rsid w:val="003C67A8"/>
    <w:rsid w:val="003C67BA"/>
    <w:rsid w:val="003C68D6"/>
    <w:rsid w:val="003C68FE"/>
    <w:rsid w:val="003C6972"/>
    <w:rsid w:val="003C69A4"/>
    <w:rsid w:val="003C6AC6"/>
    <w:rsid w:val="003C6BAC"/>
    <w:rsid w:val="003C6C9B"/>
    <w:rsid w:val="003C6CCA"/>
    <w:rsid w:val="003C6D7B"/>
    <w:rsid w:val="003C6E6B"/>
    <w:rsid w:val="003C6EB9"/>
    <w:rsid w:val="003C70F4"/>
    <w:rsid w:val="003C71CF"/>
    <w:rsid w:val="003C7262"/>
    <w:rsid w:val="003C7519"/>
    <w:rsid w:val="003C7764"/>
    <w:rsid w:val="003C7780"/>
    <w:rsid w:val="003C7844"/>
    <w:rsid w:val="003C7AEA"/>
    <w:rsid w:val="003C7BB5"/>
    <w:rsid w:val="003C7D89"/>
    <w:rsid w:val="003C7DA0"/>
    <w:rsid w:val="003C7F5B"/>
    <w:rsid w:val="003D018D"/>
    <w:rsid w:val="003D02D7"/>
    <w:rsid w:val="003D02F1"/>
    <w:rsid w:val="003D0536"/>
    <w:rsid w:val="003D0625"/>
    <w:rsid w:val="003D0668"/>
    <w:rsid w:val="003D0684"/>
    <w:rsid w:val="003D07B5"/>
    <w:rsid w:val="003D0989"/>
    <w:rsid w:val="003D0A5B"/>
    <w:rsid w:val="003D0ADA"/>
    <w:rsid w:val="003D0CE7"/>
    <w:rsid w:val="003D0EF1"/>
    <w:rsid w:val="003D0EFB"/>
    <w:rsid w:val="003D0FF7"/>
    <w:rsid w:val="003D1057"/>
    <w:rsid w:val="003D1068"/>
    <w:rsid w:val="003D108C"/>
    <w:rsid w:val="003D10B6"/>
    <w:rsid w:val="003D1261"/>
    <w:rsid w:val="003D1364"/>
    <w:rsid w:val="003D1387"/>
    <w:rsid w:val="003D13A8"/>
    <w:rsid w:val="003D13DB"/>
    <w:rsid w:val="003D14B6"/>
    <w:rsid w:val="003D14FE"/>
    <w:rsid w:val="003D1520"/>
    <w:rsid w:val="003D192A"/>
    <w:rsid w:val="003D1942"/>
    <w:rsid w:val="003D1951"/>
    <w:rsid w:val="003D1C71"/>
    <w:rsid w:val="003D1D9F"/>
    <w:rsid w:val="003D1E82"/>
    <w:rsid w:val="003D1F7D"/>
    <w:rsid w:val="003D2040"/>
    <w:rsid w:val="003D2170"/>
    <w:rsid w:val="003D2216"/>
    <w:rsid w:val="003D23DB"/>
    <w:rsid w:val="003D24BD"/>
    <w:rsid w:val="003D2885"/>
    <w:rsid w:val="003D2925"/>
    <w:rsid w:val="003D29C0"/>
    <w:rsid w:val="003D2A7C"/>
    <w:rsid w:val="003D2CBB"/>
    <w:rsid w:val="003D2CCF"/>
    <w:rsid w:val="003D2D08"/>
    <w:rsid w:val="003D2D43"/>
    <w:rsid w:val="003D2FCB"/>
    <w:rsid w:val="003D3097"/>
    <w:rsid w:val="003D30D9"/>
    <w:rsid w:val="003D31B8"/>
    <w:rsid w:val="003D3268"/>
    <w:rsid w:val="003D3339"/>
    <w:rsid w:val="003D3646"/>
    <w:rsid w:val="003D3734"/>
    <w:rsid w:val="003D38B7"/>
    <w:rsid w:val="003D392F"/>
    <w:rsid w:val="003D39BF"/>
    <w:rsid w:val="003D3A36"/>
    <w:rsid w:val="003D3B8B"/>
    <w:rsid w:val="003D3CBE"/>
    <w:rsid w:val="003D3EBA"/>
    <w:rsid w:val="003D3F27"/>
    <w:rsid w:val="003D4034"/>
    <w:rsid w:val="003D4168"/>
    <w:rsid w:val="003D41BF"/>
    <w:rsid w:val="003D41E5"/>
    <w:rsid w:val="003D4201"/>
    <w:rsid w:val="003D42D8"/>
    <w:rsid w:val="003D4605"/>
    <w:rsid w:val="003D47CC"/>
    <w:rsid w:val="003D499F"/>
    <w:rsid w:val="003D49B4"/>
    <w:rsid w:val="003D4BCF"/>
    <w:rsid w:val="003D4CD9"/>
    <w:rsid w:val="003D4E0C"/>
    <w:rsid w:val="003D503C"/>
    <w:rsid w:val="003D5110"/>
    <w:rsid w:val="003D5534"/>
    <w:rsid w:val="003D55FC"/>
    <w:rsid w:val="003D5627"/>
    <w:rsid w:val="003D56BA"/>
    <w:rsid w:val="003D5841"/>
    <w:rsid w:val="003D5963"/>
    <w:rsid w:val="003D5ABF"/>
    <w:rsid w:val="003D5B18"/>
    <w:rsid w:val="003D5B92"/>
    <w:rsid w:val="003D5C4A"/>
    <w:rsid w:val="003D6017"/>
    <w:rsid w:val="003D6093"/>
    <w:rsid w:val="003D60EA"/>
    <w:rsid w:val="003D6154"/>
    <w:rsid w:val="003D6198"/>
    <w:rsid w:val="003D62DD"/>
    <w:rsid w:val="003D67E4"/>
    <w:rsid w:val="003D6804"/>
    <w:rsid w:val="003D6A8E"/>
    <w:rsid w:val="003D6BA7"/>
    <w:rsid w:val="003D6BAA"/>
    <w:rsid w:val="003D6C66"/>
    <w:rsid w:val="003D6E19"/>
    <w:rsid w:val="003D6F0A"/>
    <w:rsid w:val="003D6F3F"/>
    <w:rsid w:val="003D6F6F"/>
    <w:rsid w:val="003D6FD3"/>
    <w:rsid w:val="003D70C9"/>
    <w:rsid w:val="003D72AF"/>
    <w:rsid w:val="003D7683"/>
    <w:rsid w:val="003D77C6"/>
    <w:rsid w:val="003D7808"/>
    <w:rsid w:val="003D786B"/>
    <w:rsid w:val="003D78C4"/>
    <w:rsid w:val="003D7A6F"/>
    <w:rsid w:val="003D7A96"/>
    <w:rsid w:val="003D7AB5"/>
    <w:rsid w:val="003D7B71"/>
    <w:rsid w:val="003D7CB5"/>
    <w:rsid w:val="003D7E7F"/>
    <w:rsid w:val="003D7EFC"/>
    <w:rsid w:val="003D7F5D"/>
    <w:rsid w:val="003E0097"/>
    <w:rsid w:val="003E01ED"/>
    <w:rsid w:val="003E0263"/>
    <w:rsid w:val="003E02F5"/>
    <w:rsid w:val="003E0529"/>
    <w:rsid w:val="003E0566"/>
    <w:rsid w:val="003E074D"/>
    <w:rsid w:val="003E0A23"/>
    <w:rsid w:val="003E0B2A"/>
    <w:rsid w:val="003E0E1F"/>
    <w:rsid w:val="003E0E87"/>
    <w:rsid w:val="003E0F70"/>
    <w:rsid w:val="003E1056"/>
    <w:rsid w:val="003E105C"/>
    <w:rsid w:val="003E10BD"/>
    <w:rsid w:val="003E1156"/>
    <w:rsid w:val="003E1388"/>
    <w:rsid w:val="003E1462"/>
    <w:rsid w:val="003E1729"/>
    <w:rsid w:val="003E177E"/>
    <w:rsid w:val="003E1A3C"/>
    <w:rsid w:val="003E1ADD"/>
    <w:rsid w:val="003E1E57"/>
    <w:rsid w:val="003E1EA3"/>
    <w:rsid w:val="003E2574"/>
    <w:rsid w:val="003E25BC"/>
    <w:rsid w:val="003E27E5"/>
    <w:rsid w:val="003E2C5D"/>
    <w:rsid w:val="003E2C65"/>
    <w:rsid w:val="003E2D16"/>
    <w:rsid w:val="003E2F64"/>
    <w:rsid w:val="003E312D"/>
    <w:rsid w:val="003E324E"/>
    <w:rsid w:val="003E326C"/>
    <w:rsid w:val="003E3423"/>
    <w:rsid w:val="003E3445"/>
    <w:rsid w:val="003E3490"/>
    <w:rsid w:val="003E35B1"/>
    <w:rsid w:val="003E35D9"/>
    <w:rsid w:val="003E3680"/>
    <w:rsid w:val="003E38B6"/>
    <w:rsid w:val="003E396E"/>
    <w:rsid w:val="003E3BE7"/>
    <w:rsid w:val="003E3C8D"/>
    <w:rsid w:val="003E3E66"/>
    <w:rsid w:val="003E4051"/>
    <w:rsid w:val="003E40A9"/>
    <w:rsid w:val="003E433C"/>
    <w:rsid w:val="003E436F"/>
    <w:rsid w:val="003E4377"/>
    <w:rsid w:val="003E444D"/>
    <w:rsid w:val="003E457D"/>
    <w:rsid w:val="003E45C5"/>
    <w:rsid w:val="003E468A"/>
    <w:rsid w:val="003E4698"/>
    <w:rsid w:val="003E4827"/>
    <w:rsid w:val="003E4899"/>
    <w:rsid w:val="003E4AA2"/>
    <w:rsid w:val="003E4AE0"/>
    <w:rsid w:val="003E4E6D"/>
    <w:rsid w:val="003E4F2D"/>
    <w:rsid w:val="003E4F8A"/>
    <w:rsid w:val="003E5073"/>
    <w:rsid w:val="003E5118"/>
    <w:rsid w:val="003E548B"/>
    <w:rsid w:val="003E54DD"/>
    <w:rsid w:val="003E5542"/>
    <w:rsid w:val="003E5615"/>
    <w:rsid w:val="003E5687"/>
    <w:rsid w:val="003E57D1"/>
    <w:rsid w:val="003E59F4"/>
    <w:rsid w:val="003E5A18"/>
    <w:rsid w:val="003E5DBB"/>
    <w:rsid w:val="003E5E5B"/>
    <w:rsid w:val="003E5F3E"/>
    <w:rsid w:val="003E620E"/>
    <w:rsid w:val="003E6258"/>
    <w:rsid w:val="003E6268"/>
    <w:rsid w:val="003E6377"/>
    <w:rsid w:val="003E63AF"/>
    <w:rsid w:val="003E644A"/>
    <w:rsid w:val="003E64CC"/>
    <w:rsid w:val="003E671B"/>
    <w:rsid w:val="003E6814"/>
    <w:rsid w:val="003E6F65"/>
    <w:rsid w:val="003E6F74"/>
    <w:rsid w:val="003E7031"/>
    <w:rsid w:val="003E704C"/>
    <w:rsid w:val="003E70C7"/>
    <w:rsid w:val="003E719B"/>
    <w:rsid w:val="003E73E7"/>
    <w:rsid w:val="003E740C"/>
    <w:rsid w:val="003E7501"/>
    <w:rsid w:val="003E75AE"/>
    <w:rsid w:val="003E75FE"/>
    <w:rsid w:val="003E7624"/>
    <w:rsid w:val="003E7676"/>
    <w:rsid w:val="003E7724"/>
    <w:rsid w:val="003E7919"/>
    <w:rsid w:val="003E79DF"/>
    <w:rsid w:val="003E7CD6"/>
    <w:rsid w:val="003E7DBD"/>
    <w:rsid w:val="003E7F97"/>
    <w:rsid w:val="003F0050"/>
    <w:rsid w:val="003F00F8"/>
    <w:rsid w:val="003F0151"/>
    <w:rsid w:val="003F0163"/>
    <w:rsid w:val="003F04A4"/>
    <w:rsid w:val="003F0550"/>
    <w:rsid w:val="003F0557"/>
    <w:rsid w:val="003F07A3"/>
    <w:rsid w:val="003F08D1"/>
    <w:rsid w:val="003F0975"/>
    <w:rsid w:val="003F0A1B"/>
    <w:rsid w:val="003F0DF2"/>
    <w:rsid w:val="003F0E8E"/>
    <w:rsid w:val="003F0F38"/>
    <w:rsid w:val="003F120E"/>
    <w:rsid w:val="003F1264"/>
    <w:rsid w:val="003F130C"/>
    <w:rsid w:val="003F13F3"/>
    <w:rsid w:val="003F155D"/>
    <w:rsid w:val="003F15CB"/>
    <w:rsid w:val="003F177B"/>
    <w:rsid w:val="003F1939"/>
    <w:rsid w:val="003F19A1"/>
    <w:rsid w:val="003F1C95"/>
    <w:rsid w:val="003F1D55"/>
    <w:rsid w:val="003F1DBC"/>
    <w:rsid w:val="003F1DEF"/>
    <w:rsid w:val="003F2084"/>
    <w:rsid w:val="003F21BB"/>
    <w:rsid w:val="003F222D"/>
    <w:rsid w:val="003F22C7"/>
    <w:rsid w:val="003F232D"/>
    <w:rsid w:val="003F2445"/>
    <w:rsid w:val="003F2448"/>
    <w:rsid w:val="003F2472"/>
    <w:rsid w:val="003F264C"/>
    <w:rsid w:val="003F27B1"/>
    <w:rsid w:val="003F2876"/>
    <w:rsid w:val="003F28F9"/>
    <w:rsid w:val="003F28FD"/>
    <w:rsid w:val="003F2A2A"/>
    <w:rsid w:val="003F2AC6"/>
    <w:rsid w:val="003F2B86"/>
    <w:rsid w:val="003F3023"/>
    <w:rsid w:val="003F302F"/>
    <w:rsid w:val="003F3080"/>
    <w:rsid w:val="003F336B"/>
    <w:rsid w:val="003F339A"/>
    <w:rsid w:val="003F350F"/>
    <w:rsid w:val="003F364A"/>
    <w:rsid w:val="003F3799"/>
    <w:rsid w:val="003F37E0"/>
    <w:rsid w:val="003F386D"/>
    <w:rsid w:val="003F39DC"/>
    <w:rsid w:val="003F3B04"/>
    <w:rsid w:val="003F3DDC"/>
    <w:rsid w:val="003F3EB0"/>
    <w:rsid w:val="003F4104"/>
    <w:rsid w:val="003F436E"/>
    <w:rsid w:val="003F4691"/>
    <w:rsid w:val="003F46D1"/>
    <w:rsid w:val="003F4770"/>
    <w:rsid w:val="003F4815"/>
    <w:rsid w:val="003F4A77"/>
    <w:rsid w:val="003F4B76"/>
    <w:rsid w:val="003F4B9C"/>
    <w:rsid w:val="003F4BFE"/>
    <w:rsid w:val="003F4DF3"/>
    <w:rsid w:val="003F4F41"/>
    <w:rsid w:val="003F54DC"/>
    <w:rsid w:val="003F5654"/>
    <w:rsid w:val="003F5693"/>
    <w:rsid w:val="003F5745"/>
    <w:rsid w:val="003F58D5"/>
    <w:rsid w:val="003F5928"/>
    <w:rsid w:val="003F5D7F"/>
    <w:rsid w:val="003F5DDC"/>
    <w:rsid w:val="003F5E61"/>
    <w:rsid w:val="003F5EFF"/>
    <w:rsid w:val="003F60A7"/>
    <w:rsid w:val="003F62CD"/>
    <w:rsid w:val="003F645C"/>
    <w:rsid w:val="003F676F"/>
    <w:rsid w:val="003F684F"/>
    <w:rsid w:val="003F6A66"/>
    <w:rsid w:val="003F6B20"/>
    <w:rsid w:val="003F6B36"/>
    <w:rsid w:val="003F6B69"/>
    <w:rsid w:val="003F6CF4"/>
    <w:rsid w:val="003F6DCA"/>
    <w:rsid w:val="003F6E55"/>
    <w:rsid w:val="003F6F42"/>
    <w:rsid w:val="003F7138"/>
    <w:rsid w:val="003F726E"/>
    <w:rsid w:val="003F72D5"/>
    <w:rsid w:val="003F72F0"/>
    <w:rsid w:val="003F73C5"/>
    <w:rsid w:val="003F7600"/>
    <w:rsid w:val="003F76CF"/>
    <w:rsid w:val="003F77D0"/>
    <w:rsid w:val="003F7942"/>
    <w:rsid w:val="003F79A2"/>
    <w:rsid w:val="003F7AE3"/>
    <w:rsid w:val="003F7E44"/>
    <w:rsid w:val="003F7F49"/>
    <w:rsid w:val="00400084"/>
    <w:rsid w:val="0040036B"/>
    <w:rsid w:val="00400418"/>
    <w:rsid w:val="00400419"/>
    <w:rsid w:val="004007C9"/>
    <w:rsid w:val="004007DF"/>
    <w:rsid w:val="004007F8"/>
    <w:rsid w:val="00400B53"/>
    <w:rsid w:val="00400B9F"/>
    <w:rsid w:val="00400BF5"/>
    <w:rsid w:val="00400C9B"/>
    <w:rsid w:val="00400CF6"/>
    <w:rsid w:val="00400D0D"/>
    <w:rsid w:val="00400DDD"/>
    <w:rsid w:val="00400EB4"/>
    <w:rsid w:val="00400EDE"/>
    <w:rsid w:val="00400F03"/>
    <w:rsid w:val="00400F53"/>
    <w:rsid w:val="00400FC3"/>
    <w:rsid w:val="00401007"/>
    <w:rsid w:val="0040135E"/>
    <w:rsid w:val="00401374"/>
    <w:rsid w:val="0040155C"/>
    <w:rsid w:val="004016BD"/>
    <w:rsid w:val="0040178C"/>
    <w:rsid w:val="004017C2"/>
    <w:rsid w:val="00401893"/>
    <w:rsid w:val="0040194F"/>
    <w:rsid w:val="0040197F"/>
    <w:rsid w:val="004019CA"/>
    <w:rsid w:val="00401A51"/>
    <w:rsid w:val="00401C0F"/>
    <w:rsid w:val="00401C39"/>
    <w:rsid w:val="00401C3B"/>
    <w:rsid w:val="00401D19"/>
    <w:rsid w:val="00401DD9"/>
    <w:rsid w:val="00401F5E"/>
    <w:rsid w:val="0040226C"/>
    <w:rsid w:val="0040231E"/>
    <w:rsid w:val="0040235B"/>
    <w:rsid w:val="004024BE"/>
    <w:rsid w:val="0040255A"/>
    <w:rsid w:val="004026C1"/>
    <w:rsid w:val="00402785"/>
    <w:rsid w:val="00402818"/>
    <w:rsid w:val="004029DE"/>
    <w:rsid w:val="004029F5"/>
    <w:rsid w:val="004029FC"/>
    <w:rsid w:val="00402FA2"/>
    <w:rsid w:val="00403161"/>
    <w:rsid w:val="0040321E"/>
    <w:rsid w:val="00403448"/>
    <w:rsid w:val="004035A9"/>
    <w:rsid w:val="00403684"/>
    <w:rsid w:val="004036F5"/>
    <w:rsid w:val="00403817"/>
    <w:rsid w:val="00403842"/>
    <w:rsid w:val="00403B88"/>
    <w:rsid w:val="00403B9F"/>
    <w:rsid w:val="00403C28"/>
    <w:rsid w:val="00403C8B"/>
    <w:rsid w:val="00403E4F"/>
    <w:rsid w:val="00403E81"/>
    <w:rsid w:val="00403F6A"/>
    <w:rsid w:val="00403FBA"/>
    <w:rsid w:val="00404047"/>
    <w:rsid w:val="0040404B"/>
    <w:rsid w:val="00404A98"/>
    <w:rsid w:val="00404BDE"/>
    <w:rsid w:val="00404BE9"/>
    <w:rsid w:val="00404BF4"/>
    <w:rsid w:val="00404C04"/>
    <w:rsid w:val="00404D44"/>
    <w:rsid w:val="00404D61"/>
    <w:rsid w:val="00404F2C"/>
    <w:rsid w:val="00405145"/>
    <w:rsid w:val="004051A4"/>
    <w:rsid w:val="0040523C"/>
    <w:rsid w:val="0040527C"/>
    <w:rsid w:val="00405356"/>
    <w:rsid w:val="00405549"/>
    <w:rsid w:val="00405670"/>
    <w:rsid w:val="00405788"/>
    <w:rsid w:val="0040592F"/>
    <w:rsid w:val="00405A51"/>
    <w:rsid w:val="00405B26"/>
    <w:rsid w:val="00405BA2"/>
    <w:rsid w:val="00405BCD"/>
    <w:rsid w:val="00405D09"/>
    <w:rsid w:val="00406072"/>
    <w:rsid w:val="004060CA"/>
    <w:rsid w:val="004060EC"/>
    <w:rsid w:val="00406218"/>
    <w:rsid w:val="0040630D"/>
    <w:rsid w:val="0040630E"/>
    <w:rsid w:val="00406556"/>
    <w:rsid w:val="00406AD3"/>
    <w:rsid w:val="00406C15"/>
    <w:rsid w:val="00406CC7"/>
    <w:rsid w:val="00406F8B"/>
    <w:rsid w:val="004072B5"/>
    <w:rsid w:val="00407420"/>
    <w:rsid w:val="004074E4"/>
    <w:rsid w:val="0040757E"/>
    <w:rsid w:val="004075D4"/>
    <w:rsid w:val="0040772B"/>
    <w:rsid w:val="00407744"/>
    <w:rsid w:val="00407803"/>
    <w:rsid w:val="00407898"/>
    <w:rsid w:val="00407B92"/>
    <w:rsid w:val="00407E76"/>
    <w:rsid w:val="00407F44"/>
    <w:rsid w:val="00410074"/>
    <w:rsid w:val="00410194"/>
    <w:rsid w:val="004102FF"/>
    <w:rsid w:val="0041036F"/>
    <w:rsid w:val="00410487"/>
    <w:rsid w:val="00410694"/>
    <w:rsid w:val="004106E9"/>
    <w:rsid w:val="00410792"/>
    <w:rsid w:val="004107E4"/>
    <w:rsid w:val="00410829"/>
    <w:rsid w:val="0041087F"/>
    <w:rsid w:val="00410A48"/>
    <w:rsid w:val="00410B6D"/>
    <w:rsid w:val="00410D78"/>
    <w:rsid w:val="00410E71"/>
    <w:rsid w:val="00410EE0"/>
    <w:rsid w:val="0041103A"/>
    <w:rsid w:val="0041113A"/>
    <w:rsid w:val="004114A4"/>
    <w:rsid w:val="004114D9"/>
    <w:rsid w:val="00411512"/>
    <w:rsid w:val="004115C0"/>
    <w:rsid w:val="004116FC"/>
    <w:rsid w:val="00411732"/>
    <w:rsid w:val="0041180B"/>
    <w:rsid w:val="00411AC2"/>
    <w:rsid w:val="00411AFF"/>
    <w:rsid w:val="00411BE4"/>
    <w:rsid w:val="00411FDA"/>
    <w:rsid w:val="004121D5"/>
    <w:rsid w:val="004122DA"/>
    <w:rsid w:val="0041240B"/>
    <w:rsid w:val="0041246A"/>
    <w:rsid w:val="004124C4"/>
    <w:rsid w:val="0041262C"/>
    <w:rsid w:val="004126E0"/>
    <w:rsid w:val="004126F3"/>
    <w:rsid w:val="0041284A"/>
    <w:rsid w:val="00412870"/>
    <w:rsid w:val="00412ABD"/>
    <w:rsid w:val="00412AFB"/>
    <w:rsid w:val="00412BF8"/>
    <w:rsid w:val="00412C48"/>
    <w:rsid w:val="00412DE1"/>
    <w:rsid w:val="0041300D"/>
    <w:rsid w:val="00413324"/>
    <w:rsid w:val="004133C2"/>
    <w:rsid w:val="004134A1"/>
    <w:rsid w:val="00413568"/>
    <w:rsid w:val="004135EE"/>
    <w:rsid w:val="00413821"/>
    <w:rsid w:val="00413972"/>
    <w:rsid w:val="004139C2"/>
    <w:rsid w:val="00413A18"/>
    <w:rsid w:val="00413A7F"/>
    <w:rsid w:val="00413A88"/>
    <w:rsid w:val="00413B75"/>
    <w:rsid w:val="00413C33"/>
    <w:rsid w:val="00413F45"/>
    <w:rsid w:val="00413FE2"/>
    <w:rsid w:val="004140BD"/>
    <w:rsid w:val="00414410"/>
    <w:rsid w:val="00414417"/>
    <w:rsid w:val="0041442E"/>
    <w:rsid w:val="004144E3"/>
    <w:rsid w:val="00414537"/>
    <w:rsid w:val="00414715"/>
    <w:rsid w:val="004147BA"/>
    <w:rsid w:val="00414C9D"/>
    <w:rsid w:val="00414D00"/>
    <w:rsid w:val="00414D39"/>
    <w:rsid w:val="00414D50"/>
    <w:rsid w:val="00414D6A"/>
    <w:rsid w:val="0041503F"/>
    <w:rsid w:val="004151D4"/>
    <w:rsid w:val="00415288"/>
    <w:rsid w:val="004154F3"/>
    <w:rsid w:val="004155EA"/>
    <w:rsid w:val="00415732"/>
    <w:rsid w:val="004158D5"/>
    <w:rsid w:val="0041592B"/>
    <w:rsid w:val="00415980"/>
    <w:rsid w:val="004159E2"/>
    <w:rsid w:val="00415A13"/>
    <w:rsid w:val="00415AB1"/>
    <w:rsid w:val="00415B0B"/>
    <w:rsid w:val="00415B2F"/>
    <w:rsid w:val="00415C85"/>
    <w:rsid w:val="00415F16"/>
    <w:rsid w:val="00415F4B"/>
    <w:rsid w:val="00416111"/>
    <w:rsid w:val="004161CD"/>
    <w:rsid w:val="004161E0"/>
    <w:rsid w:val="00416465"/>
    <w:rsid w:val="0041652E"/>
    <w:rsid w:val="00416813"/>
    <w:rsid w:val="00416854"/>
    <w:rsid w:val="00416AE9"/>
    <w:rsid w:val="00416B3D"/>
    <w:rsid w:val="004170C1"/>
    <w:rsid w:val="004170D9"/>
    <w:rsid w:val="00417119"/>
    <w:rsid w:val="004171E1"/>
    <w:rsid w:val="004171EC"/>
    <w:rsid w:val="00417212"/>
    <w:rsid w:val="00417654"/>
    <w:rsid w:val="0041772A"/>
    <w:rsid w:val="00417A77"/>
    <w:rsid w:val="00417C22"/>
    <w:rsid w:val="00417E5A"/>
    <w:rsid w:val="00420356"/>
    <w:rsid w:val="0042040D"/>
    <w:rsid w:val="00420452"/>
    <w:rsid w:val="00420513"/>
    <w:rsid w:val="00420561"/>
    <w:rsid w:val="00420CA8"/>
    <w:rsid w:val="00420D2D"/>
    <w:rsid w:val="00420D85"/>
    <w:rsid w:val="00420EEF"/>
    <w:rsid w:val="00420FEF"/>
    <w:rsid w:val="004211D1"/>
    <w:rsid w:val="0042122E"/>
    <w:rsid w:val="00421383"/>
    <w:rsid w:val="004213C7"/>
    <w:rsid w:val="004214F1"/>
    <w:rsid w:val="0042154E"/>
    <w:rsid w:val="00421795"/>
    <w:rsid w:val="0042184A"/>
    <w:rsid w:val="004218CA"/>
    <w:rsid w:val="00421B8E"/>
    <w:rsid w:val="00421BD9"/>
    <w:rsid w:val="00421D14"/>
    <w:rsid w:val="004224CA"/>
    <w:rsid w:val="00422628"/>
    <w:rsid w:val="00422781"/>
    <w:rsid w:val="00422789"/>
    <w:rsid w:val="004227FC"/>
    <w:rsid w:val="00422895"/>
    <w:rsid w:val="00422A5D"/>
    <w:rsid w:val="00422A9A"/>
    <w:rsid w:val="00422CC7"/>
    <w:rsid w:val="00422EDA"/>
    <w:rsid w:val="00422F75"/>
    <w:rsid w:val="00422FB3"/>
    <w:rsid w:val="004231F4"/>
    <w:rsid w:val="004233DD"/>
    <w:rsid w:val="00423439"/>
    <w:rsid w:val="00423467"/>
    <w:rsid w:val="00423595"/>
    <w:rsid w:val="0042379F"/>
    <w:rsid w:val="00423854"/>
    <w:rsid w:val="00423925"/>
    <w:rsid w:val="004239AD"/>
    <w:rsid w:val="00423BF4"/>
    <w:rsid w:val="00423CD3"/>
    <w:rsid w:val="00423D7F"/>
    <w:rsid w:val="00423F95"/>
    <w:rsid w:val="004242E1"/>
    <w:rsid w:val="0042430B"/>
    <w:rsid w:val="00424368"/>
    <w:rsid w:val="004243E9"/>
    <w:rsid w:val="0042443B"/>
    <w:rsid w:val="0042446C"/>
    <w:rsid w:val="004246EB"/>
    <w:rsid w:val="00424813"/>
    <w:rsid w:val="004248B3"/>
    <w:rsid w:val="0042497B"/>
    <w:rsid w:val="004249D9"/>
    <w:rsid w:val="00424A5D"/>
    <w:rsid w:val="00424BEA"/>
    <w:rsid w:val="00424C05"/>
    <w:rsid w:val="00424C26"/>
    <w:rsid w:val="00424CB5"/>
    <w:rsid w:val="00424F2B"/>
    <w:rsid w:val="00424FA0"/>
    <w:rsid w:val="004250D3"/>
    <w:rsid w:val="00425216"/>
    <w:rsid w:val="004252D5"/>
    <w:rsid w:val="00425382"/>
    <w:rsid w:val="00425416"/>
    <w:rsid w:val="00425516"/>
    <w:rsid w:val="00425625"/>
    <w:rsid w:val="00425739"/>
    <w:rsid w:val="004257C7"/>
    <w:rsid w:val="00425884"/>
    <w:rsid w:val="004259F2"/>
    <w:rsid w:val="00425A39"/>
    <w:rsid w:val="00425B0E"/>
    <w:rsid w:val="00425B55"/>
    <w:rsid w:val="00425DB7"/>
    <w:rsid w:val="00426001"/>
    <w:rsid w:val="0042601D"/>
    <w:rsid w:val="0042603C"/>
    <w:rsid w:val="00426074"/>
    <w:rsid w:val="004262B8"/>
    <w:rsid w:val="004262E2"/>
    <w:rsid w:val="00426311"/>
    <w:rsid w:val="00426429"/>
    <w:rsid w:val="00426541"/>
    <w:rsid w:val="00426561"/>
    <w:rsid w:val="00426573"/>
    <w:rsid w:val="00426702"/>
    <w:rsid w:val="00426837"/>
    <w:rsid w:val="00426909"/>
    <w:rsid w:val="00426BD2"/>
    <w:rsid w:val="00426CA3"/>
    <w:rsid w:val="00426CE5"/>
    <w:rsid w:val="0042703F"/>
    <w:rsid w:val="0042715B"/>
    <w:rsid w:val="00427367"/>
    <w:rsid w:val="00427457"/>
    <w:rsid w:val="0042759B"/>
    <w:rsid w:val="0042763A"/>
    <w:rsid w:val="004278C6"/>
    <w:rsid w:val="00427936"/>
    <w:rsid w:val="00427A84"/>
    <w:rsid w:val="00427EDD"/>
    <w:rsid w:val="00427FBD"/>
    <w:rsid w:val="00427FF1"/>
    <w:rsid w:val="004300E0"/>
    <w:rsid w:val="00430199"/>
    <w:rsid w:val="00430281"/>
    <w:rsid w:val="004303F5"/>
    <w:rsid w:val="0043067F"/>
    <w:rsid w:val="0043080B"/>
    <w:rsid w:val="004308A9"/>
    <w:rsid w:val="004308AF"/>
    <w:rsid w:val="0043095F"/>
    <w:rsid w:val="00430AF1"/>
    <w:rsid w:val="00430C1A"/>
    <w:rsid w:val="00430C5A"/>
    <w:rsid w:val="00430D8C"/>
    <w:rsid w:val="00430F79"/>
    <w:rsid w:val="0043109F"/>
    <w:rsid w:val="004310B7"/>
    <w:rsid w:val="0043135C"/>
    <w:rsid w:val="0043136D"/>
    <w:rsid w:val="0043144F"/>
    <w:rsid w:val="004314D7"/>
    <w:rsid w:val="00431A27"/>
    <w:rsid w:val="00431A7B"/>
    <w:rsid w:val="00431B0E"/>
    <w:rsid w:val="00431B17"/>
    <w:rsid w:val="00431C51"/>
    <w:rsid w:val="00431C5F"/>
    <w:rsid w:val="00431C91"/>
    <w:rsid w:val="00431DBD"/>
    <w:rsid w:val="00431ECF"/>
    <w:rsid w:val="00432101"/>
    <w:rsid w:val="00432152"/>
    <w:rsid w:val="0043223E"/>
    <w:rsid w:val="004323A7"/>
    <w:rsid w:val="004323F7"/>
    <w:rsid w:val="004324BF"/>
    <w:rsid w:val="004324D6"/>
    <w:rsid w:val="00432516"/>
    <w:rsid w:val="00432517"/>
    <w:rsid w:val="004326DA"/>
    <w:rsid w:val="00432900"/>
    <w:rsid w:val="00432942"/>
    <w:rsid w:val="004329B0"/>
    <w:rsid w:val="00432D09"/>
    <w:rsid w:val="00433078"/>
    <w:rsid w:val="00433170"/>
    <w:rsid w:val="004331A7"/>
    <w:rsid w:val="00433204"/>
    <w:rsid w:val="0043326B"/>
    <w:rsid w:val="00433322"/>
    <w:rsid w:val="004334E8"/>
    <w:rsid w:val="00433578"/>
    <w:rsid w:val="0043359D"/>
    <w:rsid w:val="00433666"/>
    <w:rsid w:val="004338FB"/>
    <w:rsid w:val="00433997"/>
    <w:rsid w:val="00433BA2"/>
    <w:rsid w:val="00433C7D"/>
    <w:rsid w:val="00433D25"/>
    <w:rsid w:val="00433E49"/>
    <w:rsid w:val="00433F61"/>
    <w:rsid w:val="00433F96"/>
    <w:rsid w:val="00433FCD"/>
    <w:rsid w:val="0043401C"/>
    <w:rsid w:val="00434188"/>
    <w:rsid w:val="00434320"/>
    <w:rsid w:val="00434366"/>
    <w:rsid w:val="00434766"/>
    <w:rsid w:val="00434962"/>
    <w:rsid w:val="00434B03"/>
    <w:rsid w:val="00434DDD"/>
    <w:rsid w:val="00434F0A"/>
    <w:rsid w:val="00435085"/>
    <w:rsid w:val="0043519B"/>
    <w:rsid w:val="00435316"/>
    <w:rsid w:val="0043541B"/>
    <w:rsid w:val="004355DA"/>
    <w:rsid w:val="00435691"/>
    <w:rsid w:val="004356FC"/>
    <w:rsid w:val="004357F5"/>
    <w:rsid w:val="0043594D"/>
    <w:rsid w:val="004359E9"/>
    <w:rsid w:val="00435B0B"/>
    <w:rsid w:val="00435F47"/>
    <w:rsid w:val="0043605E"/>
    <w:rsid w:val="0043606E"/>
    <w:rsid w:val="004360CA"/>
    <w:rsid w:val="00436679"/>
    <w:rsid w:val="004368B7"/>
    <w:rsid w:val="00436919"/>
    <w:rsid w:val="00436AC6"/>
    <w:rsid w:val="00436B37"/>
    <w:rsid w:val="00436B8A"/>
    <w:rsid w:val="00436BCC"/>
    <w:rsid w:val="00436E09"/>
    <w:rsid w:val="00436ECF"/>
    <w:rsid w:val="00436F57"/>
    <w:rsid w:val="004370D3"/>
    <w:rsid w:val="00437212"/>
    <w:rsid w:val="0043724F"/>
    <w:rsid w:val="004373AE"/>
    <w:rsid w:val="0043752D"/>
    <w:rsid w:val="00437556"/>
    <w:rsid w:val="004376D3"/>
    <w:rsid w:val="00437703"/>
    <w:rsid w:val="00437989"/>
    <w:rsid w:val="00437C0A"/>
    <w:rsid w:val="00437C18"/>
    <w:rsid w:val="00437CFF"/>
    <w:rsid w:val="00437ED6"/>
    <w:rsid w:val="00437F3D"/>
    <w:rsid w:val="004400B0"/>
    <w:rsid w:val="0044017B"/>
    <w:rsid w:val="004401A6"/>
    <w:rsid w:val="004402FB"/>
    <w:rsid w:val="0044042D"/>
    <w:rsid w:val="0044063F"/>
    <w:rsid w:val="00440645"/>
    <w:rsid w:val="004408F1"/>
    <w:rsid w:val="004409B6"/>
    <w:rsid w:val="00440AB8"/>
    <w:rsid w:val="00440B66"/>
    <w:rsid w:val="00440C1F"/>
    <w:rsid w:val="00440D42"/>
    <w:rsid w:val="00440E26"/>
    <w:rsid w:val="00441111"/>
    <w:rsid w:val="00441313"/>
    <w:rsid w:val="00441360"/>
    <w:rsid w:val="00441410"/>
    <w:rsid w:val="0044147F"/>
    <w:rsid w:val="0044158C"/>
    <w:rsid w:val="00441596"/>
    <w:rsid w:val="00441711"/>
    <w:rsid w:val="0044175D"/>
    <w:rsid w:val="004418F3"/>
    <w:rsid w:val="00441967"/>
    <w:rsid w:val="00441998"/>
    <w:rsid w:val="004419D1"/>
    <w:rsid w:val="00441A26"/>
    <w:rsid w:val="00441AD5"/>
    <w:rsid w:val="00441F67"/>
    <w:rsid w:val="00442131"/>
    <w:rsid w:val="00442246"/>
    <w:rsid w:val="004422FD"/>
    <w:rsid w:val="004423C5"/>
    <w:rsid w:val="0044241C"/>
    <w:rsid w:val="004424F4"/>
    <w:rsid w:val="0044256B"/>
    <w:rsid w:val="0044264F"/>
    <w:rsid w:val="0044269B"/>
    <w:rsid w:val="004428D6"/>
    <w:rsid w:val="00442A25"/>
    <w:rsid w:val="00442DA8"/>
    <w:rsid w:val="00442FC9"/>
    <w:rsid w:val="0044338D"/>
    <w:rsid w:val="004434C1"/>
    <w:rsid w:val="0044352D"/>
    <w:rsid w:val="00443798"/>
    <w:rsid w:val="004437C4"/>
    <w:rsid w:val="004437CD"/>
    <w:rsid w:val="004439D0"/>
    <w:rsid w:val="00443A0B"/>
    <w:rsid w:val="00443B47"/>
    <w:rsid w:val="00443D46"/>
    <w:rsid w:val="00443E31"/>
    <w:rsid w:val="00443FAF"/>
    <w:rsid w:val="0044401D"/>
    <w:rsid w:val="004440DD"/>
    <w:rsid w:val="004441EB"/>
    <w:rsid w:val="00444236"/>
    <w:rsid w:val="0044424C"/>
    <w:rsid w:val="004442D8"/>
    <w:rsid w:val="00444319"/>
    <w:rsid w:val="00444458"/>
    <w:rsid w:val="004444EA"/>
    <w:rsid w:val="0044491D"/>
    <w:rsid w:val="00444AD8"/>
    <w:rsid w:val="00444ADA"/>
    <w:rsid w:val="00444FD3"/>
    <w:rsid w:val="00445050"/>
    <w:rsid w:val="00445117"/>
    <w:rsid w:val="00445152"/>
    <w:rsid w:val="00445301"/>
    <w:rsid w:val="0044534B"/>
    <w:rsid w:val="004453A9"/>
    <w:rsid w:val="00445437"/>
    <w:rsid w:val="004457C3"/>
    <w:rsid w:val="004457C5"/>
    <w:rsid w:val="00445816"/>
    <w:rsid w:val="00445942"/>
    <w:rsid w:val="00445A50"/>
    <w:rsid w:val="00445B67"/>
    <w:rsid w:val="00445D69"/>
    <w:rsid w:val="00445EB2"/>
    <w:rsid w:val="00445F5E"/>
    <w:rsid w:val="00446126"/>
    <w:rsid w:val="0044636C"/>
    <w:rsid w:val="00446702"/>
    <w:rsid w:val="00446860"/>
    <w:rsid w:val="0044693A"/>
    <w:rsid w:val="00446D1B"/>
    <w:rsid w:val="00446D7F"/>
    <w:rsid w:val="00446E51"/>
    <w:rsid w:val="00446E94"/>
    <w:rsid w:val="00446FBE"/>
    <w:rsid w:val="00446FD3"/>
    <w:rsid w:val="004470B7"/>
    <w:rsid w:val="00447138"/>
    <w:rsid w:val="00447222"/>
    <w:rsid w:val="004472AD"/>
    <w:rsid w:val="00447361"/>
    <w:rsid w:val="00447654"/>
    <w:rsid w:val="00447673"/>
    <w:rsid w:val="004478BF"/>
    <w:rsid w:val="0044794F"/>
    <w:rsid w:val="00447A44"/>
    <w:rsid w:val="00447B52"/>
    <w:rsid w:val="004502D5"/>
    <w:rsid w:val="00450467"/>
    <w:rsid w:val="0045069C"/>
    <w:rsid w:val="004507F5"/>
    <w:rsid w:val="00450944"/>
    <w:rsid w:val="00450999"/>
    <w:rsid w:val="00450A4F"/>
    <w:rsid w:val="00450CA0"/>
    <w:rsid w:val="00450D3B"/>
    <w:rsid w:val="00450DE2"/>
    <w:rsid w:val="00451050"/>
    <w:rsid w:val="004510B7"/>
    <w:rsid w:val="004510BB"/>
    <w:rsid w:val="0045116F"/>
    <w:rsid w:val="004511A3"/>
    <w:rsid w:val="00451263"/>
    <w:rsid w:val="004512F1"/>
    <w:rsid w:val="00451313"/>
    <w:rsid w:val="00451727"/>
    <w:rsid w:val="00451899"/>
    <w:rsid w:val="004518D7"/>
    <w:rsid w:val="004519B0"/>
    <w:rsid w:val="004519BC"/>
    <w:rsid w:val="00451A2E"/>
    <w:rsid w:val="00451A46"/>
    <w:rsid w:val="00451A72"/>
    <w:rsid w:val="00451CBE"/>
    <w:rsid w:val="00451CF7"/>
    <w:rsid w:val="00451D35"/>
    <w:rsid w:val="00451E5B"/>
    <w:rsid w:val="00452430"/>
    <w:rsid w:val="00452556"/>
    <w:rsid w:val="0045261A"/>
    <w:rsid w:val="00452778"/>
    <w:rsid w:val="004527A6"/>
    <w:rsid w:val="00452895"/>
    <w:rsid w:val="004528F1"/>
    <w:rsid w:val="00452A64"/>
    <w:rsid w:val="00452CE9"/>
    <w:rsid w:val="00452D55"/>
    <w:rsid w:val="00452D89"/>
    <w:rsid w:val="00452E70"/>
    <w:rsid w:val="00452F28"/>
    <w:rsid w:val="00452FE7"/>
    <w:rsid w:val="00453130"/>
    <w:rsid w:val="00453207"/>
    <w:rsid w:val="0045350E"/>
    <w:rsid w:val="00453730"/>
    <w:rsid w:val="004539BE"/>
    <w:rsid w:val="00453AB6"/>
    <w:rsid w:val="00453C70"/>
    <w:rsid w:val="00453CE2"/>
    <w:rsid w:val="00453D30"/>
    <w:rsid w:val="00453D52"/>
    <w:rsid w:val="00453DBF"/>
    <w:rsid w:val="00453E26"/>
    <w:rsid w:val="00453E90"/>
    <w:rsid w:val="00453EF0"/>
    <w:rsid w:val="00454077"/>
    <w:rsid w:val="004540DC"/>
    <w:rsid w:val="0045410D"/>
    <w:rsid w:val="00454241"/>
    <w:rsid w:val="00454307"/>
    <w:rsid w:val="00454374"/>
    <w:rsid w:val="004543CC"/>
    <w:rsid w:val="004547BF"/>
    <w:rsid w:val="004548A3"/>
    <w:rsid w:val="00454926"/>
    <w:rsid w:val="00454A95"/>
    <w:rsid w:val="00454D72"/>
    <w:rsid w:val="00454DE2"/>
    <w:rsid w:val="00454F63"/>
    <w:rsid w:val="0045503C"/>
    <w:rsid w:val="004550AA"/>
    <w:rsid w:val="004550B0"/>
    <w:rsid w:val="00455676"/>
    <w:rsid w:val="00455977"/>
    <w:rsid w:val="00455989"/>
    <w:rsid w:val="00455A7A"/>
    <w:rsid w:val="00455DB5"/>
    <w:rsid w:val="00455DCA"/>
    <w:rsid w:val="00455E45"/>
    <w:rsid w:val="00455E5E"/>
    <w:rsid w:val="00455F73"/>
    <w:rsid w:val="00455FB0"/>
    <w:rsid w:val="00456031"/>
    <w:rsid w:val="00456099"/>
    <w:rsid w:val="0045609A"/>
    <w:rsid w:val="00456179"/>
    <w:rsid w:val="004563EA"/>
    <w:rsid w:val="004564D1"/>
    <w:rsid w:val="004565D3"/>
    <w:rsid w:val="004568D2"/>
    <w:rsid w:val="00456A38"/>
    <w:rsid w:val="00456B79"/>
    <w:rsid w:val="00456B7C"/>
    <w:rsid w:val="00456CEF"/>
    <w:rsid w:val="00456DF1"/>
    <w:rsid w:val="0045700D"/>
    <w:rsid w:val="00457199"/>
    <w:rsid w:val="00457332"/>
    <w:rsid w:val="0045752E"/>
    <w:rsid w:val="004575C1"/>
    <w:rsid w:val="004575E4"/>
    <w:rsid w:val="004577A7"/>
    <w:rsid w:val="0045784C"/>
    <w:rsid w:val="00457A19"/>
    <w:rsid w:val="00457A6D"/>
    <w:rsid w:val="00457B93"/>
    <w:rsid w:val="00457DD8"/>
    <w:rsid w:val="00457E5F"/>
    <w:rsid w:val="00460302"/>
    <w:rsid w:val="004605AE"/>
    <w:rsid w:val="004605C4"/>
    <w:rsid w:val="00460666"/>
    <w:rsid w:val="004606F8"/>
    <w:rsid w:val="00460758"/>
    <w:rsid w:val="004607E9"/>
    <w:rsid w:val="004609BA"/>
    <w:rsid w:val="00460AE7"/>
    <w:rsid w:val="00460B15"/>
    <w:rsid w:val="00460C53"/>
    <w:rsid w:val="00460C57"/>
    <w:rsid w:val="00460D97"/>
    <w:rsid w:val="00460D9B"/>
    <w:rsid w:val="00460FA7"/>
    <w:rsid w:val="004612DB"/>
    <w:rsid w:val="004614CA"/>
    <w:rsid w:val="00461594"/>
    <w:rsid w:val="004618CB"/>
    <w:rsid w:val="004619E2"/>
    <w:rsid w:val="00461AA8"/>
    <w:rsid w:val="00461AC5"/>
    <w:rsid w:val="004620A5"/>
    <w:rsid w:val="004621C2"/>
    <w:rsid w:val="004621FD"/>
    <w:rsid w:val="00462295"/>
    <w:rsid w:val="00462427"/>
    <w:rsid w:val="00462462"/>
    <w:rsid w:val="00462679"/>
    <w:rsid w:val="00462B2E"/>
    <w:rsid w:val="00462DE7"/>
    <w:rsid w:val="00462E1E"/>
    <w:rsid w:val="0046304A"/>
    <w:rsid w:val="0046308B"/>
    <w:rsid w:val="004631FD"/>
    <w:rsid w:val="00463223"/>
    <w:rsid w:val="004634AB"/>
    <w:rsid w:val="004636F5"/>
    <w:rsid w:val="004637FE"/>
    <w:rsid w:val="0046381F"/>
    <w:rsid w:val="00463BEA"/>
    <w:rsid w:val="00463BF9"/>
    <w:rsid w:val="00463BFD"/>
    <w:rsid w:val="00463D9A"/>
    <w:rsid w:val="00463E78"/>
    <w:rsid w:val="004640D1"/>
    <w:rsid w:val="004641AE"/>
    <w:rsid w:val="004642EC"/>
    <w:rsid w:val="004643D3"/>
    <w:rsid w:val="004644CC"/>
    <w:rsid w:val="00464609"/>
    <w:rsid w:val="004648A3"/>
    <w:rsid w:val="00464AA7"/>
    <w:rsid w:val="00464B25"/>
    <w:rsid w:val="00464B99"/>
    <w:rsid w:val="00464CF3"/>
    <w:rsid w:val="00464D22"/>
    <w:rsid w:val="00464E3B"/>
    <w:rsid w:val="00464FF3"/>
    <w:rsid w:val="00465073"/>
    <w:rsid w:val="00465336"/>
    <w:rsid w:val="0046544F"/>
    <w:rsid w:val="0046551B"/>
    <w:rsid w:val="004656A5"/>
    <w:rsid w:val="004656CE"/>
    <w:rsid w:val="00465720"/>
    <w:rsid w:val="004657AB"/>
    <w:rsid w:val="0046588F"/>
    <w:rsid w:val="004658FE"/>
    <w:rsid w:val="0046594B"/>
    <w:rsid w:val="00465A35"/>
    <w:rsid w:val="00465B31"/>
    <w:rsid w:val="00465D3E"/>
    <w:rsid w:val="00465D68"/>
    <w:rsid w:val="00465E9D"/>
    <w:rsid w:val="00465EE8"/>
    <w:rsid w:val="00466165"/>
    <w:rsid w:val="00466193"/>
    <w:rsid w:val="004663A6"/>
    <w:rsid w:val="004663CD"/>
    <w:rsid w:val="004663DF"/>
    <w:rsid w:val="004664F8"/>
    <w:rsid w:val="0046662A"/>
    <w:rsid w:val="004668B2"/>
    <w:rsid w:val="004668DC"/>
    <w:rsid w:val="004669AF"/>
    <w:rsid w:val="00466A5E"/>
    <w:rsid w:val="00466A6D"/>
    <w:rsid w:val="00466BD8"/>
    <w:rsid w:val="0046709D"/>
    <w:rsid w:val="004670A5"/>
    <w:rsid w:val="004670EE"/>
    <w:rsid w:val="0046714F"/>
    <w:rsid w:val="004673F5"/>
    <w:rsid w:val="0046746F"/>
    <w:rsid w:val="00467497"/>
    <w:rsid w:val="0046755B"/>
    <w:rsid w:val="004675E0"/>
    <w:rsid w:val="00467824"/>
    <w:rsid w:val="00467847"/>
    <w:rsid w:val="00467880"/>
    <w:rsid w:val="00467888"/>
    <w:rsid w:val="004679F3"/>
    <w:rsid w:val="00467B1C"/>
    <w:rsid w:val="00467D8C"/>
    <w:rsid w:val="00467DA8"/>
    <w:rsid w:val="00467F04"/>
    <w:rsid w:val="0047003C"/>
    <w:rsid w:val="00470168"/>
    <w:rsid w:val="004701C2"/>
    <w:rsid w:val="004701E6"/>
    <w:rsid w:val="00470232"/>
    <w:rsid w:val="0047024A"/>
    <w:rsid w:val="00470305"/>
    <w:rsid w:val="00470377"/>
    <w:rsid w:val="00470399"/>
    <w:rsid w:val="004704B2"/>
    <w:rsid w:val="00470543"/>
    <w:rsid w:val="00470576"/>
    <w:rsid w:val="004705D1"/>
    <w:rsid w:val="004708C7"/>
    <w:rsid w:val="00470BE4"/>
    <w:rsid w:val="00470C04"/>
    <w:rsid w:val="00470C66"/>
    <w:rsid w:val="00470DE9"/>
    <w:rsid w:val="00470F5C"/>
    <w:rsid w:val="004710DB"/>
    <w:rsid w:val="004712BE"/>
    <w:rsid w:val="004713E5"/>
    <w:rsid w:val="0047141C"/>
    <w:rsid w:val="004716C5"/>
    <w:rsid w:val="00471794"/>
    <w:rsid w:val="004717FE"/>
    <w:rsid w:val="0047195F"/>
    <w:rsid w:val="00471CBE"/>
    <w:rsid w:val="00471ED1"/>
    <w:rsid w:val="00472056"/>
    <w:rsid w:val="0047206C"/>
    <w:rsid w:val="0047223F"/>
    <w:rsid w:val="00472380"/>
    <w:rsid w:val="0047238B"/>
    <w:rsid w:val="004723B7"/>
    <w:rsid w:val="00472414"/>
    <w:rsid w:val="0047242B"/>
    <w:rsid w:val="00472476"/>
    <w:rsid w:val="004724FA"/>
    <w:rsid w:val="00472879"/>
    <w:rsid w:val="00472988"/>
    <w:rsid w:val="00472A53"/>
    <w:rsid w:val="00472F7E"/>
    <w:rsid w:val="00473254"/>
    <w:rsid w:val="00473280"/>
    <w:rsid w:val="0047359C"/>
    <w:rsid w:val="004735D9"/>
    <w:rsid w:val="004736DA"/>
    <w:rsid w:val="00473904"/>
    <w:rsid w:val="00473989"/>
    <w:rsid w:val="004739EF"/>
    <w:rsid w:val="004739FC"/>
    <w:rsid w:val="00473B0A"/>
    <w:rsid w:val="00473ED4"/>
    <w:rsid w:val="00473FF8"/>
    <w:rsid w:val="00473FFF"/>
    <w:rsid w:val="00474177"/>
    <w:rsid w:val="004742CA"/>
    <w:rsid w:val="004742DD"/>
    <w:rsid w:val="0047432D"/>
    <w:rsid w:val="0047433E"/>
    <w:rsid w:val="00474465"/>
    <w:rsid w:val="00474579"/>
    <w:rsid w:val="0047486D"/>
    <w:rsid w:val="004748B6"/>
    <w:rsid w:val="004749EF"/>
    <w:rsid w:val="00474A0A"/>
    <w:rsid w:val="00474E30"/>
    <w:rsid w:val="00474EFE"/>
    <w:rsid w:val="00474FC1"/>
    <w:rsid w:val="00474FD3"/>
    <w:rsid w:val="00475197"/>
    <w:rsid w:val="004752D6"/>
    <w:rsid w:val="00475434"/>
    <w:rsid w:val="0047566B"/>
    <w:rsid w:val="00475836"/>
    <w:rsid w:val="004758E2"/>
    <w:rsid w:val="00475DBC"/>
    <w:rsid w:val="00475E21"/>
    <w:rsid w:val="00475E67"/>
    <w:rsid w:val="00476063"/>
    <w:rsid w:val="00476267"/>
    <w:rsid w:val="004763DF"/>
    <w:rsid w:val="00476455"/>
    <w:rsid w:val="0047653E"/>
    <w:rsid w:val="0047655C"/>
    <w:rsid w:val="00476646"/>
    <w:rsid w:val="004768AD"/>
    <w:rsid w:val="004768D8"/>
    <w:rsid w:val="0047691C"/>
    <w:rsid w:val="00476B75"/>
    <w:rsid w:val="00476E43"/>
    <w:rsid w:val="00476F78"/>
    <w:rsid w:val="00477039"/>
    <w:rsid w:val="0047705B"/>
    <w:rsid w:val="0047710A"/>
    <w:rsid w:val="004771E3"/>
    <w:rsid w:val="004771E7"/>
    <w:rsid w:val="004773BE"/>
    <w:rsid w:val="004774B3"/>
    <w:rsid w:val="004775C9"/>
    <w:rsid w:val="00477795"/>
    <w:rsid w:val="004778DF"/>
    <w:rsid w:val="0047793F"/>
    <w:rsid w:val="004779E2"/>
    <w:rsid w:val="00477D36"/>
    <w:rsid w:val="00477DB1"/>
    <w:rsid w:val="00477F5F"/>
    <w:rsid w:val="0047F3B0"/>
    <w:rsid w:val="00480000"/>
    <w:rsid w:val="00480049"/>
    <w:rsid w:val="0048005E"/>
    <w:rsid w:val="0048009B"/>
    <w:rsid w:val="00480105"/>
    <w:rsid w:val="0048042F"/>
    <w:rsid w:val="004804DF"/>
    <w:rsid w:val="0048065C"/>
    <w:rsid w:val="0048065F"/>
    <w:rsid w:val="0048071A"/>
    <w:rsid w:val="00480728"/>
    <w:rsid w:val="00480856"/>
    <w:rsid w:val="00480A48"/>
    <w:rsid w:val="00480E2E"/>
    <w:rsid w:val="00480E5F"/>
    <w:rsid w:val="004811E7"/>
    <w:rsid w:val="0048126F"/>
    <w:rsid w:val="0048164E"/>
    <w:rsid w:val="004817FC"/>
    <w:rsid w:val="00481A6F"/>
    <w:rsid w:val="00481B12"/>
    <w:rsid w:val="00481B6D"/>
    <w:rsid w:val="00482259"/>
    <w:rsid w:val="004825B6"/>
    <w:rsid w:val="00482896"/>
    <w:rsid w:val="004828DA"/>
    <w:rsid w:val="0048296C"/>
    <w:rsid w:val="00482995"/>
    <w:rsid w:val="004829C0"/>
    <w:rsid w:val="00482B44"/>
    <w:rsid w:val="00482B56"/>
    <w:rsid w:val="00482C4D"/>
    <w:rsid w:val="00482DB5"/>
    <w:rsid w:val="00482DE2"/>
    <w:rsid w:val="004830EC"/>
    <w:rsid w:val="004830F8"/>
    <w:rsid w:val="004832EE"/>
    <w:rsid w:val="0048340F"/>
    <w:rsid w:val="0048341B"/>
    <w:rsid w:val="00483502"/>
    <w:rsid w:val="004835B1"/>
    <w:rsid w:val="004836D6"/>
    <w:rsid w:val="00483772"/>
    <w:rsid w:val="0048399F"/>
    <w:rsid w:val="004839CA"/>
    <w:rsid w:val="00483B6A"/>
    <w:rsid w:val="00483CAA"/>
    <w:rsid w:val="00483DD3"/>
    <w:rsid w:val="00483FC6"/>
    <w:rsid w:val="00484028"/>
    <w:rsid w:val="0048403C"/>
    <w:rsid w:val="00484208"/>
    <w:rsid w:val="00484316"/>
    <w:rsid w:val="00484405"/>
    <w:rsid w:val="004848DC"/>
    <w:rsid w:val="00484A90"/>
    <w:rsid w:val="00484AF3"/>
    <w:rsid w:val="00484BDF"/>
    <w:rsid w:val="00484E94"/>
    <w:rsid w:val="0048510B"/>
    <w:rsid w:val="004852C5"/>
    <w:rsid w:val="00485544"/>
    <w:rsid w:val="00485601"/>
    <w:rsid w:val="00485851"/>
    <w:rsid w:val="00485A60"/>
    <w:rsid w:val="00485BDC"/>
    <w:rsid w:val="00485E04"/>
    <w:rsid w:val="00485F2A"/>
    <w:rsid w:val="00486000"/>
    <w:rsid w:val="004860C8"/>
    <w:rsid w:val="004860E3"/>
    <w:rsid w:val="004860EA"/>
    <w:rsid w:val="004860F7"/>
    <w:rsid w:val="0048652D"/>
    <w:rsid w:val="004865C8"/>
    <w:rsid w:val="00486AE1"/>
    <w:rsid w:val="00486B37"/>
    <w:rsid w:val="00486CD3"/>
    <w:rsid w:val="00486D12"/>
    <w:rsid w:val="00486DBB"/>
    <w:rsid w:val="00486E16"/>
    <w:rsid w:val="00486E59"/>
    <w:rsid w:val="00486EB3"/>
    <w:rsid w:val="00486ED8"/>
    <w:rsid w:val="004870D9"/>
    <w:rsid w:val="004870E5"/>
    <w:rsid w:val="00487412"/>
    <w:rsid w:val="004874FE"/>
    <w:rsid w:val="00487553"/>
    <w:rsid w:val="0048760C"/>
    <w:rsid w:val="0048774A"/>
    <w:rsid w:val="0048776D"/>
    <w:rsid w:val="00487772"/>
    <w:rsid w:val="004877FA"/>
    <w:rsid w:val="00487A6A"/>
    <w:rsid w:val="00487A87"/>
    <w:rsid w:val="00487B55"/>
    <w:rsid w:val="00487C3C"/>
    <w:rsid w:val="00487CD9"/>
    <w:rsid w:val="00487EE9"/>
    <w:rsid w:val="00490095"/>
    <w:rsid w:val="004901E7"/>
    <w:rsid w:val="004902AB"/>
    <w:rsid w:val="00490319"/>
    <w:rsid w:val="00490353"/>
    <w:rsid w:val="00490364"/>
    <w:rsid w:val="0049044D"/>
    <w:rsid w:val="0049051A"/>
    <w:rsid w:val="004905F1"/>
    <w:rsid w:val="00490605"/>
    <w:rsid w:val="004906BD"/>
    <w:rsid w:val="0049087D"/>
    <w:rsid w:val="00490B24"/>
    <w:rsid w:val="00490D10"/>
    <w:rsid w:val="00490D9B"/>
    <w:rsid w:val="00490DB4"/>
    <w:rsid w:val="00490F14"/>
    <w:rsid w:val="00491113"/>
    <w:rsid w:val="00491150"/>
    <w:rsid w:val="00491475"/>
    <w:rsid w:val="004914BD"/>
    <w:rsid w:val="00491538"/>
    <w:rsid w:val="00491670"/>
    <w:rsid w:val="004916C0"/>
    <w:rsid w:val="004916F9"/>
    <w:rsid w:val="0049173F"/>
    <w:rsid w:val="004918F8"/>
    <w:rsid w:val="00491A5F"/>
    <w:rsid w:val="00491A7F"/>
    <w:rsid w:val="00491B1F"/>
    <w:rsid w:val="00491D52"/>
    <w:rsid w:val="00491DBD"/>
    <w:rsid w:val="00491FF6"/>
    <w:rsid w:val="00492137"/>
    <w:rsid w:val="00492367"/>
    <w:rsid w:val="00492554"/>
    <w:rsid w:val="004925CA"/>
    <w:rsid w:val="004926E8"/>
    <w:rsid w:val="004928B0"/>
    <w:rsid w:val="00492940"/>
    <w:rsid w:val="00492A08"/>
    <w:rsid w:val="00492ABB"/>
    <w:rsid w:val="00492BEA"/>
    <w:rsid w:val="0049305E"/>
    <w:rsid w:val="004931A1"/>
    <w:rsid w:val="0049320A"/>
    <w:rsid w:val="004933A1"/>
    <w:rsid w:val="00493506"/>
    <w:rsid w:val="00493518"/>
    <w:rsid w:val="0049364C"/>
    <w:rsid w:val="00493688"/>
    <w:rsid w:val="00493703"/>
    <w:rsid w:val="00493995"/>
    <w:rsid w:val="004939E3"/>
    <w:rsid w:val="00493BBE"/>
    <w:rsid w:val="00493C37"/>
    <w:rsid w:val="00494010"/>
    <w:rsid w:val="004940B3"/>
    <w:rsid w:val="00494107"/>
    <w:rsid w:val="004942D3"/>
    <w:rsid w:val="004942D4"/>
    <w:rsid w:val="004943A3"/>
    <w:rsid w:val="0049444E"/>
    <w:rsid w:val="004946F6"/>
    <w:rsid w:val="00494715"/>
    <w:rsid w:val="004947D6"/>
    <w:rsid w:val="00494AF7"/>
    <w:rsid w:val="00494C76"/>
    <w:rsid w:val="00494D14"/>
    <w:rsid w:val="00494F94"/>
    <w:rsid w:val="004952B7"/>
    <w:rsid w:val="0049548D"/>
    <w:rsid w:val="00495874"/>
    <w:rsid w:val="0049599D"/>
    <w:rsid w:val="004959AF"/>
    <w:rsid w:val="00495B6E"/>
    <w:rsid w:val="00495C9B"/>
    <w:rsid w:val="00495CF6"/>
    <w:rsid w:val="00495E55"/>
    <w:rsid w:val="00495F48"/>
    <w:rsid w:val="00495F57"/>
    <w:rsid w:val="00496279"/>
    <w:rsid w:val="0049634B"/>
    <w:rsid w:val="00496416"/>
    <w:rsid w:val="00496432"/>
    <w:rsid w:val="00496580"/>
    <w:rsid w:val="004966A8"/>
    <w:rsid w:val="0049686A"/>
    <w:rsid w:val="0049687B"/>
    <w:rsid w:val="0049688B"/>
    <w:rsid w:val="004968C5"/>
    <w:rsid w:val="004968E4"/>
    <w:rsid w:val="004969B8"/>
    <w:rsid w:val="00496D12"/>
    <w:rsid w:val="00496EBB"/>
    <w:rsid w:val="00496FE0"/>
    <w:rsid w:val="0049705F"/>
    <w:rsid w:val="004970A5"/>
    <w:rsid w:val="00497120"/>
    <w:rsid w:val="0049719A"/>
    <w:rsid w:val="0049721D"/>
    <w:rsid w:val="00497220"/>
    <w:rsid w:val="0049734F"/>
    <w:rsid w:val="00497386"/>
    <w:rsid w:val="004973F0"/>
    <w:rsid w:val="004974F4"/>
    <w:rsid w:val="00497602"/>
    <w:rsid w:val="004977C5"/>
    <w:rsid w:val="00497AC8"/>
    <w:rsid w:val="00497B42"/>
    <w:rsid w:val="00497C3F"/>
    <w:rsid w:val="00497C82"/>
    <w:rsid w:val="00497EE9"/>
    <w:rsid w:val="00497F01"/>
    <w:rsid w:val="004A0157"/>
    <w:rsid w:val="004A0160"/>
    <w:rsid w:val="004A02E5"/>
    <w:rsid w:val="004A031A"/>
    <w:rsid w:val="004A031E"/>
    <w:rsid w:val="004A0326"/>
    <w:rsid w:val="004A0430"/>
    <w:rsid w:val="004A05F5"/>
    <w:rsid w:val="004A0694"/>
    <w:rsid w:val="004A08E3"/>
    <w:rsid w:val="004A0901"/>
    <w:rsid w:val="004A09C1"/>
    <w:rsid w:val="004A0A17"/>
    <w:rsid w:val="004A0C54"/>
    <w:rsid w:val="004A0DC4"/>
    <w:rsid w:val="004A0F01"/>
    <w:rsid w:val="004A0F79"/>
    <w:rsid w:val="004A0FE6"/>
    <w:rsid w:val="004A10B6"/>
    <w:rsid w:val="004A10F1"/>
    <w:rsid w:val="004A11B3"/>
    <w:rsid w:val="004A11BD"/>
    <w:rsid w:val="004A11CC"/>
    <w:rsid w:val="004A1219"/>
    <w:rsid w:val="004A1293"/>
    <w:rsid w:val="004A1368"/>
    <w:rsid w:val="004A1468"/>
    <w:rsid w:val="004A15C7"/>
    <w:rsid w:val="004A161E"/>
    <w:rsid w:val="004A181B"/>
    <w:rsid w:val="004A18E9"/>
    <w:rsid w:val="004A190A"/>
    <w:rsid w:val="004A197F"/>
    <w:rsid w:val="004A199C"/>
    <w:rsid w:val="004A1A39"/>
    <w:rsid w:val="004A1A8E"/>
    <w:rsid w:val="004A1CD9"/>
    <w:rsid w:val="004A1D11"/>
    <w:rsid w:val="004A1D82"/>
    <w:rsid w:val="004A1F09"/>
    <w:rsid w:val="004A1F4A"/>
    <w:rsid w:val="004A1FA1"/>
    <w:rsid w:val="004A1FEA"/>
    <w:rsid w:val="004A232B"/>
    <w:rsid w:val="004A2433"/>
    <w:rsid w:val="004A24D4"/>
    <w:rsid w:val="004A272D"/>
    <w:rsid w:val="004A2796"/>
    <w:rsid w:val="004A2854"/>
    <w:rsid w:val="004A28FD"/>
    <w:rsid w:val="004A294F"/>
    <w:rsid w:val="004A2A4F"/>
    <w:rsid w:val="004A2AF1"/>
    <w:rsid w:val="004A2C24"/>
    <w:rsid w:val="004A2E1B"/>
    <w:rsid w:val="004A2F10"/>
    <w:rsid w:val="004A2F6B"/>
    <w:rsid w:val="004A2FCC"/>
    <w:rsid w:val="004A317B"/>
    <w:rsid w:val="004A325B"/>
    <w:rsid w:val="004A3731"/>
    <w:rsid w:val="004A37CE"/>
    <w:rsid w:val="004A3A4F"/>
    <w:rsid w:val="004A3C52"/>
    <w:rsid w:val="004A3CB2"/>
    <w:rsid w:val="004A3E61"/>
    <w:rsid w:val="004A3E6E"/>
    <w:rsid w:val="004A3F14"/>
    <w:rsid w:val="004A3F70"/>
    <w:rsid w:val="004A40EA"/>
    <w:rsid w:val="004A40EB"/>
    <w:rsid w:val="004A41E7"/>
    <w:rsid w:val="004A42A2"/>
    <w:rsid w:val="004A4394"/>
    <w:rsid w:val="004A44E1"/>
    <w:rsid w:val="004A4684"/>
    <w:rsid w:val="004A47CA"/>
    <w:rsid w:val="004A4917"/>
    <w:rsid w:val="004A49F3"/>
    <w:rsid w:val="004A4BF9"/>
    <w:rsid w:val="004A4CD7"/>
    <w:rsid w:val="004A4CEC"/>
    <w:rsid w:val="004A4D67"/>
    <w:rsid w:val="004A542A"/>
    <w:rsid w:val="004A5470"/>
    <w:rsid w:val="004A5542"/>
    <w:rsid w:val="004A55DA"/>
    <w:rsid w:val="004A56A7"/>
    <w:rsid w:val="004A5700"/>
    <w:rsid w:val="004A59DD"/>
    <w:rsid w:val="004A5A8B"/>
    <w:rsid w:val="004A5C81"/>
    <w:rsid w:val="004A5D6C"/>
    <w:rsid w:val="004A5E1C"/>
    <w:rsid w:val="004A5F53"/>
    <w:rsid w:val="004A6048"/>
    <w:rsid w:val="004A6152"/>
    <w:rsid w:val="004A6169"/>
    <w:rsid w:val="004A62EC"/>
    <w:rsid w:val="004A63C1"/>
    <w:rsid w:val="004A64C1"/>
    <w:rsid w:val="004A6727"/>
    <w:rsid w:val="004A67AE"/>
    <w:rsid w:val="004A6815"/>
    <w:rsid w:val="004A6893"/>
    <w:rsid w:val="004A695D"/>
    <w:rsid w:val="004A69B9"/>
    <w:rsid w:val="004A6C60"/>
    <w:rsid w:val="004A6CD1"/>
    <w:rsid w:val="004A6DFD"/>
    <w:rsid w:val="004A6F7A"/>
    <w:rsid w:val="004A705D"/>
    <w:rsid w:val="004A76F5"/>
    <w:rsid w:val="004A7B75"/>
    <w:rsid w:val="004A7C3B"/>
    <w:rsid w:val="004A7CC4"/>
    <w:rsid w:val="004A7D3D"/>
    <w:rsid w:val="004A7DA4"/>
    <w:rsid w:val="004A7F3B"/>
    <w:rsid w:val="004B006E"/>
    <w:rsid w:val="004B008D"/>
    <w:rsid w:val="004B0187"/>
    <w:rsid w:val="004B0221"/>
    <w:rsid w:val="004B0727"/>
    <w:rsid w:val="004B0733"/>
    <w:rsid w:val="004B07D0"/>
    <w:rsid w:val="004B07EC"/>
    <w:rsid w:val="004B099C"/>
    <w:rsid w:val="004B0AB2"/>
    <w:rsid w:val="004B0AD3"/>
    <w:rsid w:val="004B0E0A"/>
    <w:rsid w:val="004B0E39"/>
    <w:rsid w:val="004B0ED8"/>
    <w:rsid w:val="004B0F91"/>
    <w:rsid w:val="004B0F9A"/>
    <w:rsid w:val="004B119B"/>
    <w:rsid w:val="004B11A8"/>
    <w:rsid w:val="004B128D"/>
    <w:rsid w:val="004B1310"/>
    <w:rsid w:val="004B1459"/>
    <w:rsid w:val="004B165C"/>
    <w:rsid w:val="004B16AA"/>
    <w:rsid w:val="004B16CB"/>
    <w:rsid w:val="004B17C6"/>
    <w:rsid w:val="004B17E1"/>
    <w:rsid w:val="004B1A21"/>
    <w:rsid w:val="004B1ACE"/>
    <w:rsid w:val="004B1B50"/>
    <w:rsid w:val="004B1B8A"/>
    <w:rsid w:val="004B1D04"/>
    <w:rsid w:val="004B1F20"/>
    <w:rsid w:val="004B223C"/>
    <w:rsid w:val="004B22C1"/>
    <w:rsid w:val="004B22D0"/>
    <w:rsid w:val="004B252F"/>
    <w:rsid w:val="004B29CB"/>
    <w:rsid w:val="004B2A76"/>
    <w:rsid w:val="004B2A86"/>
    <w:rsid w:val="004B2D4A"/>
    <w:rsid w:val="004B2DD0"/>
    <w:rsid w:val="004B2ED8"/>
    <w:rsid w:val="004B2F52"/>
    <w:rsid w:val="004B303B"/>
    <w:rsid w:val="004B3174"/>
    <w:rsid w:val="004B3179"/>
    <w:rsid w:val="004B3222"/>
    <w:rsid w:val="004B327F"/>
    <w:rsid w:val="004B328B"/>
    <w:rsid w:val="004B3597"/>
    <w:rsid w:val="004B3647"/>
    <w:rsid w:val="004B3679"/>
    <w:rsid w:val="004B3707"/>
    <w:rsid w:val="004B37CF"/>
    <w:rsid w:val="004B382E"/>
    <w:rsid w:val="004B3862"/>
    <w:rsid w:val="004B39DF"/>
    <w:rsid w:val="004B3ABF"/>
    <w:rsid w:val="004B3C54"/>
    <w:rsid w:val="004B3CD8"/>
    <w:rsid w:val="004B3DDD"/>
    <w:rsid w:val="004B3E4E"/>
    <w:rsid w:val="004B3E92"/>
    <w:rsid w:val="004B402F"/>
    <w:rsid w:val="004B4329"/>
    <w:rsid w:val="004B4386"/>
    <w:rsid w:val="004B450B"/>
    <w:rsid w:val="004B454B"/>
    <w:rsid w:val="004B4563"/>
    <w:rsid w:val="004B46AD"/>
    <w:rsid w:val="004B4770"/>
    <w:rsid w:val="004B4887"/>
    <w:rsid w:val="004B48B6"/>
    <w:rsid w:val="004B48D0"/>
    <w:rsid w:val="004B4A4A"/>
    <w:rsid w:val="004B4AE7"/>
    <w:rsid w:val="004B4C62"/>
    <w:rsid w:val="004B4FA8"/>
    <w:rsid w:val="004B5257"/>
    <w:rsid w:val="004B53D4"/>
    <w:rsid w:val="004B5472"/>
    <w:rsid w:val="004B5541"/>
    <w:rsid w:val="004B55B3"/>
    <w:rsid w:val="004B564E"/>
    <w:rsid w:val="004B56A9"/>
    <w:rsid w:val="004B5749"/>
    <w:rsid w:val="004B576E"/>
    <w:rsid w:val="004B589A"/>
    <w:rsid w:val="004B5A73"/>
    <w:rsid w:val="004B5ACD"/>
    <w:rsid w:val="004B5BA4"/>
    <w:rsid w:val="004B5BDB"/>
    <w:rsid w:val="004B5CE5"/>
    <w:rsid w:val="004B5DB4"/>
    <w:rsid w:val="004B5F2A"/>
    <w:rsid w:val="004B6137"/>
    <w:rsid w:val="004B6151"/>
    <w:rsid w:val="004B61A4"/>
    <w:rsid w:val="004B61E4"/>
    <w:rsid w:val="004B620C"/>
    <w:rsid w:val="004B6280"/>
    <w:rsid w:val="004B629C"/>
    <w:rsid w:val="004B62F1"/>
    <w:rsid w:val="004B63C4"/>
    <w:rsid w:val="004B63E2"/>
    <w:rsid w:val="004B6421"/>
    <w:rsid w:val="004B65B2"/>
    <w:rsid w:val="004B66AE"/>
    <w:rsid w:val="004B6870"/>
    <w:rsid w:val="004B6872"/>
    <w:rsid w:val="004B68BB"/>
    <w:rsid w:val="004B6978"/>
    <w:rsid w:val="004B697D"/>
    <w:rsid w:val="004B6AC0"/>
    <w:rsid w:val="004B6AFB"/>
    <w:rsid w:val="004B6B21"/>
    <w:rsid w:val="004B6B6A"/>
    <w:rsid w:val="004B6C81"/>
    <w:rsid w:val="004B6D1F"/>
    <w:rsid w:val="004B6F20"/>
    <w:rsid w:val="004B6FBF"/>
    <w:rsid w:val="004B6FD9"/>
    <w:rsid w:val="004B73D7"/>
    <w:rsid w:val="004B7492"/>
    <w:rsid w:val="004B75A7"/>
    <w:rsid w:val="004B75C9"/>
    <w:rsid w:val="004B77CD"/>
    <w:rsid w:val="004B783C"/>
    <w:rsid w:val="004B787B"/>
    <w:rsid w:val="004B78A4"/>
    <w:rsid w:val="004B7AF3"/>
    <w:rsid w:val="004B7B4F"/>
    <w:rsid w:val="004B7EB4"/>
    <w:rsid w:val="004C0202"/>
    <w:rsid w:val="004C02CC"/>
    <w:rsid w:val="004C030B"/>
    <w:rsid w:val="004C0495"/>
    <w:rsid w:val="004C05CA"/>
    <w:rsid w:val="004C05DF"/>
    <w:rsid w:val="004C079F"/>
    <w:rsid w:val="004C0C91"/>
    <w:rsid w:val="004C0E86"/>
    <w:rsid w:val="004C0F3F"/>
    <w:rsid w:val="004C0F9D"/>
    <w:rsid w:val="004C103D"/>
    <w:rsid w:val="004C110B"/>
    <w:rsid w:val="004C13C7"/>
    <w:rsid w:val="004C1484"/>
    <w:rsid w:val="004C14EE"/>
    <w:rsid w:val="004C15B9"/>
    <w:rsid w:val="004C15EA"/>
    <w:rsid w:val="004C1850"/>
    <w:rsid w:val="004C18A6"/>
    <w:rsid w:val="004C1A19"/>
    <w:rsid w:val="004C1CC8"/>
    <w:rsid w:val="004C1D74"/>
    <w:rsid w:val="004C1DEA"/>
    <w:rsid w:val="004C1E30"/>
    <w:rsid w:val="004C1E85"/>
    <w:rsid w:val="004C1EB8"/>
    <w:rsid w:val="004C1ECC"/>
    <w:rsid w:val="004C20CB"/>
    <w:rsid w:val="004C212F"/>
    <w:rsid w:val="004C2192"/>
    <w:rsid w:val="004C21E3"/>
    <w:rsid w:val="004C2494"/>
    <w:rsid w:val="004C254F"/>
    <w:rsid w:val="004C2806"/>
    <w:rsid w:val="004C29EC"/>
    <w:rsid w:val="004C2C61"/>
    <w:rsid w:val="004C2C75"/>
    <w:rsid w:val="004C2DA2"/>
    <w:rsid w:val="004C30A3"/>
    <w:rsid w:val="004C30CF"/>
    <w:rsid w:val="004C3165"/>
    <w:rsid w:val="004C31D4"/>
    <w:rsid w:val="004C346D"/>
    <w:rsid w:val="004C3683"/>
    <w:rsid w:val="004C3689"/>
    <w:rsid w:val="004C36F8"/>
    <w:rsid w:val="004C3890"/>
    <w:rsid w:val="004C3B6C"/>
    <w:rsid w:val="004C3E24"/>
    <w:rsid w:val="004C4064"/>
    <w:rsid w:val="004C4657"/>
    <w:rsid w:val="004C4837"/>
    <w:rsid w:val="004C48A9"/>
    <w:rsid w:val="004C48AE"/>
    <w:rsid w:val="004C48D6"/>
    <w:rsid w:val="004C4953"/>
    <w:rsid w:val="004C49D2"/>
    <w:rsid w:val="004C4AC7"/>
    <w:rsid w:val="004C4B62"/>
    <w:rsid w:val="004C4F7C"/>
    <w:rsid w:val="004C4FB0"/>
    <w:rsid w:val="004C5142"/>
    <w:rsid w:val="004C5228"/>
    <w:rsid w:val="004C546C"/>
    <w:rsid w:val="004C5798"/>
    <w:rsid w:val="004C58ED"/>
    <w:rsid w:val="004C5A2A"/>
    <w:rsid w:val="004C5AF1"/>
    <w:rsid w:val="004C5F7A"/>
    <w:rsid w:val="004C60BB"/>
    <w:rsid w:val="004C623D"/>
    <w:rsid w:val="004C624B"/>
    <w:rsid w:val="004C6252"/>
    <w:rsid w:val="004C6536"/>
    <w:rsid w:val="004C663A"/>
    <w:rsid w:val="004C66DC"/>
    <w:rsid w:val="004C6820"/>
    <w:rsid w:val="004C6936"/>
    <w:rsid w:val="004C6962"/>
    <w:rsid w:val="004C6B42"/>
    <w:rsid w:val="004C6B8C"/>
    <w:rsid w:val="004C6D2A"/>
    <w:rsid w:val="004C6E31"/>
    <w:rsid w:val="004C70EA"/>
    <w:rsid w:val="004C745B"/>
    <w:rsid w:val="004C747C"/>
    <w:rsid w:val="004C7514"/>
    <w:rsid w:val="004C76F6"/>
    <w:rsid w:val="004C77FC"/>
    <w:rsid w:val="004C7906"/>
    <w:rsid w:val="004C799A"/>
    <w:rsid w:val="004C7A51"/>
    <w:rsid w:val="004C7C2A"/>
    <w:rsid w:val="004C7CC3"/>
    <w:rsid w:val="004C7DCF"/>
    <w:rsid w:val="004D0286"/>
    <w:rsid w:val="004D0306"/>
    <w:rsid w:val="004D03DD"/>
    <w:rsid w:val="004D06DB"/>
    <w:rsid w:val="004D0831"/>
    <w:rsid w:val="004D0935"/>
    <w:rsid w:val="004D0A80"/>
    <w:rsid w:val="004D0CB0"/>
    <w:rsid w:val="004D0CB9"/>
    <w:rsid w:val="004D0D6D"/>
    <w:rsid w:val="004D0D83"/>
    <w:rsid w:val="004D0ED7"/>
    <w:rsid w:val="004D119C"/>
    <w:rsid w:val="004D11DA"/>
    <w:rsid w:val="004D11E9"/>
    <w:rsid w:val="004D1218"/>
    <w:rsid w:val="004D13DF"/>
    <w:rsid w:val="004D16D8"/>
    <w:rsid w:val="004D1725"/>
    <w:rsid w:val="004D1739"/>
    <w:rsid w:val="004D1780"/>
    <w:rsid w:val="004D1831"/>
    <w:rsid w:val="004D19AD"/>
    <w:rsid w:val="004D1A37"/>
    <w:rsid w:val="004D1A3C"/>
    <w:rsid w:val="004D1A74"/>
    <w:rsid w:val="004D1C91"/>
    <w:rsid w:val="004D1FBE"/>
    <w:rsid w:val="004D23F4"/>
    <w:rsid w:val="004D2458"/>
    <w:rsid w:val="004D245C"/>
    <w:rsid w:val="004D2524"/>
    <w:rsid w:val="004D2605"/>
    <w:rsid w:val="004D264E"/>
    <w:rsid w:val="004D2887"/>
    <w:rsid w:val="004D28AD"/>
    <w:rsid w:val="004D2A8B"/>
    <w:rsid w:val="004D2A8C"/>
    <w:rsid w:val="004D2AFC"/>
    <w:rsid w:val="004D2E48"/>
    <w:rsid w:val="004D306B"/>
    <w:rsid w:val="004D3204"/>
    <w:rsid w:val="004D3247"/>
    <w:rsid w:val="004D3295"/>
    <w:rsid w:val="004D3466"/>
    <w:rsid w:val="004D34B9"/>
    <w:rsid w:val="004D355D"/>
    <w:rsid w:val="004D37EA"/>
    <w:rsid w:val="004D3908"/>
    <w:rsid w:val="004D3B38"/>
    <w:rsid w:val="004D3B5B"/>
    <w:rsid w:val="004D3BA6"/>
    <w:rsid w:val="004D3BD7"/>
    <w:rsid w:val="004D3C15"/>
    <w:rsid w:val="004D3C9C"/>
    <w:rsid w:val="004D3CE1"/>
    <w:rsid w:val="004D3E21"/>
    <w:rsid w:val="004D3E4A"/>
    <w:rsid w:val="004D3EE4"/>
    <w:rsid w:val="004D3F4F"/>
    <w:rsid w:val="004D3FA9"/>
    <w:rsid w:val="004D411F"/>
    <w:rsid w:val="004D41C2"/>
    <w:rsid w:val="004D4525"/>
    <w:rsid w:val="004D4680"/>
    <w:rsid w:val="004D49B8"/>
    <w:rsid w:val="004D4ACE"/>
    <w:rsid w:val="004D4D4A"/>
    <w:rsid w:val="004D4E10"/>
    <w:rsid w:val="004D525A"/>
    <w:rsid w:val="004D5377"/>
    <w:rsid w:val="004D55B3"/>
    <w:rsid w:val="004D5639"/>
    <w:rsid w:val="004D575F"/>
    <w:rsid w:val="004D57C1"/>
    <w:rsid w:val="004D57D7"/>
    <w:rsid w:val="004D5849"/>
    <w:rsid w:val="004D5AC3"/>
    <w:rsid w:val="004D62BF"/>
    <w:rsid w:val="004D6508"/>
    <w:rsid w:val="004D670F"/>
    <w:rsid w:val="004D6822"/>
    <w:rsid w:val="004D6BB8"/>
    <w:rsid w:val="004D6D30"/>
    <w:rsid w:val="004D6F66"/>
    <w:rsid w:val="004D716F"/>
    <w:rsid w:val="004D7187"/>
    <w:rsid w:val="004D7234"/>
    <w:rsid w:val="004D7253"/>
    <w:rsid w:val="004D73CA"/>
    <w:rsid w:val="004D7415"/>
    <w:rsid w:val="004D7557"/>
    <w:rsid w:val="004D7638"/>
    <w:rsid w:val="004D7650"/>
    <w:rsid w:val="004D76CC"/>
    <w:rsid w:val="004D773B"/>
    <w:rsid w:val="004D787A"/>
    <w:rsid w:val="004D7916"/>
    <w:rsid w:val="004D7940"/>
    <w:rsid w:val="004D7B04"/>
    <w:rsid w:val="004D7B98"/>
    <w:rsid w:val="004D7FB4"/>
    <w:rsid w:val="004E002A"/>
    <w:rsid w:val="004E00A0"/>
    <w:rsid w:val="004E04A6"/>
    <w:rsid w:val="004E04D3"/>
    <w:rsid w:val="004E04F1"/>
    <w:rsid w:val="004E0570"/>
    <w:rsid w:val="004E0603"/>
    <w:rsid w:val="004E060D"/>
    <w:rsid w:val="004E07B6"/>
    <w:rsid w:val="004E097E"/>
    <w:rsid w:val="004E0A62"/>
    <w:rsid w:val="004E0A82"/>
    <w:rsid w:val="004E0B3D"/>
    <w:rsid w:val="004E0CBC"/>
    <w:rsid w:val="004E0CBF"/>
    <w:rsid w:val="004E10A7"/>
    <w:rsid w:val="004E1906"/>
    <w:rsid w:val="004E1942"/>
    <w:rsid w:val="004E1AB6"/>
    <w:rsid w:val="004E1BDD"/>
    <w:rsid w:val="004E1CF2"/>
    <w:rsid w:val="004E1F6C"/>
    <w:rsid w:val="004E1FD5"/>
    <w:rsid w:val="004E20E9"/>
    <w:rsid w:val="004E216D"/>
    <w:rsid w:val="004E21BC"/>
    <w:rsid w:val="004E2405"/>
    <w:rsid w:val="004E254D"/>
    <w:rsid w:val="004E2555"/>
    <w:rsid w:val="004E25F9"/>
    <w:rsid w:val="004E2679"/>
    <w:rsid w:val="004E26F6"/>
    <w:rsid w:val="004E2855"/>
    <w:rsid w:val="004E2907"/>
    <w:rsid w:val="004E292C"/>
    <w:rsid w:val="004E298D"/>
    <w:rsid w:val="004E2BEE"/>
    <w:rsid w:val="004E2D4E"/>
    <w:rsid w:val="004E3102"/>
    <w:rsid w:val="004E3245"/>
    <w:rsid w:val="004E327D"/>
    <w:rsid w:val="004E32E1"/>
    <w:rsid w:val="004E3416"/>
    <w:rsid w:val="004E342B"/>
    <w:rsid w:val="004E34C9"/>
    <w:rsid w:val="004E35F9"/>
    <w:rsid w:val="004E365A"/>
    <w:rsid w:val="004E37A6"/>
    <w:rsid w:val="004E3821"/>
    <w:rsid w:val="004E3B9F"/>
    <w:rsid w:val="004E3DE2"/>
    <w:rsid w:val="004E3EBC"/>
    <w:rsid w:val="004E3F92"/>
    <w:rsid w:val="004E4021"/>
    <w:rsid w:val="004E411A"/>
    <w:rsid w:val="004E41EA"/>
    <w:rsid w:val="004E420D"/>
    <w:rsid w:val="004E424C"/>
    <w:rsid w:val="004E42A8"/>
    <w:rsid w:val="004E43C5"/>
    <w:rsid w:val="004E48CC"/>
    <w:rsid w:val="004E4E13"/>
    <w:rsid w:val="004E4F4B"/>
    <w:rsid w:val="004E517A"/>
    <w:rsid w:val="004E51A3"/>
    <w:rsid w:val="004E520B"/>
    <w:rsid w:val="004E5422"/>
    <w:rsid w:val="004E56CB"/>
    <w:rsid w:val="004E5790"/>
    <w:rsid w:val="004E581E"/>
    <w:rsid w:val="004E59F2"/>
    <w:rsid w:val="004E5A66"/>
    <w:rsid w:val="004E5AE6"/>
    <w:rsid w:val="004E5C39"/>
    <w:rsid w:val="004E5FD8"/>
    <w:rsid w:val="004E6195"/>
    <w:rsid w:val="004E621B"/>
    <w:rsid w:val="004E6238"/>
    <w:rsid w:val="004E649D"/>
    <w:rsid w:val="004E6559"/>
    <w:rsid w:val="004E65E4"/>
    <w:rsid w:val="004E67C5"/>
    <w:rsid w:val="004E67FC"/>
    <w:rsid w:val="004E695A"/>
    <w:rsid w:val="004E6B33"/>
    <w:rsid w:val="004E6BBB"/>
    <w:rsid w:val="004E6E33"/>
    <w:rsid w:val="004E6F0A"/>
    <w:rsid w:val="004E6F69"/>
    <w:rsid w:val="004E7059"/>
    <w:rsid w:val="004E70F5"/>
    <w:rsid w:val="004E7110"/>
    <w:rsid w:val="004E726D"/>
    <w:rsid w:val="004E76F7"/>
    <w:rsid w:val="004E78B6"/>
    <w:rsid w:val="004E79DB"/>
    <w:rsid w:val="004E7BA9"/>
    <w:rsid w:val="004E7C9E"/>
    <w:rsid w:val="004E7DA1"/>
    <w:rsid w:val="004E7EA0"/>
    <w:rsid w:val="004F00AA"/>
    <w:rsid w:val="004F00C0"/>
    <w:rsid w:val="004F017D"/>
    <w:rsid w:val="004F019C"/>
    <w:rsid w:val="004F0251"/>
    <w:rsid w:val="004F0400"/>
    <w:rsid w:val="004F0477"/>
    <w:rsid w:val="004F0494"/>
    <w:rsid w:val="004F066B"/>
    <w:rsid w:val="004F06C4"/>
    <w:rsid w:val="004F088B"/>
    <w:rsid w:val="004F08E1"/>
    <w:rsid w:val="004F0941"/>
    <w:rsid w:val="004F09C2"/>
    <w:rsid w:val="004F0A71"/>
    <w:rsid w:val="004F0B3E"/>
    <w:rsid w:val="004F0C25"/>
    <w:rsid w:val="004F0D44"/>
    <w:rsid w:val="004F0D85"/>
    <w:rsid w:val="004F0DE9"/>
    <w:rsid w:val="004F107E"/>
    <w:rsid w:val="004F10EB"/>
    <w:rsid w:val="004F10FE"/>
    <w:rsid w:val="004F133C"/>
    <w:rsid w:val="004F13DC"/>
    <w:rsid w:val="004F13F3"/>
    <w:rsid w:val="004F15F4"/>
    <w:rsid w:val="004F160C"/>
    <w:rsid w:val="004F1678"/>
    <w:rsid w:val="004F1742"/>
    <w:rsid w:val="004F176D"/>
    <w:rsid w:val="004F1988"/>
    <w:rsid w:val="004F1A01"/>
    <w:rsid w:val="004F1AE9"/>
    <w:rsid w:val="004F1BC0"/>
    <w:rsid w:val="004F1D24"/>
    <w:rsid w:val="004F1F65"/>
    <w:rsid w:val="004F1FF4"/>
    <w:rsid w:val="004F214D"/>
    <w:rsid w:val="004F2245"/>
    <w:rsid w:val="004F2388"/>
    <w:rsid w:val="004F24CE"/>
    <w:rsid w:val="004F2631"/>
    <w:rsid w:val="004F2950"/>
    <w:rsid w:val="004F2A6D"/>
    <w:rsid w:val="004F2BAF"/>
    <w:rsid w:val="004F2C6E"/>
    <w:rsid w:val="004F2CF8"/>
    <w:rsid w:val="004F2F51"/>
    <w:rsid w:val="004F2FA6"/>
    <w:rsid w:val="004F3081"/>
    <w:rsid w:val="004F3097"/>
    <w:rsid w:val="004F30E9"/>
    <w:rsid w:val="004F3266"/>
    <w:rsid w:val="004F3337"/>
    <w:rsid w:val="004F33E1"/>
    <w:rsid w:val="004F351D"/>
    <w:rsid w:val="004F3563"/>
    <w:rsid w:val="004F3615"/>
    <w:rsid w:val="004F392D"/>
    <w:rsid w:val="004F3A45"/>
    <w:rsid w:val="004F3B83"/>
    <w:rsid w:val="004F3CCD"/>
    <w:rsid w:val="004F3D6B"/>
    <w:rsid w:val="004F3EB1"/>
    <w:rsid w:val="004F43BD"/>
    <w:rsid w:val="004F4406"/>
    <w:rsid w:val="004F4670"/>
    <w:rsid w:val="004F478D"/>
    <w:rsid w:val="004F484C"/>
    <w:rsid w:val="004F4A00"/>
    <w:rsid w:val="004F4AE2"/>
    <w:rsid w:val="004F5179"/>
    <w:rsid w:val="004F5250"/>
    <w:rsid w:val="004F5284"/>
    <w:rsid w:val="004F5308"/>
    <w:rsid w:val="004F5393"/>
    <w:rsid w:val="004F5487"/>
    <w:rsid w:val="004F54F1"/>
    <w:rsid w:val="004F5551"/>
    <w:rsid w:val="004F5C48"/>
    <w:rsid w:val="004F5FB0"/>
    <w:rsid w:val="004F6015"/>
    <w:rsid w:val="004F608E"/>
    <w:rsid w:val="004F621C"/>
    <w:rsid w:val="004F63C5"/>
    <w:rsid w:val="004F6972"/>
    <w:rsid w:val="004F6A15"/>
    <w:rsid w:val="004F6B14"/>
    <w:rsid w:val="004F6D07"/>
    <w:rsid w:val="004F6D5F"/>
    <w:rsid w:val="004F6DE2"/>
    <w:rsid w:val="004F6FEF"/>
    <w:rsid w:val="004F7058"/>
    <w:rsid w:val="004F7115"/>
    <w:rsid w:val="004F7116"/>
    <w:rsid w:val="004F715B"/>
    <w:rsid w:val="004F72C7"/>
    <w:rsid w:val="004F7521"/>
    <w:rsid w:val="004F7742"/>
    <w:rsid w:val="004F793F"/>
    <w:rsid w:val="004F7950"/>
    <w:rsid w:val="004F7B92"/>
    <w:rsid w:val="004F7C5B"/>
    <w:rsid w:val="004F7CDE"/>
    <w:rsid w:val="004F7E2E"/>
    <w:rsid w:val="004F7E84"/>
    <w:rsid w:val="0050007D"/>
    <w:rsid w:val="005001F9"/>
    <w:rsid w:val="005002B9"/>
    <w:rsid w:val="005002D3"/>
    <w:rsid w:val="00500323"/>
    <w:rsid w:val="00500348"/>
    <w:rsid w:val="005003CB"/>
    <w:rsid w:val="005003FC"/>
    <w:rsid w:val="0050042D"/>
    <w:rsid w:val="005004C9"/>
    <w:rsid w:val="005004F4"/>
    <w:rsid w:val="00500533"/>
    <w:rsid w:val="005006D0"/>
    <w:rsid w:val="005007E4"/>
    <w:rsid w:val="00500807"/>
    <w:rsid w:val="00500A48"/>
    <w:rsid w:val="00500A59"/>
    <w:rsid w:val="00500C6D"/>
    <w:rsid w:val="00500CCB"/>
    <w:rsid w:val="00501513"/>
    <w:rsid w:val="00501631"/>
    <w:rsid w:val="005016C9"/>
    <w:rsid w:val="0050189A"/>
    <w:rsid w:val="005018C9"/>
    <w:rsid w:val="00501946"/>
    <w:rsid w:val="00501A8B"/>
    <w:rsid w:val="00501CC2"/>
    <w:rsid w:val="00501F5B"/>
    <w:rsid w:val="00502046"/>
    <w:rsid w:val="005023A0"/>
    <w:rsid w:val="00502446"/>
    <w:rsid w:val="00502512"/>
    <w:rsid w:val="00502602"/>
    <w:rsid w:val="00502AA3"/>
    <w:rsid w:val="00502C16"/>
    <w:rsid w:val="00502F44"/>
    <w:rsid w:val="005031A1"/>
    <w:rsid w:val="005031DB"/>
    <w:rsid w:val="005031E2"/>
    <w:rsid w:val="005033D2"/>
    <w:rsid w:val="00503431"/>
    <w:rsid w:val="00503753"/>
    <w:rsid w:val="0050375A"/>
    <w:rsid w:val="005037B7"/>
    <w:rsid w:val="005038A2"/>
    <w:rsid w:val="00503A3F"/>
    <w:rsid w:val="005040DA"/>
    <w:rsid w:val="00504349"/>
    <w:rsid w:val="00504353"/>
    <w:rsid w:val="0050435C"/>
    <w:rsid w:val="00504518"/>
    <w:rsid w:val="005045ED"/>
    <w:rsid w:val="0050461D"/>
    <w:rsid w:val="0050462D"/>
    <w:rsid w:val="00504687"/>
    <w:rsid w:val="0050485E"/>
    <w:rsid w:val="00504AD8"/>
    <w:rsid w:val="00504CF8"/>
    <w:rsid w:val="00504D7B"/>
    <w:rsid w:val="00504E9A"/>
    <w:rsid w:val="00505470"/>
    <w:rsid w:val="00505677"/>
    <w:rsid w:val="00505808"/>
    <w:rsid w:val="00505848"/>
    <w:rsid w:val="00505884"/>
    <w:rsid w:val="005058AC"/>
    <w:rsid w:val="00505935"/>
    <w:rsid w:val="00505D88"/>
    <w:rsid w:val="00505D96"/>
    <w:rsid w:val="00505EE6"/>
    <w:rsid w:val="00505EFE"/>
    <w:rsid w:val="00505FEE"/>
    <w:rsid w:val="005060A2"/>
    <w:rsid w:val="005060F8"/>
    <w:rsid w:val="0050615B"/>
    <w:rsid w:val="00506169"/>
    <w:rsid w:val="0050620F"/>
    <w:rsid w:val="00506315"/>
    <w:rsid w:val="00506373"/>
    <w:rsid w:val="0050638B"/>
    <w:rsid w:val="00506655"/>
    <w:rsid w:val="00506663"/>
    <w:rsid w:val="005067CA"/>
    <w:rsid w:val="005068CC"/>
    <w:rsid w:val="00506CF1"/>
    <w:rsid w:val="00506D7E"/>
    <w:rsid w:val="00506E0B"/>
    <w:rsid w:val="00507322"/>
    <w:rsid w:val="005074B3"/>
    <w:rsid w:val="005074DD"/>
    <w:rsid w:val="00507571"/>
    <w:rsid w:val="00507597"/>
    <w:rsid w:val="0050761F"/>
    <w:rsid w:val="00507767"/>
    <w:rsid w:val="00507855"/>
    <w:rsid w:val="00507865"/>
    <w:rsid w:val="005078C1"/>
    <w:rsid w:val="00507915"/>
    <w:rsid w:val="005079BC"/>
    <w:rsid w:val="00507BFA"/>
    <w:rsid w:val="00507D46"/>
    <w:rsid w:val="00507E6E"/>
    <w:rsid w:val="00507FE4"/>
    <w:rsid w:val="0051014E"/>
    <w:rsid w:val="0051028E"/>
    <w:rsid w:val="005103AB"/>
    <w:rsid w:val="0051043F"/>
    <w:rsid w:val="005106ED"/>
    <w:rsid w:val="00510919"/>
    <w:rsid w:val="005109FA"/>
    <w:rsid w:val="00510A8F"/>
    <w:rsid w:val="00510B36"/>
    <w:rsid w:val="00510DBE"/>
    <w:rsid w:val="00510F83"/>
    <w:rsid w:val="0051103C"/>
    <w:rsid w:val="0051104C"/>
    <w:rsid w:val="005112F7"/>
    <w:rsid w:val="005114D3"/>
    <w:rsid w:val="005116B5"/>
    <w:rsid w:val="00511C9C"/>
    <w:rsid w:val="00511F07"/>
    <w:rsid w:val="00512016"/>
    <w:rsid w:val="00512077"/>
    <w:rsid w:val="00512135"/>
    <w:rsid w:val="00512716"/>
    <w:rsid w:val="00512810"/>
    <w:rsid w:val="005129C1"/>
    <w:rsid w:val="00512AF4"/>
    <w:rsid w:val="00512E80"/>
    <w:rsid w:val="00512F9E"/>
    <w:rsid w:val="0051306F"/>
    <w:rsid w:val="005131CD"/>
    <w:rsid w:val="005131DF"/>
    <w:rsid w:val="005132A3"/>
    <w:rsid w:val="005134FE"/>
    <w:rsid w:val="00513624"/>
    <w:rsid w:val="005138F0"/>
    <w:rsid w:val="00513981"/>
    <w:rsid w:val="005139DC"/>
    <w:rsid w:val="00513CA6"/>
    <w:rsid w:val="00513F54"/>
    <w:rsid w:val="00514019"/>
    <w:rsid w:val="00514029"/>
    <w:rsid w:val="00514061"/>
    <w:rsid w:val="005140FC"/>
    <w:rsid w:val="00514141"/>
    <w:rsid w:val="0051414A"/>
    <w:rsid w:val="00514211"/>
    <w:rsid w:val="005142FA"/>
    <w:rsid w:val="00514437"/>
    <w:rsid w:val="00514725"/>
    <w:rsid w:val="00514881"/>
    <w:rsid w:val="00514DE0"/>
    <w:rsid w:val="00514E51"/>
    <w:rsid w:val="00514EE2"/>
    <w:rsid w:val="0051500E"/>
    <w:rsid w:val="0051510B"/>
    <w:rsid w:val="00515118"/>
    <w:rsid w:val="00515214"/>
    <w:rsid w:val="005152E5"/>
    <w:rsid w:val="005153A7"/>
    <w:rsid w:val="005153F7"/>
    <w:rsid w:val="005155E4"/>
    <w:rsid w:val="005157ED"/>
    <w:rsid w:val="005158BE"/>
    <w:rsid w:val="00515966"/>
    <w:rsid w:val="00515B04"/>
    <w:rsid w:val="00515D84"/>
    <w:rsid w:val="00515E8F"/>
    <w:rsid w:val="00515F10"/>
    <w:rsid w:val="00516438"/>
    <w:rsid w:val="00516500"/>
    <w:rsid w:val="00516802"/>
    <w:rsid w:val="00516906"/>
    <w:rsid w:val="00516AD1"/>
    <w:rsid w:val="00516B22"/>
    <w:rsid w:val="00516B75"/>
    <w:rsid w:val="00516C2C"/>
    <w:rsid w:val="00516F6B"/>
    <w:rsid w:val="00517033"/>
    <w:rsid w:val="00517372"/>
    <w:rsid w:val="0051746D"/>
    <w:rsid w:val="00517529"/>
    <w:rsid w:val="0051757A"/>
    <w:rsid w:val="005175D0"/>
    <w:rsid w:val="005175FE"/>
    <w:rsid w:val="00517691"/>
    <w:rsid w:val="005176FC"/>
    <w:rsid w:val="00517940"/>
    <w:rsid w:val="00517992"/>
    <w:rsid w:val="00517A79"/>
    <w:rsid w:val="00517B96"/>
    <w:rsid w:val="00517BF2"/>
    <w:rsid w:val="00517F11"/>
    <w:rsid w:val="00520290"/>
    <w:rsid w:val="00520488"/>
    <w:rsid w:val="005204D7"/>
    <w:rsid w:val="005205D8"/>
    <w:rsid w:val="0052096D"/>
    <w:rsid w:val="00520976"/>
    <w:rsid w:val="00520A52"/>
    <w:rsid w:val="00520A71"/>
    <w:rsid w:val="00520AA1"/>
    <w:rsid w:val="00520AD7"/>
    <w:rsid w:val="00520B49"/>
    <w:rsid w:val="00520C45"/>
    <w:rsid w:val="00520C6E"/>
    <w:rsid w:val="00520D8A"/>
    <w:rsid w:val="00521240"/>
    <w:rsid w:val="005212C7"/>
    <w:rsid w:val="005212D1"/>
    <w:rsid w:val="0052149F"/>
    <w:rsid w:val="005219BF"/>
    <w:rsid w:val="00521CE6"/>
    <w:rsid w:val="00521D5E"/>
    <w:rsid w:val="00521EB4"/>
    <w:rsid w:val="00521F16"/>
    <w:rsid w:val="00521FC9"/>
    <w:rsid w:val="00522078"/>
    <w:rsid w:val="0052208C"/>
    <w:rsid w:val="005223CF"/>
    <w:rsid w:val="00522640"/>
    <w:rsid w:val="00522735"/>
    <w:rsid w:val="00522C1A"/>
    <w:rsid w:val="00522C80"/>
    <w:rsid w:val="00522E14"/>
    <w:rsid w:val="00522E9A"/>
    <w:rsid w:val="00522F90"/>
    <w:rsid w:val="0052312D"/>
    <w:rsid w:val="00523231"/>
    <w:rsid w:val="005233B6"/>
    <w:rsid w:val="005235FB"/>
    <w:rsid w:val="00523639"/>
    <w:rsid w:val="00523787"/>
    <w:rsid w:val="005237B5"/>
    <w:rsid w:val="00523876"/>
    <w:rsid w:val="00523BDF"/>
    <w:rsid w:val="00523C12"/>
    <w:rsid w:val="00523C6F"/>
    <w:rsid w:val="00523D05"/>
    <w:rsid w:val="00523DC5"/>
    <w:rsid w:val="00523EF5"/>
    <w:rsid w:val="005240D6"/>
    <w:rsid w:val="005241B8"/>
    <w:rsid w:val="0052433C"/>
    <w:rsid w:val="005243C8"/>
    <w:rsid w:val="00524454"/>
    <w:rsid w:val="005244AB"/>
    <w:rsid w:val="00524536"/>
    <w:rsid w:val="00524755"/>
    <w:rsid w:val="0052493B"/>
    <w:rsid w:val="00524B53"/>
    <w:rsid w:val="00524B8E"/>
    <w:rsid w:val="00524CBB"/>
    <w:rsid w:val="00524CE3"/>
    <w:rsid w:val="00524DB5"/>
    <w:rsid w:val="005251BD"/>
    <w:rsid w:val="005251C4"/>
    <w:rsid w:val="005252FB"/>
    <w:rsid w:val="00525544"/>
    <w:rsid w:val="00525640"/>
    <w:rsid w:val="00525723"/>
    <w:rsid w:val="00525855"/>
    <w:rsid w:val="0052595E"/>
    <w:rsid w:val="00525A5A"/>
    <w:rsid w:val="00525B59"/>
    <w:rsid w:val="00525C96"/>
    <w:rsid w:val="00525CD0"/>
    <w:rsid w:val="00525D02"/>
    <w:rsid w:val="00525D46"/>
    <w:rsid w:val="00525DF6"/>
    <w:rsid w:val="00525E0B"/>
    <w:rsid w:val="00525F5A"/>
    <w:rsid w:val="00526068"/>
    <w:rsid w:val="0052608A"/>
    <w:rsid w:val="00526282"/>
    <w:rsid w:val="00526306"/>
    <w:rsid w:val="005264E5"/>
    <w:rsid w:val="00526844"/>
    <w:rsid w:val="00526ABA"/>
    <w:rsid w:val="00526B82"/>
    <w:rsid w:val="00526C3D"/>
    <w:rsid w:val="00526C3F"/>
    <w:rsid w:val="00526DDA"/>
    <w:rsid w:val="00526EEC"/>
    <w:rsid w:val="00527169"/>
    <w:rsid w:val="005271A3"/>
    <w:rsid w:val="005271A7"/>
    <w:rsid w:val="005271F6"/>
    <w:rsid w:val="0052728B"/>
    <w:rsid w:val="005273DB"/>
    <w:rsid w:val="0052745A"/>
    <w:rsid w:val="005275AE"/>
    <w:rsid w:val="00527718"/>
    <w:rsid w:val="00527740"/>
    <w:rsid w:val="005279DD"/>
    <w:rsid w:val="00527A38"/>
    <w:rsid w:val="00527AC4"/>
    <w:rsid w:val="00527B65"/>
    <w:rsid w:val="00527CC6"/>
    <w:rsid w:val="00527D0A"/>
    <w:rsid w:val="00527F98"/>
    <w:rsid w:val="0053014D"/>
    <w:rsid w:val="005302DC"/>
    <w:rsid w:val="005302EA"/>
    <w:rsid w:val="005303E4"/>
    <w:rsid w:val="0053047E"/>
    <w:rsid w:val="0053051B"/>
    <w:rsid w:val="00530521"/>
    <w:rsid w:val="005307CF"/>
    <w:rsid w:val="0053085F"/>
    <w:rsid w:val="005308A0"/>
    <w:rsid w:val="0053091F"/>
    <w:rsid w:val="0053099F"/>
    <w:rsid w:val="005309C9"/>
    <w:rsid w:val="00530C28"/>
    <w:rsid w:val="0053101F"/>
    <w:rsid w:val="0053107D"/>
    <w:rsid w:val="00531467"/>
    <w:rsid w:val="0053153E"/>
    <w:rsid w:val="005315AF"/>
    <w:rsid w:val="005318B5"/>
    <w:rsid w:val="0053192D"/>
    <w:rsid w:val="00531CA5"/>
    <w:rsid w:val="00531E25"/>
    <w:rsid w:val="00531E4F"/>
    <w:rsid w:val="00531E81"/>
    <w:rsid w:val="00531F84"/>
    <w:rsid w:val="00531FA8"/>
    <w:rsid w:val="00532105"/>
    <w:rsid w:val="00532159"/>
    <w:rsid w:val="00532163"/>
    <w:rsid w:val="005324B0"/>
    <w:rsid w:val="005326A0"/>
    <w:rsid w:val="005327B4"/>
    <w:rsid w:val="005327B9"/>
    <w:rsid w:val="0053288D"/>
    <w:rsid w:val="0053296F"/>
    <w:rsid w:val="00532B1C"/>
    <w:rsid w:val="00532C67"/>
    <w:rsid w:val="00532CFC"/>
    <w:rsid w:val="00532DD6"/>
    <w:rsid w:val="00532EFF"/>
    <w:rsid w:val="00532FB3"/>
    <w:rsid w:val="00533123"/>
    <w:rsid w:val="00533401"/>
    <w:rsid w:val="005334A5"/>
    <w:rsid w:val="00533571"/>
    <w:rsid w:val="00533937"/>
    <w:rsid w:val="00533A8E"/>
    <w:rsid w:val="00533AAC"/>
    <w:rsid w:val="00533AD8"/>
    <w:rsid w:val="00533B88"/>
    <w:rsid w:val="00533BD7"/>
    <w:rsid w:val="00533C8A"/>
    <w:rsid w:val="00533D4A"/>
    <w:rsid w:val="00533DFE"/>
    <w:rsid w:val="00534032"/>
    <w:rsid w:val="00534163"/>
    <w:rsid w:val="00534183"/>
    <w:rsid w:val="00534304"/>
    <w:rsid w:val="00534437"/>
    <w:rsid w:val="005344B4"/>
    <w:rsid w:val="005344CC"/>
    <w:rsid w:val="005345FE"/>
    <w:rsid w:val="0053471A"/>
    <w:rsid w:val="00534814"/>
    <w:rsid w:val="00534946"/>
    <w:rsid w:val="00534982"/>
    <w:rsid w:val="00534A51"/>
    <w:rsid w:val="00534BC4"/>
    <w:rsid w:val="00534D05"/>
    <w:rsid w:val="00534D6A"/>
    <w:rsid w:val="0053502B"/>
    <w:rsid w:val="00535414"/>
    <w:rsid w:val="00535590"/>
    <w:rsid w:val="005355D4"/>
    <w:rsid w:val="00535623"/>
    <w:rsid w:val="005357F6"/>
    <w:rsid w:val="00535806"/>
    <w:rsid w:val="00535AD1"/>
    <w:rsid w:val="00535AD7"/>
    <w:rsid w:val="00535E58"/>
    <w:rsid w:val="00535EA7"/>
    <w:rsid w:val="00535F71"/>
    <w:rsid w:val="00535FAE"/>
    <w:rsid w:val="00536194"/>
    <w:rsid w:val="005361BE"/>
    <w:rsid w:val="0053627C"/>
    <w:rsid w:val="005363D7"/>
    <w:rsid w:val="005365CA"/>
    <w:rsid w:val="00536653"/>
    <w:rsid w:val="00536783"/>
    <w:rsid w:val="005369F1"/>
    <w:rsid w:val="00536AD1"/>
    <w:rsid w:val="00536C93"/>
    <w:rsid w:val="00536DD6"/>
    <w:rsid w:val="00536DDD"/>
    <w:rsid w:val="00536F90"/>
    <w:rsid w:val="00536FFD"/>
    <w:rsid w:val="00537037"/>
    <w:rsid w:val="0053706C"/>
    <w:rsid w:val="005370EB"/>
    <w:rsid w:val="00537181"/>
    <w:rsid w:val="00537187"/>
    <w:rsid w:val="0053732D"/>
    <w:rsid w:val="005373DD"/>
    <w:rsid w:val="005377AA"/>
    <w:rsid w:val="00537B62"/>
    <w:rsid w:val="00537BC5"/>
    <w:rsid w:val="00540076"/>
    <w:rsid w:val="005400A6"/>
    <w:rsid w:val="005400FA"/>
    <w:rsid w:val="00540337"/>
    <w:rsid w:val="0054043C"/>
    <w:rsid w:val="00540530"/>
    <w:rsid w:val="00540667"/>
    <w:rsid w:val="00540814"/>
    <w:rsid w:val="0054082A"/>
    <w:rsid w:val="005409FB"/>
    <w:rsid w:val="00540B92"/>
    <w:rsid w:val="00540D56"/>
    <w:rsid w:val="00540EA3"/>
    <w:rsid w:val="00540FB7"/>
    <w:rsid w:val="00541488"/>
    <w:rsid w:val="0054154C"/>
    <w:rsid w:val="00541673"/>
    <w:rsid w:val="0054167E"/>
    <w:rsid w:val="005416A1"/>
    <w:rsid w:val="005416C1"/>
    <w:rsid w:val="00541969"/>
    <w:rsid w:val="005419D9"/>
    <w:rsid w:val="00541B32"/>
    <w:rsid w:val="00541B51"/>
    <w:rsid w:val="00541D25"/>
    <w:rsid w:val="00541D2B"/>
    <w:rsid w:val="00541DC6"/>
    <w:rsid w:val="00541EB9"/>
    <w:rsid w:val="00541F39"/>
    <w:rsid w:val="00541F7F"/>
    <w:rsid w:val="00542187"/>
    <w:rsid w:val="005421D9"/>
    <w:rsid w:val="00542210"/>
    <w:rsid w:val="00542362"/>
    <w:rsid w:val="00542423"/>
    <w:rsid w:val="00542645"/>
    <w:rsid w:val="00542683"/>
    <w:rsid w:val="005426AD"/>
    <w:rsid w:val="0054275F"/>
    <w:rsid w:val="005427B7"/>
    <w:rsid w:val="00542990"/>
    <w:rsid w:val="005429F6"/>
    <w:rsid w:val="00542B77"/>
    <w:rsid w:val="00542BBB"/>
    <w:rsid w:val="00542D5B"/>
    <w:rsid w:val="00542DA6"/>
    <w:rsid w:val="00542DBD"/>
    <w:rsid w:val="0054317C"/>
    <w:rsid w:val="00543343"/>
    <w:rsid w:val="0054345F"/>
    <w:rsid w:val="00543564"/>
    <w:rsid w:val="00543647"/>
    <w:rsid w:val="00543652"/>
    <w:rsid w:val="0054370A"/>
    <w:rsid w:val="0054373A"/>
    <w:rsid w:val="00543892"/>
    <w:rsid w:val="00543917"/>
    <w:rsid w:val="00543978"/>
    <w:rsid w:val="00543AEC"/>
    <w:rsid w:val="00543B47"/>
    <w:rsid w:val="00543B60"/>
    <w:rsid w:val="00543C33"/>
    <w:rsid w:val="00543C79"/>
    <w:rsid w:val="00543E25"/>
    <w:rsid w:val="00543FC1"/>
    <w:rsid w:val="00544108"/>
    <w:rsid w:val="00544221"/>
    <w:rsid w:val="0054423B"/>
    <w:rsid w:val="00544324"/>
    <w:rsid w:val="00544386"/>
    <w:rsid w:val="00544493"/>
    <w:rsid w:val="005445BA"/>
    <w:rsid w:val="00544605"/>
    <w:rsid w:val="005446B5"/>
    <w:rsid w:val="0054488C"/>
    <w:rsid w:val="005448DE"/>
    <w:rsid w:val="00544A02"/>
    <w:rsid w:val="00544AD4"/>
    <w:rsid w:val="00544BBA"/>
    <w:rsid w:val="00544BD0"/>
    <w:rsid w:val="00544C58"/>
    <w:rsid w:val="005452EC"/>
    <w:rsid w:val="005453ED"/>
    <w:rsid w:val="00545415"/>
    <w:rsid w:val="0054561F"/>
    <w:rsid w:val="00545643"/>
    <w:rsid w:val="00545675"/>
    <w:rsid w:val="00545687"/>
    <w:rsid w:val="005458FB"/>
    <w:rsid w:val="00545BD4"/>
    <w:rsid w:val="00545EF6"/>
    <w:rsid w:val="00546203"/>
    <w:rsid w:val="00546552"/>
    <w:rsid w:val="00546687"/>
    <w:rsid w:val="00546769"/>
    <w:rsid w:val="00546B58"/>
    <w:rsid w:val="00546B6E"/>
    <w:rsid w:val="00546CCA"/>
    <w:rsid w:val="00546CEF"/>
    <w:rsid w:val="00546FC5"/>
    <w:rsid w:val="0054701A"/>
    <w:rsid w:val="00547555"/>
    <w:rsid w:val="00547596"/>
    <w:rsid w:val="00547654"/>
    <w:rsid w:val="0054765C"/>
    <w:rsid w:val="00547790"/>
    <w:rsid w:val="005478B4"/>
    <w:rsid w:val="00547A1C"/>
    <w:rsid w:val="00547A57"/>
    <w:rsid w:val="00547B9F"/>
    <w:rsid w:val="00547D39"/>
    <w:rsid w:val="00547D9F"/>
    <w:rsid w:val="00547DBE"/>
    <w:rsid w:val="00547DEE"/>
    <w:rsid w:val="0055011D"/>
    <w:rsid w:val="0055016D"/>
    <w:rsid w:val="005503DF"/>
    <w:rsid w:val="005504AE"/>
    <w:rsid w:val="0055064B"/>
    <w:rsid w:val="0055073C"/>
    <w:rsid w:val="00550934"/>
    <w:rsid w:val="0055097F"/>
    <w:rsid w:val="00550DFB"/>
    <w:rsid w:val="00550F7C"/>
    <w:rsid w:val="005513A6"/>
    <w:rsid w:val="00551554"/>
    <w:rsid w:val="0055156C"/>
    <w:rsid w:val="0055161B"/>
    <w:rsid w:val="005517AA"/>
    <w:rsid w:val="005519EE"/>
    <w:rsid w:val="00551A7D"/>
    <w:rsid w:val="00551C22"/>
    <w:rsid w:val="00551CFA"/>
    <w:rsid w:val="00551D9B"/>
    <w:rsid w:val="00551E7D"/>
    <w:rsid w:val="00551ED3"/>
    <w:rsid w:val="0055209D"/>
    <w:rsid w:val="0055218D"/>
    <w:rsid w:val="005523D2"/>
    <w:rsid w:val="005523EF"/>
    <w:rsid w:val="0055240B"/>
    <w:rsid w:val="0055244B"/>
    <w:rsid w:val="0055256D"/>
    <w:rsid w:val="005527EF"/>
    <w:rsid w:val="00552840"/>
    <w:rsid w:val="00552871"/>
    <w:rsid w:val="005529D9"/>
    <w:rsid w:val="00552B1C"/>
    <w:rsid w:val="00552B93"/>
    <w:rsid w:val="00552DDC"/>
    <w:rsid w:val="0055303F"/>
    <w:rsid w:val="0055307B"/>
    <w:rsid w:val="0055308E"/>
    <w:rsid w:val="00553124"/>
    <w:rsid w:val="0055316F"/>
    <w:rsid w:val="005532C3"/>
    <w:rsid w:val="0055338A"/>
    <w:rsid w:val="00553570"/>
    <w:rsid w:val="005535E4"/>
    <w:rsid w:val="00553688"/>
    <w:rsid w:val="00553807"/>
    <w:rsid w:val="00553854"/>
    <w:rsid w:val="005538C1"/>
    <w:rsid w:val="00553C18"/>
    <w:rsid w:val="00553D33"/>
    <w:rsid w:val="00553DFB"/>
    <w:rsid w:val="00553E38"/>
    <w:rsid w:val="00553E60"/>
    <w:rsid w:val="0055448E"/>
    <w:rsid w:val="005544AE"/>
    <w:rsid w:val="005544E9"/>
    <w:rsid w:val="0055450C"/>
    <w:rsid w:val="0055456B"/>
    <w:rsid w:val="00554601"/>
    <w:rsid w:val="005546D1"/>
    <w:rsid w:val="00554796"/>
    <w:rsid w:val="00554843"/>
    <w:rsid w:val="00554A97"/>
    <w:rsid w:val="00554B2E"/>
    <w:rsid w:val="00554B30"/>
    <w:rsid w:val="00554BC1"/>
    <w:rsid w:val="00554DE0"/>
    <w:rsid w:val="00554E27"/>
    <w:rsid w:val="00554E67"/>
    <w:rsid w:val="00554ED5"/>
    <w:rsid w:val="00554FF8"/>
    <w:rsid w:val="0055507D"/>
    <w:rsid w:val="00555087"/>
    <w:rsid w:val="00555091"/>
    <w:rsid w:val="00555221"/>
    <w:rsid w:val="0055533C"/>
    <w:rsid w:val="00555608"/>
    <w:rsid w:val="00555663"/>
    <w:rsid w:val="005556F6"/>
    <w:rsid w:val="005557A5"/>
    <w:rsid w:val="005559F7"/>
    <w:rsid w:val="00555A06"/>
    <w:rsid w:val="00555A44"/>
    <w:rsid w:val="00555BE0"/>
    <w:rsid w:val="00555C8A"/>
    <w:rsid w:val="00556018"/>
    <w:rsid w:val="005563FB"/>
    <w:rsid w:val="00556467"/>
    <w:rsid w:val="0055648F"/>
    <w:rsid w:val="00556497"/>
    <w:rsid w:val="0055656A"/>
    <w:rsid w:val="0055675E"/>
    <w:rsid w:val="00556C98"/>
    <w:rsid w:val="00556F1A"/>
    <w:rsid w:val="00556F65"/>
    <w:rsid w:val="00556FDE"/>
    <w:rsid w:val="00557089"/>
    <w:rsid w:val="0055715B"/>
    <w:rsid w:val="005574DE"/>
    <w:rsid w:val="0055754B"/>
    <w:rsid w:val="005577A4"/>
    <w:rsid w:val="005578A4"/>
    <w:rsid w:val="005578F6"/>
    <w:rsid w:val="00557EAE"/>
    <w:rsid w:val="005602BD"/>
    <w:rsid w:val="005603D2"/>
    <w:rsid w:val="00560416"/>
    <w:rsid w:val="005605AB"/>
    <w:rsid w:val="0056076A"/>
    <w:rsid w:val="00560808"/>
    <w:rsid w:val="0056084B"/>
    <w:rsid w:val="00560852"/>
    <w:rsid w:val="005608AE"/>
    <w:rsid w:val="005608FE"/>
    <w:rsid w:val="00560936"/>
    <w:rsid w:val="00560AB5"/>
    <w:rsid w:val="00560D7C"/>
    <w:rsid w:val="00560E55"/>
    <w:rsid w:val="00560E85"/>
    <w:rsid w:val="00560E98"/>
    <w:rsid w:val="00560FA7"/>
    <w:rsid w:val="00560FE5"/>
    <w:rsid w:val="0056116C"/>
    <w:rsid w:val="005611C6"/>
    <w:rsid w:val="005612A4"/>
    <w:rsid w:val="00561442"/>
    <w:rsid w:val="005614AB"/>
    <w:rsid w:val="005615DB"/>
    <w:rsid w:val="00561771"/>
    <w:rsid w:val="0056188C"/>
    <w:rsid w:val="00561AEE"/>
    <w:rsid w:val="00561C4A"/>
    <w:rsid w:val="00561EF4"/>
    <w:rsid w:val="00561F8B"/>
    <w:rsid w:val="005620D3"/>
    <w:rsid w:val="00562196"/>
    <w:rsid w:val="005621C6"/>
    <w:rsid w:val="00562702"/>
    <w:rsid w:val="0056277C"/>
    <w:rsid w:val="005627E1"/>
    <w:rsid w:val="005628C0"/>
    <w:rsid w:val="00562B00"/>
    <w:rsid w:val="00562B72"/>
    <w:rsid w:val="00562C0E"/>
    <w:rsid w:val="00562C9F"/>
    <w:rsid w:val="00562DDD"/>
    <w:rsid w:val="00562EDB"/>
    <w:rsid w:val="005630DE"/>
    <w:rsid w:val="005631BE"/>
    <w:rsid w:val="005631BF"/>
    <w:rsid w:val="005631F6"/>
    <w:rsid w:val="0056321F"/>
    <w:rsid w:val="005633E7"/>
    <w:rsid w:val="0056356F"/>
    <w:rsid w:val="0056365D"/>
    <w:rsid w:val="0056387F"/>
    <w:rsid w:val="00563991"/>
    <w:rsid w:val="00563BA4"/>
    <w:rsid w:val="00563C7C"/>
    <w:rsid w:val="00563E70"/>
    <w:rsid w:val="00563ED6"/>
    <w:rsid w:val="005641B0"/>
    <w:rsid w:val="005641FA"/>
    <w:rsid w:val="00564255"/>
    <w:rsid w:val="0056454E"/>
    <w:rsid w:val="00564894"/>
    <w:rsid w:val="00564942"/>
    <w:rsid w:val="00564AF3"/>
    <w:rsid w:val="00564DAE"/>
    <w:rsid w:val="00564EBF"/>
    <w:rsid w:val="00564F8E"/>
    <w:rsid w:val="0056515C"/>
    <w:rsid w:val="00565217"/>
    <w:rsid w:val="00565359"/>
    <w:rsid w:val="005655F1"/>
    <w:rsid w:val="005656A6"/>
    <w:rsid w:val="00565DFC"/>
    <w:rsid w:val="00565F6E"/>
    <w:rsid w:val="00566369"/>
    <w:rsid w:val="0056643C"/>
    <w:rsid w:val="00566673"/>
    <w:rsid w:val="00566816"/>
    <w:rsid w:val="005668D1"/>
    <w:rsid w:val="005668FB"/>
    <w:rsid w:val="00566995"/>
    <w:rsid w:val="005669F2"/>
    <w:rsid w:val="00566BFF"/>
    <w:rsid w:val="00566CF5"/>
    <w:rsid w:val="00566D4E"/>
    <w:rsid w:val="00566FC5"/>
    <w:rsid w:val="0056736D"/>
    <w:rsid w:val="0056748C"/>
    <w:rsid w:val="005674C8"/>
    <w:rsid w:val="00567532"/>
    <w:rsid w:val="0056754B"/>
    <w:rsid w:val="00567884"/>
    <w:rsid w:val="00567A17"/>
    <w:rsid w:val="00567CED"/>
    <w:rsid w:val="00567E18"/>
    <w:rsid w:val="00567EDA"/>
    <w:rsid w:val="005701C9"/>
    <w:rsid w:val="005701D5"/>
    <w:rsid w:val="005701FE"/>
    <w:rsid w:val="00570359"/>
    <w:rsid w:val="0057039D"/>
    <w:rsid w:val="005703C5"/>
    <w:rsid w:val="00570413"/>
    <w:rsid w:val="00570728"/>
    <w:rsid w:val="00570795"/>
    <w:rsid w:val="005709AE"/>
    <w:rsid w:val="005709BA"/>
    <w:rsid w:val="00570B35"/>
    <w:rsid w:val="00570BCA"/>
    <w:rsid w:val="00570C72"/>
    <w:rsid w:val="00570FB7"/>
    <w:rsid w:val="00571169"/>
    <w:rsid w:val="005714F7"/>
    <w:rsid w:val="0057157E"/>
    <w:rsid w:val="00571835"/>
    <w:rsid w:val="005718D1"/>
    <w:rsid w:val="00571B26"/>
    <w:rsid w:val="00571BD1"/>
    <w:rsid w:val="00571C42"/>
    <w:rsid w:val="00571C74"/>
    <w:rsid w:val="00571DB3"/>
    <w:rsid w:val="00571E03"/>
    <w:rsid w:val="00571F6F"/>
    <w:rsid w:val="005720A7"/>
    <w:rsid w:val="005721DD"/>
    <w:rsid w:val="005722B3"/>
    <w:rsid w:val="005722C6"/>
    <w:rsid w:val="0057230C"/>
    <w:rsid w:val="005723EC"/>
    <w:rsid w:val="00572A21"/>
    <w:rsid w:val="00572AFA"/>
    <w:rsid w:val="00572C0F"/>
    <w:rsid w:val="00572D60"/>
    <w:rsid w:val="00572DC8"/>
    <w:rsid w:val="00572E9E"/>
    <w:rsid w:val="00572F50"/>
    <w:rsid w:val="0057316F"/>
    <w:rsid w:val="00573265"/>
    <w:rsid w:val="005732DF"/>
    <w:rsid w:val="0057330E"/>
    <w:rsid w:val="005734FE"/>
    <w:rsid w:val="00573578"/>
    <w:rsid w:val="00573737"/>
    <w:rsid w:val="00573751"/>
    <w:rsid w:val="005738A1"/>
    <w:rsid w:val="00573953"/>
    <w:rsid w:val="00573A71"/>
    <w:rsid w:val="00573CFD"/>
    <w:rsid w:val="00573F33"/>
    <w:rsid w:val="0057400E"/>
    <w:rsid w:val="00574216"/>
    <w:rsid w:val="00574235"/>
    <w:rsid w:val="005742B5"/>
    <w:rsid w:val="00574481"/>
    <w:rsid w:val="00574702"/>
    <w:rsid w:val="00574C0E"/>
    <w:rsid w:val="00574C50"/>
    <w:rsid w:val="00574D07"/>
    <w:rsid w:val="00574F11"/>
    <w:rsid w:val="00574F52"/>
    <w:rsid w:val="00574F68"/>
    <w:rsid w:val="00574FC2"/>
    <w:rsid w:val="00574FCD"/>
    <w:rsid w:val="0057500E"/>
    <w:rsid w:val="0057507D"/>
    <w:rsid w:val="0057515A"/>
    <w:rsid w:val="005751A6"/>
    <w:rsid w:val="0057522B"/>
    <w:rsid w:val="00575371"/>
    <w:rsid w:val="005753A7"/>
    <w:rsid w:val="005753CB"/>
    <w:rsid w:val="00575404"/>
    <w:rsid w:val="005755C5"/>
    <w:rsid w:val="00575719"/>
    <w:rsid w:val="0057571C"/>
    <w:rsid w:val="00575ABB"/>
    <w:rsid w:val="00575AE2"/>
    <w:rsid w:val="00575AE8"/>
    <w:rsid w:val="00575B54"/>
    <w:rsid w:val="00575D42"/>
    <w:rsid w:val="00576272"/>
    <w:rsid w:val="005763B4"/>
    <w:rsid w:val="0057644D"/>
    <w:rsid w:val="005764D9"/>
    <w:rsid w:val="005764E5"/>
    <w:rsid w:val="005766EE"/>
    <w:rsid w:val="00576964"/>
    <w:rsid w:val="00576971"/>
    <w:rsid w:val="005769D0"/>
    <w:rsid w:val="00576A2A"/>
    <w:rsid w:val="00576ADE"/>
    <w:rsid w:val="00576B08"/>
    <w:rsid w:val="00576B36"/>
    <w:rsid w:val="00576CED"/>
    <w:rsid w:val="00576F26"/>
    <w:rsid w:val="00576F4C"/>
    <w:rsid w:val="00576F7C"/>
    <w:rsid w:val="00576FE3"/>
    <w:rsid w:val="005771AA"/>
    <w:rsid w:val="0057726E"/>
    <w:rsid w:val="00577440"/>
    <w:rsid w:val="00577752"/>
    <w:rsid w:val="005777F9"/>
    <w:rsid w:val="0057786C"/>
    <w:rsid w:val="005778D3"/>
    <w:rsid w:val="00577957"/>
    <w:rsid w:val="005779D0"/>
    <w:rsid w:val="005779D8"/>
    <w:rsid w:val="00577ADD"/>
    <w:rsid w:val="00577C1C"/>
    <w:rsid w:val="00577CDB"/>
    <w:rsid w:val="00577FEB"/>
    <w:rsid w:val="00580181"/>
    <w:rsid w:val="005801FA"/>
    <w:rsid w:val="00580667"/>
    <w:rsid w:val="00580743"/>
    <w:rsid w:val="005807A6"/>
    <w:rsid w:val="00580845"/>
    <w:rsid w:val="00580A59"/>
    <w:rsid w:val="00580B40"/>
    <w:rsid w:val="00580C52"/>
    <w:rsid w:val="00580C71"/>
    <w:rsid w:val="00580CB6"/>
    <w:rsid w:val="00580E45"/>
    <w:rsid w:val="00580F2E"/>
    <w:rsid w:val="00580FD1"/>
    <w:rsid w:val="00581303"/>
    <w:rsid w:val="00581428"/>
    <w:rsid w:val="0058168D"/>
    <w:rsid w:val="005817F7"/>
    <w:rsid w:val="0058183A"/>
    <w:rsid w:val="00581942"/>
    <w:rsid w:val="00581A18"/>
    <w:rsid w:val="00581AA7"/>
    <w:rsid w:val="00581AC1"/>
    <w:rsid w:val="00581B95"/>
    <w:rsid w:val="00581CFF"/>
    <w:rsid w:val="00581D38"/>
    <w:rsid w:val="00581E2C"/>
    <w:rsid w:val="00581E6E"/>
    <w:rsid w:val="00581EB0"/>
    <w:rsid w:val="00581F64"/>
    <w:rsid w:val="0058208A"/>
    <w:rsid w:val="0058209E"/>
    <w:rsid w:val="0058251B"/>
    <w:rsid w:val="00582703"/>
    <w:rsid w:val="00582771"/>
    <w:rsid w:val="00582813"/>
    <w:rsid w:val="00582888"/>
    <w:rsid w:val="00582903"/>
    <w:rsid w:val="00582A49"/>
    <w:rsid w:val="00582A4F"/>
    <w:rsid w:val="00582B33"/>
    <w:rsid w:val="00582B44"/>
    <w:rsid w:val="00582C48"/>
    <w:rsid w:val="00582C85"/>
    <w:rsid w:val="00582CFA"/>
    <w:rsid w:val="005831A8"/>
    <w:rsid w:val="0058332D"/>
    <w:rsid w:val="00583349"/>
    <w:rsid w:val="00583446"/>
    <w:rsid w:val="00583476"/>
    <w:rsid w:val="0058355E"/>
    <w:rsid w:val="005835E0"/>
    <w:rsid w:val="00583656"/>
    <w:rsid w:val="00583897"/>
    <w:rsid w:val="00583A0A"/>
    <w:rsid w:val="00583EB3"/>
    <w:rsid w:val="0058418A"/>
    <w:rsid w:val="005841CE"/>
    <w:rsid w:val="00584207"/>
    <w:rsid w:val="0058428C"/>
    <w:rsid w:val="00584724"/>
    <w:rsid w:val="00584734"/>
    <w:rsid w:val="0058473A"/>
    <w:rsid w:val="005847BA"/>
    <w:rsid w:val="00584934"/>
    <w:rsid w:val="0058499F"/>
    <w:rsid w:val="005849FC"/>
    <w:rsid w:val="00584BDA"/>
    <w:rsid w:val="00584F27"/>
    <w:rsid w:val="0058502A"/>
    <w:rsid w:val="00585056"/>
    <w:rsid w:val="00585144"/>
    <w:rsid w:val="00585332"/>
    <w:rsid w:val="0058544D"/>
    <w:rsid w:val="00585462"/>
    <w:rsid w:val="0058549C"/>
    <w:rsid w:val="0058556A"/>
    <w:rsid w:val="00585643"/>
    <w:rsid w:val="0058570B"/>
    <w:rsid w:val="00585736"/>
    <w:rsid w:val="0058574B"/>
    <w:rsid w:val="0058579D"/>
    <w:rsid w:val="0058586D"/>
    <w:rsid w:val="00585959"/>
    <w:rsid w:val="00585D88"/>
    <w:rsid w:val="00585DDD"/>
    <w:rsid w:val="0058605D"/>
    <w:rsid w:val="0058608C"/>
    <w:rsid w:val="005861C5"/>
    <w:rsid w:val="0058647A"/>
    <w:rsid w:val="00586495"/>
    <w:rsid w:val="0058687F"/>
    <w:rsid w:val="00586881"/>
    <w:rsid w:val="00586917"/>
    <w:rsid w:val="0058698E"/>
    <w:rsid w:val="00586ACC"/>
    <w:rsid w:val="00586B7D"/>
    <w:rsid w:val="00586BC4"/>
    <w:rsid w:val="00586C23"/>
    <w:rsid w:val="00586CED"/>
    <w:rsid w:val="00586DE4"/>
    <w:rsid w:val="00586E8F"/>
    <w:rsid w:val="00586F1F"/>
    <w:rsid w:val="00587143"/>
    <w:rsid w:val="005871F2"/>
    <w:rsid w:val="00587237"/>
    <w:rsid w:val="00587276"/>
    <w:rsid w:val="00587674"/>
    <w:rsid w:val="0058772C"/>
    <w:rsid w:val="00587875"/>
    <w:rsid w:val="00587935"/>
    <w:rsid w:val="005879F2"/>
    <w:rsid w:val="00587C02"/>
    <w:rsid w:val="00587D7D"/>
    <w:rsid w:val="00587DA8"/>
    <w:rsid w:val="00587DEE"/>
    <w:rsid w:val="00587ED6"/>
    <w:rsid w:val="0059010C"/>
    <w:rsid w:val="00590115"/>
    <w:rsid w:val="00590178"/>
    <w:rsid w:val="00590270"/>
    <w:rsid w:val="00590273"/>
    <w:rsid w:val="005902E5"/>
    <w:rsid w:val="00590619"/>
    <w:rsid w:val="00590638"/>
    <w:rsid w:val="0059084B"/>
    <w:rsid w:val="00590874"/>
    <w:rsid w:val="00590B68"/>
    <w:rsid w:val="00590B74"/>
    <w:rsid w:val="00590E5A"/>
    <w:rsid w:val="00590FFD"/>
    <w:rsid w:val="00591152"/>
    <w:rsid w:val="005911D6"/>
    <w:rsid w:val="005912F0"/>
    <w:rsid w:val="00591317"/>
    <w:rsid w:val="005916AE"/>
    <w:rsid w:val="0059185E"/>
    <w:rsid w:val="005919D5"/>
    <w:rsid w:val="00591D0A"/>
    <w:rsid w:val="00591EEA"/>
    <w:rsid w:val="00591FA4"/>
    <w:rsid w:val="00592106"/>
    <w:rsid w:val="005921BB"/>
    <w:rsid w:val="005922B6"/>
    <w:rsid w:val="00592358"/>
    <w:rsid w:val="00592366"/>
    <w:rsid w:val="0059244F"/>
    <w:rsid w:val="0059296A"/>
    <w:rsid w:val="00592980"/>
    <w:rsid w:val="00592998"/>
    <w:rsid w:val="00592CB0"/>
    <w:rsid w:val="00592D26"/>
    <w:rsid w:val="00592E6E"/>
    <w:rsid w:val="00593145"/>
    <w:rsid w:val="005932F3"/>
    <w:rsid w:val="00593575"/>
    <w:rsid w:val="005935F3"/>
    <w:rsid w:val="00593750"/>
    <w:rsid w:val="00593773"/>
    <w:rsid w:val="005939B0"/>
    <w:rsid w:val="00593A7F"/>
    <w:rsid w:val="00593ACE"/>
    <w:rsid w:val="00593C3B"/>
    <w:rsid w:val="00593D9E"/>
    <w:rsid w:val="00593DD2"/>
    <w:rsid w:val="00593ED6"/>
    <w:rsid w:val="00593F16"/>
    <w:rsid w:val="00593FB2"/>
    <w:rsid w:val="00593FCC"/>
    <w:rsid w:val="00593FE0"/>
    <w:rsid w:val="00594048"/>
    <w:rsid w:val="005940EA"/>
    <w:rsid w:val="0059418B"/>
    <w:rsid w:val="005942C3"/>
    <w:rsid w:val="005943A9"/>
    <w:rsid w:val="0059442D"/>
    <w:rsid w:val="005945A2"/>
    <w:rsid w:val="0059464C"/>
    <w:rsid w:val="005946B0"/>
    <w:rsid w:val="005948A0"/>
    <w:rsid w:val="005949DC"/>
    <w:rsid w:val="00594B04"/>
    <w:rsid w:val="00594B07"/>
    <w:rsid w:val="00594CE7"/>
    <w:rsid w:val="00594E68"/>
    <w:rsid w:val="0059509B"/>
    <w:rsid w:val="0059513C"/>
    <w:rsid w:val="0059515D"/>
    <w:rsid w:val="005952F8"/>
    <w:rsid w:val="0059535D"/>
    <w:rsid w:val="00595393"/>
    <w:rsid w:val="00595455"/>
    <w:rsid w:val="005956A6"/>
    <w:rsid w:val="0059597B"/>
    <w:rsid w:val="00595A6E"/>
    <w:rsid w:val="00595C25"/>
    <w:rsid w:val="00595C7C"/>
    <w:rsid w:val="00595CC6"/>
    <w:rsid w:val="00595E0B"/>
    <w:rsid w:val="005962E0"/>
    <w:rsid w:val="0059638F"/>
    <w:rsid w:val="0059667F"/>
    <w:rsid w:val="00596722"/>
    <w:rsid w:val="00596979"/>
    <w:rsid w:val="005969AA"/>
    <w:rsid w:val="005969EF"/>
    <w:rsid w:val="00596C03"/>
    <w:rsid w:val="00596D56"/>
    <w:rsid w:val="00597124"/>
    <w:rsid w:val="005971E2"/>
    <w:rsid w:val="00597429"/>
    <w:rsid w:val="0059744C"/>
    <w:rsid w:val="00597573"/>
    <w:rsid w:val="0059757A"/>
    <w:rsid w:val="00597711"/>
    <w:rsid w:val="005977F0"/>
    <w:rsid w:val="0059784F"/>
    <w:rsid w:val="00597B84"/>
    <w:rsid w:val="00597CCD"/>
    <w:rsid w:val="00597E88"/>
    <w:rsid w:val="00597F5A"/>
    <w:rsid w:val="00597F6F"/>
    <w:rsid w:val="00597F94"/>
    <w:rsid w:val="005A0072"/>
    <w:rsid w:val="005A030B"/>
    <w:rsid w:val="005A040F"/>
    <w:rsid w:val="005A04F4"/>
    <w:rsid w:val="005A0534"/>
    <w:rsid w:val="005A061F"/>
    <w:rsid w:val="005A082A"/>
    <w:rsid w:val="005A0CE5"/>
    <w:rsid w:val="005A0FAF"/>
    <w:rsid w:val="005A0FD2"/>
    <w:rsid w:val="005A10B8"/>
    <w:rsid w:val="005A133C"/>
    <w:rsid w:val="005A149F"/>
    <w:rsid w:val="005A1760"/>
    <w:rsid w:val="005A1815"/>
    <w:rsid w:val="005A19B5"/>
    <w:rsid w:val="005A19FD"/>
    <w:rsid w:val="005A1CC3"/>
    <w:rsid w:val="005A1E3E"/>
    <w:rsid w:val="005A1E78"/>
    <w:rsid w:val="005A1F88"/>
    <w:rsid w:val="005A1FE2"/>
    <w:rsid w:val="005A219A"/>
    <w:rsid w:val="005A21A2"/>
    <w:rsid w:val="005A21F2"/>
    <w:rsid w:val="005A22B9"/>
    <w:rsid w:val="005A238A"/>
    <w:rsid w:val="005A23A0"/>
    <w:rsid w:val="005A2490"/>
    <w:rsid w:val="005A24BB"/>
    <w:rsid w:val="005A253D"/>
    <w:rsid w:val="005A2583"/>
    <w:rsid w:val="005A260C"/>
    <w:rsid w:val="005A26B6"/>
    <w:rsid w:val="005A26E7"/>
    <w:rsid w:val="005A2759"/>
    <w:rsid w:val="005A276F"/>
    <w:rsid w:val="005A2CF0"/>
    <w:rsid w:val="005A2E80"/>
    <w:rsid w:val="005A31D9"/>
    <w:rsid w:val="005A3207"/>
    <w:rsid w:val="005A3268"/>
    <w:rsid w:val="005A3B42"/>
    <w:rsid w:val="005A3CA2"/>
    <w:rsid w:val="005A3D0D"/>
    <w:rsid w:val="005A3D58"/>
    <w:rsid w:val="005A3FC7"/>
    <w:rsid w:val="005A3FD4"/>
    <w:rsid w:val="005A3FFC"/>
    <w:rsid w:val="005A4062"/>
    <w:rsid w:val="005A408A"/>
    <w:rsid w:val="005A4096"/>
    <w:rsid w:val="005A41ED"/>
    <w:rsid w:val="005A4324"/>
    <w:rsid w:val="005A4622"/>
    <w:rsid w:val="005A46DA"/>
    <w:rsid w:val="005A4A64"/>
    <w:rsid w:val="005A4DAA"/>
    <w:rsid w:val="005A4F9A"/>
    <w:rsid w:val="005A4FF0"/>
    <w:rsid w:val="005A5519"/>
    <w:rsid w:val="005A5559"/>
    <w:rsid w:val="005A556E"/>
    <w:rsid w:val="005A559E"/>
    <w:rsid w:val="005A5600"/>
    <w:rsid w:val="005A5666"/>
    <w:rsid w:val="005A568D"/>
    <w:rsid w:val="005A572D"/>
    <w:rsid w:val="005A5785"/>
    <w:rsid w:val="005A58A8"/>
    <w:rsid w:val="005A5943"/>
    <w:rsid w:val="005A59BC"/>
    <w:rsid w:val="005A5B8B"/>
    <w:rsid w:val="005A5E0A"/>
    <w:rsid w:val="005A5EB5"/>
    <w:rsid w:val="005A5FB3"/>
    <w:rsid w:val="005A61BA"/>
    <w:rsid w:val="005A62F7"/>
    <w:rsid w:val="005A6633"/>
    <w:rsid w:val="005A6709"/>
    <w:rsid w:val="005A6842"/>
    <w:rsid w:val="005A687C"/>
    <w:rsid w:val="005A68B5"/>
    <w:rsid w:val="005A69EB"/>
    <w:rsid w:val="005A6AB3"/>
    <w:rsid w:val="005A6D79"/>
    <w:rsid w:val="005A718E"/>
    <w:rsid w:val="005A7A1C"/>
    <w:rsid w:val="005A7A4E"/>
    <w:rsid w:val="005A7A7F"/>
    <w:rsid w:val="005A7B2F"/>
    <w:rsid w:val="005A7B68"/>
    <w:rsid w:val="005A7C2A"/>
    <w:rsid w:val="005A7D0B"/>
    <w:rsid w:val="005A7DCF"/>
    <w:rsid w:val="005A7EF2"/>
    <w:rsid w:val="005B0055"/>
    <w:rsid w:val="005B0396"/>
    <w:rsid w:val="005B039A"/>
    <w:rsid w:val="005B0415"/>
    <w:rsid w:val="005B0584"/>
    <w:rsid w:val="005B05FD"/>
    <w:rsid w:val="005B085B"/>
    <w:rsid w:val="005B0C86"/>
    <w:rsid w:val="005B0DBC"/>
    <w:rsid w:val="005B0DC8"/>
    <w:rsid w:val="005B104E"/>
    <w:rsid w:val="005B1127"/>
    <w:rsid w:val="005B1265"/>
    <w:rsid w:val="005B1296"/>
    <w:rsid w:val="005B142C"/>
    <w:rsid w:val="005B1629"/>
    <w:rsid w:val="005B187F"/>
    <w:rsid w:val="005B18A3"/>
    <w:rsid w:val="005B1921"/>
    <w:rsid w:val="005B1B41"/>
    <w:rsid w:val="005B1E1C"/>
    <w:rsid w:val="005B215E"/>
    <w:rsid w:val="005B22B8"/>
    <w:rsid w:val="005B22E5"/>
    <w:rsid w:val="005B2577"/>
    <w:rsid w:val="005B28BE"/>
    <w:rsid w:val="005B29FB"/>
    <w:rsid w:val="005B2A6B"/>
    <w:rsid w:val="005B2BD9"/>
    <w:rsid w:val="005B2D99"/>
    <w:rsid w:val="005B3165"/>
    <w:rsid w:val="005B3271"/>
    <w:rsid w:val="005B352C"/>
    <w:rsid w:val="005B370F"/>
    <w:rsid w:val="005B38E7"/>
    <w:rsid w:val="005B3B02"/>
    <w:rsid w:val="005B3BA6"/>
    <w:rsid w:val="005B3C75"/>
    <w:rsid w:val="005B3DEF"/>
    <w:rsid w:val="005B3EB8"/>
    <w:rsid w:val="005B408C"/>
    <w:rsid w:val="005B4294"/>
    <w:rsid w:val="005B4340"/>
    <w:rsid w:val="005B43F5"/>
    <w:rsid w:val="005B4447"/>
    <w:rsid w:val="005B4809"/>
    <w:rsid w:val="005B4B5B"/>
    <w:rsid w:val="005B4C50"/>
    <w:rsid w:val="005B4D33"/>
    <w:rsid w:val="005B4D53"/>
    <w:rsid w:val="005B4EEB"/>
    <w:rsid w:val="005B505D"/>
    <w:rsid w:val="005B5076"/>
    <w:rsid w:val="005B5157"/>
    <w:rsid w:val="005B51A2"/>
    <w:rsid w:val="005B5218"/>
    <w:rsid w:val="005B5363"/>
    <w:rsid w:val="005B53EA"/>
    <w:rsid w:val="005B55D7"/>
    <w:rsid w:val="005B574B"/>
    <w:rsid w:val="005B5832"/>
    <w:rsid w:val="005B585F"/>
    <w:rsid w:val="005B5B04"/>
    <w:rsid w:val="005B5DAE"/>
    <w:rsid w:val="005B5E06"/>
    <w:rsid w:val="005B6027"/>
    <w:rsid w:val="005B613A"/>
    <w:rsid w:val="005B61E4"/>
    <w:rsid w:val="005B6213"/>
    <w:rsid w:val="005B647D"/>
    <w:rsid w:val="005B6716"/>
    <w:rsid w:val="005B6AC8"/>
    <w:rsid w:val="005B6CA4"/>
    <w:rsid w:val="005B6CAC"/>
    <w:rsid w:val="005B6DBD"/>
    <w:rsid w:val="005B6E5D"/>
    <w:rsid w:val="005B6EE9"/>
    <w:rsid w:val="005B6FFE"/>
    <w:rsid w:val="005B7003"/>
    <w:rsid w:val="005B7327"/>
    <w:rsid w:val="005B73AF"/>
    <w:rsid w:val="005B73DE"/>
    <w:rsid w:val="005B7682"/>
    <w:rsid w:val="005B79A0"/>
    <w:rsid w:val="005B79B3"/>
    <w:rsid w:val="005B7B28"/>
    <w:rsid w:val="005B7C30"/>
    <w:rsid w:val="005B7F99"/>
    <w:rsid w:val="005C0020"/>
    <w:rsid w:val="005C00C5"/>
    <w:rsid w:val="005C011B"/>
    <w:rsid w:val="005C0140"/>
    <w:rsid w:val="005C0504"/>
    <w:rsid w:val="005C073F"/>
    <w:rsid w:val="005C0772"/>
    <w:rsid w:val="005C0B83"/>
    <w:rsid w:val="005C0BB8"/>
    <w:rsid w:val="005C0D06"/>
    <w:rsid w:val="005C12FB"/>
    <w:rsid w:val="005C133E"/>
    <w:rsid w:val="005C1370"/>
    <w:rsid w:val="005C1539"/>
    <w:rsid w:val="005C1610"/>
    <w:rsid w:val="005C1650"/>
    <w:rsid w:val="005C1A1C"/>
    <w:rsid w:val="005C1B2F"/>
    <w:rsid w:val="005C1BDB"/>
    <w:rsid w:val="005C1C5A"/>
    <w:rsid w:val="005C1C8D"/>
    <w:rsid w:val="005C1D0C"/>
    <w:rsid w:val="005C1D99"/>
    <w:rsid w:val="005C1DE6"/>
    <w:rsid w:val="005C1DFF"/>
    <w:rsid w:val="005C1E91"/>
    <w:rsid w:val="005C1F19"/>
    <w:rsid w:val="005C1F8E"/>
    <w:rsid w:val="005C210B"/>
    <w:rsid w:val="005C22CC"/>
    <w:rsid w:val="005C2379"/>
    <w:rsid w:val="005C23BF"/>
    <w:rsid w:val="005C251B"/>
    <w:rsid w:val="005C25B6"/>
    <w:rsid w:val="005C267C"/>
    <w:rsid w:val="005C26C5"/>
    <w:rsid w:val="005C2923"/>
    <w:rsid w:val="005C298B"/>
    <w:rsid w:val="005C2BB7"/>
    <w:rsid w:val="005C2DE6"/>
    <w:rsid w:val="005C2E71"/>
    <w:rsid w:val="005C3229"/>
    <w:rsid w:val="005C3243"/>
    <w:rsid w:val="005C3364"/>
    <w:rsid w:val="005C3445"/>
    <w:rsid w:val="005C34F0"/>
    <w:rsid w:val="005C36D6"/>
    <w:rsid w:val="005C38BF"/>
    <w:rsid w:val="005C3910"/>
    <w:rsid w:val="005C3A7A"/>
    <w:rsid w:val="005C3CAC"/>
    <w:rsid w:val="005C3CD8"/>
    <w:rsid w:val="005C3DCC"/>
    <w:rsid w:val="005C3DDE"/>
    <w:rsid w:val="005C3F9D"/>
    <w:rsid w:val="005C41E1"/>
    <w:rsid w:val="005C4856"/>
    <w:rsid w:val="005C4AE3"/>
    <w:rsid w:val="005C4CF2"/>
    <w:rsid w:val="005C4D6E"/>
    <w:rsid w:val="005C4DFB"/>
    <w:rsid w:val="005C4E7E"/>
    <w:rsid w:val="005C50A0"/>
    <w:rsid w:val="005C50F4"/>
    <w:rsid w:val="005C5145"/>
    <w:rsid w:val="005C51B6"/>
    <w:rsid w:val="005C5350"/>
    <w:rsid w:val="005C53F8"/>
    <w:rsid w:val="005C5499"/>
    <w:rsid w:val="005C5542"/>
    <w:rsid w:val="005C5581"/>
    <w:rsid w:val="005C55BB"/>
    <w:rsid w:val="005C594C"/>
    <w:rsid w:val="005C5981"/>
    <w:rsid w:val="005C5A00"/>
    <w:rsid w:val="005C5A5E"/>
    <w:rsid w:val="005C5C5F"/>
    <w:rsid w:val="005C5D8D"/>
    <w:rsid w:val="005C5D97"/>
    <w:rsid w:val="005C5DD2"/>
    <w:rsid w:val="005C61AF"/>
    <w:rsid w:val="005C6211"/>
    <w:rsid w:val="005C6220"/>
    <w:rsid w:val="005C6310"/>
    <w:rsid w:val="005C64AA"/>
    <w:rsid w:val="005C65E3"/>
    <w:rsid w:val="005C664C"/>
    <w:rsid w:val="005C66C8"/>
    <w:rsid w:val="005C66E8"/>
    <w:rsid w:val="005C6D80"/>
    <w:rsid w:val="005C6DB2"/>
    <w:rsid w:val="005C6F76"/>
    <w:rsid w:val="005C6FBB"/>
    <w:rsid w:val="005C7053"/>
    <w:rsid w:val="005C70AC"/>
    <w:rsid w:val="005C718F"/>
    <w:rsid w:val="005C7230"/>
    <w:rsid w:val="005C727B"/>
    <w:rsid w:val="005C7304"/>
    <w:rsid w:val="005C7440"/>
    <w:rsid w:val="005C75D2"/>
    <w:rsid w:val="005C76E1"/>
    <w:rsid w:val="005C77CA"/>
    <w:rsid w:val="005C7817"/>
    <w:rsid w:val="005C7986"/>
    <w:rsid w:val="005C79A7"/>
    <w:rsid w:val="005C79E9"/>
    <w:rsid w:val="005C7A7A"/>
    <w:rsid w:val="005C7B12"/>
    <w:rsid w:val="005C7C02"/>
    <w:rsid w:val="005C7C0D"/>
    <w:rsid w:val="005C7C1F"/>
    <w:rsid w:val="005C7C84"/>
    <w:rsid w:val="005C7CDA"/>
    <w:rsid w:val="005C7D26"/>
    <w:rsid w:val="005C7EB0"/>
    <w:rsid w:val="005CD51E"/>
    <w:rsid w:val="005D0125"/>
    <w:rsid w:val="005D03D5"/>
    <w:rsid w:val="005D0444"/>
    <w:rsid w:val="005D0CF8"/>
    <w:rsid w:val="005D0F14"/>
    <w:rsid w:val="005D0F21"/>
    <w:rsid w:val="005D0F9B"/>
    <w:rsid w:val="005D1064"/>
    <w:rsid w:val="005D112C"/>
    <w:rsid w:val="005D1255"/>
    <w:rsid w:val="005D1729"/>
    <w:rsid w:val="005D1895"/>
    <w:rsid w:val="005D18EA"/>
    <w:rsid w:val="005D19EF"/>
    <w:rsid w:val="005D1A9F"/>
    <w:rsid w:val="005D1AF6"/>
    <w:rsid w:val="005D1CB2"/>
    <w:rsid w:val="005D1E24"/>
    <w:rsid w:val="005D1FE3"/>
    <w:rsid w:val="005D1FFE"/>
    <w:rsid w:val="005D203A"/>
    <w:rsid w:val="005D20BA"/>
    <w:rsid w:val="005D20D3"/>
    <w:rsid w:val="005D2153"/>
    <w:rsid w:val="005D21BD"/>
    <w:rsid w:val="005D251E"/>
    <w:rsid w:val="005D2566"/>
    <w:rsid w:val="005D266D"/>
    <w:rsid w:val="005D2676"/>
    <w:rsid w:val="005D2686"/>
    <w:rsid w:val="005D285A"/>
    <w:rsid w:val="005D2EF9"/>
    <w:rsid w:val="005D2EFF"/>
    <w:rsid w:val="005D33AE"/>
    <w:rsid w:val="005D344F"/>
    <w:rsid w:val="005D3490"/>
    <w:rsid w:val="005D374D"/>
    <w:rsid w:val="005D38C7"/>
    <w:rsid w:val="005D38CA"/>
    <w:rsid w:val="005D38D0"/>
    <w:rsid w:val="005D39EE"/>
    <w:rsid w:val="005D3E1C"/>
    <w:rsid w:val="005D3E9C"/>
    <w:rsid w:val="005D3EF2"/>
    <w:rsid w:val="005D3F69"/>
    <w:rsid w:val="005D3FAD"/>
    <w:rsid w:val="005D3FE6"/>
    <w:rsid w:val="005D3FF3"/>
    <w:rsid w:val="005D40A3"/>
    <w:rsid w:val="005D4115"/>
    <w:rsid w:val="005D42B1"/>
    <w:rsid w:val="005D464E"/>
    <w:rsid w:val="005D4A43"/>
    <w:rsid w:val="005D4C7A"/>
    <w:rsid w:val="005D4F64"/>
    <w:rsid w:val="005D4FF9"/>
    <w:rsid w:val="005D50C6"/>
    <w:rsid w:val="005D510E"/>
    <w:rsid w:val="005D5195"/>
    <w:rsid w:val="005D5328"/>
    <w:rsid w:val="005D53FF"/>
    <w:rsid w:val="005D54F3"/>
    <w:rsid w:val="005D54FF"/>
    <w:rsid w:val="005D55DE"/>
    <w:rsid w:val="005D564E"/>
    <w:rsid w:val="005D5734"/>
    <w:rsid w:val="005D57FB"/>
    <w:rsid w:val="005D5B13"/>
    <w:rsid w:val="005D5B1B"/>
    <w:rsid w:val="005D5B65"/>
    <w:rsid w:val="005D5CC0"/>
    <w:rsid w:val="005D5CEC"/>
    <w:rsid w:val="005D5E0E"/>
    <w:rsid w:val="005D5FF8"/>
    <w:rsid w:val="005D6025"/>
    <w:rsid w:val="005D6044"/>
    <w:rsid w:val="005D6060"/>
    <w:rsid w:val="005D6165"/>
    <w:rsid w:val="005D61C8"/>
    <w:rsid w:val="005D64D8"/>
    <w:rsid w:val="005D66C7"/>
    <w:rsid w:val="005D66E5"/>
    <w:rsid w:val="005D67B7"/>
    <w:rsid w:val="005D6886"/>
    <w:rsid w:val="005D6946"/>
    <w:rsid w:val="005D69FF"/>
    <w:rsid w:val="005D6D35"/>
    <w:rsid w:val="005D6D9F"/>
    <w:rsid w:val="005D6E4E"/>
    <w:rsid w:val="005D6E60"/>
    <w:rsid w:val="005D6FB3"/>
    <w:rsid w:val="005D7057"/>
    <w:rsid w:val="005D70E9"/>
    <w:rsid w:val="005D710C"/>
    <w:rsid w:val="005D7131"/>
    <w:rsid w:val="005D722B"/>
    <w:rsid w:val="005D732C"/>
    <w:rsid w:val="005D734A"/>
    <w:rsid w:val="005D736E"/>
    <w:rsid w:val="005D73A8"/>
    <w:rsid w:val="005D73F1"/>
    <w:rsid w:val="005D742B"/>
    <w:rsid w:val="005D7560"/>
    <w:rsid w:val="005D79C7"/>
    <w:rsid w:val="005D7A28"/>
    <w:rsid w:val="005D7A6B"/>
    <w:rsid w:val="005D7E27"/>
    <w:rsid w:val="005E03CA"/>
    <w:rsid w:val="005E04CC"/>
    <w:rsid w:val="005E04F6"/>
    <w:rsid w:val="005E0865"/>
    <w:rsid w:val="005E08FB"/>
    <w:rsid w:val="005E0927"/>
    <w:rsid w:val="005E0AEF"/>
    <w:rsid w:val="005E0AF7"/>
    <w:rsid w:val="005E0BF0"/>
    <w:rsid w:val="005E0C1D"/>
    <w:rsid w:val="005E0CB1"/>
    <w:rsid w:val="005E0E1A"/>
    <w:rsid w:val="005E0E26"/>
    <w:rsid w:val="005E0FF9"/>
    <w:rsid w:val="005E1177"/>
    <w:rsid w:val="005E124F"/>
    <w:rsid w:val="005E125F"/>
    <w:rsid w:val="005E12FC"/>
    <w:rsid w:val="005E15C0"/>
    <w:rsid w:val="005E162A"/>
    <w:rsid w:val="005E1648"/>
    <w:rsid w:val="005E1A49"/>
    <w:rsid w:val="005E1C71"/>
    <w:rsid w:val="005E1D9B"/>
    <w:rsid w:val="005E1F03"/>
    <w:rsid w:val="005E207A"/>
    <w:rsid w:val="005E2086"/>
    <w:rsid w:val="005E2096"/>
    <w:rsid w:val="005E218C"/>
    <w:rsid w:val="005E2192"/>
    <w:rsid w:val="005E21D0"/>
    <w:rsid w:val="005E22A8"/>
    <w:rsid w:val="005E22DC"/>
    <w:rsid w:val="005E2383"/>
    <w:rsid w:val="005E26A8"/>
    <w:rsid w:val="005E28FF"/>
    <w:rsid w:val="005E2906"/>
    <w:rsid w:val="005E2935"/>
    <w:rsid w:val="005E2AF1"/>
    <w:rsid w:val="005E2D8B"/>
    <w:rsid w:val="005E2D9D"/>
    <w:rsid w:val="005E2F9A"/>
    <w:rsid w:val="005E3157"/>
    <w:rsid w:val="005E3255"/>
    <w:rsid w:val="005E3296"/>
    <w:rsid w:val="005E33D1"/>
    <w:rsid w:val="005E37D5"/>
    <w:rsid w:val="005E38FD"/>
    <w:rsid w:val="005E3C12"/>
    <w:rsid w:val="005E3C33"/>
    <w:rsid w:val="005E3E3C"/>
    <w:rsid w:val="005E3FD5"/>
    <w:rsid w:val="005E3FD8"/>
    <w:rsid w:val="005E3FE1"/>
    <w:rsid w:val="005E420C"/>
    <w:rsid w:val="005E4217"/>
    <w:rsid w:val="005E4436"/>
    <w:rsid w:val="005E45DE"/>
    <w:rsid w:val="005E488A"/>
    <w:rsid w:val="005E48F3"/>
    <w:rsid w:val="005E4915"/>
    <w:rsid w:val="005E4A8B"/>
    <w:rsid w:val="005E4CCF"/>
    <w:rsid w:val="005E4DCF"/>
    <w:rsid w:val="005E4E00"/>
    <w:rsid w:val="005E50A7"/>
    <w:rsid w:val="005E523C"/>
    <w:rsid w:val="005E5340"/>
    <w:rsid w:val="005E53C0"/>
    <w:rsid w:val="005E5442"/>
    <w:rsid w:val="005E5487"/>
    <w:rsid w:val="005E54FF"/>
    <w:rsid w:val="005E5523"/>
    <w:rsid w:val="005E58A0"/>
    <w:rsid w:val="005E5A17"/>
    <w:rsid w:val="005E5AF7"/>
    <w:rsid w:val="005E5BF8"/>
    <w:rsid w:val="005E5E7B"/>
    <w:rsid w:val="005E604B"/>
    <w:rsid w:val="005E62FE"/>
    <w:rsid w:val="005E64D3"/>
    <w:rsid w:val="005E6528"/>
    <w:rsid w:val="005E65C8"/>
    <w:rsid w:val="005E6DAC"/>
    <w:rsid w:val="005E6F5B"/>
    <w:rsid w:val="005E709B"/>
    <w:rsid w:val="005E76A4"/>
    <w:rsid w:val="005E79C4"/>
    <w:rsid w:val="005E7A3A"/>
    <w:rsid w:val="005E7ABD"/>
    <w:rsid w:val="005E7B4A"/>
    <w:rsid w:val="005E7D46"/>
    <w:rsid w:val="005E7ED8"/>
    <w:rsid w:val="005F0041"/>
    <w:rsid w:val="005F013F"/>
    <w:rsid w:val="005F02AC"/>
    <w:rsid w:val="005F03ED"/>
    <w:rsid w:val="005F0442"/>
    <w:rsid w:val="005F060F"/>
    <w:rsid w:val="005F0700"/>
    <w:rsid w:val="005F09F6"/>
    <w:rsid w:val="005F0A18"/>
    <w:rsid w:val="005F0C2E"/>
    <w:rsid w:val="005F0D2B"/>
    <w:rsid w:val="005F0F40"/>
    <w:rsid w:val="005F11DE"/>
    <w:rsid w:val="005F1419"/>
    <w:rsid w:val="005F1527"/>
    <w:rsid w:val="005F16E5"/>
    <w:rsid w:val="005F16F4"/>
    <w:rsid w:val="005F178F"/>
    <w:rsid w:val="005F17F3"/>
    <w:rsid w:val="005F1883"/>
    <w:rsid w:val="005F1A00"/>
    <w:rsid w:val="005F1A73"/>
    <w:rsid w:val="005F1AE2"/>
    <w:rsid w:val="005F1C50"/>
    <w:rsid w:val="005F1D15"/>
    <w:rsid w:val="005F1DAD"/>
    <w:rsid w:val="005F1F52"/>
    <w:rsid w:val="005F1FA3"/>
    <w:rsid w:val="005F1FDE"/>
    <w:rsid w:val="005F2131"/>
    <w:rsid w:val="005F2235"/>
    <w:rsid w:val="005F2524"/>
    <w:rsid w:val="005F26E6"/>
    <w:rsid w:val="005F27E2"/>
    <w:rsid w:val="005F2A63"/>
    <w:rsid w:val="005F2ACD"/>
    <w:rsid w:val="005F2B4D"/>
    <w:rsid w:val="005F2C83"/>
    <w:rsid w:val="005F2C97"/>
    <w:rsid w:val="005F2D6A"/>
    <w:rsid w:val="005F2D82"/>
    <w:rsid w:val="005F2E31"/>
    <w:rsid w:val="005F3100"/>
    <w:rsid w:val="005F31C8"/>
    <w:rsid w:val="005F3243"/>
    <w:rsid w:val="005F3293"/>
    <w:rsid w:val="005F3330"/>
    <w:rsid w:val="005F3335"/>
    <w:rsid w:val="005F338A"/>
    <w:rsid w:val="005F39ED"/>
    <w:rsid w:val="005F3A14"/>
    <w:rsid w:val="005F3BE6"/>
    <w:rsid w:val="005F3E20"/>
    <w:rsid w:val="005F40A0"/>
    <w:rsid w:val="005F40E6"/>
    <w:rsid w:val="005F411F"/>
    <w:rsid w:val="005F431D"/>
    <w:rsid w:val="005F44F7"/>
    <w:rsid w:val="005F45DD"/>
    <w:rsid w:val="005F4672"/>
    <w:rsid w:val="005F46D9"/>
    <w:rsid w:val="005F476F"/>
    <w:rsid w:val="005F47F7"/>
    <w:rsid w:val="005F4898"/>
    <w:rsid w:val="005F498E"/>
    <w:rsid w:val="005F4C2B"/>
    <w:rsid w:val="005F4CEB"/>
    <w:rsid w:val="005F4DB5"/>
    <w:rsid w:val="005F4EF0"/>
    <w:rsid w:val="005F4F12"/>
    <w:rsid w:val="005F4FB4"/>
    <w:rsid w:val="005F51FC"/>
    <w:rsid w:val="005F58A1"/>
    <w:rsid w:val="005F5B90"/>
    <w:rsid w:val="005F5EC0"/>
    <w:rsid w:val="005F6206"/>
    <w:rsid w:val="005F63DD"/>
    <w:rsid w:val="005F655F"/>
    <w:rsid w:val="005F6673"/>
    <w:rsid w:val="005F6688"/>
    <w:rsid w:val="005F6715"/>
    <w:rsid w:val="005F6859"/>
    <w:rsid w:val="005F6971"/>
    <w:rsid w:val="005F6A5C"/>
    <w:rsid w:val="005F6CA3"/>
    <w:rsid w:val="005F6E4E"/>
    <w:rsid w:val="005F6E88"/>
    <w:rsid w:val="005F6EC5"/>
    <w:rsid w:val="005F6F14"/>
    <w:rsid w:val="005F6F73"/>
    <w:rsid w:val="005F704D"/>
    <w:rsid w:val="005F730E"/>
    <w:rsid w:val="005F738B"/>
    <w:rsid w:val="005F73E1"/>
    <w:rsid w:val="005F73EE"/>
    <w:rsid w:val="005F7407"/>
    <w:rsid w:val="005F77FA"/>
    <w:rsid w:val="005F7A8E"/>
    <w:rsid w:val="005F7AD3"/>
    <w:rsid w:val="005F7FB6"/>
    <w:rsid w:val="00600147"/>
    <w:rsid w:val="006004E0"/>
    <w:rsid w:val="00600746"/>
    <w:rsid w:val="00600756"/>
    <w:rsid w:val="00600808"/>
    <w:rsid w:val="00600874"/>
    <w:rsid w:val="00600978"/>
    <w:rsid w:val="00600A1F"/>
    <w:rsid w:val="00600C68"/>
    <w:rsid w:val="00600E50"/>
    <w:rsid w:val="00601011"/>
    <w:rsid w:val="0060103C"/>
    <w:rsid w:val="006010A0"/>
    <w:rsid w:val="0060118D"/>
    <w:rsid w:val="0060128D"/>
    <w:rsid w:val="00601296"/>
    <w:rsid w:val="006012C9"/>
    <w:rsid w:val="00601330"/>
    <w:rsid w:val="0060137B"/>
    <w:rsid w:val="006013B0"/>
    <w:rsid w:val="00601458"/>
    <w:rsid w:val="006015C6"/>
    <w:rsid w:val="00601653"/>
    <w:rsid w:val="00601B84"/>
    <w:rsid w:val="00601C1F"/>
    <w:rsid w:val="00601DF4"/>
    <w:rsid w:val="00601E85"/>
    <w:rsid w:val="00602188"/>
    <w:rsid w:val="006021D6"/>
    <w:rsid w:val="006023AD"/>
    <w:rsid w:val="006023FE"/>
    <w:rsid w:val="0060246F"/>
    <w:rsid w:val="00602800"/>
    <w:rsid w:val="00602806"/>
    <w:rsid w:val="006029A1"/>
    <w:rsid w:val="00602B8C"/>
    <w:rsid w:val="00602D67"/>
    <w:rsid w:val="00602DB8"/>
    <w:rsid w:val="00602E1D"/>
    <w:rsid w:val="00602E26"/>
    <w:rsid w:val="00602FBA"/>
    <w:rsid w:val="0060318F"/>
    <w:rsid w:val="006031B1"/>
    <w:rsid w:val="00603329"/>
    <w:rsid w:val="006034F2"/>
    <w:rsid w:val="0060364D"/>
    <w:rsid w:val="00603741"/>
    <w:rsid w:val="006039C3"/>
    <w:rsid w:val="00603E48"/>
    <w:rsid w:val="00603E60"/>
    <w:rsid w:val="00603F42"/>
    <w:rsid w:val="00604029"/>
    <w:rsid w:val="006040CE"/>
    <w:rsid w:val="006045BF"/>
    <w:rsid w:val="0060472A"/>
    <w:rsid w:val="006047D0"/>
    <w:rsid w:val="00604974"/>
    <w:rsid w:val="00604F8A"/>
    <w:rsid w:val="0060508D"/>
    <w:rsid w:val="006050F3"/>
    <w:rsid w:val="0060513B"/>
    <w:rsid w:val="00605207"/>
    <w:rsid w:val="0060521D"/>
    <w:rsid w:val="00605316"/>
    <w:rsid w:val="006055FC"/>
    <w:rsid w:val="00605668"/>
    <w:rsid w:val="0060568B"/>
    <w:rsid w:val="00605821"/>
    <w:rsid w:val="0060586F"/>
    <w:rsid w:val="00605967"/>
    <w:rsid w:val="006059E2"/>
    <w:rsid w:val="00605AEB"/>
    <w:rsid w:val="00605BBF"/>
    <w:rsid w:val="00605D0D"/>
    <w:rsid w:val="00605D78"/>
    <w:rsid w:val="006061F6"/>
    <w:rsid w:val="00606209"/>
    <w:rsid w:val="00606242"/>
    <w:rsid w:val="00606336"/>
    <w:rsid w:val="00606510"/>
    <w:rsid w:val="006065E3"/>
    <w:rsid w:val="0060661E"/>
    <w:rsid w:val="00606678"/>
    <w:rsid w:val="0060684A"/>
    <w:rsid w:val="006069B7"/>
    <w:rsid w:val="00606A50"/>
    <w:rsid w:val="00606AF8"/>
    <w:rsid w:val="00606B58"/>
    <w:rsid w:val="00606BE4"/>
    <w:rsid w:val="00606E2C"/>
    <w:rsid w:val="00606E36"/>
    <w:rsid w:val="00607061"/>
    <w:rsid w:val="00607308"/>
    <w:rsid w:val="006073AD"/>
    <w:rsid w:val="0060744A"/>
    <w:rsid w:val="00607732"/>
    <w:rsid w:val="00607766"/>
    <w:rsid w:val="00607954"/>
    <w:rsid w:val="0060798B"/>
    <w:rsid w:val="00607A14"/>
    <w:rsid w:val="00607A8E"/>
    <w:rsid w:val="00607AA2"/>
    <w:rsid w:val="00607C52"/>
    <w:rsid w:val="00607CEB"/>
    <w:rsid w:val="00607D90"/>
    <w:rsid w:val="00607DA1"/>
    <w:rsid w:val="00607E0B"/>
    <w:rsid w:val="00607E6A"/>
    <w:rsid w:val="0061021F"/>
    <w:rsid w:val="00610368"/>
    <w:rsid w:val="006103B8"/>
    <w:rsid w:val="00610605"/>
    <w:rsid w:val="00610615"/>
    <w:rsid w:val="006107F8"/>
    <w:rsid w:val="00610856"/>
    <w:rsid w:val="006108E7"/>
    <w:rsid w:val="00610B62"/>
    <w:rsid w:val="00610DE7"/>
    <w:rsid w:val="00610E19"/>
    <w:rsid w:val="00610F7A"/>
    <w:rsid w:val="00610FAE"/>
    <w:rsid w:val="00611081"/>
    <w:rsid w:val="00611122"/>
    <w:rsid w:val="00611200"/>
    <w:rsid w:val="006113C7"/>
    <w:rsid w:val="00611687"/>
    <w:rsid w:val="006117A6"/>
    <w:rsid w:val="00611863"/>
    <w:rsid w:val="00611E43"/>
    <w:rsid w:val="00611E82"/>
    <w:rsid w:val="00611ECC"/>
    <w:rsid w:val="006120FB"/>
    <w:rsid w:val="00612138"/>
    <w:rsid w:val="006121C1"/>
    <w:rsid w:val="006121CF"/>
    <w:rsid w:val="006122CF"/>
    <w:rsid w:val="00612347"/>
    <w:rsid w:val="00612465"/>
    <w:rsid w:val="006124E6"/>
    <w:rsid w:val="0061255C"/>
    <w:rsid w:val="006128A8"/>
    <w:rsid w:val="0061293D"/>
    <w:rsid w:val="00612ABB"/>
    <w:rsid w:val="00612B90"/>
    <w:rsid w:val="00612BDD"/>
    <w:rsid w:val="00612C08"/>
    <w:rsid w:val="00612E87"/>
    <w:rsid w:val="00612ED9"/>
    <w:rsid w:val="00612F22"/>
    <w:rsid w:val="00612FE5"/>
    <w:rsid w:val="0061304B"/>
    <w:rsid w:val="006131B7"/>
    <w:rsid w:val="00613242"/>
    <w:rsid w:val="00613253"/>
    <w:rsid w:val="00613274"/>
    <w:rsid w:val="006132D7"/>
    <w:rsid w:val="006133DC"/>
    <w:rsid w:val="00613413"/>
    <w:rsid w:val="006134CB"/>
    <w:rsid w:val="006135F0"/>
    <w:rsid w:val="0061381A"/>
    <w:rsid w:val="0061387B"/>
    <w:rsid w:val="00613890"/>
    <w:rsid w:val="00613B31"/>
    <w:rsid w:val="00613C77"/>
    <w:rsid w:val="00613E09"/>
    <w:rsid w:val="00613ECB"/>
    <w:rsid w:val="00613F54"/>
    <w:rsid w:val="006140C7"/>
    <w:rsid w:val="006141A9"/>
    <w:rsid w:val="00614252"/>
    <w:rsid w:val="0061427C"/>
    <w:rsid w:val="0061432F"/>
    <w:rsid w:val="0061442F"/>
    <w:rsid w:val="006145AE"/>
    <w:rsid w:val="00614782"/>
    <w:rsid w:val="006147B8"/>
    <w:rsid w:val="00614824"/>
    <w:rsid w:val="006149F2"/>
    <w:rsid w:val="00614A91"/>
    <w:rsid w:val="00614B3A"/>
    <w:rsid w:val="00614C9C"/>
    <w:rsid w:val="00615248"/>
    <w:rsid w:val="00615271"/>
    <w:rsid w:val="00615287"/>
    <w:rsid w:val="006152BC"/>
    <w:rsid w:val="00615479"/>
    <w:rsid w:val="00615505"/>
    <w:rsid w:val="00615512"/>
    <w:rsid w:val="006155AA"/>
    <w:rsid w:val="006155EA"/>
    <w:rsid w:val="00615727"/>
    <w:rsid w:val="00615829"/>
    <w:rsid w:val="006158E6"/>
    <w:rsid w:val="00615924"/>
    <w:rsid w:val="006159BB"/>
    <w:rsid w:val="006159F5"/>
    <w:rsid w:val="00615A2B"/>
    <w:rsid w:val="00615B2D"/>
    <w:rsid w:val="00615B93"/>
    <w:rsid w:val="00615CF6"/>
    <w:rsid w:val="006160D8"/>
    <w:rsid w:val="0061610D"/>
    <w:rsid w:val="006162D6"/>
    <w:rsid w:val="006162E5"/>
    <w:rsid w:val="00616406"/>
    <w:rsid w:val="00616710"/>
    <w:rsid w:val="006167A2"/>
    <w:rsid w:val="006168D1"/>
    <w:rsid w:val="0061692D"/>
    <w:rsid w:val="0061693E"/>
    <w:rsid w:val="006169AE"/>
    <w:rsid w:val="00616AFF"/>
    <w:rsid w:val="00616B1E"/>
    <w:rsid w:val="00616C99"/>
    <w:rsid w:val="00616D08"/>
    <w:rsid w:val="00616E0B"/>
    <w:rsid w:val="00616F44"/>
    <w:rsid w:val="0061704E"/>
    <w:rsid w:val="006170ED"/>
    <w:rsid w:val="00617114"/>
    <w:rsid w:val="006171B7"/>
    <w:rsid w:val="0061730F"/>
    <w:rsid w:val="00617323"/>
    <w:rsid w:val="00617552"/>
    <w:rsid w:val="0061764C"/>
    <w:rsid w:val="00617698"/>
    <w:rsid w:val="0061776D"/>
    <w:rsid w:val="00617895"/>
    <w:rsid w:val="006178D9"/>
    <w:rsid w:val="00617947"/>
    <w:rsid w:val="00617A0E"/>
    <w:rsid w:val="00617A25"/>
    <w:rsid w:val="00617B3E"/>
    <w:rsid w:val="0062004E"/>
    <w:rsid w:val="00620117"/>
    <w:rsid w:val="00620193"/>
    <w:rsid w:val="00620452"/>
    <w:rsid w:val="00620705"/>
    <w:rsid w:val="006208F2"/>
    <w:rsid w:val="006209BB"/>
    <w:rsid w:val="00620A26"/>
    <w:rsid w:val="00620A93"/>
    <w:rsid w:val="00620AF3"/>
    <w:rsid w:val="00620B1F"/>
    <w:rsid w:val="00620B3C"/>
    <w:rsid w:val="00620C3F"/>
    <w:rsid w:val="00620EA2"/>
    <w:rsid w:val="006211F7"/>
    <w:rsid w:val="006212E1"/>
    <w:rsid w:val="006212E9"/>
    <w:rsid w:val="00621373"/>
    <w:rsid w:val="006217A9"/>
    <w:rsid w:val="006217BB"/>
    <w:rsid w:val="006217E7"/>
    <w:rsid w:val="0062189F"/>
    <w:rsid w:val="006218F1"/>
    <w:rsid w:val="00621A49"/>
    <w:rsid w:val="00621A4B"/>
    <w:rsid w:val="00621B2E"/>
    <w:rsid w:val="00621CBE"/>
    <w:rsid w:val="00621CD3"/>
    <w:rsid w:val="00621D29"/>
    <w:rsid w:val="00621E35"/>
    <w:rsid w:val="00621F6E"/>
    <w:rsid w:val="00621F91"/>
    <w:rsid w:val="00621FB3"/>
    <w:rsid w:val="00622077"/>
    <w:rsid w:val="006220F8"/>
    <w:rsid w:val="00622139"/>
    <w:rsid w:val="00622366"/>
    <w:rsid w:val="0062237C"/>
    <w:rsid w:val="00622537"/>
    <w:rsid w:val="006225A6"/>
    <w:rsid w:val="00622B89"/>
    <w:rsid w:val="00622F2C"/>
    <w:rsid w:val="00622F73"/>
    <w:rsid w:val="006231A4"/>
    <w:rsid w:val="0062322F"/>
    <w:rsid w:val="00623818"/>
    <w:rsid w:val="00623C3B"/>
    <w:rsid w:val="00623EE4"/>
    <w:rsid w:val="00624559"/>
    <w:rsid w:val="00624637"/>
    <w:rsid w:val="00624814"/>
    <w:rsid w:val="00624985"/>
    <w:rsid w:val="006249C3"/>
    <w:rsid w:val="00624A12"/>
    <w:rsid w:val="00624D43"/>
    <w:rsid w:val="006252AD"/>
    <w:rsid w:val="006252D8"/>
    <w:rsid w:val="00625314"/>
    <w:rsid w:val="00625388"/>
    <w:rsid w:val="006256AF"/>
    <w:rsid w:val="00625718"/>
    <w:rsid w:val="00625838"/>
    <w:rsid w:val="00625A34"/>
    <w:rsid w:val="00625DCA"/>
    <w:rsid w:val="00625E8D"/>
    <w:rsid w:val="0062617E"/>
    <w:rsid w:val="006261CB"/>
    <w:rsid w:val="0062643C"/>
    <w:rsid w:val="00626488"/>
    <w:rsid w:val="00626684"/>
    <w:rsid w:val="006267EC"/>
    <w:rsid w:val="006268BC"/>
    <w:rsid w:val="00626AE4"/>
    <w:rsid w:val="00626B2A"/>
    <w:rsid w:val="00627095"/>
    <w:rsid w:val="006270F6"/>
    <w:rsid w:val="0062720E"/>
    <w:rsid w:val="00627317"/>
    <w:rsid w:val="0062741C"/>
    <w:rsid w:val="00627500"/>
    <w:rsid w:val="006275C4"/>
    <w:rsid w:val="0062776B"/>
    <w:rsid w:val="0062787D"/>
    <w:rsid w:val="0062799F"/>
    <w:rsid w:val="00627D6F"/>
    <w:rsid w:val="00627E45"/>
    <w:rsid w:val="00627F86"/>
    <w:rsid w:val="006301A0"/>
    <w:rsid w:val="00630388"/>
    <w:rsid w:val="006304C7"/>
    <w:rsid w:val="00630635"/>
    <w:rsid w:val="006308C8"/>
    <w:rsid w:val="006308CD"/>
    <w:rsid w:val="006309F0"/>
    <w:rsid w:val="00630A20"/>
    <w:rsid w:val="00630A58"/>
    <w:rsid w:val="00630AA2"/>
    <w:rsid w:val="00630D4E"/>
    <w:rsid w:val="00630FDC"/>
    <w:rsid w:val="00631007"/>
    <w:rsid w:val="006311E5"/>
    <w:rsid w:val="006313DD"/>
    <w:rsid w:val="00631499"/>
    <w:rsid w:val="006315C5"/>
    <w:rsid w:val="0063163C"/>
    <w:rsid w:val="006318BF"/>
    <w:rsid w:val="00631A3B"/>
    <w:rsid w:val="00631A79"/>
    <w:rsid w:val="00631BA3"/>
    <w:rsid w:val="00631E1F"/>
    <w:rsid w:val="00631E23"/>
    <w:rsid w:val="00631E8E"/>
    <w:rsid w:val="006320C1"/>
    <w:rsid w:val="006320CF"/>
    <w:rsid w:val="006321DD"/>
    <w:rsid w:val="00632438"/>
    <w:rsid w:val="00632520"/>
    <w:rsid w:val="0063272B"/>
    <w:rsid w:val="006327C5"/>
    <w:rsid w:val="00632953"/>
    <w:rsid w:val="00632A60"/>
    <w:rsid w:val="00632B2B"/>
    <w:rsid w:val="00632BDC"/>
    <w:rsid w:val="00632CD4"/>
    <w:rsid w:val="00632D86"/>
    <w:rsid w:val="00632E78"/>
    <w:rsid w:val="00632F0D"/>
    <w:rsid w:val="00632F38"/>
    <w:rsid w:val="006331D4"/>
    <w:rsid w:val="00633232"/>
    <w:rsid w:val="006334B5"/>
    <w:rsid w:val="00633540"/>
    <w:rsid w:val="0063358E"/>
    <w:rsid w:val="006335D0"/>
    <w:rsid w:val="006336B9"/>
    <w:rsid w:val="006337EF"/>
    <w:rsid w:val="00633838"/>
    <w:rsid w:val="00633839"/>
    <w:rsid w:val="006338C8"/>
    <w:rsid w:val="00633A44"/>
    <w:rsid w:val="00633B11"/>
    <w:rsid w:val="00633BAB"/>
    <w:rsid w:val="00633C07"/>
    <w:rsid w:val="00633C30"/>
    <w:rsid w:val="00633E5B"/>
    <w:rsid w:val="00633EBF"/>
    <w:rsid w:val="00634281"/>
    <w:rsid w:val="0063431F"/>
    <w:rsid w:val="00634836"/>
    <w:rsid w:val="00634881"/>
    <w:rsid w:val="0063492A"/>
    <w:rsid w:val="00634BC6"/>
    <w:rsid w:val="00634C46"/>
    <w:rsid w:val="006351FA"/>
    <w:rsid w:val="00635294"/>
    <w:rsid w:val="006354B4"/>
    <w:rsid w:val="006355ED"/>
    <w:rsid w:val="006357DF"/>
    <w:rsid w:val="00635879"/>
    <w:rsid w:val="0063588A"/>
    <w:rsid w:val="00635942"/>
    <w:rsid w:val="00635ACA"/>
    <w:rsid w:val="00635B61"/>
    <w:rsid w:val="00635C40"/>
    <w:rsid w:val="00635D89"/>
    <w:rsid w:val="00636036"/>
    <w:rsid w:val="006360F7"/>
    <w:rsid w:val="006361B1"/>
    <w:rsid w:val="006364DA"/>
    <w:rsid w:val="006366C0"/>
    <w:rsid w:val="006367F8"/>
    <w:rsid w:val="0063695C"/>
    <w:rsid w:val="00636BA2"/>
    <w:rsid w:val="00636BBB"/>
    <w:rsid w:val="00636CCB"/>
    <w:rsid w:val="00636DC5"/>
    <w:rsid w:val="00636DD2"/>
    <w:rsid w:val="00636DF7"/>
    <w:rsid w:val="00636EFF"/>
    <w:rsid w:val="006370FB"/>
    <w:rsid w:val="006371A4"/>
    <w:rsid w:val="006374AA"/>
    <w:rsid w:val="006374AC"/>
    <w:rsid w:val="006375FA"/>
    <w:rsid w:val="006376F9"/>
    <w:rsid w:val="00637BD9"/>
    <w:rsid w:val="00637D81"/>
    <w:rsid w:val="00637EBE"/>
    <w:rsid w:val="00637F6C"/>
    <w:rsid w:val="00640084"/>
    <w:rsid w:val="00640166"/>
    <w:rsid w:val="006401B7"/>
    <w:rsid w:val="006401C9"/>
    <w:rsid w:val="0064045E"/>
    <w:rsid w:val="00640490"/>
    <w:rsid w:val="0064057B"/>
    <w:rsid w:val="0064061E"/>
    <w:rsid w:val="006409D2"/>
    <w:rsid w:val="00640BD1"/>
    <w:rsid w:val="00640D82"/>
    <w:rsid w:val="00640DB3"/>
    <w:rsid w:val="00640FF3"/>
    <w:rsid w:val="0064100F"/>
    <w:rsid w:val="006411C9"/>
    <w:rsid w:val="006412DD"/>
    <w:rsid w:val="0064133D"/>
    <w:rsid w:val="00641464"/>
    <w:rsid w:val="006414B1"/>
    <w:rsid w:val="006417A0"/>
    <w:rsid w:val="006418F8"/>
    <w:rsid w:val="00641911"/>
    <w:rsid w:val="0064198B"/>
    <w:rsid w:val="00641AF2"/>
    <w:rsid w:val="00641C45"/>
    <w:rsid w:val="00641C88"/>
    <w:rsid w:val="00641D45"/>
    <w:rsid w:val="00641DC1"/>
    <w:rsid w:val="00641EA7"/>
    <w:rsid w:val="00641EAB"/>
    <w:rsid w:val="00641F78"/>
    <w:rsid w:val="00641FFF"/>
    <w:rsid w:val="0064217C"/>
    <w:rsid w:val="00642463"/>
    <w:rsid w:val="006424AE"/>
    <w:rsid w:val="006426E2"/>
    <w:rsid w:val="006427B1"/>
    <w:rsid w:val="006428AD"/>
    <w:rsid w:val="00642B09"/>
    <w:rsid w:val="00642C10"/>
    <w:rsid w:val="00642C98"/>
    <w:rsid w:val="006430AD"/>
    <w:rsid w:val="0064337A"/>
    <w:rsid w:val="0064342C"/>
    <w:rsid w:val="00643505"/>
    <w:rsid w:val="0064357A"/>
    <w:rsid w:val="006437D9"/>
    <w:rsid w:val="00643840"/>
    <w:rsid w:val="00643870"/>
    <w:rsid w:val="006439DD"/>
    <w:rsid w:val="00643A63"/>
    <w:rsid w:val="00643D71"/>
    <w:rsid w:val="00643E89"/>
    <w:rsid w:val="00644049"/>
    <w:rsid w:val="00644176"/>
    <w:rsid w:val="00644383"/>
    <w:rsid w:val="00644397"/>
    <w:rsid w:val="006444B0"/>
    <w:rsid w:val="00644614"/>
    <w:rsid w:val="006448D4"/>
    <w:rsid w:val="00644998"/>
    <w:rsid w:val="00644B39"/>
    <w:rsid w:val="00644DD3"/>
    <w:rsid w:val="00644E5C"/>
    <w:rsid w:val="00645130"/>
    <w:rsid w:val="006452C5"/>
    <w:rsid w:val="0064549F"/>
    <w:rsid w:val="006455AF"/>
    <w:rsid w:val="006455FB"/>
    <w:rsid w:val="00645723"/>
    <w:rsid w:val="00645727"/>
    <w:rsid w:val="00645A5D"/>
    <w:rsid w:val="00645A83"/>
    <w:rsid w:val="00645A90"/>
    <w:rsid w:val="00645B0C"/>
    <w:rsid w:val="00645C0C"/>
    <w:rsid w:val="00645CB5"/>
    <w:rsid w:val="00645E29"/>
    <w:rsid w:val="0064605D"/>
    <w:rsid w:val="006461B5"/>
    <w:rsid w:val="00646328"/>
    <w:rsid w:val="006465CF"/>
    <w:rsid w:val="006465DA"/>
    <w:rsid w:val="006466CD"/>
    <w:rsid w:val="00646A43"/>
    <w:rsid w:val="00646A49"/>
    <w:rsid w:val="00646A4C"/>
    <w:rsid w:val="00646A7C"/>
    <w:rsid w:val="00646A9E"/>
    <w:rsid w:val="00646C47"/>
    <w:rsid w:val="00646ED2"/>
    <w:rsid w:val="0064705C"/>
    <w:rsid w:val="00647086"/>
    <w:rsid w:val="0064714C"/>
    <w:rsid w:val="00647384"/>
    <w:rsid w:val="006473EE"/>
    <w:rsid w:val="006474D4"/>
    <w:rsid w:val="006475F3"/>
    <w:rsid w:val="0064785F"/>
    <w:rsid w:val="006479B3"/>
    <w:rsid w:val="00647A08"/>
    <w:rsid w:val="00647ADC"/>
    <w:rsid w:val="00647B2D"/>
    <w:rsid w:val="00647D45"/>
    <w:rsid w:val="00647FAB"/>
    <w:rsid w:val="00647FE8"/>
    <w:rsid w:val="0065039B"/>
    <w:rsid w:val="006503FE"/>
    <w:rsid w:val="00650472"/>
    <w:rsid w:val="006507E2"/>
    <w:rsid w:val="00650834"/>
    <w:rsid w:val="00650A6F"/>
    <w:rsid w:val="00650A7F"/>
    <w:rsid w:val="00650AE0"/>
    <w:rsid w:val="00650C41"/>
    <w:rsid w:val="00650D24"/>
    <w:rsid w:val="00651059"/>
    <w:rsid w:val="006510BB"/>
    <w:rsid w:val="00651150"/>
    <w:rsid w:val="00651269"/>
    <w:rsid w:val="0065135D"/>
    <w:rsid w:val="006513F3"/>
    <w:rsid w:val="006516E2"/>
    <w:rsid w:val="00651873"/>
    <w:rsid w:val="006518C9"/>
    <w:rsid w:val="00651A14"/>
    <w:rsid w:val="00651A86"/>
    <w:rsid w:val="00651BE1"/>
    <w:rsid w:val="00651BEE"/>
    <w:rsid w:val="00651C63"/>
    <w:rsid w:val="00651D7E"/>
    <w:rsid w:val="00651E2F"/>
    <w:rsid w:val="00651EE8"/>
    <w:rsid w:val="00651FB2"/>
    <w:rsid w:val="00652006"/>
    <w:rsid w:val="00652025"/>
    <w:rsid w:val="00652147"/>
    <w:rsid w:val="006521B1"/>
    <w:rsid w:val="00652273"/>
    <w:rsid w:val="0065231F"/>
    <w:rsid w:val="00652519"/>
    <w:rsid w:val="00652538"/>
    <w:rsid w:val="006526FA"/>
    <w:rsid w:val="006527A1"/>
    <w:rsid w:val="00652880"/>
    <w:rsid w:val="00652882"/>
    <w:rsid w:val="00652901"/>
    <w:rsid w:val="00652966"/>
    <w:rsid w:val="006529D9"/>
    <w:rsid w:val="00652CA9"/>
    <w:rsid w:val="00652DE7"/>
    <w:rsid w:val="00652E59"/>
    <w:rsid w:val="00652F20"/>
    <w:rsid w:val="00653208"/>
    <w:rsid w:val="0065327E"/>
    <w:rsid w:val="00653405"/>
    <w:rsid w:val="006535EE"/>
    <w:rsid w:val="0065369D"/>
    <w:rsid w:val="006536BE"/>
    <w:rsid w:val="00653872"/>
    <w:rsid w:val="00653C26"/>
    <w:rsid w:val="00653C7D"/>
    <w:rsid w:val="00653DB8"/>
    <w:rsid w:val="00653E3C"/>
    <w:rsid w:val="00653F68"/>
    <w:rsid w:val="00653FC4"/>
    <w:rsid w:val="00654148"/>
    <w:rsid w:val="0065419F"/>
    <w:rsid w:val="00654304"/>
    <w:rsid w:val="0065432D"/>
    <w:rsid w:val="006545FB"/>
    <w:rsid w:val="006546A5"/>
    <w:rsid w:val="00654706"/>
    <w:rsid w:val="0065473B"/>
    <w:rsid w:val="006547BE"/>
    <w:rsid w:val="00654B32"/>
    <w:rsid w:val="00654B55"/>
    <w:rsid w:val="00654B73"/>
    <w:rsid w:val="00654BCF"/>
    <w:rsid w:val="00654BE0"/>
    <w:rsid w:val="00654C42"/>
    <w:rsid w:val="00654C5E"/>
    <w:rsid w:val="006551DF"/>
    <w:rsid w:val="00655300"/>
    <w:rsid w:val="006557FC"/>
    <w:rsid w:val="0065586A"/>
    <w:rsid w:val="006558AA"/>
    <w:rsid w:val="006558C3"/>
    <w:rsid w:val="0065590F"/>
    <w:rsid w:val="0065597F"/>
    <w:rsid w:val="00655A78"/>
    <w:rsid w:val="00655ABC"/>
    <w:rsid w:val="00655CA5"/>
    <w:rsid w:val="00655CC0"/>
    <w:rsid w:val="00655D73"/>
    <w:rsid w:val="00655F51"/>
    <w:rsid w:val="00655F5F"/>
    <w:rsid w:val="00655FBF"/>
    <w:rsid w:val="006562BA"/>
    <w:rsid w:val="00656436"/>
    <w:rsid w:val="00656462"/>
    <w:rsid w:val="00656899"/>
    <w:rsid w:val="00656942"/>
    <w:rsid w:val="00656949"/>
    <w:rsid w:val="006569C5"/>
    <w:rsid w:val="00656A42"/>
    <w:rsid w:val="00656A71"/>
    <w:rsid w:val="00656C7C"/>
    <w:rsid w:val="00656C89"/>
    <w:rsid w:val="00656E62"/>
    <w:rsid w:val="00656F17"/>
    <w:rsid w:val="006572EE"/>
    <w:rsid w:val="00657637"/>
    <w:rsid w:val="00657639"/>
    <w:rsid w:val="0065767C"/>
    <w:rsid w:val="006577C9"/>
    <w:rsid w:val="00657A08"/>
    <w:rsid w:val="00657A78"/>
    <w:rsid w:val="00657B8A"/>
    <w:rsid w:val="00657C67"/>
    <w:rsid w:val="00657CED"/>
    <w:rsid w:val="00657D12"/>
    <w:rsid w:val="0066004D"/>
    <w:rsid w:val="0066011C"/>
    <w:rsid w:val="00660578"/>
    <w:rsid w:val="00660702"/>
    <w:rsid w:val="00660714"/>
    <w:rsid w:val="0066083D"/>
    <w:rsid w:val="00660912"/>
    <w:rsid w:val="00660A43"/>
    <w:rsid w:val="00660AF9"/>
    <w:rsid w:val="00660B6A"/>
    <w:rsid w:val="00660B87"/>
    <w:rsid w:val="00660BF0"/>
    <w:rsid w:val="00660CC8"/>
    <w:rsid w:val="00660D47"/>
    <w:rsid w:val="00660DFA"/>
    <w:rsid w:val="00660E49"/>
    <w:rsid w:val="00660FA8"/>
    <w:rsid w:val="00660FE2"/>
    <w:rsid w:val="0066105A"/>
    <w:rsid w:val="006613F6"/>
    <w:rsid w:val="006613F7"/>
    <w:rsid w:val="0066144F"/>
    <w:rsid w:val="00661579"/>
    <w:rsid w:val="006616E5"/>
    <w:rsid w:val="00661749"/>
    <w:rsid w:val="00661789"/>
    <w:rsid w:val="006617E9"/>
    <w:rsid w:val="0066192E"/>
    <w:rsid w:val="00661A7B"/>
    <w:rsid w:val="00661D45"/>
    <w:rsid w:val="00661DD0"/>
    <w:rsid w:val="00661E2C"/>
    <w:rsid w:val="00661F4E"/>
    <w:rsid w:val="0066215E"/>
    <w:rsid w:val="00662314"/>
    <w:rsid w:val="006623A4"/>
    <w:rsid w:val="0066241A"/>
    <w:rsid w:val="006624C5"/>
    <w:rsid w:val="006628CD"/>
    <w:rsid w:val="00662A08"/>
    <w:rsid w:val="00662A19"/>
    <w:rsid w:val="00662A48"/>
    <w:rsid w:val="00662B47"/>
    <w:rsid w:val="00662E41"/>
    <w:rsid w:val="00662F67"/>
    <w:rsid w:val="00662FB7"/>
    <w:rsid w:val="006630CE"/>
    <w:rsid w:val="006631A9"/>
    <w:rsid w:val="006631EC"/>
    <w:rsid w:val="0066329E"/>
    <w:rsid w:val="006632C5"/>
    <w:rsid w:val="006632FF"/>
    <w:rsid w:val="00663541"/>
    <w:rsid w:val="006635B4"/>
    <w:rsid w:val="006635EC"/>
    <w:rsid w:val="00663699"/>
    <w:rsid w:val="006636DD"/>
    <w:rsid w:val="006637BA"/>
    <w:rsid w:val="00663807"/>
    <w:rsid w:val="00663B44"/>
    <w:rsid w:val="00663B5D"/>
    <w:rsid w:val="00663C86"/>
    <w:rsid w:val="00663CF7"/>
    <w:rsid w:val="006640B8"/>
    <w:rsid w:val="006641FC"/>
    <w:rsid w:val="006642CE"/>
    <w:rsid w:val="006643E1"/>
    <w:rsid w:val="00664402"/>
    <w:rsid w:val="00664535"/>
    <w:rsid w:val="006645A3"/>
    <w:rsid w:val="006645FC"/>
    <w:rsid w:val="00664667"/>
    <w:rsid w:val="006647BB"/>
    <w:rsid w:val="00664962"/>
    <w:rsid w:val="00664B00"/>
    <w:rsid w:val="00664E14"/>
    <w:rsid w:val="0066514D"/>
    <w:rsid w:val="006653C4"/>
    <w:rsid w:val="00665582"/>
    <w:rsid w:val="006656A2"/>
    <w:rsid w:val="00665710"/>
    <w:rsid w:val="0066575B"/>
    <w:rsid w:val="00665955"/>
    <w:rsid w:val="006659C9"/>
    <w:rsid w:val="00665B12"/>
    <w:rsid w:val="00665D8D"/>
    <w:rsid w:val="00665F43"/>
    <w:rsid w:val="00665F94"/>
    <w:rsid w:val="00665FCE"/>
    <w:rsid w:val="00666025"/>
    <w:rsid w:val="0066623B"/>
    <w:rsid w:val="00666363"/>
    <w:rsid w:val="006663E6"/>
    <w:rsid w:val="00666441"/>
    <w:rsid w:val="006664D8"/>
    <w:rsid w:val="006668F0"/>
    <w:rsid w:val="00666941"/>
    <w:rsid w:val="0066696A"/>
    <w:rsid w:val="00666A69"/>
    <w:rsid w:val="00666BFB"/>
    <w:rsid w:val="00666DD1"/>
    <w:rsid w:val="00666E8E"/>
    <w:rsid w:val="006672A2"/>
    <w:rsid w:val="006675B5"/>
    <w:rsid w:val="00667657"/>
    <w:rsid w:val="00667674"/>
    <w:rsid w:val="006678DF"/>
    <w:rsid w:val="0066798D"/>
    <w:rsid w:val="006679B5"/>
    <w:rsid w:val="00667AE8"/>
    <w:rsid w:val="00667C13"/>
    <w:rsid w:val="00667D8C"/>
    <w:rsid w:val="00670127"/>
    <w:rsid w:val="00670173"/>
    <w:rsid w:val="0067039A"/>
    <w:rsid w:val="00670518"/>
    <w:rsid w:val="006705B4"/>
    <w:rsid w:val="00670788"/>
    <w:rsid w:val="0067092F"/>
    <w:rsid w:val="00670974"/>
    <w:rsid w:val="006709AA"/>
    <w:rsid w:val="00670C53"/>
    <w:rsid w:val="00670CC5"/>
    <w:rsid w:val="00671111"/>
    <w:rsid w:val="00671433"/>
    <w:rsid w:val="00671666"/>
    <w:rsid w:val="00671721"/>
    <w:rsid w:val="00671728"/>
    <w:rsid w:val="0067175F"/>
    <w:rsid w:val="00671C6B"/>
    <w:rsid w:val="00671C81"/>
    <w:rsid w:val="00671E9E"/>
    <w:rsid w:val="00671EF8"/>
    <w:rsid w:val="00671F85"/>
    <w:rsid w:val="00671F99"/>
    <w:rsid w:val="006721CC"/>
    <w:rsid w:val="0067228E"/>
    <w:rsid w:val="0067235B"/>
    <w:rsid w:val="006723BA"/>
    <w:rsid w:val="0067246D"/>
    <w:rsid w:val="0067253C"/>
    <w:rsid w:val="00672702"/>
    <w:rsid w:val="00672E4C"/>
    <w:rsid w:val="00672FA0"/>
    <w:rsid w:val="00672FB1"/>
    <w:rsid w:val="006730B7"/>
    <w:rsid w:val="006730D0"/>
    <w:rsid w:val="006730D1"/>
    <w:rsid w:val="00673132"/>
    <w:rsid w:val="0067327F"/>
    <w:rsid w:val="006732AA"/>
    <w:rsid w:val="006733C7"/>
    <w:rsid w:val="006734AF"/>
    <w:rsid w:val="00673A55"/>
    <w:rsid w:val="00673C7B"/>
    <w:rsid w:val="00673D21"/>
    <w:rsid w:val="0067407B"/>
    <w:rsid w:val="00674088"/>
    <w:rsid w:val="00674296"/>
    <w:rsid w:val="00674530"/>
    <w:rsid w:val="0067462A"/>
    <w:rsid w:val="0067467C"/>
    <w:rsid w:val="00674713"/>
    <w:rsid w:val="00674830"/>
    <w:rsid w:val="00674A24"/>
    <w:rsid w:val="00674ACF"/>
    <w:rsid w:val="00674B61"/>
    <w:rsid w:val="00674BAF"/>
    <w:rsid w:val="00674CD0"/>
    <w:rsid w:val="00674D82"/>
    <w:rsid w:val="0067505A"/>
    <w:rsid w:val="00675125"/>
    <w:rsid w:val="006751F8"/>
    <w:rsid w:val="006752DD"/>
    <w:rsid w:val="006754DB"/>
    <w:rsid w:val="0067553A"/>
    <w:rsid w:val="00675657"/>
    <w:rsid w:val="00675812"/>
    <w:rsid w:val="00675952"/>
    <w:rsid w:val="0067595A"/>
    <w:rsid w:val="00675DD9"/>
    <w:rsid w:val="00675E7F"/>
    <w:rsid w:val="00675F4C"/>
    <w:rsid w:val="00675F52"/>
    <w:rsid w:val="006760AD"/>
    <w:rsid w:val="00676176"/>
    <w:rsid w:val="006763DA"/>
    <w:rsid w:val="00676404"/>
    <w:rsid w:val="00676547"/>
    <w:rsid w:val="00676684"/>
    <w:rsid w:val="00676A62"/>
    <w:rsid w:val="00676ACF"/>
    <w:rsid w:val="00676BD2"/>
    <w:rsid w:val="00676D84"/>
    <w:rsid w:val="00676E6B"/>
    <w:rsid w:val="00676EB1"/>
    <w:rsid w:val="00676F7E"/>
    <w:rsid w:val="00676FB5"/>
    <w:rsid w:val="006772E2"/>
    <w:rsid w:val="00677320"/>
    <w:rsid w:val="006773C4"/>
    <w:rsid w:val="00677444"/>
    <w:rsid w:val="0067744D"/>
    <w:rsid w:val="00677458"/>
    <w:rsid w:val="006774AB"/>
    <w:rsid w:val="0067764C"/>
    <w:rsid w:val="006776C2"/>
    <w:rsid w:val="006777F9"/>
    <w:rsid w:val="00677B26"/>
    <w:rsid w:val="00677DE6"/>
    <w:rsid w:val="0068007A"/>
    <w:rsid w:val="0068022A"/>
    <w:rsid w:val="00680434"/>
    <w:rsid w:val="006804A1"/>
    <w:rsid w:val="00680701"/>
    <w:rsid w:val="0068073D"/>
    <w:rsid w:val="006807B0"/>
    <w:rsid w:val="00680A9A"/>
    <w:rsid w:val="00680AB4"/>
    <w:rsid w:val="00680B7C"/>
    <w:rsid w:val="00680C53"/>
    <w:rsid w:val="00680C78"/>
    <w:rsid w:val="00680F46"/>
    <w:rsid w:val="0068102E"/>
    <w:rsid w:val="00681377"/>
    <w:rsid w:val="0068158C"/>
    <w:rsid w:val="006816E4"/>
    <w:rsid w:val="00681890"/>
    <w:rsid w:val="0068199B"/>
    <w:rsid w:val="006819BD"/>
    <w:rsid w:val="00681D72"/>
    <w:rsid w:val="006821C9"/>
    <w:rsid w:val="0068225C"/>
    <w:rsid w:val="0068252E"/>
    <w:rsid w:val="006828D5"/>
    <w:rsid w:val="00682C8B"/>
    <w:rsid w:val="00682E12"/>
    <w:rsid w:val="00682E91"/>
    <w:rsid w:val="00682EA4"/>
    <w:rsid w:val="00683022"/>
    <w:rsid w:val="00683240"/>
    <w:rsid w:val="00683266"/>
    <w:rsid w:val="00683447"/>
    <w:rsid w:val="006834B3"/>
    <w:rsid w:val="006835AB"/>
    <w:rsid w:val="00683700"/>
    <w:rsid w:val="006837D6"/>
    <w:rsid w:val="00683A61"/>
    <w:rsid w:val="00683C01"/>
    <w:rsid w:val="00683C4A"/>
    <w:rsid w:val="00683CD1"/>
    <w:rsid w:val="00683D27"/>
    <w:rsid w:val="00683D83"/>
    <w:rsid w:val="00683F2F"/>
    <w:rsid w:val="006846AD"/>
    <w:rsid w:val="006846FB"/>
    <w:rsid w:val="006848B3"/>
    <w:rsid w:val="00684953"/>
    <w:rsid w:val="00684AC9"/>
    <w:rsid w:val="00684C3D"/>
    <w:rsid w:val="00684CA5"/>
    <w:rsid w:val="00684F46"/>
    <w:rsid w:val="00685333"/>
    <w:rsid w:val="0068555F"/>
    <w:rsid w:val="0068566F"/>
    <w:rsid w:val="006857E1"/>
    <w:rsid w:val="00685886"/>
    <w:rsid w:val="006858D2"/>
    <w:rsid w:val="00685989"/>
    <w:rsid w:val="00685A31"/>
    <w:rsid w:val="0068602F"/>
    <w:rsid w:val="0068622D"/>
    <w:rsid w:val="0068626A"/>
    <w:rsid w:val="00686284"/>
    <w:rsid w:val="006863BD"/>
    <w:rsid w:val="00686445"/>
    <w:rsid w:val="0068651B"/>
    <w:rsid w:val="00686595"/>
    <w:rsid w:val="0068671F"/>
    <w:rsid w:val="0068673B"/>
    <w:rsid w:val="006867C6"/>
    <w:rsid w:val="0068696D"/>
    <w:rsid w:val="006869CB"/>
    <w:rsid w:val="00686A6B"/>
    <w:rsid w:val="00686AFC"/>
    <w:rsid w:val="00686C46"/>
    <w:rsid w:val="00686E1D"/>
    <w:rsid w:val="00686E58"/>
    <w:rsid w:val="00687173"/>
    <w:rsid w:val="006871E0"/>
    <w:rsid w:val="006872AC"/>
    <w:rsid w:val="00687352"/>
    <w:rsid w:val="00687683"/>
    <w:rsid w:val="0068769D"/>
    <w:rsid w:val="0068791F"/>
    <w:rsid w:val="006879F3"/>
    <w:rsid w:val="00687A3C"/>
    <w:rsid w:val="00687A5C"/>
    <w:rsid w:val="00687A75"/>
    <w:rsid w:val="00687BC5"/>
    <w:rsid w:val="00687C35"/>
    <w:rsid w:val="00687CE8"/>
    <w:rsid w:val="00687CEE"/>
    <w:rsid w:val="00687D6E"/>
    <w:rsid w:val="00687E2B"/>
    <w:rsid w:val="00687EBD"/>
    <w:rsid w:val="00687FDF"/>
    <w:rsid w:val="00690019"/>
    <w:rsid w:val="00690127"/>
    <w:rsid w:val="00690137"/>
    <w:rsid w:val="006901F1"/>
    <w:rsid w:val="00690342"/>
    <w:rsid w:val="006903A0"/>
    <w:rsid w:val="0069048C"/>
    <w:rsid w:val="006904C6"/>
    <w:rsid w:val="00690532"/>
    <w:rsid w:val="00690551"/>
    <w:rsid w:val="00690686"/>
    <w:rsid w:val="006906B5"/>
    <w:rsid w:val="006906D2"/>
    <w:rsid w:val="00690712"/>
    <w:rsid w:val="00690727"/>
    <w:rsid w:val="00690761"/>
    <w:rsid w:val="0069085D"/>
    <w:rsid w:val="00690907"/>
    <w:rsid w:val="00690A18"/>
    <w:rsid w:val="00690F5D"/>
    <w:rsid w:val="00690F5F"/>
    <w:rsid w:val="00691011"/>
    <w:rsid w:val="00691015"/>
    <w:rsid w:val="0069106B"/>
    <w:rsid w:val="0069118F"/>
    <w:rsid w:val="00691458"/>
    <w:rsid w:val="006915B2"/>
    <w:rsid w:val="00691637"/>
    <w:rsid w:val="0069164C"/>
    <w:rsid w:val="006917A2"/>
    <w:rsid w:val="006917B8"/>
    <w:rsid w:val="00691BA0"/>
    <w:rsid w:val="00691DDD"/>
    <w:rsid w:val="00691F91"/>
    <w:rsid w:val="0069200B"/>
    <w:rsid w:val="00692061"/>
    <w:rsid w:val="00692111"/>
    <w:rsid w:val="0069223D"/>
    <w:rsid w:val="0069224D"/>
    <w:rsid w:val="00692259"/>
    <w:rsid w:val="006923AC"/>
    <w:rsid w:val="006927EB"/>
    <w:rsid w:val="00692B57"/>
    <w:rsid w:val="00692D6F"/>
    <w:rsid w:val="00692D98"/>
    <w:rsid w:val="00692EB3"/>
    <w:rsid w:val="00692EBE"/>
    <w:rsid w:val="006931BD"/>
    <w:rsid w:val="00693331"/>
    <w:rsid w:val="0069340E"/>
    <w:rsid w:val="00693470"/>
    <w:rsid w:val="006934D1"/>
    <w:rsid w:val="00693737"/>
    <w:rsid w:val="00693773"/>
    <w:rsid w:val="00693A13"/>
    <w:rsid w:val="00693AA4"/>
    <w:rsid w:val="00693AD4"/>
    <w:rsid w:val="00693B1B"/>
    <w:rsid w:val="00693D86"/>
    <w:rsid w:val="00693EA0"/>
    <w:rsid w:val="00693EB9"/>
    <w:rsid w:val="00693FEB"/>
    <w:rsid w:val="00694382"/>
    <w:rsid w:val="006944CA"/>
    <w:rsid w:val="006946AC"/>
    <w:rsid w:val="00694725"/>
    <w:rsid w:val="00694822"/>
    <w:rsid w:val="0069488A"/>
    <w:rsid w:val="00694C79"/>
    <w:rsid w:val="00694CF2"/>
    <w:rsid w:val="00694DFB"/>
    <w:rsid w:val="0069513D"/>
    <w:rsid w:val="006952EF"/>
    <w:rsid w:val="006955A1"/>
    <w:rsid w:val="0069561C"/>
    <w:rsid w:val="0069593E"/>
    <w:rsid w:val="006960BB"/>
    <w:rsid w:val="00696236"/>
    <w:rsid w:val="00696252"/>
    <w:rsid w:val="006962A4"/>
    <w:rsid w:val="006962BC"/>
    <w:rsid w:val="006962CA"/>
    <w:rsid w:val="00696312"/>
    <w:rsid w:val="00696360"/>
    <w:rsid w:val="006963FC"/>
    <w:rsid w:val="00696967"/>
    <w:rsid w:val="006969D3"/>
    <w:rsid w:val="00696C5A"/>
    <w:rsid w:val="00696E5D"/>
    <w:rsid w:val="00696FC1"/>
    <w:rsid w:val="00697114"/>
    <w:rsid w:val="00697501"/>
    <w:rsid w:val="00697515"/>
    <w:rsid w:val="006976D3"/>
    <w:rsid w:val="006979E7"/>
    <w:rsid w:val="00697A7D"/>
    <w:rsid w:val="00697E17"/>
    <w:rsid w:val="00697E40"/>
    <w:rsid w:val="0069AA65"/>
    <w:rsid w:val="006A02F2"/>
    <w:rsid w:val="006A0411"/>
    <w:rsid w:val="006A0467"/>
    <w:rsid w:val="006A04D2"/>
    <w:rsid w:val="006A05FC"/>
    <w:rsid w:val="006A064C"/>
    <w:rsid w:val="006A071A"/>
    <w:rsid w:val="006A07B4"/>
    <w:rsid w:val="006A0C45"/>
    <w:rsid w:val="006A0C99"/>
    <w:rsid w:val="006A0CF0"/>
    <w:rsid w:val="006A0D19"/>
    <w:rsid w:val="006A0FB9"/>
    <w:rsid w:val="006A11E5"/>
    <w:rsid w:val="006A1336"/>
    <w:rsid w:val="006A13EF"/>
    <w:rsid w:val="006A1566"/>
    <w:rsid w:val="006A177C"/>
    <w:rsid w:val="006A1887"/>
    <w:rsid w:val="006A191F"/>
    <w:rsid w:val="006A1A55"/>
    <w:rsid w:val="006A1A66"/>
    <w:rsid w:val="006A1B16"/>
    <w:rsid w:val="006A1B7C"/>
    <w:rsid w:val="006A1C21"/>
    <w:rsid w:val="006A1CE2"/>
    <w:rsid w:val="006A1DA9"/>
    <w:rsid w:val="006A1E25"/>
    <w:rsid w:val="006A1ECF"/>
    <w:rsid w:val="006A2247"/>
    <w:rsid w:val="006A22C4"/>
    <w:rsid w:val="006A22CD"/>
    <w:rsid w:val="006A2437"/>
    <w:rsid w:val="006A2629"/>
    <w:rsid w:val="006A26E4"/>
    <w:rsid w:val="006A270E"/>
    <w:rsid w:val="006A2774"/>
    <w:rsid w:val="006A27D6"/>
    <w:rsid w:val="006A285B"/>
    <w:rsid w:val="006A2A8B"/>
    <w:rsid w:val="006A2C0C"/>
    <w:rsid w:val="006A2C0D"/>
    <w:rsid w:val="006A2E65"/>
    <w:rsid w:val="006A2FB9"/>
    <w:rsid w:val="006A32B5"/>
    <w:rsid w:val="006A3446"/>
    <w:rsid w:val="006A35F4"/>
    <w:rsid w:val="006A3645"/>
    <w:rsid w:val="006A36A1"/>
    <w:rsid w:val="006A3B48"/>
    <w:rsid w:val="006A3BA8"/>
    <w:rsid w:val="006A3CF6"/>
    <w:rsid w:val="006A3D08"/>
    <w:rsid w:val="006A3D68"/>
    <w:rsid w:val="006A3F47"/>
    <w:rsid w:val="006A4098"/>
    <w:rsid w:val="006A41ED"/>
    <w:rsid w:val="006A4465"/>
    <w:rsid w:val="006A447E"/>
    <w:rsid w:val="006A4774"/>
    <w:rsid w:val="006A4793"/>
    <w:rsid w:val="006A47B3"/>
    <w:rsid w:val="006A47BC"/>
    <w:rsid w:val="006A47F6"/>
    <w:rsid w:val="006A4946"/>
    <w:rsid w:val="006A49C9"/>
    <w:rsid w:val="006A4AF7"/>
    <w:rsid w:val="006A4BBF"/>
    <w:rsid w:val="006A4C38"/>
    <w:rsid w:val="006A4CEF"/>
    <w:rsid w:val="006A4D83"/>
    <w:rsid w:val="006A4FFE"/>
    <w:rsid w:val="006A513E"/>
    <w:rsid w:val="006A5368"/>
    <w:rsid w:val="006A56CD"/>
    <w:rsid w:val="006A58B6"/>
    <w:rsid w:val="006A5B16"/>
    <w:rsid w:val="006A5C0F"/>
    <w:rsid w:val="006A5D0E"/>
    <w:rsid w:val="006A5D92"/>
    <w:rsid w:val="006A5D99"/>
    <w:rsid w:val="006A614D"/>
    <w:rsid w:val="006A6226"/>
    <w:rsid w:val="006A6461"/>
    <w:rsid w:val="006A65B1"/>
    <w:rsid w:val="006A664C"/>
    <w:rsid w:val="006A66F1"/>
    <w:rsid w:val="006A67DD"/>
    <w:rsid w:val="006A68D7"/>
    <w:rsid w:val="006A6BA0"/>
    <w:rsid w:val="006A6CE6"/>
    <w:rsid w:val="006A6E03"/>
    <w:rsid w:val="006A6E30"/>
    <w:rsid w:val="006A6FEA"/>
    <w:rsid w:val="006A700F"/>
    <w:rsid w:val="006A7265"/>
    <w:rsid w:val="006A76EA"/>
    <w:rsid w:val="006A785E"/>
    <w:rsid w:val="006A7C11"/>
    <w:rsid w:val="006A7CA8"/>
    <w:rsid w:val="006A7D98"/>
    <w:rsid w:val="006A7F1F"/>
    <w:rsid w:val="006A7F97"/>
    <w:rsid w:val="006B0026"/>
    <w:rsid w:val="006B01C6"/>
    <w:rsid w:val="006B0349"/>
    <w:rsid w:val="006B0500"/>
    <w:rsid w:val="006B0779"/>
    <w:rsid w:val="006B0882"/>
    <w:rsid w:val="006B0ADA"/>
    <w:rsid w:val="006B0AF0"/>
    <w:rsid w:val="006B0B38"/>
    <w:rsid w:val="006B0BC8"/>
    <w:rsid w:val="006B0BD2"/>
    <w:rsid w:val="006B0D54"/>
    <w:rsid w:val="006B0DA4"/>
    <w:rsid w:val="006B0E62"/>
    <w:rsid w:val="006B0EE4"/>
    <w:rsid w:val="006B0F78"/>
    <w:rsid w:val="006B114C"/>
    <w:rsid w:val="006B11AA"/>
    <w:rsid w:val="006B1539"/>
    <w:rsid w:val="006B16A4"/>
    <w:rsid w:val="006B19E0"/>
    <w:rsid w:val="006B1A0B"/>
    <w:rsid w:val="006B1AE5"/>
    <w:rsid w:val="006B1C67"/>
    <w:rsid w:val="006B1E27"/>
    <w:rsid w:val="006B1F5E"/>
    <w:rsid w:val="006B2148"/>
    <w:rsid w:val="006B26F2"/>
    <w:rsid w:val="006B2750"/>
    <w:rsid w:val="006B279C"/>
    <w:rsid w:val="006B27DA"/>
    <w:rsid w:val="006B29C5"/>
    <w:rsid w:val="006B29EF"/>
    <w:rsid w:val="006B2B6D"/>
    <w:rsid w:val="006B2DE8"/>
    <w:rsid w:val="006B2E7B"/>
    <w:rsid w:val="006B2F1C"/>
    <w:rsid w:val="006B3080"/>
    <w:rsid w:val="006B30BE"/>
    <w:rsid w:val="006B3159"/>
    <w:rsid w:val="006B31A4"/>
    <w:rsid w:val="006B33CC"/>
    <w:rsid w:val="006B3418"/>
    <w:rsid w:val="006B3424"/>
    <w:rsid w:val="006B3445"/>
    <w:rsid w:val="006B34AC"/>
    <w:rsid w:val="006B36C8"/>
    <w:rsid w:val="006B3814"/>
    <w:rsid w:val="006B38D1"/>
    <w:rsid w:val="006B3BC5"/>
    <w:rsid w:val="006B3F59"/>
    <w:rsid w:val="006B3F6D"/>
    <w:rsid w:val="006B40CD"/>
    <w:rsid w:val="006B41CB"/>
    <w:rsid w:val="006B4287"/>
    <w:rsid w:val="006B436B"/>
    <w:rsid w:val="006B4426"/>
    <w:rsid w:val="006B4564"/>
    <w:rsid w:val="006B4781"/>
    <w:rsid w:val="006B49DD"/>
    <w:rsid w:val="006B4B6D"/>
    <w:rsid w:val="006B4BCD"/>
    <w:rsid w:val="006B4F8D"/>
    <w:rsid w:val="006B5087"/>
    <w:rsid w:val="006B50DB"/>
    <w:rsid w:val="006B517C"/>
    <w:rsid w:val="006B5184"/>
    <w:rsid w:val="006B519A"/>
    <w:rsid w:val="006B53F6"/>
    <w:rsid w:val="006B5436"/>
    <w:rsid w:val="006B550B"/>
    <w:rsid w:val="006B5555"/>
    <w:rsid w:val="006B556E"/>
    <w:rsid w:val="006B5642"/>
    <w:rsid w:val="006B5775"/>
    <w:rsid w:val="006B57E2"/>
    <w:rsid w:val="006B5867"/>
    <w:rsid w:val="006B59C1"/>
    <w:rsid w:val="006B5A4B"/>
    <w:rsid w:val="006B5AA8"/>
    <w:rsid w:val="006B5AF7"/>
    <w:rsid w:val="006B5B13"/>
    <w:rsid w:val="006B5B4E"/>
    <w:rsid w:val="006B5CDE"/>
    <w:rsid w:val="006B5DDB"/>
    <w:rsid w:val="006B6087"/>
    <w:rsid w:val="006B61D3"/>
    <w:rsid w:val="006B62FE"/>
    <w:rsid w:val="006B640E"/>
    <w:rsid w:val="006B6495"/>
    <w:rsid w:val="006B661B"/>
    <w:rsid w:val="006B68F6"/>
    <w:rsid w:val="006B6C53"/>
    <w:rsid w:val="006B6EB2"/>
    <w:rsid w:val="006B6EFF"/>
    <w:rsid w:val="006B6FEF"/>
    <w:rsid w:val="006B72E2"/>
    <w:rsid w:val="006B7409"/>
    <w:rsid w:val="006B74B6"/>
    <w:rsid w:val="006B758E"/>
    <w:rsid w:val="006B7740"/>
    <w:rsid w:val="006B7866"/>
    <w:rsid w:val="006B7879"/>
    <w:rsid w:val="006B79A9"/>
    <w:rsid w:val="006B7A0E"/>
    <w:rsid w:val="006B7B66"/>
    <w:rsid w:val="006B7D84"/>
    <w:rsid w:val="006B7EBD"/>
    <w:rsid w:val="006BD370"/>
    <w:rsid w:val="006C0105"/>
    <w:rsid w:val="006C0491"/>
    <w:rsid w:val="006C04C7"/>
    <w:rsid w:val="006C05C3"/>
    <w:rsid w:val="006C0678"/>
    <w:rsid w:val="006C0699"/>
    <w:rsid w:val="006C077A"/>
    <w:rsid w:val="006C0971"/>
    <w:rsid w:val="006C0AD5"/>
    <w:rsid w:val="006C0BAD"/>
    <w:rsid w:val="006C0CC1"/>
    <w:rsid w:val="006C0DB2"/>
    <w:rsid w:val="006C0F4C"/>
    <w:rsid w:val="006C1332"/>
    <w:rsid w:val="006C146B"/>
    <w:rsid w:val="006C1661"/>
    <w:rsid w:val="006C171C"/>
    <w:rsid w:val="006C176A"/>
    <w:rsid w:val="006C17A2"/>
    <w:rsid w:val="006C180C"/>
    <w:rsid w:val="006C18AF"/>
    <w:rsid w:val="006C1C22"/>
    <w:rsid w:val="006C1C46"/>
    <w:rsid w:val="006C1CD7"/>
    <w:rsid w:val="006C1E8D"/>
    <w:rsid w:val="006C1EDB"/>
    <w:rsid w:val="006C2010"/>
    <w:rsid w:val="006C2095"/>
    <w:rsid w:val="006C216D"/>
    <w:rsid w:val="006C23A7"/>
    <w:rsid w:val="006C266F"/>
    <w:rsid w:val="006C2930"/>
    <w:rsid w:val="006C2ABA"/>
    <w:rsid w:val="006C2AD8"/>
    <w:rsid w:val="006C2B24"/>
    <w:rsid w:val="006C2BD5"/>
    <w:rsid w:val="006C2C76"/>
    <w:rsid w:val="006C2E18"/>
    <w:rsid w:val="006C2F00"/>
    <w:rsid w:val="006C321E"/>
    <w:rsid w:val="006C3228"/>
    <w:rsid w:val="006C326D"/>
    <w:rsid w:val="006C3381"/>
    <w:rsid w:val="006C3433"/>
    <w:rsid w:val="006C36C4"/>
    <w:rsid w:val="006C37A5"/>
    <w:rsid w:val="006C37C4"/>
    <w:rsid w:val="006C3879"/>
    <w:rsid w:val="006C3951"/>
    <w:rsid w:val="006C3C37"/>
    <w:rsid w:val="006C3EDD"/>
    <w:rsid w:val="006C3F52"/>
    <w:rsid w:val="006C3F98"/>
    <w:rsid w:val="006C3F99"/>
    <w:rsid w:val="006C438A"/>
    <w:rsid w:val="006C43D8"/>
    <w:rsid w:val="006C4402"/>
    <w:rsid w:val="006C441F"/>
    <w:rsid w:val="006C4468"/>
    <w:rsid w:val="006C4473"/>
    <w:rsid w:val="006C448D"/>
    <w:rsid w:val="006C455D"/>
    <w:rsid w:val="006C45A4"/>
    <w:rsid w:val="006C472A"/>
    <w:rsid w:val="006C4A68"/>
    <w:rsid w:val="006C4B13"/>
    <w:rsid w:val="006C4EAF"/>
    <w:rsid w:val="006C4F87"/>
    <w:rsid w:val="006C5004"/>
    <w:rsid w:val="006C509A"/>
    <w:rsid w:val="006C50E2"/>
    <w:rsid w:val="006C517A"/>
    <w:rsid w:val="006C555C"/>
    <w:rsid w:val="006C5833"/>
    <w:rsid w:val="006C58D9"/>
    <w:rsid w:val="006C5956"/>
    <w:rsid w:val="006C5B5E"/>
    <w:rsid w:val="006C5C46"/>
    <w:rsid w:val="006C5F16"/>
    <w:rsid w:val="006C60C3"/>
    <w:rsid w:val="006C6177"/>
    <w:rsid w:val="006C6337"/>
    <w:rsid w:val="006C6702"/>
    <w:rsid w:val="006C681E"/>
    <w:rsid w:val="006C6938"/>
    <w:rsid w:val="006C69DE"/>
    <w:rsid w:val="006C6ABC"/>
    <w:rsid w:val="006C6B2B"/>
    <w:rsid w:val="006C6BDA"/>
    <w:rsid w:val="006C6CB1"/>
    <w:rsid w:val="006C6CB9"/>
    <w:rsid w:val="006C6D90"/>
    <w:rsid w:val="006C6E3E"/>
    <w:rsid w:val="006C6ED9"/>
    <w:rsid w:val="006C6EDB"/>
    <w:rsid w:val="006C7092"/>
    <w:rsid w:val="006C719B"/>
    <w:rsid w:val="006C74D4"/>
    <w:rsid w:val="006C74F0"/>
    <w:rsid w:val="006C773C"/>
    <w:rsid w:val="006C7923"/>
    <w:rsid w:val="006C7A5D"/>
    <w:rsid w:val="006C7A84"/>
    <w:rsid w:val="006C7CEA"/>
    <w:rsid w:val="006C7F0C"/>
    <w:rsid w:val="006C7FC4"/>
    <w:rsid w:val="006C7FDF"/>
    <w:rsid w:val="006C7FE5"/>
    <w:rsid w:val="006D0034"/>
    <w:rsid w:val="006D029D"/>
    <w:rsid w:val="006D04A0"/>
    <w:rsid w:val="006D04F1"/>
    <w:rsid w:val="006D0622"/>
    <w:rsid w:val="006D07FC"/>
    <w:rsid w:val="006D08F2"/>
    <w:rsid w:val="006D0981"/>
    <w:rsid w:val="006D0A04"/>
    <w:rsid w:val="006D0A63"/>
    <w:rsid w:val="006D0BC0"/>
    <w:rsid w:val="006D0DBE"/>
    <w:rsid w:val="006D0F81"/>
    <w:rsid w:val="006D0F8B"/>
    <w:rsid w:val="006D1106"/>
    <w:rsid w:val="006D1510"/>
    <w:rsid w:val="006D165A"/>
    <w:rsid w:val="006D176B"/>
    <w:rsid w:val="006D1790"/>
    <w:rsid w:val="006D1810"/>
    <w:rsid w:val="006D19E8"/>
    <w:rsid w:val="006D1BF1"/>
    <w:rsid w:val="006D1C85"/>
    <w:rsid w:val="006D1C9E"/>
    <w:rsid w:val="006D1F26"/>
    <w:rsid w:val="006D1F3A"/>
    <w:rsid w:val="006D1FC7"/>
    <w:rsid w:val="006D1FDE"/>
    <w:rsid w:val="006D2006"/>
    <w:rsid w:val="006D229D"/>
    <w:rsid w:val="006D2311"/>
    <w:rsid w:val="006D23C5"/>
    <w:rsid w:val="006D2471"/>
    <w:rsid w:val="006D255D"/>
    <w:rsid w:val="006D25E6"/>
    <w:rsid w:val="006D261D"/>
    <w:rsid w:val="006D2661"/>
    <w:rsid w:val="006D28D4"/>
    <w:rsid w:val="006D2C55"/>
    <w:rsid w:val="006D2C68"/>
    <w:rsid w:val="006D2F24"/>
    <w:rsid w:val="006D2FA2"/>
    <w:rsid w:val="006D302A"/>
    <w:rsid w:val="006D3034"/>
    <w:rsid w:val="006D3152"/>
    <w:rsid w:val="006D32F3"/>
    <w:rsid w:val="006D33DA"/>
    <w:rsid w:val="006D345C"/>
    <w:rsid w:val="006D3530"/>
    <w:rsid w:val="006D357A"/>
    <w:rsid w:val="006D35D6"/>
    <w:rsid w:val="006D362F"/>
    <w:rsid w:val="006D36C3"/>
    <w:rsid w:val="006D3895"/>
    <w:rsid w:val="006D38EC"/>
    <w:rsid w:val="006D39C3"/>
    <w:rsid w:val="006D39F1"/>
    <w:rsid w:val="006D3D01"/>
    <w:rsid w:val="006D3D77"/>
    <w:rsid w:val="006D419E"/>
    <w:rsid w:val="006D4205"/>
    <w:rsid w:val="006D4329"/>
    <w:rsid w:val="006D4350"/>
    <w:rsid w:val="006D43AD"/>
    <w:rsid w:val="006D4452"/>
    <w:rsid w:val="006D4465"/>
    <w:rsid w:val="006D4533"/>
    <w:rsid w:val="006D462F"/>
    <w:rsid w:val="006D4750"/>
    <w:rsid w:val="006D48DA"/>
    <w:rsid w:val="006D48F5"/>
    <w:rsid w:val="006D4DF6"/>
    <w:rsid w:val="006D4EE2"/>
    <w:rsid w:val="006D4F6C"/>
    <w:rsid w:val="006D521E"/>
    <w:rsid w:val="006D52F2"/>
    <w:rsid w:val="006D5393"/>
    <w:rsid w:val="006D5600"/>
    <w:rsid w:val="006D56A5"/>
    <w:rsid w:val="006D56A8"/>
    <w:rsid w:val="006D5788"/>
    <w:rsid w:val="006D58CF"/>
    <w:rsid w:val="006D5B57"/>
    <w:rsid w:val="006D5CCD"/>
    <w:rsid w:val="006D5EF3"/>
    <w:rsid w:val="006D61FC"/>
    <w:rsid w:val="006D6355"/>
    <w:rsid w:val="006D63D8"/>
    <w:rsid w:val="006D6488"/>
    <w:rsid w:val="006D64A6"/>
    <w:rsid w:val="006D6809"/>
    <w:rsid w:val="006D69CB"/>
    <w:rsid w:val="006D6EB1"/>
    <w:rsid w:val="006D6EB6"/>
    <w:rsid w:val="006D6F04"/>
    <w:rsid w:val="006D6F61"/>
    <w:rsid w:val="006D6FF0"/>
    <w:rsid w:val="006D707F"/>
    <w:rsid w:val="006D72CF"/>
    <w:rsid w:val="006D74EF"/>
    <w:rsid w:val="006D753B"/>
    <w:rsid w:val="006D760E"/>
    <w:rsid w:val="006D7624"/>
    <w:rsid w:val="006D770F"/>
    <w:rsid w:val="006D779C"/>
    <w:rsid w:val="006D7AB2"/>
    <w:rsid w:val="006D7AD5"/>
    <w:rsid w:val="006D7FDB"/>
    <w:rsid w:val="006E01FF"/>
    <w:rsid w:val="006E0325"/>
    <w:rsid w:val="006E0373"/>
    <w:rsid w:val="006E054A"/>
    <w:rsid w:val="006E0562"/>
    <w:rsid w:val="006E0867"/>
    <w:rsid w:val="006E0AE9"/>
    <w:rsid w:val="006E0D39"/>
    <w:rsid w:val="006E12D4"/>
    <w:rsid w:val="006E14F9"/>
    <w:rsid w:val="006E1678"/>
    <w:rsid w:val="006E1694"/>
    <w:rsid w:val="006E17A2"/>
    <w:rsid w:val="006E17C6"/>
    <w:rsid w:val="006E1985"/>
    <w:rsid w:val="006E1AB8"/>
    <w:rsid w:val="006E1CAE"/>
    <w:rsid w:val="006E1D60"/>
    <w:rsid w:val="006E1F97"/>
    <w:rsid w:val="006E2017"/>
    <w:rsid w:val="006E201B"/>
    <w:rsid w:val="006E204F"/>
    <w:rsid w:val="006E2075"/>
    <w:rsid w:val="006E234B"/>
    <w:rsid w:val="006E2470"/>
    <w:rsid w:val="006E24F0"/>
    <w:rsid w:val="006E25B1"/>
    <w:rsid w:val="006E27FA"/>
    <w:rsid w:val="006E29EF"/>
    <w:rsid w:val="006E2A46"/>
    <w:rsid w:val="006E2DD0"/>
    <w:rsid w:val="006E2F48"/>
    <w:rsid w:val="006E3231"/>
    <w:rsid w:val="006E3260"/>
    <w:rsid w:val="006E32FD"/>
    <w:rsid w:val="006E334A"/>
    <w:rsid w:val="006E33D5"/>
    <w:rsid w:val="006E34FB"/>
    <w:rsid w:val="006E35AB"/>
    <w:rsid w:val="006E37AE"/>
    <w:rsid w:val="006E38F6"/>
    <w:rsid w:val="006E3A24"/>
    <w:rsid w:val="006E3A60"/>
    <w:rsid w:val="006E3A65"/>
    <w:rsid w:val="006E3C3E"/>
    <w:rsid w:val="006E3E9F"/>
    <w:rsid w:val="006E3FBF"/>
    <w:rsid w:val="006E3FD7"/>
    <w:rsid w:val="006E4024"/>
    <w:rsid w:val="006E4027"/>
    <w:rsid w:val="006E4106"/>
    <w:rsid w:val="006E41C5"/>
    <w:rsid w:val="006E44A4"/>
    <w:rsid w:val="006E4520"/>
    <w:rsid w:val="006E4539"/>
    <w:rsid w:val="006E466F"/>
    <w:rsid w:val="006E46DF"/>
    <w:rsid w:val="006E490B"/>
    <w:rsid w:val="006E49B9"/>
    <w:rsid w:val="006E4AFC"/>
    <w:rsid w:val="006E4B1C"/>
    <w:rsid w:val="006E4B5C"/>
    <w:rsid w:val="006E4B61"/>
    <w:rsid w:val="006E4C5B"/>
    <w:rsid w:val="006E4F06"/>
    <w:rsid w:val="006E5013"/>
    <w:rsid w:val="006E5094"/>
    <w:rsid w:val="006E50CB"/>
    <w:rsid w:val="006E527B"/>
    <w:rsid w:val="006E52E4"/>
    <w:rsid w:val="006E5447"/>
    <w:rsid w:val="006E5602"/>
    <w:rsid w:val="006E5670"/>
    <w:rsid w:val="006E568F"/>
    <w:rsid w:val="006E56DF"/>
    <w:rsid w:val="006E5873"/>
    <w:rsid w:val="006E5928"/>
    <w:rsid w:val="006E59A0"/>
    <w:rsid w:val="006E5AA3"/>
    <w:rsid w:val="006E5BF7"/>
    <w:rsid w:val="006E5DC1"/>
    <w:rsid w:val="006E5DF0"/>
    <w:rsid w:val="006E5EE7"/>
    <w:rsid w:val="006E605F"/>
    <w:rsid w:val="006E6065"/>
    <w:rsid w:val="006E608E"/>
    <w:rsid w:val="006E61DE"/>
    <w:rsid w:val="006E629B"/>
    <w:rsid w:val="006E6336"/>
    <w:rsid w:val="006E65AA"/>
    <w:rsid w:val="006E65D6"/>
    <w:rsid w:val="006E66B8"/>
    <w:rsid w:val="006E66D3"/>
    <w:rsid w:val="006E673A"/>
    <w:rsid w:val="006E68D3"/>
    <w:rsid w:val="006E6A3F"/>
    <w:rsid w:val="006E6C9D"/>
    <w:rsid w:val="006E6D38"/>
    <w:rsid w:val="006E6E91"/>
    <w:rsid w:val="006E6EB3"/>
    <w:rsid w:val="006E6F84"/>
    <w:rsid w:val="006E6FBD"/>
    <w:rsid w:val="006E700C"/>
    <w:rsid w:val="006E701E"/>
    <w:rsid w:val="006E709C"/>
    <w:rsid w:val="006E70CA"/>
    <w:rsid w:val="006E70CC"/>
    <w:rsid w:val="006E7197"/>
    <w:rsid w:val="006E726F"/>
    <w:rsid w:val="006E7270"/>
    <w:rsid w:val="006E7327"/>
    <w:rsid w:val="006E73DA"/>
    <w:rsid w:val="006E73F5"/>
    <w:rsid w:val="006E7520"/>
    <w:rsid w:val="006E75D8"/>
    <w:rsid w:val="006E75F2"/>
    <w:rsid w:val="006E760B"/>
    <w:rsid w:val="006E7A1E"/>
    <w:rsid w:val="006E7AAA"/>
    <w:rsid w:val="006E7B5E"/>
    <w:rsid w:val="006E7B85"/>
    <w:rsid w:val="006E7BD0"/>
    <w:rsid w:val="006E7C85"/>
    <w:rsid w:val="006E7CEF"/>
    <w:rsid w:val="006E7DAC"/>
    <w:rsid w:val="006E7EB1"/>
    <w:rsid w:val="006E7F57"/>
    <w:rsid w:val="006F000F"/>
    <w:rsid w:val="006F00F3"/>
    <w:rsid w:val="006F0110"/>
    <w:rsid w:val="006F01D0"/>
    <w:rsid w:val="006F03FB"/>
    <w:rsid w:val="006F0449"/>
    <w:rsid w:val="006F04A7"/>
    <w:rsid w:val="006F05DF"/>
    <w:rsid w:val="006F094A"/>
    <w:rsid w:val="006F0B26"/>
    <w:rsid w:val="006F0C97"/>
    <w:rsid w:val="006F0FFF"/>
    <w:rsid w:val="006F1188"/>
    <w:rsid w:val="006F1307"/>
    <w:rsid w:val="006F13F3"/>
    <w:rsid w:val="006F1595"/>
    <w:rsid w:val="006F15D0"/>
    <w:rsid w:val="006F1638"/>
    <w:rsid w:val="006F16E4"/>
    <w:rsid w:val="006F1F46"/>
    <w:rsid w:val="006F1FB4"/>
    <w:rsid w:val="006F2044"/>
    <w:rsid w:val="006F21C4"/>
    <w:rsid w:val="006F2393"/>
    <w:rsid w:val="006F23CE"/>
    <w:rsid w:val="006F253C"/>
    <w:rsid w:val="006F259D"/>
    <w:rsid w:val="006F274B"/>
    <w:rsid w:val="006F2899"/>
    <w:rsid w:val="006F2B02"/>
    <w:rsid w:val="006F2C18"/>
    <w:rsid w:val="006F2CB9"/>
    <w:rsid w:val="006F2D51"/>
    <w:rsid w:val="006F3167"/>
    <w:rsid w:val="006F320C"/>
    <w:rsid w:val="006F3697"/>
    <w:rsid w:val="006F3774"/>
    <w:rsid w:val="006F3899"/>
    <w:rsid w:val="006F38A6"/>
    <w:rsid w:val="006F3A4A"/>
    <w:rsid w:val="006F3B84"/>
    <w:rsid w:val="006F3BEC"/>
    <w:rsid w:val="006F3CF8"/>
    <w:rsid w:val="006F3D8E"/>
    <w:rsid w:val="006F3E50"/>
    <w:rsid w:val="006F407B"/>
    <w:rsid w:val="006F408F"/>
    <w:rsid w:val="006F4266"/>
    <w:rsid w:val="006F431F"/>
    <w:rsid w:val="006F4328"/>
    <w:rsid w:val="006F43D1"/>
    <w:rsid w:val="006F43D5"/>
    <w:rsid w:val="006F455A"/>
    <w:rsid w:val="006F4574"/>
    <w:rsid w:val="006F4688"/>
    <w:rsid w:val="006F484E"/>
    <w:rsid w:val="006F4A32"/>
    <w:rsid w:val="006F4B67"/>
    <w:rsid w:val="006F4C1E"/>
    <w:rsid w:val="006F4C2F"/>
    <w:rsid w:val="006F5044"/>
    <w:rsid w:val="006F53A3"/>
    <w:rsid w:val="006F53FD"/>
    <w:rsid w:val="006F55A5"/>
    <w:rsid w:val="006F55A8"/>
    <w:rsid w:val="006F55FF"/>
    <w:rsid w:val="006F5609"/>
    <w:rsid w:val="006F562E"/>
    <w:rsid w:val="006F5670"/>
    <w:rsid w:val="006F56B1"/>
    <w:rsid w:val="006F5824"/>
    <w:rsid w:val="006F594A"/>
    <w:rsid w:val="006F59B5"/>
    <w:rsid w:val="006F5D31"/>
    <w:rsid w:val="006F5E36"/>
    <w:rsid w:val="006F62FF"/>
    <w:rsid w:val="006F6353"/>
    <w:rsid w:val="006F63DF"/>
    <w:rsid w:val="006F6424"/>
    <w:rsid w:val="006F6576"/>
    <w:rsid w:val="006F6590"/>
    <w:rsid w:val="006F68C5"/>
    <w:rsid w:val="006F68F4"/>
    <w:rsid w:val="006F6A32"/>
    <w:rsid w:val="006F6B9D"/>
    <w:rsid w:val="006F6C31"/>
    <w:rsid w:val="006F6C8C"/>
    <w:rsid w:val="006F6D26"/>
    <w:rsid w:val="006F6D4D"/>
    <w:rsid w:val="006F6F6C"/>
    <w:rsid w:val="006F6F88"/>
    <w:rsid w:val="006F723E"/>
    <w:rsid w:val="006F733A"/>
    <w:rsid w:val="006F7695"/>
    <w:rsid w:val="006F777E"/>
    <w:rsid w:val="006F7781"/>
    <w:rsid w:val="006F77C3"/>
    <w:rsid w:val="006F78F7"/>
    <w:rsid w:val="006F7D6F"/>
    <w:rsid w:val="006F7DA8"/>
    <w:rsid w:val="006F7DE3"/>
    <w:rsid w:val="006F7F9D"/>
    <w:rsid w:val="00700498"/>
    <w:rsid w:val="00700526"/>
    <w:rsid w:val="00700545"/>
    <w:rsid w:val="00700615"/>
    <w:rsid w:val="00700AB2"/>
    <w:rsid w:val="00700BCD"/>
    <w:rsid w:val="00700CB0"/>
    <w:rsid w:val="00700DF6"/>
    <w:rsid w:val="00700F57"/>
    <w:rsid w:val="007010F0"/>
    <w:rsid w:val="007012F1"/>
    <w:rsid w:val="0070153F"/>
    <w:rsid w:val="007015C7"/>
    <w:rsid w:val="0070163D"/>
    <w:rsid w:val="0070190A"/>
    <w:rsid w:val="00701AA1"/>
    <w:rsid w:val="00701B29"/>
    <w:rsid w:val="00701E9D"/>
    <w:rsid w:val="00702069"/>
    <w:rsid w:val="00702352"/>
    <w:rsid w:val="0070260D"/>
    <w:rsid w:val="0070282C"/>
    <w:rsid w:val="00702AAF"/>
    <w:rsid w:val="00702AD8"/>
    <w:rsid w:val="00702B08"/>
    <w:rsid w:val="00702BB9"/>
    <w:rsid w:val="00702F43"/>
    <w:rsid w:val="00702FF1"/>
    <w:rsid w:val="00703282"/>
    <w:rsid w:val="007033DA"/>
    <w:rsid w:val="007034D1"/>
    <w:rsid w:val="0070352B"/>
    <w:rsid w:val="0070362B"/>
    <w:rsid w:val="00703677"/>
    <w:rsid w:val="007037D7"/>
    <w:rsid w:val="00703A96"/>
    <w:rsid w:val="00703ACE"/>
    <w:rsid w:val="00703B4C"/>
    <w:rsid w:val="00703BF4"/>
    <w:rsid w:val="00703CA1"/>
    <w:rsid w:val="00703DCE"/>
    <w:rsid w:val="00703EBA"/>
    <w:rsid w:val="0070408C"/>
    <w:rsid w:val="00704163"/>
    <w:rsid w:val="007042A6"/>
    <w:rsid w:val="0070433F"/>
    <w:rsid w:val="00704348"/>
    <w:rsid w:val="0070450C"/>
    <w:rsid w:val="007045A7"/>
    <w:rsid w:val="007046E3"/>
    <w:rsid w:val="00704753"/>
    <w:rsid w:val="00704847"/>
    <w:rsid w:val="007048AF"/>
    <w:rsid w:val="00704A7C"/>
    <w:rsid w:val="00704B87"/>
    <w:rsid w:val="00704B98"/>
    <w:rsid w:val="00704B9A"/>
    <w:rsid w:val="00704D2B"/>
    <w:rsid w:val="00704D5E"/>
    <w:rsid w:val="00704E00"/>
    <w:rsid w:val="00704F53"/>
    <w:rsid w:val="00704F77"/>
    <w:rsid w:val="007052CF"/>
    <w:rsid w:val="00705510"/>
    <w:rsid w:val="00705683"/>
    <w:rsid w:val="007056AE"/>
    <w:rsid w:val="00705797"/>
    <w:rsid w:val="00705951"/>
    <w:rsid w:val="0070598E"/>
    <w:rsid w:val="0070599B"/>
    <w:rsid w:val="00705A10"/>
    <w:rsid w:val="00705AD2"/>
    <w:rsid w:val="00705CE1"/>
    <w:rsid w:val="00705DBB"/>
    <w:rsid w:val="0070610F"/>
    <w:rsid w:val="00706176"/>
    <w:rsid w:val="007061F0"/>
    <w:rsid w:val="007065C9"/>
    <w:rsid w:val="007067D9"/>
    <w:rsid w:val="00706808"/>
    <w:rsid w:val="0070685F"/>
    <w:rsid w:val="00706891"/>
    <w:rsid w:val="00706970"/>
    <w:rsid w:val="00706DC3"/>
    <w:rsid w:val="0070708B"/>
    <w:rsid w:val="007070F9"/>
    <w:rsid w:val="00707241"/>
    <w:rsid w:val="0070724D"/>
    <w:rsid w:val="00707466"/>
    <w:rsid w:val="0070766D"/>
    <w:rsid w:val="007076D5"/>
    <w:rsid w:val="00707706"/>
    <w:rsid w:val="0070789C"/>
    <w:rsid w:val="00707F24"/>
    <w:rsid w:val="00707F2A"/>
    <w:rsid w:val="00707F8A"/>
    <w:rsid w:val="00710003"/>
    <w:rsid w:val="00710076"/>
    <w:rsid w:val="0071043C"/>
    <w:rsid w:val="00710518"/>
    <w:rsid w:val="00710532"/>
    <w:rsid w:val="007105C5"/>
    <w:rsid w:val="00710601"/>
    <w:rsid w:val="00710684"/>
    <w:rsid w:val="0071079D"/>
    <w:rsid w:val="00710A34"/>
    <w:rsid w:val="00710D4C"/>
    <w:rsid w:val="00710E63"/>
    <w:rsid w:val="00710EA7"/>
    <w:rsid w:val="00710FE2"/>
    <w:rsid w:val="00711046"/>
    <w:rsid w:val="00711337"/>
    <w:rsid w:val="00711507"/>
    <w:rsid w:val="007115E2"/>
    <w:rsid w:val="007115E8"/>
    <w:rsid w:val="0071174A"/>
    <w:rsid w:val="007118BB"/>
    <w:rsid w:val="00711ADF"/>
    <w:rsid w:val="00711BC9"/>
    <w:rsid w:val="00711BDD"/>
    <w:rsid w:val="00712013"/>
    <w:rsid w:val="0071218D"/>
    <w:rsid w:val="007124C1"/>
    <w:rsid w:val="00712503"/>
    <w:rsid w:val="0071254A"/>
    <w:rsid w:val="00712595"/>
    <w:rsid w:val="00712621"/>
    <w:rsid w:val="0071269F"/>
    <w:rsid w:val="00712708"/>
    <w:rsid w:val="0071291C"/>
    <w:rsid w:val="00712A7A"/>
    <w:rsid w:val="00712A9E"/>
    <w:rsid w:val="00712B9F"/>
    <w:rsid w:val="00712CD8"/>
    <w:rsid w:val="00712D2B"/>
    <w:rsid w:val="00712E7B"/>
    <w:rsid w:val="00712E9D"/>
    <w:rsid w:val="00712ED6"/>
    <w:rsid w:val="00712FF4"/>
    <w:rsid w:val="00713023"/>
    <w:rsid w:val="0071306E"/>
    <w:rsid w:val="007130B6"/>
    <w:rsid w:val="007132D8"/>
    <w:rsid w:val="00713305"/>
    <w:rsid w:val="0071357D"/>
    <w:rsid w:val="007136FB"/>
    <w:rsid w:val="0071373B"/>
    <w:rsid w:val="0071388B"/>
    <w:rsid w:val="0071392C"/>
    <w:rsid w:val="007139A7"/>
    <w:rsid w:val="00713A02"/>
    <w:rsid w:val="00713AE6"/>
    <w:rsid w:val="00713B5D"/>
    <w:rsid w:val="00713DD6"/>
    <w:rsid w:val="00714605"/>
    <w:rsid w:val="007146A2"/>
    <w:rsid w:val="00714972"/>
    <w:rsid w:val="00714BC7"/>
    <w:rsid w:val="00714C9F"/>
    <w:rsid w:val="00714D41"/>
    <w:rsid w:val="00714D54"/>
    <w:rsid w:val="00714D55"/>
    <w:rsid w:val="00714DA8"/>
    <w:rsid w:val="00714EAF"/>
    <w:rsid w:val="00714EEF"/>
    <w:rsid w:val="0071507B"/>
    <w:rsid w:val="007151C2"/>
    <w:rsid w:val="0071523F"/>
    <w:rsid w:val="00715398"/>
    <w:rsid w:val="00715429"/>
    <w:rsid w:val="007154A2"/>
    <w:rsid w:val="00715940"/>
    <w:rsid w:val="00715981"/>
    <w:rsid w:val="00715B88"/>
    <w:rsid w:val="00715C73"/>
    <w:rsid w:val="00715D2C"/>
    <w:rsid w:val="00715DEB"/>
    <w:rsid w:val="00715E23"/>
    <w:rsid w:val="00715E9F"/>
    <w:rsid w:val="00715FBE"/>
    <w:rsid w:val="0071600A"/>
    <w:rsid w:val="0071623F"/>
    <w:rsid w:val="007163BB"/>
    <w:rsid w:val="00716771"/>
    <w:rsid w:val="007167FD"/>
    <w:rsid w:val="0071697B"/>
    <w:rsid w:val="00716987"/>
    <w:rsid w:val="007169B0"/>
    <w:rsid w:val="00716C65"/>
    <w:rsid w:val="00716CBB"/>
    <w:rsid w:val="00716D03"/>
    <w:rsid w:val="00717017"/>
    <w:rsid w:val="0071717C"/>
    <w:rsid w:val="0071728E"/>
    <w:rsid w:val="007174A0"/>
    <w:rsid w:val="0071755E"/>
    <w:rsid w:val="00717850"/>
    <w:rsid w:val="00717B3C"/>
    <w:rsid w:val="00717DB8"/>
    <w:rsid w:val="00717FAD"/>
    <w:rsid w:val="00720382"/>
    <w:rsid w:val="0072041A"/>
    <w:rsid w:val="00720937"/>
    <w:rsid w:val="00720BAF"/>
    <w:rsid w:val="00720C4A"/>
    <w:rsid w:val="00720C9B"/>
    <w:rsid w:val="00720DE5"/>
    <w:rsid w:val="00720F18"/>
    <w:rsid w:val="00720F2D"/>
    <w:rsid w:val="00721169"/>
    <w:rsid w:val="007211E8"/>
    <w:rsid w:val="0072131A"/>
    <w:rsid w:val="0072133F"/>
    <w:rsid w:val="00721449"/>
    <w:rsid w:val="00721518"/>
    <w:rsid w:val="0072153C"/>
    <w:rsid w:val="0072165E"/>
    <w:rsid w:val="007217B5"/>
    <w:rsid w:val="0072193A"/>
    <w:rsid w:val="0072196F"/>
    <w:rsid w:val="00721974"/>
    <w:rsid w:val="00721A4D"/>
    <w:rsid w:val="00721CC9"/>
    <w:rsid w:val="00721CD9"/>
    <w:rsid w:val="0072219A"/>
    <w:rsid w:val="007222EF"/>
    <w:rsid w:val="00722330"/>
    <w:rsid w:val="0072252A"/>
    <w:rsid w:val="007226E9"/>
    <w:rsid w:val="007229A6"/>
    <w:rsid w:val="00722B6C"/>
    <w:rsid w:val="00722EB8"/>
    <w:rsid w:val="00722EBC"/>
    <w:rsid w:val="00722F54"/>
    <w:rsid w:val="00722FAD"/>
    <w:rsid w:val="0072352A"/>
    <w:rsid w:val="007235D0"/>
    <w:rsid w:val="0072361F"/>
    <w:rsid w:val="007237BC"/>
    <w:rsid w:val="0072381C"/>
    <w:rsid w:val="00723A3A"/>
    <w:rsid w:val="00723ADB"/>
    <w:rsid w:val="00723AE2"/>
    <w:rsid w:val="00723C11"/>
    <w:rsid w:val="00723DA5"/>
    <w:rsid w:val="00723F4A"/>
    <w:rsid w:val="00723FDD"/>
    <w:rsid w:val="00724131"/>
    <w:rsid w:val="007241A4"/>
    <w:rsid w:val="0072420F"/>
    <w:rsid w:val="0072434C"/>
    <w:rsid w:val="0072443D"/>
    <w:rsid w:val="0072458B"/>
    <w:rsid w:val="007247ED"/>
    <w:rsid w:val="007248FE"/>
    <w:rsid w:val="00724AD7"/>
    <w:rsid w:val="00724BA7"/>
    <w:rsid w:val="00724C3C"/>
    <w:rsid w:val="00724F40"/>
    <w:rsid w:val="00725065"/>
    <w:rsid w:val="00725265"/>
    <w:rsid w:val="00725344"/>
    <w:rsid w:val="007254B1"/>
    <w:rsid w:val="007254C5"/>
    <w:rsid w:val="00725562"/>
    <w:rsid w:val="00725564"/>
    <w:rsid w:val="00725710"/>
    <w:rsid w:val="0072576F"/>
    <w:rsid w:val="00725784"/>
    <w:rsid w:val="00725788"/>
    <w:rsid w:val="00725973"/>
    <w:rsid w:val="00725A03"/>
    <w:rsid w:val="00725F7A"/>
    <w:rsid w:val="00725F7B"/>
    <w:rsid w:val="007263A5"/>
    <w:rsid w:val="00726618"/>
    <w:rsid w:val="00726691"/>
    <w:rsid w:val="007267D0"/>
    <w:rsid w:val="00726846"/>
    <w:rsid w:val="0072694E"/>
    <w:rsid w:val="0072698E"/>
    <w:rsid w:val="00726A3C"/>
    <w:rsid w:val="00726D38"/>
    <w:rsid w:val="00726E80"/>
    <w:rsid w:val="00726ED9"/>
    <w:rsid w:val="00726EFE"/>
    <w:rsid w:val="0072707F"/>
    <w:rsid w:val="00727152"/>
    <w:rsid w:val="0072715B"/>
    <w:rsid w:val="007275B8"/>
    <w:rsid w:val="00727886"/>
    <w:rsid w:val="007279DF"/>
    <w:rsid w:val="00727D84"/>
    <w:rsid w:val="00727F2B"/>
    <w:rsid w:val="00727FED"/>
    <w:rsid w:val="00730250"/>
    <w:rsid w:val="007303BA"/>
    <w:rsid w:val="00730814"/>
    <w:rsid w:val="00730A2E"/>
    <w:rsid w:val="00730D3B"/>
    <w:rsid w:val="00730DC0"/>
    <w:rsid w:val="00730DD1"/>
    <w:rsid w:val="0073130E"/>
    <w:rsid w:val="00731466"/>
    <w:rsid w:val="0073154F"/>
    <w:rsid w:val="00731590"/>
    <w:rsid w:val="007315A4"/>
    <w:rsid w:val="007315F8"/>
    <w:rsid w:val="0073163E"/>
    <w:rsid w:val="007318C2"/>
    <w:rsid w:val="007318F3"/>
    <w:rsid w:val="00731D18"/>
    <w:rsid w:val="00731F4F"/>
    <w:rsid w:val="00732123"/>
    <w:rsid w:val="007321EF"/>
    <w:rsid w:val="007322F9"/>
    <w:rsid w:val="00732310"/>
    <w:rsid w:val="007324B5"/>
    <w:rsid w:val="007328A5"/>
    <w:rsid w:val="00732B68"/>
    <w:rsid w:val="00732C73"/>
    <w:rsid w:val="00732D35"/>
    <w:rsid w:val="00732EE5"/>
    <w:rsid w:val="00732F37"/>
    <w:rsid w:val="007330E8"/>
    <w:rsid w:val="007330F4"/>
    <w:rsid w:val="0073310D"/>
    <w:rsid w:val="0073315B"/>
    <w:rsid w:val="00733531"/>
    <w:rsid w:val="00733596"/>
    <w:rsid w:val="0073359A"/>
    <w:rsid w:val="00733628"/>
    <w:rsid w:val="0073367F"/>
    <w:rsid w:val="0073388A"/>
    <w:rsid w:val="00733971"/>
    <w:rsid w:val="0073399A"/>
    <w:rsid w:val="00733AE7"/>
    <w:rsid w:val="00733E17"/>
    <w:rsid w:val="00733ED3"/>
    <w:rsid w:val="00733F76"/>
    <w:rsid w:val="00734022"/>
    <w:rsid w:val="00734173"/>
    <w:rsid w:val="0073417C"/>
    <w:rsid w:val="007341EA"/>
    <w:rsid w:val="007341FA"/>
    <w:rsid w:val="00734339"/>
    <w:rsid w:val="0073476C"/>
    <w:rsid w:val="00734A4C"/>
    <w:rsid w:val="00734AE3"/>
    <w:rsid w:val="00734B8A"/>
    <w:rsid w:val="00734C32"/>
    <w:rsid w:val="00734C9B"/>
    <w:rsid w:val="00734CD7"/>
    <w:rsid w:val="00734D52"/>
    <w:rsid w:val="00734DCF"/>
    <w:rsid w:val="00734F0D"/>
    <w:rsid w:val="00734F15"/>
    <w:rsid w:val="00735000"/>
    <w:rsid w:val="00735069"/>
    <w:rsid w:val="00735265"/>
    <w:rsid w:val="00735371"/>
    <w:rsid w:val="00735381"/>
    <w:rsid w:val="007353C9"/>
    <w:rsid w:val="007355C5"/>
    <w:rsid w:val="0073598E"/>
    <w:rsid w:val="00735C04"/>
    <w:rsid w:val="00735C38"/>
    <w:rsid w:val="00735CB8"/>
    <w:rsid w:val="00735CE8"/>
    <w:rsid w:val="00735DCC"/>
    <w:rsid w:val="00735E8F"/>
    <w:rsid w:val="00735F2D"/>
    <w:rsid w:val="00736197"/>
    <w:rsid w:val="00736370"/>
    <w:rsid w:val="0073665F"/>
    <w:rsid w:val="00736745"/>
    <w:rsid w:val="00736770"/>
    <w:rsid w:val="007367B9"/>
    <w:rsid w:val="00736826"/>
    <w:rsid w:val="0073686C"/>
    <w:rsid w:val="00736925"/>
    <w:rsid w:val="00736968"/>
    <w:rsid w:val="007369F0"/>
    <w:rsid w:val="00736A4A"/>
    <w:rsid w:val="00736ADF"/>
    <w:rsid w:val="00737090"/>
    <w:rsid w:val="00737172"/>
    <w:rsid w:val="00737176"/>
    <w:rsid w:val="00737250"/>
    <w:rsid w:val="007372EB"/>
    <w:rsid w:val="00737361"/>
    <w:rsid w:val="00737370"/>
    <w:rsid w:val="00737400"/>
    <w:rsid w:val="007374F5"/>
    <w:rsid w:val="0073760C"/>
    <w:rsid w:val="007376AB"/>
    <w:rsid w:val="0073779B"/>
    <w:rsid w:val="007377C5"/>
    <w:rsid w:val="00737891"/>
    <w:rsid w:val="00737901"/>
    <w:rsid w:val="00737936"/>
    <w:rsid w:val="0073799D"/>
    <w:rsid w:val="00737A6F"/>
    <w:rsid w:val="00737B99"/>
    <w:rsid w:val="00737BD4"/>
    <w:rsid w:val="00737C44"/>
    <w:rsid w:val="00737D50"/>
    <w:rsid w:val="00737EE2"/>
    <w:rsid w:val="00737F92"/>
    <w:rsid w:val="0074000C"/>
    <w:rsid w:val="0074004E"/>
    <w:rsid w:val="007400DE"/>
    <w:rsid w:val="007405B9"/>
    <w:rsid w:val="0074065D"/>
    <w:rsid w:val="0074087E"/>
    <w:rsid w:val="007409AB"/>
    <w:rsid w:val="00740A31"/>
    <w:rsid w:val="00740A5B"/>
    <w:rsid w:val="00740E7D"/>
    <w:rsid w:val="00740F42"/>
    <w:rsid w:val="007411AF"/>
    <w:rsid w:val="007412B8"/>
    <w:rsid w:val="00741364"/>
    <w:rsid w:val="00741521"/>
    <w:rsid w:val="00741669"/>
    <w:rsid w:val="007416AD"/>
    <w:rsid w:val="00741E28"/>
    <w:rsid w:val="00741E57"/>
    <w:rsid w:val="007422B5"/>
    <w:rsid w:val="007423C7"/>
    <w:rsid w:val="00742547"/>
    <w:rsid w:val="00742620"/>
    <w:rsid w:val="0074279E"/>
    <w:rsid w:val="007428C6"/>
    <w:rsid w:val="00742B31"/>
    <w:rsid w:val="00742B6C"/>
    <w:rsid w:val="00742B92"/>
    <w:rsid w:val="00742F20"/>
    <w:rsid w:val="00742F22"/>
    <w:rsid w:val="00742F43"/>
    <w:rsid w:val="00743150"/>
    <w:rsid w:val="0074331D"/>
    <w:rsid w:val="007433C9"/>
    <w:rsid w:val="00743401"/>
    <w:rsid w:val="00743490"/>
    <w:rsid w:val="007434C6"/>
    <w:rsid w:val="00743525"/>
    <w:rsid w:val="00743691"/>
    <w:rsid w:val="007437EB"/>
    <w:rsid w:val="00743864"/>
    <w:rsid w:val="007439B6"/>
    <w:rsid w:val="00743D08"/>
    <w:rsid w:val="00743DBB"/>
    <w:rsid w:val="00743DCA"/>
    <w:rsid w:val="00743E34"/>
    <w:rsid w:val="00743E8B"/>
    <w:rsid w:val="00744102"/>
    <w:rsid w:val="00744308"/>
    <w:rsid w:val="00744841"/>
    <w:rsid w:val="00744851"/>
    <w:rsid w:val="00744915"/>
    <w:rsid w:val="00744923"/>
    <w:rsid w:val="007449CE"/>
    <w:rsid w:val="00744B0B"/>
    <w:rsid w:val="00744D99"/>
    <w:rsid w:val="00744E11"/>
    <w:rsid w:val="00745000"/>
    <w:rsid w:val="00745074"/>
    <w:rsid w:val="00745097"/>
    <w:rsid w:val="007450A5"/>
    <w:rsid w:val="00745107"/>
    <w:rsid w:val="007454CC"/>
    <w:rsid w:val="0074560D"/>
    <w:rsid w:val="0074583A"/>
    <w:rsid w:val="007459B6"/>
    <w:rsid w:val="007459D0"/>
    <w:rsid w:val="00745B89"/>
    <w:rsid w:val="00745D70"/>
    <w:rsid w:val="00745D88"/>
    <w:rsid w:val="00745E88"/>
    <w:rsid w:val="00745F1D"/>
    <w:rsid w:val="00745F4F"/>
    <w:rsid w:val="00745F6D"/>
    <w:rsid w:val="00746082"/>
    <w:rsid w:val="007462A7"/>
    <w:rsid w:val="0074649A"/>
    <w:rsid w:val="00746527"/>
    <w:rsid w:val="007466BD"/>
    <w:rsid w:val="007466C6"/>
    <w:rsid w:val="007467AF"/>
    <w:rsid w:val="00746834"/>
    <w:rsid w:val="0074689F"/>
    <w:rsid w:val="007468EA"/>
    <w:rsid w:val="00746B9C"/>
    <w:rsid w:val="00746C05"/>
    <w:rsid w:val="00746E28"/>
    <w:rsid w:val="00746E82"/>
    <w:rsid w:val="00746E9A"/>
    <w:rsid w:val="007470C9"/>
    <w:rsid w:val="00747172"/>
    <w:rsid w:val="00747386"/>
    <w:rsid w:val="00747802"/>
    <w:rsid w:val="007478DC"/>
    <w:rsid w:val="00747A78"/>
    <w:rsid w:val="00747B2A"/>
    <w:rsid w:val="00747B7D"/>
    <w:rsid w:val="00747B8D"/>
    <w:rsid w:val="00747BF5"/>
    <w:rsid w:val="00747C0D"/>
    <w:rsid w:val="00747F12"/>
    <w:rsid w:val="00747F63"/>
    <w:rsid w:val="00750025"/>
    <w:rsid w:val="0075007E"/>
    <w:rsid w:val="007502DB"/>
    <w:rsid w:val="0075043E"/>
    <w:rsid w:val="00750470"/>
    <w:rsid w:val="007504B4"/>
    <w:rsid w:val="00750673"/>
    <w:rsid w:val="00750696"/>
    <w:rsid w:val="00750736"/>
    <w:rsid w:val="007507C9"/>
    <w:rsid w:val="007508DD"/>
    <w:rsid w:val="00750BCE"/>
    <w:rsid w:val="00750DEE"/>
    <w:rsid w:val="007516EF"/>
    <w:rsid w:val="00751744"/>
    <w:rsid w:val="0075189E"/>
    <w:rsid w:val="007518F1"/>
    <w:rsid w:val="007518F4"/>
    <w:rsid w:val="0075196D"/>
    <w:rsid w:val="00751AA6"/>
    <w:rsid w:val="00751ADB"/>
    <w:rsid w:val="00751BD2"/>
    <w:rsid w:val="00751CDB"/>
    <w:rsid w:val="00751CE2"/>
    <w:rsid w:val="00751DC8"/>
    <w:rsid w:val="00751EB8"/>
    <w:rsid w:val="00752153"/>
    <w:rsid w:val="0075231D"/>
    <w:rsid w:val="0075251C"/>
    <w:rsid w:val="007526F3"/>
    <w:rsid w:val="00752A8A"/>
    <w:rsid w:val="00752A91"/>
    <w:rsid w:val="00752C1D"/>
    <w:rsid w:val="00752DA5"/>
    <w:rsid w:val="00752DD8"/>
    <w:rsid w:val="00752DE1"/>
    <w:rsid w:val="00752DE8"/>
    <w:rsid w:val="007530D9"/>
    <w:rsid w:val="00753103"/>
    <w:rsid w:val="0075312A"/>
    <w:rsid w:val="00753288"/>
    <w:rsid w:val="0075337D"/>
    <w:rsid w:val="0075389A"/>
    <w:rsid w:val="0075393F"/>
    <w:rsid w:val="00753DF3"/>
    <w:rsid w:val="00754240"/>
    <w:rsid w:val="00754890"/>
    <w:rsid w:val="0075493E"/>
    <w:rsid w:val="007549E1"/>
    <w:rsid w:val="00755117"/>
    <w:rsid w:val="007551D9"/>
    <w:rsid w:val="007552FF"/>
    <w:rsid w:val="00755410"/>
    <w:rsid w:val="00755440"/>
    <w:rsid w:val="0075573B"/>
    <w:rsid w:val="007557D1"/>
    <w:rsid w:val="00755810"/>
    <w:rsid w:val="00755A89"/>
    <w:rsid w:val="00755B1C"/>
    <w:rsid w:val="00755BFD"/>
    <w:rsid w:val="00755D6E"/>
    <w:rsid w:val="00755DA5"/>
    <w:rsid w:val="00755E8D"/>
    <w:rsid w:val="007560AC"/>
    <w:rsid w:val="0075623C"/>
    <w:rsid w:val="00756323"/>
    <w:rsid w:val="00756382"/>
    <w:rsid w:val="007563DF"/>
    <w:rsid w:val="007569E9"/>
    <w:rsid w:val="00756C06"/>
    <w:rsid w:val="00756C07"/>
    <w:rsid w:val="00756C96"/>
    <w:rsid w:val="00756C9B"/>
    <w:rsid w:val="00756CE8"/>
    <w:rsid w:val="00756F74"/>
    <w:rsid w:val="0075702E"/>
    <w:rsid w:val="00757084"/>
    <w:rsid w:val="00757091"/>
    <w:rsid w:val="00757120"/>
    <w:rsid w:val="00757179"/>
    <w:rsid w:val="007571C4"/>
    <w:rsid w:val="00757395"/>
    <w:rsid w:val="00757435"/>
    <w:rsid w:val="00757745"/>
    <w:rsid w:val="00757882"/>
    <w:rsid w:val="00757D41"/>
    <w:rsid w:val="00757DD3"/>
    <w:rsid w:val="00757E8D"/>
    <w:rsid w:val="00757E98"/>
    <w:rsid w:val="00757E9B"/>
    <w:rsid w:val="00757EAC"/>
    <w:rsid w:val="00757ECD"/>
    <w:rsid w:val="0076081C"/>
    <w:rsid w:val="0076092A"/>
    <w:rsid w:val="0076094F"/>
    <w:rsid w:val="00760A30"/>
    <w:rsid w:val="00760B4D"/>
    <w:rsid w:val="00760CE5"/>
    <w:rsid w:val="00760E25"/>
    <w:rsid w:val="00760F70"/>
    <w:rsid w:val="00761092"/>
    <w:rsid w:val="007610B1"/>
    <w:rsid w:val="00761258"/>
    <w:rsid w:val="007612F9"/>
    <w:rsid w:val="0076144D"/>
    <w:rsid w:val="0076158B"/>
    <w:rsid w:val="00761674"/>
    <w:rsid w:val="00761706"/>
    <w:rsid w:val="00761719"/>
    <w:rsid w:val="0076181E"/>
    <w:rsid w:val="00761A3A"/>
    <w:rsid w:val="00761C32"/>
    <w:rsid w:val="00761D22"/>
    <w:rsid w:val="00761D2F"/>
    <w:rsid w:val="00761D54"/>
    <w:rsid w:val="00761E15"/>
    <w:rsid w:val="00761E6E"/>
    <w:rsid w:val="00761E7D"/>
    <w:rsid w:val="00761EC0"/>
    <w:rsid w:val="00761F1D"/>
    <w:rsid w:val="00762062"/>
    <w:rsid w:val="007621CE"/>
    <w:rsid w:val="007621E0"/>
    <w:rsid w:val="00762301"/>
    <w:rsid w:val="00762342"/>
    <w:rsid w:val="007626A0"/>
    <w:rsid w:val="007627EA"/>
    <w:rsid w:val="007629CB"/>
    <w:rsid w:val="00762A2D"/>
    <w:rsid w:val="00762AC2"/>
    <w:rsid w:val="00762C1C"/>
    <w:rsid w:val="00762C1D"/>
    <w:rsid w:val="00762C2F"/>
    <w:rsid w:val="00762CCF"/>
    <w:rsid w:val="00762D26"/>
    <w:rsid w:val="00762E80"/>
    <w:rsid w:val="00762EE7"/>
    <w:rsid w:val="007632B0"/>
    <w:rsid w:val="0076334A"/>
    <w:rsid w:val="0076345C"/>
    <w:rsid w:val="007634E0"/>
    <w:rsid w:val="00763583"/>
    <w:rsid w:val="007635C3"/>
    <w:rsid w:val="0076363F"/>
    <w:rsid w:val="00763696"/>
    <w:rsid w:val="00763745"/>
    <w:rsid w:val="007637E4"/>
    <w:rsid w:val="0076388A"/>
    <w:rsid w:val="00763A58"/>
    <w:rsid w:val="00763A7B"/>
    <w:rsid w:val="00763AE3"/>
    <w:rsid w:val="00763B8B"/>
    <w:rsid w:val="00763C69"/>
    <w:rsid w:val="00763DB5"/>
    <w:rsid w:val="00764214"/>
    <w:rsid w:val="0076453E"/>
    <w:rsid w:val="00764640"/>
    <w:rsid w:val="007646D2"/>
    <w:rsid w:val="00764957"/>
    <w:rsid w:val="00764988"/>
    <w:rsid w:val="007649D2"/>
    <w:rsid w:val="007649F4"/>
    <w:rsid w:val="00764C1A"/>
    <w:rsid w:val="00764D93"/>
    <w:rsid w:val="00764F64"/>
    <w:rsid w:val="007650A0"/>
    <w:rsid w:val="00765263"/>
    <w:rsid w:val="00765293"/>
    <w:rsid w:val="007652CA"/>
    <w:rsid w:val="007652D2"/>
    <w:rsid w:val="007653F6"/>
    <w:rsid w:val="00765488"/>
    <w:rsid w:val="00765490"/>
    <w:rsid w:val="00765532"/>
    <w:rsid w:val="00765748"/>
    <w:rsid w:val="00765772"/>
    <w:rsid w:val="007657BE"/>
    <w:rsid w:val="0076580E"/>
    <w:rsid w:val="007659C0"/>
    <w:rsid w:val="00765AF1"/>
    <w:rsid w:val="00765AFF"/>
    <w:rsid w:val="00765BBD"/>
    <w:rsid w:val="00765CDC"/>
    <w:rsid w:val="00765D49"/>
    <w:rsid w:val="00765E6C"/>
    <w:rsid w:val="00765EAA"/>
    <w:rsid w:val="00765F66"/>
    <w:rsid w:val="0076608E"/>
    <w:rsid w:val="007660BE"/>
    <w:rsid w:val="00766156"/>
    <w:rsid w:val="0076621E"/>
    <w:rsid w:val="00766249"/>
    <w:rsid w:val="007662BD"/>
    <w:rsid w:val="00766370"/>
    <w:rsid w:val="007663C0"/>
    <w:rsid w:val="007664E8"/>
    <w:rsid w:val="00766877"/>
    <w:rsid w:val="007668D8"/>
    <w:rsid w:val="00766908"/>
    <w:rsid w:val="007669BF"/>
    <w:rsid w:val="007669FD"/>
    <w:rsid w:val="00766BFE"/>
    <w:rsid w:val="00766F5C"/>
    <w:rsid w:val="00766FCC"/>
    <w:rsid w:val="007670F4"/>
    <w:rsid w:val="00767426"/>
    <w:rsid w:val="0076772B"/>
    <w:rsid w:val="00767A74"/>
    <w:rsid w:val="00767B8A"/>
    <w:rsid w:val="00767E1D"/>
    <w:rsid w:val="00767F1C"/>
    <w:rsid w:val="00767F28"/>
    <w:rsid w:val="0077028D"/>
    <w:rsid w:val="007702FB"/>
    <w:rsid w:val="0077036B"/>
    <w:rsid w:val="00770649"/>
    <w:rsid w:val="007709E7"/>
    <w:rsid w:val="00770A40"/>
    <w:rsid w:val="00770B1F"/>
    <w:rsid w:val="00770B65"/>
    <w:rsid w:val="00770BAD"/>
    <w:rsid w:val="00770BE9"/>
    <w:rsid w:val="00770CD8"/>
    <w:rsid w:val="00770E19"/>
    <w:rsid w:val="00770E74"/>
    <w:rsid w:val="00770FB8"/>
    <w:rsid w:val="00771322"/>
    <w:rsid w:val="00771430"/>
    <w:rsid w:val="00771597"/>
    <w:rsid w:val="00771702"/>
    <w:rsid w:val="00771851"/>
    <w:rsid w:val="007719B1"/>
    <w:rsid w:val="007719D8"/>
    <w:rsid w:val="007719F0"/>
    <w:rsid w:val="00771ADC"/>
    <w:rsid w:val="00771B4F"/>
    <w:rsid w:val="00771BDE"/>
    <w:rsid w:val="00771C0A"/>
    <w:rsid w:val="00771E4C"/>
    <w:rsid w:val="007720EA"/>
    <w:rsid w:val="00772197"/>
    <w:rsid w:val="007721FD"/>
    <w:rsid w:val="00772321"/>
    <w:rsid w:val="0077249E"/>
    <w:rsid w:val="007725F2"/>
    <w:rsid w:val="00772760"/>
    <w:rsid w:val="00772A84"/>
    <w:rsid w:val="00772AF9"/>
    <w:rsid w:val="00772AFE"/>
    <w:rsid w:val="00772B28"/>
    <w:rsid w:val="00772B8F"/>
    <w:rsid w:val="00772C12"/>
    <w:rsid w:val="00772CAA"/>
    <w:rsid w:val="00772D84"/>
    <w:rsid w:val="00772E43"/>
    <w:rsid w:val="00772EC8"/>
    <w:rsid w:val="00772EDF"/>
    <w:rsid w:val="00773102"/>
    <w:rsid w:val="0077319B"/>
    <w:rsid w:val="007731B3"/>
    <w:rsid w:val="00773406"/>
    <w:rsid w:val="007736C1"/>
    <w:rsid w:val="0077378B"/>
    <w:rsid w:val="00773947"/>
    <w:rsid w:val="00773953"/>
    <w:rsid w:val="00773B30"/>
    <w:rsid w:val="00773B3C"/>
    <w:rsid w:val="00773C88"/>
    <w:rsid w:val="00773CE6"/>
    <w:rsid w:val="00773EF7"/>
    <w:rsid w:val="00773F94"/>
    <w:rsid w:val="0077412A"/>
    <w:rsid w:val="007741A2"/>
    <w:rsid w:val="0077422C"/>
    <w:rsid w:val="0077428C"/>
    <w:rsid w:val="007744A9"/>
    <w:rsid w:val="0077450C"/>
    <w:rsid w:val="007746A0"/>
    <w:rsid w:val="007746E1"/>
    <w:rsid w:val="007746EA"/>
    <w:rsid w:val="007749DB"/>
    <w:rsid w:val="00774DD6"/>
    <w:rsid w:val="00774EAF"/>
    <w:rsid w:val="00774FB8"/>
    <w:rsid w:val="00775005"/>
    <w:rsid w:val="00775030"/>
    <w:rsid w:val="00775112"/>
    <w:rsid w:val="007752CC"/>
    <w:rsid w:val="007753BF"/>
    <w:rsid w:val="00775414"/>
    <w:rsid w:val="00775806"/>
    <w:rsid w:val="00775944"/>
    <w:rsid w:val="00775A0E"/>
    <w:rsid w:val="00775CD2"/>
    <w:rsid w:val="00775D36"/>
    <w:rsid w:val="00775D80"/>
    <w:rsid w:val="00775F39"/>
    <w:rsid w:val="00775F9B"/>
    <w:rsid w:val="00776022"/>
    <w:rsid w:val="00776179"/>
    <w:rsid w:val="0077628D"/>
    <w:rsid w:val="00776490"/>
    <w:rsid w:val="007764F4"/>
    <w:rsid w:val="0077659E"/>
    <w:rsid w:val="007765B6"/>
    <w:rsid w:val="007765EC"/>
    <w:rsid w:val="007765F6"/>
    <w:rsid w:val="007766F7"/>
    <w:rsid w:val="007768B9"/>
    <w:rsid w:val="007768D3"/>
    <w:rsid w:val="00776B70"/>
    <w:rsid w:val="00776B7B"/>
    <w:rsid w:val="00776C83"/>
    <w:rsid w:val="00776D83"/>
    <w:rsid w:val="00776E78"/>
    <w:rsid w:val="00777038"/>
    <w:rsid w:val="007770A4"/>
    <w:rsid w:val="0077738C"/>
    <w:rsid w:val="0077741C"/>
    <w:rsid w:val="0077748A"/>
    <w:rsid w:val="007774A4"/>
    <w:rsid w:val="007774C0"/>
    <w:rsid w:val="0077754F"/>
    <w:rsid w:val="007778BE"/>
    <w:rsid w:val="00777934"/>
    <w:rsid w:val="00777B4B"/>
    <w:rsid w:val="00777BAB"/>
    <w:rsid w:val="00777C28"/>
    <w:rsid w:val="00777C6C"/>
    <w:rsid w:val="00777DAA"/>
    <w:rsid w:val="00777DE8"/>
    <w:rsid w:val="00777E40"/>
    <w:rsid w:val="00777F67"/>
    <w:rsid w:val="00777F87"/>
    <w:rsid w:val="0078015E"/>
    <w:rsid w:val="0078025D"/>
    <w:rsid w:val="00780387"/>
    <w:rsid w:val="007803D9"/>
    <w:rsid w:val="007807DE"/>
    <w:rsid w:val="007807E1"/>
    <w:rsid w:val="0078084A"/>
    <w:rsid w:val="00780A3D"/>
    <w:rsid w:val="00780A8D"/>
    <w:rsid w:val="00780D20"/>
    <w:rsid w:val="00780FCC"/>
    <w:rsid w:val="0078111F"/>
    <w:rsid w:val="0078129F"/>
    <w:rsid w:val="007812FF"/>
    <w:rsid w:val="0078131A"/>
    <w:rsid w:val="00781337"/>
    <w:rsid w:val="00781385"/>
    <w:rsid w:val="007813C8"/>
    <w:rsid w:val="007813EB"/>
    <w:rsid w:val="00781C34"/>
    <w:rsid w:val="00781C9A"/>
    <w:rsid w:val="00781CDA"/>
    <w:rsid w:val="00781DE7"/>
    <w:rsid w:val="00781DEE"/>
    <w:rsid w:val="00781E72"/>
    <w:rsid w:val="007821D9"/>
    <w:rsid w:val="0078242C"/>
    <w:rsid w:val="0078258D"/>
    <w:rsid w:val="0078289C"/>
    <w:rsid w:val="007829B9"/>
    <w:rsid w:val="007829D0"/>
    <w:rsid w:val="00782A80"/>
    <w:rsid w:val="00782AA6"/>
    <w:rsid w:val="00782AAF"/>
    <w:rsid w:val="00782B72"/>
    <w:rsid w:val="00782C04"/>
    <w:rsid w:val="00782C2F"/>
    <w:rsid w:val="00782C7B"/>
    <w:rsid w:val="00783119"/>
    <w:rsid w:val="00783222"/>
    <w:rsid w:val="007835C0"/>
    <w:rsid w:val="0078360F"/>
    <w:rsid w:val="007837E4"/>
    <w:rsid w:val="0078380F"/>
    <w:rsid w:val="007838D4"/>
    <w:rsid w:val="007839B1"/>
    <w:rsid w:val="007839DA"/>
    <w:rsid w:val="007839E4"/>
    <w:rsid w:val="00783A82"/>
    <w:rsid w:val="00783A89"/>
    <w:rsid w:val="00783A97"/>
    <w:rsid w:val="00783ADD"/>
    <w:rsid w:val="00783B46"/>
    <w:rsid w:val="00783BA4"/>
    <w:rsid w:val="00783E44"/>
    <w:rsid w:val="00783EF1"/>
    <w:rsid w:val="00783EFC"/>
    <w:rsid w:val="00783F12"/>
    <w:rsid w:val="007841AE"/>
    <w:rsid w:val="007841DE"/>
    <w:rsid w:val="007842A0"/>
    <w:rsid w:val="007842A5"/>
    <w:rsid w:val="00784354"/>
    <w:rsid w:val="00784558"/>
    <w:rsid w:val="0078462F"/>
    <w:rsid w:val="0078468F"/>
    <w:rsid w:val="00784C18"/>
    <w:rsid w:val="00784EAA"/>
    <w:rsid w:val="00784ECD"/>
    <w:rsid w:val="00785038"/>
    <w:rsid w:val="0078511B"/>
    <w:rsid w:val="007851E7"/>
    <w:rsid w:val="0078526D"/>
    <w:rsid w:val="007853AC"/>
    <w:rsid w:val="00785643"/>
    <w:rsid w:val="00785710"/>
    <w:rsid w:val="007859F6"/>
    <w:rsid w:val="00785A23"/>
    <w:rsid w:val="00785D5B"/>
    <w:rsid w:val="00785E8B"/>
    <w:rsid w:val="00786017"/>
    <w:rsid w:val="007860C5"/>
    <w:rsid w:val="00786183"/>
    <w:rsid w:val="0078618B"/>
    <w:rsid w:val="0078664D"/>
    <w:rsid w:val="00786652"/>
    <w:rsid w:val="00786741"/>
    <w:rsid w:val="00786808"/>
    <w:rsid w:val="00786896"/>
    <w:rsid w:val="007868C8"/>
    <w:rsid w:val="0078693E"/>
    <w:rsid w:val="007869BC"/>
    <w:rsid w:val="007869E5"/>
    <w:rsid w:val="00786BE1"/>
    <w:rsid w:val="00786C32"/>
    <w:rsid w:val="00786D42"/>
    <w:rsid w:val="00787185"/>
    <w:rsid w:val="00787383"/>
    <w:rsid w:val="0078746F"/>
    <w:rsid w:val="00787490"/>
    <w:rsid w:val="00787512"/>
    <w:rsid w:val="007877A0"/>
    <w:rsid w:val="007877BC"/>
    <w:rsid w:val="00787922"/>
    <w:rsid w:val="007879B8"/>
    <w:rsid w:val="00787B4C"/>
    <w:rsid w:val="00787B87"/>
    <w:rsid w:val="00787CAC"/>
    <w:rsid w:val="00787DE1"/>
    <w:rsid w:val="00787E54"/>
    <w:rsid w:val="00787F08"/>
    <w:rsid w:val="00787FAE"/>
    <w:rsid w:val="0079003B"/>
    <w:rsid w:val="00790105"/>
    <w:rsid w:val="007902BA"/>
    <w:rsid w:val="007903B6"/>
    <w:rsid w:val="007904FF"/>
    <w:rsid w:val="0079076C"/>
    <w:rsid w:val="00790778"/>
    <w:rsid w:val="00790793"/>
    <w:rsid w:val="0079083B"/>
    <w:rsid w:val="0079088F"/>
    <w:rsid w:val="00790A7D"/>
    <w:rsid w:val="00790B0A"/>
    <w:rsid w:val="00790DB3"/>
    <w:rsid w:val="00791171"/>
    <w:rsid w:val="00791253"/>
    <w:rsid w:val="00791326"/>
    <w:rsid w:val="00791471"/>
    <w:rsid w:val="0079147A"/>
    <w:rsid w:val="007914F2"/>
    <w:rsid w:val="00791567"/>
    <w:rsid w:val="007916C9"/>
    <w:rsid w:val="007916EB"/>
    <w:rsid w:val="0079188A"/>
    <w:rsid w:val="00791BEF"/>
    <w:rsid w:val="00791C77"/>
    <w:rsid w:val="00791D3D"/>
    <w:rsid w:val="00792074"/>
    <w:rsid w:val="007920BB"/>
    <w:rsid w:val="0079229F"/>
    <w:rsid w:val="007923CF"/>
    <w:rsid w:val="007923ED"/>
    <w:rsid w:val="0079249D"/>
    <w:rsid w:val="007926C6"/>
    <w:rsid w:val="007927F7"/>
    <w:rsid w:val="007927F9"/>
    <w:rsid w:val="00792861"/>
    <w:rsid w:val="0079290D"/>
    <w:rsid w:val="00792A38"/>
    <w:rsid w:val="00792A95"/>
    <w:rsid w:val="00792ABC"/>
    <w:rsid w:val="00792BAF"/>
    <w:rsid w:val="00792BB9"/>
    <w:rsid w:val="00792C25"/>
    <w:rsid w:val="00792C2C"/>
    <w:rsid w:val="00792E8C"/>
    <w:rsid w:val="00792FFC"/>
    <w:rsid w:val="00793006"/>
    <w:rsid w:val="00793133"/>
    <w:rsid w:val="00793444"/>
    <w:rsid w:val="007935BE"/>
    <w:rsid w:val="0079395B"/>
    <w:rsid w:val="00793BA6"/>
    <w:rsid w:val="00793BD4"/>
    <w:rsid w:val="00793D62"/>
    <w:rsid w:val="00793E83"/>
    <w:rsid w:val="00793FF7"/>
    <w:rsid w:val="00794103"/>
    <w:rsid w:val="00794182"/>
    <w:rsid w:val="00794196"/>
    <w:rsid w:val="007942E9"/>
    <w:rsid w:val="00794338"/>
    <w:rsid w:val="007944F4"/>
    <w:rsid w:val="00794538"/>
    <w:rsid w:val="00794549"/>
    <w:rsid w:val="0079454D"/>
    <w:rsid w:val="0079461D"/>
    <w:rsid w:val="007946C0"/>
    <w:rsid w:val="00794772"/>
    <w:rsid w:val="007947B1"/>
    <w:rsid w:val="0079496C"/>
    <w:rsid w:val="00794977"/>
    <w:rsid w:val="00794C09"/>
    <w:rsid w:val="00795016"/>
    <w:rsid w:val="007950EC"/>
    <w:rsid w:val="00795194"/>
    <w:rsid w:val="0079533C"/>
    <w:rsid w:val="0079533F"/>
    <w:rsid w:val="00795562"/>
    <w:rsid w:val="00795648"/>
    <w:rsid w:val="00795679"/>
    <w:rsid w:val="0079569F"/>
    <w:rsid w:val="0079572D"/>
    <w:rsid w:val="00795B20"/>
    <w:rsid w:val="00795C68"/>
    <w:rsid w:val="00795E79"/>
    <w:rsid w:val="00796023"/>
    <w:rsid w:val="00796073"/>
    <w:rsid w:val="007960F8"/>
    <w:rsid w:val="0079613B"/>
    <w:rsid w:val="00796231"/>
    <w:rsid w:val="0079632B"/>
    <w:rsid w:val="00796489"/>
    <w:rsid w:val="007964D8"/>
    <w:rsid w:val="00796626"/>
    <w:rsid w:val="0079668A"/>
    <w:rsid w:val="0079668D"/>
    <w:rsid w:val="0079669B"/>
    <w:rsid w:val="007966A4"/>
    <w:rsid w:val="007967FA"/>
    <w:rsid w:val="0079683E"/>
    <w:rsid w:val="0079686E"/>
    <w:rsid w:val="0079688B"/>
    <w:rsid w:val="00796E24"/>
    <w:rsid w:val="007970D4"/>
    <w:rsid w:val="00797108"/>
    <w:rsid w:val="00797169"/>
    <w:rsid w:val="007971C2"/>
    <w:rsid w:val="0079726C"/>
    <w:rsid w:val="007973F9"/>
    <w:rsid w:val="007974EA"/>
    <w:rsid w:val="00797626"/>
    <w:rsid w:val="00797775"/>
    <w:rsid w:val="007977F6"/>
    <w:rsid w:val="00797820"/>
    <w:rsid w:val="0079784A"/>
    <w:rsid w:val="0079788C"/>
    <w:rsid w:val="007979AA"/>
    <w:rsid w:val="00797A4E"/>
    <w:rsid w:val="00797A5B"/>
    <w:rsid w:val="00797B20"/>
    <w:rsid w:val="00797B3F"/>
    <w:rsid w:val="00797B85"/>
    <w:rsid w:val="00797BE0"/>
    <w:rsid w:val="00797BFE"/>
    <w:rsid w:val="00797C4E"/>
    <w:rsid w:val="00797C85"/>
    <w:rsid w:val="00797CB8"/>
    <w:rsid w:val="00797D85"/>
    <w:rsid w:val="007A01D3"/>
    <w:rsid w:val="007A01FB"/>
    <w:rsid w:val="007A032E"/>
    <w:rsid w:val="007A03BB"/>
    <w:rsid w:val="007A03F2"/>
    <w:rsid w:val="007A051E"/>
    <w:rsid w:val="007A0565"/>
    <w:rsid w:val="007A06B6"/>
    <w:rsid w:val="007A0875"/>
    <w:rsid w:val="007A089E"/>
    <w:rsid w:val="007A091C"/>
    <w:rsid w:val="007A0A7B"/>
    <w:rsid w:val="007A0B8F"/>
    <w:rsid w:val="007A0D03"/>
    <w:rsid w:val="007A0DB1"/>
    <w:rsid w:val="007A1072"/>
    <w:rsid w:val="007A10E0"/>
    <w:rsid w:val="007A149F"/>
    <w:rsid w:val="007A1549"/>
    <w:rsid w:val="007A1558"/>
    <w:rsid w:val="007A15C6"/>
    <w:rsid w:val="007A171C"/>
    <w:rsid w:val="007A17F9"/>
    <w:rsid w:val="007A1815"/>
    <w:rsid w:val="007A18DA"/>
    <w:rsid w:val="007A19EE"/>
    <w:rsid w:val="007A1D4B"/>
    <w:rsid w:val="007A1F02"/>
    <w:rsid w:val="007A1F83"/>
    <w:rsid w:val="007A2001"/>
    <w:rsid w:val="007A2182"/>
    <w:rsid w:val="007A223E"/>
    <w:rsid w:val="007A2287"/>
    <w:rsid w:val="007A2374"/>
    <w:rsid w:val="007A238D"/>
    <w:rsid w:val="007A24CA"/>
    <w:rsid w:val="007A24F2"/>
    <w:rsid w:val="007A2618"/>
    <w:rsid w:val="007A2AD9"/>
    <w:rsid w:val="007A2B08"/>
    <w:rsid w:val="007A2B56"/>
    <w:rsid w:val="007A2C97"/>
    <w:rsid w:val="007A2CD4"/>
    <w:rsid w:val="007A2D61"/>
    <w:rsid w:val="007A2ED4"/>
    <w:rsid w:val="007A2FA8"/>
    <w:rsid w:val="007A310C"/>
    <w:rsid w:val="007A346C"/>
    <w:rsid w:val="007A3530"/>
    <w:rsid w:val="007A35D3"/>
    <w:rsid w:val="007A367A"/>
    <w:rsid w:val="007A36B1"/>
    <w:rsid w:val="007A395A"/>
    <w:rsid w:val="007A3B27"/>
    <w:rsid w:val="007A3B48"/>
    <w:rsid w:val="007A3FAE"/>
    <w:rsid w:val="007A4047"/>
    <w:rsid w:val="007A407E"/>
    <w:rsid w:val="007A425E"/>
    <w:rsid w:val="007A437B"/>
    <w:rsid w:val="007A4429"/>
    <w:rsid w:val="007A46BF"/>
    <w:rsid w:val="007A46F3"/>
    <w:rsid w:val="007A4886"/>
    <w:rsid w:val="007A4970"/>
    <w:rsid w:val="007A49A6"/>
    <w:rsid w:val="007A4C62"/>
    <w:rsid w:val="007A4D8C"/>
    <w:rsid w:val="007A4F96"/>
    <w:rsid w:val="007A4FAF"/>
    <w:rsid w:val="007A50A1"/>
    <w:rsid w:val="007A518C"/>
    <w:rsid w:val="007A51A7"/>
    <w:rsid w:val="007A525B"/>
    <w:rsid w:val="007A530F"/>
    <w:rsid w:val="007A5345"/>
    <w:rsid w:val="007A544E"/>
    <w:rsid w:val="007A5472"/>
    <w:rsid w:val="007A5821"/>
    <w:rsid w:val="007A583F"/>
    <w:rsid w:val="007A594E"/>
    <w:rsid w:val="007A5B01"/>
    <w:rsid w:val="007A6097"/>
    <w:rsid w:val="007A6106"/>
    <w:rsid w:val="007A61C4"/>
    <w:rsid w:val="007A61CD"/>
    <w:rsid w:val="007A6255"/>
    <w:rsid w:val="007A640E"/>
    <w:rsid w:val="007A64BB"/>
    <w:rsid w:val="007A6500"/>
    <w:rsid w:val="007A6523"/>
    <w:rsid w:val="007A652A"/>
    <w:rsid w:val="007A6687"/>
    <w:rsid w:val="007A6730"/>
    <w:rsid w:val="007A68E4"/>
    <w:rsid w:val="007A6911"/>
    <w:rsid w:val="007A692A"/>
    <w:rsid w:val="007A69DF"/>
    <w:rsid w:val="007A6A8C"/>
    <w:rsid w:val="007A6C3F"/>
    <w:rsid w:val="007A6E43"/>
    <w:rsid w:val="007A6EC5"/>
    <w:rsid w:val="007A6F7F"/>
    <w:rsid w:val="007A6FF3"/>
    <w:rsid w:val="007A7072"/>
    <w:rsid w:val="007A74B5"/>
    <w:rsid w:val="007A781E"/>
    <w:rsid w:val="007A7CC0"/>
    <w:rsid w:val="007A7D54"/>
    <w:rsid w:val="007A7E20"/>
    <w:rsid w:val="007A7E21"/>
    <w:rsid w:val="007A7E9D"/>
    <w:rsid w:val="007A7EC2"/>
    <w:rsid w:val="007A7F29"/>
    <w:rsid w:val="007B000D"/>
    <w:rsid w:val="007B0175"/>
    <w:rsid w:val="007B01A0"/>
    <w:rsid w:val="007B0370"/>
    <w:rsid w:val="007B0431"/>
    <w:rsid w:val="007B0539"/>
    <w:rsid w:val="007B0685"/>
    <w:rsid w:val="007B0831"/>
    <w:rsid w:val="007B08BD"/>
    <w:rsid w:val="007B0909"/>
    <w:rsid w:val="007B0993"/>
    <w:rsid w:val="007B09D2"/>
    <w:rsid w:val="007B0B41"/>
    <w:rsid w:val="007B0C8D"/>
    <w:rsid w:val="007B0D05"/>
    <w:rsid w:val="007B0D2C"/>
    <w:rsid w:val="007B0F28"/>
    <w:rsid w:val="007B104E"/>
    <w:rsid w:val="007B110E"/>
    <w:rsid w:val="007B1147"/>
    <w:rsid w:val="007B12C5"/>
    <w:rsid w:val="007B1402"/>
    <w:rsid w:val="007B15CE"/>
    <w:rsid w:val="007B18AC"/>
    <w:rsid w:val="007B194D"/>
    <w:rsid w:val="007B1A7D"/>
    <w:rsid w:val="007B1AF8"/>
    <w:rsid w:val="007B1C2E"/>
    <w:rsid w:val="007B1FFA"/>
    <w:rsid w:val="007B218E"/>
    <w:rsid w:val="007B21C2"/>
    <w:rsid w:val="007B2433"/>
    <w:rsid w:val="007B2464"/>
    <w:rsid w:val="007B25C1"/>
    <w:rsid w:val="007B2632"/>
    <w:rsid w:val="007B28EA"/>
    <w:rsid w:val="007B2A05"/>
    <w:rsid w:val="007B2A1F"/>
    <w:rsid w:val="007B2A37"/>
    <w:rsid w:val="007B2AA8"/>
    <w:rsid w:val="007B2B71"/>
    <w:rsid w:val="007B2BEE"/>
    <w:rsid w:val="007B2C1D"/>
    <w:rsid w:val="007B2C4A"/>
    <w:rsid w:val="007B2FCD"/>
    <w:rsid w:val="007B2FD7"/>
    <w:rsid w:val="007B2FE1"/>
    <w:rsid w:val="007B3018"/>
    <w:rsid w:val="007B305D"/>
    <w:rsid w:val="007B311C"/>
    <w:rsid w:val="007B31F5"/>
    <w:rsid w:val="007B3212"/>
    <w:rsid w:val="007B3221"/>
    <w:rsid w:val="007B3243"/>
    <w:rsid w:val="007B3359"/>
    <w:rsid w:val="007B33CE"/>
    <w:rsid w:val="007B362E"/>
    <w:rsid w:val="007B36A4"/>
    <w:rsid w:val="007B3935"/>
    <w:rsid w:val="007B3A4A"/>
    <w:rsid w:val="007B3ACB"/>
    <w:rsid w:val="007B3B50"/>
    <w:rsid w:val="007B3CEB"/>
    <w:rsid w:val="007B3D37"/>
    <w:rsid w:val="007B3F10"/>
    <w:rsid w:val="007B4032"/>
    <w:rsid w:val="007B4181"/>
    <w:rsid w:val="007B445B"/>
    <w:rsid w:val="007B46C9"/>
    <w:rsid w:val="007B4A1F"/>
    <w:rsid w:val="007B4ADA"/>
    <w:rsid w:val="007B4D05"/>
    <w:rsid w:val="007B4D81"/>
    <w:rsid w:val="007B4EC7"/>
    <w:rsid w:val="007B5072"/>
    <w:rsid w:val="007B5171"/>
    <w:rsid w:val="007B529B"/>
    <w:rsid w:val="007B5498"/>
    <w:rsid w:val="007B54DA"/>
    <w:rsid w:val="007B5501"/>
    <w:rsid w:val="007B5531"/>
    <w:rsid w:val="007B5532"/>
    <w:rsid w:val="007B55F1"/>
    <w:rsid w:val="007B585C"/>
    <w:rsid w:val="007B5884"/>
    <w:rsid w:val="007B5AE6"/>
    <w:rsid w:val="007B5CBC"/>
    <w:rsid w:val="007B5D4E"/>
    <w:rsid w:val="007B5E00"/>
    <w:rsid w:val="007B5E0A"/>
    <w:rsid w:val="007B5E7A"/>
    <w:rsid w:val="007B5F1F"/>
    <w:rsid w:val="007B5F25"/>
    <w:rsid w:val="007B5F8C"/>
    <w:rsid w:val="007B6107"/>
    <w:rsid w:val="007B61A8"/>
    <w:rsid w:val="007B6206"/>
    <w:rsid w:val="007B633D"/>
    <w:rsid w:val="007B6454"/>
    <w:rsid w:val="007B647B"/>
    <w:rsid w:val="007B683A"/>
    <w:rsid w:val="007B6884"/>
    <w:rsid w:val="007B6D57"/>
    <w:rsid w:val="007B6D5B"/>
    <w:rsid w:val="007B6DF3"/>
    <w:rsid w:val="007B7010"/>
    <w:rsid w:val="007B708A"/>
    <w:rsid w:val="007B709E"/>
    <w:rsid w:val="007B70AD"/>
    <w:rsid w:val="007B728D"/>
    <w:rsid w:val="007B7308"/>
    <w:rsid w:val="007B734D"/>
    <w:rsid w:val="007B73EA"/>
    <w:rsid w:val="007B75A4"/>
    <w:rsid w:val="007B75A5"/>
    <w:rsid w:val="007B75F8"/>
    <w:rsid w:val="007B7750"/>
    <w:rsid w:val="007B777C"/>
    <w:rsid w:val="007B781C"/>
    <w:rsid w:val="007B7827"/>
    <w:rsid w:val="007B7995"/>
    <w:rsid w:val="007B7A2F"/>
    <w:rsid w:val="007B7A3A"/>
    <w:rsid w:val="007B7B42"/>
    <w:rsid w:val="007B7F9A"/>
    <w:rsid w:val="007C009A"/>
    <w:rsid w:val="007C01FA"/>
    <w:rsid w:val="007C02A7"/>
    <w:rsid w:val="007C03A3"/>
    <w:rsid w:val="007C050D"/>
    <w:rsid w:val="007C094D"/>
    <w:rsid w:val="007C0B57"/>
    <w:rsid w:val="007C0BE1"/>
    <w:rsid w:val="007C0BFC"/>
    <w:rsid w:val="007C0CB8"/>
    <w:rsid w:val="007C0CC9"/>
    <w:rsid w:val="007C0E25"/>
    <w:rsid w:val="007C0E31"/>
    <w:rsid w:val="007C0E32"/>
    <w:rsid w:val="007C0EB5"/>
    <w:rsid w:val="007C10DB"/>
    <w:rsid w:val="007C1163"/>
    <w:rsid w:val="007C1240"/>
    <w:rsid w:val="007C1403"/>
    <w:rsid w:val="007C1538"/>
    <w:rsid w:val="007C15CD"/>
    <w:rsid w:val="007C1844"/>
    <w:rsid w:val="007C18BE"/>
    <w:rsid w:val="007C1959"/>
    <w:rsid w:val="007C19C5"/>
    <w:rsid w:val="007C1B25"/>
    <w:rsid w:val="007C1B2B"/>
    <w:rsid w:val="007C1BD1"/>
    <w:rsid w:val="007C1C41"/>
    <w:rsid w:val="007C1E34"/>
    <w:rsid w:val="007C1ED6"/>
    <w:rsid w:val="007C1F08"/>
    <w:rsid w:val="007C1F5B"/>
    <w:rsid w:val="007C236E"/>
    <w:rsid w:val="007C2406"/>
    <w:rsid w:val="007C2538"/>
    <w:rsid w:val="007C2548"/>
    <w:rsid w:val="007C276E"/>
    <w:rsid w:val="007C2885"/>
    <w:rsid w:val="007C28AC"/>
    <w:rsid w:val="007C2A06"/>
    <w:rsid w:val="007C2A7C"/>
    <w:rsid w:val="007C2B7B"/>
    <w:rsid w:val="007C2D79"/>
    <w:rsid w:val="007C2DF5"/>
    <w:rsid w:val="007C2E73"/>
    <w:rsid w:val="007C2F46"/>
    <w:rsid w:val="007C3237"/>
    <w:rsid w:val="007C355D"/>
    <w:rsid w:val="007C35DC"/>
    <w:rsid w:val="007C369D"/>
    <w:rsid w:val="007C3947"/>
    <w:rsid w:val="007C3998"/>
    <w:rsid w:val="007C3A45"/>
    <w:rsid w:val="007C3B67"/>
    <w:rsid w:val="007C3B87"/>
    <w:rsid w:val="007C3E22"/>
    <w:rsid w:val="007C3F03"/>
    <w:rsid w:val="007C414B"/>
    <w:rsid w:val="007C4186"/>
    <w:rsid w:val="007C41AD"/>
    <w:rsid w:val="007C42A2"/>
    <w:rsid w:val="007C42C3"/>
    <w:rsid w:val="007C4483"/>
    <w:rsid w:val="007C4559"/>
    <w:rsid w:val="007C4591"/>
    <w:rsid w:val="007C461B"/>
    <w:rsid w:val="007C4706"/>
    <w:rsid w:val="007C477C"/>
    <w:rsid w:val="007C48DE"/>
    <w:rsid w:val="007C491D"/>
    <w:rsid w:val="007C4978"/>
    <w:rsid w:val="007C4996"/>
    <w:rsid w:val="007C4A52"/>
    <w:rsid w:val="007C4B6E"/>
    <w:rsid w:val="007C4BD9"/>
    <w:rsid w:val="007C4C04"/>
    <w:rsid w:val="007C4C1D"/>
    <w:rsid w:val="007C4F1B"/>
    <w:rsid w:val="007C506C"/>
    <w:rsid w:val="007C5550"/>
    <w:rsid w:val="007C5556"/>
    <w:rsid w:val="007C56FC"/>
    <w:rsid w:val="007C587D"/>
    <w:rsid w:val="007C58E0"/>
    <w:rsid w:val="007C59A1"/>
    <w:rsid w:val="007C59FE"/>
    <w:rsid w:val="007C5A46"/>
    <w:rsid w:val="007C5BD1"/>
    <w:rsid w:val="007C5E3F"/>
    <w:rsid w:val="007C60F9"/>
    <w:rsid w:val="007C6107"/>
    <w:rsid w:val="007C611E"/>
    <w:rsid w:val="007C6185"/>
    <w:rsid w:val="007C6226"/>
    <w:rsid w:val="007C6259"/>
    <w:rsid w:val="007C647B"/>
    <w:rsid w:val="007C655D"/>
    <w:rsid w:val="007C662B"/>
    <w:rsid w:val="007C6648"/>
    <w:rsid w:val="007C6696"/>
    <w:rsid w:val="007C69FE"/>
    <w:rsid w:val="007C6F3B"/>
    <w:rsid w:val="007C7059"/>
    <w:rsid w:val="007C7120"/>
    <w:rsid w:val="007C7133"/>
    <w:rsid w:val="007C715F"/>
    <w:rsid w:val="007C7243"/>
    <w:rsid w:val="007C72A6"/>
    <w:rsid w:val="007C744E"/>
    <w:rsid w:val="007C77AD"/>
    <w:rsid w:val="007C7A00"/>
    <w:rsid w:val="007C7B67"/>
    <w:rsid w:val="007C7B96"/>
    <w:rsid w:val="007C7C21"/>
    <w:rsid w:val="007C7D7F"/>
    <w:rsid w:val="007C7E8C"/>
    <w:rsid w:val="007D0012"/>
    <w:rsid w:val="007D01D4"/>
    <w:rsid w:val="007D01EB"/>
    <w:rsid w:val="007D0218"/>
    <w:rsid w:val="007D030B"/>
    <w:rsid w:val="007D033E"/>
    <w:rsid w:val="007D07FB"/>
    <w:rsid w:val="007D0807"/>
    <w:rsid w:val="007D08BD"/>
    <w:rsid w:val="007D08C6"/>
    <w:rsid w:val="007D0A32"/>
    <w:rsid w:val="007D0A39"/>
    <w:rsid w:val="007D0B4B"/>
    <w:rsid w:val="007D0CDF"/>
    <w:rsid w:val="007D0ED4"/>
    <w:rsid w:val="007D103C"/>
    <w:rsid w:val="007D1272"/>
    <w:rsid w:val="007D1273"/>
    <w:rsid w:val="007D13C3"/>
    <w:rsid w:val="007D159B"/>
    <w:rsid w:val="007D1951"/>
    <w:rsid w:val="007D198E"/>
    <w:rsid w:val="007D1AB5"/>
    <w:rsid w:val="007D1BE6"/>
    <w:rsid w:val="007D1F0A"/>
    <w:rsid w:val="007D1FC1"/>
    <w:rsid w:val="007D2053"/>
    <w:rsid w:val="007D207B"/>
    <w:rsid w:val="007D2081"/>
    <w:rsid w:val="007D2149"/>
    <w:rsid w:val="007D23B9"/>
    <w:rsid w:val="007D25E8"/>
    <w:rsid w:val="007D27FF"/>
    <w:rsid w:val="007D2800"/>
    <w:rsid w:val="007D2B6F"/>
    <w:rsid w:val="007D2C6C"/>
    <w:rsid w:val="007D2C89"/>
    <w:rsid w:val="007D2DB7"/>
    <w:rsid w:val="007D2F9E"/>
    <w:rsid w:val="007D3050"/>
    <w:rsid w:val="007D312A"/>
    <w:rsid w:val="007D3428"/>
    <w:rsid w:val="007D3690"/>
    <w:rsid w:val="007D3921"/>
    <w:rsid w:val="007D3A72"/>
    <w:rsid w:val="007D3C10"/>
    <w:rsid w:val="007D3CCC"/>
    <w:rsid w:val="007D3D8D"/>
    <w:rsid w:val="007D41AA"/>
    <w:rsid w:val="007D41D0"/>
    <w:rsid w:val="007D44F6"/>
    <w:rsid w:val="007D453E"/>
    <w:rsid w:val="007D4852"/>
    <w:rsid w:val="007D4891"/>
    <w:rsid w:val="007D4C3E"/>
    <w:rsid w:val="007D4F07"/>
    <w:rsid w:val="007D4F38"/>
    <w:rsid w:val="007D5198"/>
    <w:rsid w:val="007D5229"/>
    <w:rsid w:val="007D5338"/>
    <w:rsid w:val="007D557C"/>
    <w:rsid w:val="007D55EC"/>
    <w:rsid w:val="007D5901"/>
    <w:rsid w:val="007D5933"/>
    <w:rsid w:val="007D5A61"/>
    <w:rsid w:val="007D5AFF"/>
    <w:rsid w:val="007D5C44"/>
    <w:rsid w:val="007D5E13"/>
    <w:rsid w:val="007D5F3B"/>
    <w:rsid w:val="007D5F80"/>
    <w:rsid w:val="007D62FE"/>
    <w:rsid w:val="007D6377"/>
    <w:rsid w:val="007D63C6"/>
    <w:rsid w:val="007D648D"/>
    <w:rsid w:val="007D6634"/>
    <w:rsid w:val="007D664F"/>
    <w:rsid w:val="007D672A"/>
    <w:rsid w:val="007D6751"/>
    <w:rsid w:val="007D687A"/>
    <w:rsid w:val="007D68F9"/>
    <w:rsid w:val="007D694B"/>
    <w:rsid w:val="007D6B80"/>
    <w:rsid w:val="007D6D87"/>
    <w:rsid w:val="007D6FF3"/>
    <w:rsid w:val="007D7069"/>
    <w:rsid w:val="007D7085"/>
    <w:rsid w:val="007D70D6"/>
    <w:rsid w:val="007D72DF"/>
    <w:rsid w:val="007D731A"/>
    <w:rsid w:val="007D75BB"/>
    <w:rsid w:val="007D7619"/>
    <w:rsid w:val="007D7719"/>
    <w:rsid w:val="007D772B"/>
    <w:rsid w:val="007D77E1"/>
    <w:rsid w:val="007D7B5D"/>
    <w:rsid w:val="007D7B7B"/>
    <w:rsid w:val="007D7BA7"/>
    <w:rsid w:val="007E001B"/>
    <w:rsid w:val="007E0086"/>
    <w:rsid w:val="007E00C6"/>
    <w:rsid w:val="007E0169"/>
    <w:rsid w:val="007E02A6"/>
    <w:rsid w:val="007E02BA"/>
    <w:rsid w:val="007E037D"/>
    <w:rsid w:val="007E040B"/>
    <w:rsid w:val="007E05CE"/>
    <w:rsid w:val="007E0728"/>
    <w:rsid w:val="007E0744"/>
    <w:rsid w:val="007E098D"/>
    <w:rsid w:val="007E0BEB"/>
    <w:rsid w:val="007E0C0B"/>
    <w:rsid w:val="007E0DD4"/>
    <w:rsid w:val="007E0E43"/>
    <w:rsid w:val="007E0FCE"/>
    <w:rsid w:val="007E1216"/>
    <w:rsid w:val="007E1246"/>
    <w:rsid w:val="007E128D"/>
    <w:rsid w:val="007E16BD"/>
    <w:rsid w:val="007E199F"/>
    <w:rsid w:val="007E1B20"/>
    <w:rsid w:val="007E1B4C"/>
    <w:rsid w:val="007E1D6B"/>
    <w:rsid w:val="007E2045"/>
    <w:rsid w:val="007E20C9"/>
    <w:rsid w:val="007E2241"/>
    <w:rsid w:val="007E2259"/>
    <w:rsid w:val="007E2581"/>
    <w:rsid w:val="007E2693"/>
    <w:rsid w:val="007E28E6"/>
    <w:rsid w:val="007E295C"/>
    <w:rsid w:val="007E2E96"/>
    <w:rsid w:val="007E2F04"/>
    <w:rsid w:val="007E2F3B"/>
    <w:rsid w:val="007E2FBA"/>
    <w:rsid w:val="007E31BF"/>
    <w:rsid w:val="007E333A"/>
    <w:rsid w:val="007E3487"/>
    <w:rsid w:val="007E35FA"/>
    <w:rsid w:val="007E37DF"/>
    <w:rsid w:val="007E3946"/>
    <w:rsid w:val="007E3B1A"/>
    <w:rsid w:val="007E3B51"/>
    <w:rsid w:val="007E3BC8"/>
    <w:rsid w:val="007E3BEA"/>
    <w:rsid w:val="007E3C37"/>
    <w:rsid w:val="007E3E51"/>
    <w:rsid w:val="007E3F94"/>
    <w:rsid w:val="007E4015"/>
    <w:rsid w:val="007E407E"/>
    <w:rsid w:val="007E409B"/>
    <w:rsid w:val="007E41D0"/>
    <w:rsid w:val="007E4334"/>
    <w:rsid w:val="007E43CA"/>
    <w:rsid w:val="007E4765"/>
    <w:rsid w:val="007E47E7"/>
    <w:rsid w:val="007E49E7"/>
    <w:rsid w:val="007E4C3D"/>
    <w:rsid w:val="007E4C9B"/>
    <w:rsid w:val="007E4D33"/>
    <w:rsid w:val="007E4E2C"/>
    <w:rsid w:val="007E4FCF"/>
    <w:rsid w:val="007E517B"/>
    <w:rsid w:val="007E5248"/>
    <w:rsid w:val="007E52B1"/>
    <w:rsid w:val="007E53DE"/>
    <w:rsid w:val="007E54E6"/>
    <w:rsid w:val="007E5679"/>
    <w:rsid w:val="007E56CA"/>
    <w:rsid w:val="007E58C4"/>
    <w:rsid w:val="007E5ACE"/>
    <w:rsid w:val="007E5D4C"/>
    <w:rsid w:val="007E5D89"/>
    <w:rsid w:val="007E5DEC"/>
    <w:rsid w:val="007E5E41"/>
    <w:rsid w:val="007E5E56"/>
    <w:rsid w:val="007E5ED5"/>
    <w:rsid w:val="007E608A"/>
    <w:rsid w:val="007E642C"/>
    <w:rsid w:val="007E6466"/>
    <w:rsid w:val="007E65E3"/>
    <w:rsid w:val="007E6A23"/>
    <w:rsid w:val="007E6ADD"/>
    <w:rsid w:val="007E6B0A"/>
    <w:rsid w:val="007E6C0A"/>
    <w:rsid w:val="007E6C33"/>
    <w:rsid w:val="007E6C6A"/>
    <w:rsid w:val="007E6DD8"/>
    <w:rsid w:val="007E6DE7"/>
    <w:rsid w:val="007E6F82"/>
    <w:rsid w:val="007E7102"/>
    <w:rsid w:val="007E720B"/>
    <w:rsid w:val="007E72CB"/>
    <w:rsid w:val="007E7377"/>
    <w:rsid w:val="007E73DC"/>
    <w:rsid w:val="007E7732"/>
    <w:rsid w:val="007E785B"/>
    <w:rsid w:val="007E7886"/>
    <w:rsid w:val="007E791D"/>
    <w:rsid w:val="007E7983"/>
    <w:rsid w:val="007E7991"/>
    <w:rsid w:val="007E7D45"/>
    <w:rsid w:val="007E7F75"/>
    <w:rsid w:val="007F000E"/>
    <w:rsid w:val="007F010B"/>
    <w:rsid w:val="007F011B"/>
    <w:rsid w:val="007F020A"/>
    <w:rsid w:val="007F06CD"/>
    <w:rsid w:val="007F074F"/>
    <w:rsid w:val="007F0805"/>
    <w:rsid w:val="007F09BD"/>
    <w:rsid w:val="007F0A08"/>
    <w:rsid w:val="007F0A3D"/>
    <w:rsid w:val="007F121B"/>
    <w:rsid w:val="007F125E"/>
    <w:rsid w:val="007F127A"/>
    <w:rsid w:val="007F1293"/>
    <w:rsid w:val="007F131C"/>
    <w:rsid w:val="007F1586"/>
    <w:rsid w:val="007F15C5"/>
    <w:rsid w:val="007F1637"/>
    <w:rsid w:val="007F184B"/>
    <w:rsid w:val="007F184E"/>
    <w:rsid w:val="007F190D"/>
    <w:rsid w:val="007F1A52"/>
    <w:rsid w:val="007F1C23"/>
    <w:rsid w:val="007F1C24"/>
    <w:rsid w:val="007F1D25"/>
    <w:rsid w:val="007F1E45"/>
    <w:rsid w:val="007F23B1"/>
    <w:rsid w:val="007F241B"/>
    <w:rsid w:val="007F265A"/>
    <w:rsid w:val="007F26D3"/>
    <w:rsid w:val="007F2783"/>
    <w:rsid w:val="007F27F4"/>
    <w:rsid w:val="007F27F8"/>
    <w:rsid w:val="007F2802"/>
    <w:rsid w:val="007F28F7"/>
    <w:rsid w:val="007F295C"/>
    <w:rsid w:val="007F29C2"/>
    <w:rsid w:val="007F2A15"/>
    <w:rsid w:val="007F2B41"/>
    <w:rsid w:val="007F2C15"/>
    <w:rsid w:val="007F2C37"/>
    <w:rsid w:val="007F2DEF"/>
    <w:rsid w:val="007F2EF0"/>
    <w:rsid w:val="007F2F03"/>
    <w:rsid w:val="007F302B"/>
    <w:rsid w:val="007F322B"/>
    <w:rsid w:val="007F327B"/>
    <w:rsid w:val="007F32C7"/>
    <w:rsid w:val="007F337D"/>
    <w:rsid w:val="007F3490"/>
    <w:rsid w:val="007F3659"/>
    <w:rsid w:val="007F36D2"/>
    <w:rsid w:val="007F36D5"/>
    <w:rsid w:val="007F397B"/>
    <w:rsid w:val="007F3ADD"/>
    <w:rsid w:val="007F3AF6"/>
    <w:rsid w:val="007F3C1B"/>
    <w:rsid w:val="007F3FB0"/>
    <w:rsid w:val="007F4076"/>
    <w:rsid w:val="007F4146"/>
    <w:rsid w:val="007F41B5"/>
    <w:rsid w:val="007F4302"/>
    <w:rsid w:val="007F43AF"/>
    <w:rsid w:val="007F43F1"/>
    <w:rsid w:val="007F47FE"/>
    <w:rsid w:val="007F4829"/>
    <w:rsid w:val="007F4A01"/>
    <w:rsid w:val="007F4B37"/>
    <w:rsid w:val="007F4D44"/>
    <w:rsid w:val="007F4F0F"/>
    <w:rsid w:val="007F4FE6"/>
    <w:rsid w:val="007F5225"/>
    <w:rsid w:val="007F52DF"/>
    <w:rsid w:val="007F5333"/>
    <w:rsid w:val="007F5528"/>
    <w:rsid w:val="007F55D9"/>
    <w:rsid w:val="007F5615"/>
    <w:rsid w:val="007F5638"/>
    <w:rsid w:val="007F56A9"/>
    <w:rsid w:val="007F56AA"/>
    <w:rsid w:val="007F5B2D"/>
    <w:rsid w:val="007F5C3E"/>
    <w:rsid w:val="007F5C69"/>
    <w:rsid w:val="007F5D2A"/>
    <w:rsid w:val="007F5E69"/>
    <w:rsid w:val="007F5E9C"/>
    <w:rsid w:val="007F628A"/>
    <w:rsid w:val="007F63BB"/>
    <w:rsid w:val="007F63F4"/>
    <w:rsid w:val="007F65BE"/>
    <w:rsid w:val="007F6909"/>
    <w:rsid w:val="007F6A96"/>
    <w:rsid w:val="007F6AD8"/>
    <w:rsid w:val="007F6BDB"/>
    <w:rsid w:val="007F6C5A"/>
    <w:rsid w:val="007F6EB5"/>
    <w:rsid w:val="007F6F1B"/>
    <w:rsid w:val="007F7137"/>
    <w:rsid w:val="007F7226"/>
    <w:rsid w:val="007F7461"/>
    <w:rsid w:val="007F75D4"/>
    <w:rsid w:val="007F771D"/>
    <w:rsid w:val="007F78A3"/>
    <w:rsid w:val="007F78E6"/>
    <w:rsid w:val="007F796D"/>
    <w:rsid w:val="007F7D18"/>
    <w:rsid w:val="0080003C"/>
    <w:rsid w:val="00800152"/>
    <w:rsid w:val="00800295"/>
    <w:rsid w:val="0080030F"/>
    <w:rsid w:val="00800422"/>
    <w:rsid w:val="008005AF"/>
    <w:rsid w:val="008006D2"/>
    <w:rsid w:val="0080078E"/>
    <w:rsid w:val="00800B08"/>
    <w:rsid w:val="00800B29"/>
    <w:rsid w:val="00800B51"/>
    <w:rsid w:val="00800BF1"/>
    <w:rsid w:val="00800CA9"/>
    <w:rsid w:val="00800D5D"/>
    <w:rsid w:val="00800EE3"/>
    <w:rsid w:val="00800F5F"/>
    <w:rsid w:val="00801088"/>
    <w:rsid w:val="008011B4"/>
    <w:rsid w:val="008012C6"/>
    <w:rsid w:val="0080135A"/>
    <w:rsid w:val="0080135D"/>
    <w:rsid w:val="008013F6"/>
    <w:rsid w:val="00801508"/>
    <w:rsid w:val="00801A13"/>
    <w:rsid w:val="00801C2A"/>
    <w:rsid w:val="00801C72"/>
    <w:rsid w:val="00801EDC"/>
    <w:rsid w:val="00801F43"/>
    <w:rsid w:val="00802176"/>
    <w:rsid w:val="00802402"/>
    <w:rsid w:val="008024E5"/>
    <w:rsid w:val="00802677"/>
    <w:rsid w:val="00802679"/>
    <w:rsid w:val="00802806"/>
    <w:rsid w:val="0080297A"/>
    <w:rsid w:val="00802AA3"/>
    <w:rsid w:val="00802E04"/>
    <w:rsid w:val="008032F4"/>
    <w:rsid w:val="00803372"/>
    <w:rsid w:val="00803492"/>
    <w:rsid w:val="008034EF"/>
    <w:rsid w:val="00803627"/>
    <w:rsid w:val="0080383C"/>
    <w:rsid w:val="0080386C"/>
    <w:rsid w:val="008038D2"/>
    <w:rsid w:val="0080397A"/>
    <w:rsid w:val="008039EA"/>
    <w:rsid w:val="00803A58"/>
    <w:rsid w:val="00803A6B"/>
    <w:rsid w:val="0080402A"/>
    <w:rsid w:val="00804207"/>
    <w:rsid w:val="0080422E"/>
    <w:rsid w:val="00804343"/>
    <w:rsid w:val="008044A4"/>
    <w:rsid w:val="008045ED"/>
    <w:rsid w:val="0080471D"/>
    <w:rsid w:val="0080478B"/>
    <w:rsid w:val="00804829"/>
    <w:rsid w:val="0080482A"/>
    <w:rsid w:val="00804952"/>
    <w:rsid w:val="00804983"/>
    <w:rsid w:val="008049D5"/>
    <w:rsid w:val="00804CFB"/>
    <w:rsid w:val="00804E40"/>
    <w:rsid w:val="00804EC7"/>
    <w:rsid w:val="00804FC7"/>
    <w:rsid w:val="0080506B"/>
    <w:rsid w:val="00805306"/>
    <w:rsid w:val="0080531D"/>
    <w:rsid w:val="00805576"/>
    <w:rsid w:val="008056AA"/>
    <w:rsid w:val="0080597B"/>
    <w:rsid w:val="00805996"/>
    <w:rsid w:val="00805B45"/>
    <w:rsid w:val="00805CC8"/>
    <w:rsid w:val="00805CDD"/>
    <w:rsid w:val="00805DEE"/>
    <w:rsid w:val="00805F16"/>
    <w:rsid w:val="00805F84"/>
    <w:rsid w:val="00805FD8"/>
    <w:rsid w:val="00806286"/>
    <w:rsid w:val="0080666B"/>
    <w:rsid w:val="00806678"/>
    <w:rsid w:val="00806750"/>
    <w:rsid w:val="008069A1"/>
    <w:rsid w:val="008069C6"/>
    <w:rsid w:val="008069CF"/>
    <w:rsid w:val="00806B01"/>
    <w:rsid w:val="00806BBF"/>
    <w:rsid w:val="00806D35"/>
    <w:rsid w:val="00806D6C"/>
    <w:rsid w:val="00806E89"/>
    <w:rsid w:val="00806F4D"/>
    <w:rsid w:val="00807005"/>
    <w:rsid w:val="00807165"/>
    <w:rsid w:val="008074D9"/>
    <w:rsid w:val="0080764E"/>
    <w:rsid w:val="00807710"/>
    <w:rsid w:val="008078DC"/>
    <w:rsid w:val="00807950"/>
    <w:rsid w:val="00807B00"/>
    <w:rsid w:val="00807B51"/>
    <w:rsid w:val="00807C7B"/>
    <w:rsid w:val="00807CF0"/>
    <w:rsid w:val="00807D08"/>
    <w:rsid w:val="00807E03"/>
    <w:rsid w:val="00807E25"/>
    <w:rsid w:val="00807F7B"/>
    <w:rsid w:val="00810070"/>
    <w:rsid w:val="00810167"/>
    <w:rsid w:val="00810199"/>
    <w:rsid w:val="00810245"/>
    <w:rsid w:val="00810516"/>
    <w:rsid w:val="00810568"/>
    <w:rsid w:val="0081060A"/>
    <w:rsid w:val="008107B3"/>
    <w:rsid w:val="00810832"/>
    <w:rsid w:val="00810B10"/>
    <w:rsid w:val="00810C3B"/>
    <w:rsid w:val="00810E07"/>
    <w:rsid w:val="00810F83"/>
    <w:rsid w:val="00811058"/>
    <w:rsid w:val="008116E2"/>
    <w:rsid w:val="008117C6"/>
    <w:rsid w:val="0081192C"/>
    <w:rsid w:val="00811C32"/>
    <w:rsid w:val="00811C63"/>
    <w:rsid w:val="00811D52"/>
    <w:rsid w:val="00812158"/>
    <w:rsid w:val="00812431"/>
    <w:rsid w:val="0081245C"/>
    <w:rsid w:val="0081251E"/>
    <w:rsid w:val="008125E9"/>
    <w:rsid w:val="00812794"/>
    <w:rsid w:val="00812964"/>
    <w:rsid w:val="00812A3C"/>
    <w:rsid w:val="00812C0C"/>
    <w:rsid w:val="00812D58"/>
    <w:rsid w:val="00812D85"/>
    <w:rsid w:val="00812FB2"/>
    <w:rsid w:val="00813442"/>
    <w:rsid w:val="0081352F"/>
    <w:rsid w:val="0081355E"/>
    <w:rsid w:val="00813586"/>
    <w:rsid w:val="00813647"/>
    <w:rsid w:val="0081379E"/>
    <w:rsid w:val="0081383E"/>
    <w:rsid w:val="008138FB"/>
    <w:rsid w:val="00813B08"/>
    <w:rsid w:val="00813BE7"/>
    <w:rsid w:val="00813D86"/>
    <w:rsid w:val="00813D8A"/>
    <w:rsid w:val="00813D9A"/>
    <w:rsid w:val="00813E74"/>
    <w:rsid w:val="0081401C"/>
    <w:rsid w:val="008140DB"/>
    <w:rsid w:val="008144E2"/>
    <w:rsid w:val="00814657"/>
    <w:rsid w:val="00814729"/>
    <w:rsid w:val="0081483D"/>
    <w:rsid w:val="00814AFA"/>
    <w:rsid w:val="00814B84"/>
    <w:rsid w:val="00814C4C"/>
    <w:rsid w:val="00814C75"/>
    <w:rsid w:val="00814D4A"/>
    <w:rsid w:val="00814DB6"/>
    <w:rsid w:val="00814DBA"/>
    <w:rsid w:val="00814DD9"/>
    <w:rsid w:val="00814E6B"/>
    <w:rsid w:val="00814F3D"/>
    <w:rsid w:val="00814F40"/>
    <w:rsid w:val="008151BD"/>
    <w:rsid w:val="0081537A"/>
    <w:rsid w:val="00815516"/>
    <w:rsid w:val="0081558C"/>
    <w:rsid w:val="0081564A"/>
    <w:rsid w:val="00815796"/>
    <w:rsid w:val="00815902"/>
    <w:rsid w:val="008159AC"/>
    <w:rsid w:val="00815D45"/>
    <w:rsid w:val="00815DB4"/>
    <w:rsid w:val="00815E49"/>
    <w:rsid w:val="008163F1"/>
    <w:rsid w:val="008163FF"/>
    <w:rsid w:val="00816793"/>
    <w:rsid w:val="008167B3"/>
    <w:rsid w:val="008167F5"/>
    <w:rsid w:val="00816945"/>
    <w:rsid w:val="0081698B"/>
    <w:rsid w:val="008169CA"/>
    <w:rsid w:val="00816A7B"/>
    <w:rsid w:val="00816B7D"/>
    <w:rsid w:val="00816D5F"/>
    <w:rsid w:val="00816DDE"/>
    <w:rsid w:val="00816E76"/>
    <w:rsid w:val="008170C3"/>
    <w:rsid w:val="00817190"/>
    <w:rsid w:val="008172E6"/>
    <w:rsid w:val="0081731D"/>
    <w:rsid w:val="00817371"/>
    <w:rsid w:val="008174D6"/>
    <w:rsid w:val="008174E6"/>
    <w:rsid w:val="008175AE"/>
    <w:rsid w:val="008176C4"/>
    <w:rsid w:val="008179D5"/>
    <w:rsid w:val="00817A79"/>
    <w:rsid w:val="00817A7C"/>
    <w:rsid w:val="00817D18"/>
    <w:rsid w:val="00817FC9"/>
    <w:rsid w:val="0081D81B"/>
    <w:rsid w:val="008200DB"/>
    <w:rsid w:val="008201EB"/>
    <w:rsid w:val="00820273"/>
    <w:rsid w:val="00820351"/>
    <w:rsid w:val="0082043C"/>
    <w:rsid w:val="00820627"/>
    <w:rsid w:val="00820777"/>
    <w:rsid w:val="008207F3"/>
    <w:rsid w:val="008208C7"/>
    <w:rsid w:val="00820986"/>
    <w:rsid w:val="008209E6"/>
    <w:rsid w:val="00820BBC"/>
    <w:rsid w:val="00820C69"/>
    <w:rsid w:val="00820EBD"/>
    <w:rsid w:val="00821177"/>
    <w:rsid w:val="00821208"/>
    <w:rsid w:val="008212F3"/>
    <w:rsid w:val="0082147B"/>
    <w:rsid w:val="0082149F"/>
    <w:rsid w:val="008215A7"/>
    <w:rsid w:val="0082163B"/>
    <w:rsid w:val="008216E8"/>
    <w:rsid w:val="008219E9"/>
    <w:rsid w:val="00821BAA"/>
    <w:rsid w:val="00821C2C"/>
    <w:rsid w:val="00821D89"/>
    <w:rsid w:val="00821EBC"/>
    <w:rsid w:val="0082209F"/>
    <w:rsid w:val="00822136"/>
    <w:rsid w:val="00822180"/>
    <w:rsid w:val="0082246B"/>
    <w:rsid w:val="00822598"/>
    <w:rsid w:val="008225AF"/>
    <w:rsid w:val="008225BD"/>
    <w:rsid w:val="00822615"/>
    <w:rsid w:val="008226C2"/>
    <w:rsid w:val="00822920"/>
    <w:rsid w:val="00822A6D"/>
    <w:rsid w:val="00822B1A"/>
    <w:rsid w:val="00822B2D"/>
    <w:rsid w:val="00822D76"/>
    <w:rsid w:val="00822DA0"/>
    <w:rsid w:val="00822F5C"/>
    <w:rsid w:val="00823095"/>
    <w:rsid w:val="00823124"/>
    <w:rsid w:val="008233B4"/>
    <w:rsid w:val="00823511"/>
    <w:rsid w:val="00823666"/>
    <w:rsid w:val="00823865"/>
    <w:rsid w:val="008238E8"/>
    <w:rsid w:val="00823C6C"/>
    <w:rsid w:val="00823C9D"/>
    <w:rsid w:val="00823CD4"/>
    <w:rsid w:val="00823EA7"/>
    <w:rsid w:val="00823F0E"/>
    <w:rsid w:val="00823FCF"/>
    <w:rsid w:val="008241D5"/>
    <w:rsid w:val="00824463"/>
    <w:rsid w:val="00824509"/>
    <w:rsid w:val="0082450D"/>
    <w:rsid w:val="00824630"/>
    <w:rsid w:val="00824697"/>
    <w:rsid w:val="008247C2"/>
    <w:rsid w:val="00824AA4"/>
    <w:rsid w:val="00824B65"/>
    <w:rsid w:val="00824BDA"/>
    <w:rsid w:val="00824DF1"/>
    <w:rsid w:val="008251C7"/>
    <w:rsid w:val="008252CE"/>
    <w:rsid w:val="008252EF"/>
    <w:rsid w:val="00825463"/>
    <w:rsid w:val="00825584"/>
    <w:rsid w:val="00825595"/>
    <w:rsid w:val="008255AE"/>
    <w:rsid w:val="008257A0"/>
    <w:rsid w:val="00825BEE"/>
    <w:rsid w:val="00825C79"/>
    <w:rsid w:val="008260CE"/>
    <w:rsid w:val="00826138"/>
    <w:rsid w:val="00826479"/>
    <w:rsid w:val="00826568"/>
    <w:rsid w:val="00826642"/>
    <w:rsid w:val="00826704"/>
    <w:rsid w:val="008268FC"/>
    <w:rsid w:val="00826926"/>
    <w:rsid w:val="00826978"/>
    <w:rsid w:val="008269AA"/>
    <w:rsid w:val="00826C49"/>
    <w:rsid w:val="00826CAF"/>
    <w:rsid w:val="00826D22"/>
    <w:rsid w:val="00826EB6"/>
    <w:rsid w:val="00827141"/>
    <w:rsid w:val="00827257"/>
    <w:rsid w:val="008272E0"/>
    <w:rsid w:val="00827417"/>
    <w:rsid w:val="00827486"/>
    <w:rsid w:val="0082748B"/>
    <w:rsid w:val="00827533"/>
    <w:rsid w:val="008275F0"/>
    <w:rsid w:val="0082762A"/>
    <w:rsid w:val="008276C4"/>
    <w:rsid w:val="00827975"/>
    <w:rsid w:val="00827B01"/>
    <w:rsid w:val="00827D2B"/>
    <w:rsid w:val="00827DFB"/>
    <w:rsid w:val="00827DFD"/>
    <w:rsid w:val="00830020"/>
    <w:rsid w:val="00830086"/>
    <w:rsid w:val="0083015D"/>
    <w:rsid w:val="00830213"/>
    <w:rsid w:val="00830294"/>
    <w:rsid w:val="0083046D"/>
    <w:rsid w:val="008304C5"/>
    <w:rsid w:val="0083059F"/>
    <w:rsid w:val="008305BD"/>
    <w:rsid w:val="008307A3"/>
    <w:rsid w:val="00830815"/>
    <w:rsid w:val="0083085A"/>
    <w:rsid w:val="00830C35"/>
    <w:rsid w:val="00830EA8"/>
    <w:rsid w:val="00830EFD"/>
    <w:rsid w:val="00831076"/>
    <w:rsid w:val="008310C9"/>
    <w:rsid w:val="00831244"/>
    <w:rsid w:val="00831290"/>
    <w:rsid w:val="00831294"/>
    <w:rsid w:val="0083143E"/>
    <w:rsid w:val="00831587"/>
    <w:rsid w:val="00831783"/>
    <w:rsid w:val="00831A6E"/>
    <w:rsid w:val="00831AE3"/>
    <w:rsid w:val="00831E17"/>
    <w:rsid w:val="00831FE6"/>
    <w:rsid w:val="008320F7"/>
    <w:rsid w:val="008324AC"/>
    <w:rsid w:val="008324D3"/>
    <w:rsid w:val="008324FB"/>
    <w:rsid w:val="00832517"/>
    <w:rsid w:val="00832B79"/>
    <w:rsid w:val="00832DA8"/>
    <w:rsid w:val="00832FA4"/>
    <w:rsid w:val="0083316E"/>
    <w:rsid w:val="0083346C"/>
    <w:rsid w:val="00833502"/>
    <w:rsid w:val="00833565"/>
    <w:rsid w:val="00833572"/>
    <w:rsid w:val="00833740"/>
    <w:rsid w:val="00833B9F"/>
    <w:rsid w:val="00833C1C"/>
    <w:rsid w:val="00833C60"/>
    <w:rsid w:val="00834028"/>
    <w:rsid w:val="00834208"/>
    <w:rsid w:val="0083431A"/>
    <w:rsid w:val="00834442"/>
    <w:rsid w:val="008344A1"/>
    <w:rsid w:val="008347ED"/>
    <w:rsid w:val="008347F2"/>
    <w:rsid w:val="00834BBD"/>
    <w:rsid w:val="00834BE6"/>
    <w:rsid w:val="00834BED"/>
    <w:rsid w:val="00834C5C"/>
    <w:rsid w:val="00834C94"/>
    <w:rsid w:val="00834D25"/>
    <w:rsid w:val="00834DE2"/>
    <w:rsid w:val="00835056"/>
    <w:rsid w:val="008350B2"/>
    <w:rsid w:val="0083519E"/>
    <w:rsid w:val="008351A7"/>
    <w:rsid w:val="00835201"/>
    <w:rsid w:val="00835232"/>
    <w:rsid w:val="00835734"/>
    <w:rsid w:val="0083592A"/>
    <w:rsid w:val="0083597E"/>
    <w:rsid w:val="00835998"/>
    <w:rsid w:val="00835B23"/>
    <w:rsid w:val="00835C43"/>
    <w:rsid w:val="00835D75"/>
    <w:rsid w:val="00835E62"/>
    <w:rsid w:val="0083609E"/>
    <w:rsid w:val="008360BB"/>
    <w:rsid w:val="00836234"/>
    <w:rsid w:val="0083635B"/>
    <w:rsid w:val="0083644B"/>
    <w:rsid w:val="00836655"/>
    <w:rsid w:val="00836892"/>
    <w:rsid w:val="00836A9F"/>
    <w:rsid w:val="00836AB5"/>
    <w:rsid w:val="00836C30"/>
    <w:rsid w:val="00836D9A"/>
    <w:rsid w:val="00836E6F"/>
    <w:rsid w:val="00836EC5"/>
    <w:rsid w:val="00837065"/>
    <w:rsid w:val="008370EF"/>
    <w:rsid w:val="00837133"/>
    <w:rsid w:val="00837238"/>
    <w:rsid w:val="008372CE"/>
    <w:rsid w:val="008372E3"/>
    <w:rsid w:val="00837361"/>
    <w:rsid w:val="008373EF"/>
    <w:rsid w:val="00837501"/>
    <w:rsid w:val="008375FF"/>
    <w:rsid w:val="0083768A"/>
    <w:rsid w:val="00837693"/>
    <w:rsid w:val="0083773C"/>
    <w:rsid w:val="00837B30"/>
    <w:rsid w:val="00837B9B"/>
    <w:rsid w:val="00837D04"/>
    <w:rsid w:val="00837D0B"/>
    <w:rsid w:val="00837D11"/>
    <w:rsid w:val="00837EA0"/>
    <w:rsid w:val="0084001E"/>
    <w:rsid w:val="0084023F"/>
    <w:rsid w:val="008403BF"/>
    <w:rsid w:val="00840573"/>
    <w:rsid w:val="00840647"/>
    <w:rsid w:val="00840770"/>
    <w:rsid w:val="00840A56"/>
    <w:rsid w:val="00840CF3"/>
    <w:rsid w:val="00840D5C"/>
    <w:rsid w:val="00840DAF"/>
    <w:rsid w:val="00840DC2"/>
    <w:rsid w:val="00840EBD"/>
    <w:rsid w:val="00840F7D"/>
    <w:rsid w:val="00841033"/>
    <w:rsid w:val="00841087"/>
    <w:rsid w:val="00841141"/>
    <w:rsid w:val="0084115E"/>
    <w:rsid w:val="00841183"/>
    <w:rsid w:val="008411A1"/>
    <w:rsid w:val="008412C7"/>
    <w:rsid w:val="0084142F"/>
    <w:rsid w:val="00841702"/>
    <w:rsid w:val="008417EF"/>
    <w:rsid w:val="00841933"/>
    <w:rsid w:val="008419D8"/>
    <w:rsid w:val="00841A50"/>
    <w:rsid w:val="00841A94"/>
    <w:rsid w:val="00841C02"/>
    <w:rsid w:val="00841C56"/>
    <w:rsid w:val="00841D3C"/>
    <w:rsid w:val="00841EB7"/>
    <w:rsid w:val="0084249F"/>
    <w:rsid w:val="008424AE"/>
    <w:rsid w:val="008424C2"/>
    <w:rsid w:val="008429EE"/>
    <w:rsid w:val="00842A7A"/>
    <w:rsid w:val="00842B60"/>
    <w:rsid w:val="00842B7A"/>
    <w:rsid w:val="00842CC2"/>
    <w:rsid w:val="00842D11"/>
    <w:rsid w:val="00842E09"/>
    <w:rsid w:val="00842F15"/>
    <w:rsid w:val="00843490"/>
    <w:rsid w:val="0084382A"/>
    <w:rsid w:val="008439E2"/>
    <w:rsid w:val="008439ED"/>
    <w:rsid w:val="00843A75"/>
    <w:rsid w:val="00843A83"/>
    <w:rsid w:val="00843C4F"/>
    <w:rsid w:val="00843CCF"/>
    <w:rsid w:val="00843E8D"/>
    <w:rsid w:val="00844031"/>
    <w:rsid w:val="0084413E"/>
    <w:rsid w:val="0084414A"/>
    <w:rsid w:val="008441B9"/>
    <w:rsid w:val="00844246"/>
    <w:rsid w:val="00844312"/>
    <w:rsid w:val="00844693"/>
    <w:rsid w:val="00844760"/>
    <w:rsid w:val="0084485B"/>
    <w:rsid w:val="00844957"/>
    <w:rsid w:val="00844B49"/>
    <w:rsid w:val="00844B61"/>
    <w:rsid w:val="00844C72"/>
    <w:rsid w:val="00844DDA"/>
    <w:rsid w:val="008450E0"/>
    <w:rsid w:val="008450FE"/>
    <w:rsid w:val="0084520A"/>
    <w:rsid w:val="008454F2"/>
    <w:rsid w:val="00845603"/>
    <w:rsid w:val="00845792"/>
    <w:rsid w:val="008457F1"/>
    <w:rsid w:val="0084584F"/>
    <w:rsid w:val="008459A9"/>
    <w:rsid w:val="00845ABC"/>
    <w:rsid w:val="00845BA2"/>
    <w:rsid w:val="00845C9D"/>
    <w:rsid w:val="00845DE7"/>
    <w:rsid w:val="00845E61"/>
    <w:rsid w:val="00845E6C"/>
    <w:rsid w:val="00845EB7"/>
    <w:rsid w:val="00845F21"/>
    <w:rsid w:val="00846045"/>
    <w:rsid w:val="008460C1"/>
    <w:rsid w:val="0084622C"/>
    <w:rsid w:val="0084640B"/>
    <w:rsid w:val="008466C7"/>
    <w:rsid w:val="0084671A"/>
    <w:rsid w:val="008468BE"/>
    <w:rsid w:val="008468DD"/>
    <w:rsid w:val="008468E4"/>
    <w:rsid w:val="00846BA5"/>
    <w:rsid w:val="00846BD8"/>
    <w:rsid w:val="00846BED"/>
    <w:rsid w:val="00846BF5"/>
    <w:rsid w:val="00846D98"/>
    <w:rsid w:val="00846DDB"/>
    <w:rsid w:val="0084700D"/>
    <w:rsid w:val="00847015"/>
    <w:rsid w:val="0084708B"/>
    <w:rsid w:val="00847095"/>
    <w:rsid w:val="00847159"/>
    <w:rsid w:val="00847196"/>
    <w:rsid w:val="00847369"/>
    <w:rsid w:val="008475E1"/>
    <w:rsid w:val="008477E3"/>
    <w:rsid w:val="00847839"/>
    <w:rsid w:val="008479C2"/>
    <w:rsid w:val="00847A4D"/>
    <w:rsid w:val="00847D3D"/>
    <w:rsid w:val="00847D7B"/>
    <w:rsid w:val="00847E2E"/>
    <w:rsid w:val="00847EA3"/>
    <w:rsid w:val="00847F9C"/>
    <w:rsid w:val="00850002"/>
    <w:rsid w:val="00850140"/>
    <w:rsid w:val="0085015C"/>
    <w:rsid w:val="00850173"/>
    <w:rsid w:val="008501B4"/>
    <w:rsid w:val="0085029F"/>
    <w:rsid w:val="0085040C"/>
    <w:rsid w:val="0085044B"/>
    <w:rsid w:val="00850511"/>
    <w:rsid w:val="00850538"/>
    <w:rsid w:val="008505E2"/>
    <w:rsid w:val="00850B09"/>
    <w:rsid w:val="00850E0A"/>
    <w:rsid w:val="00850F2A"/>
    <w:rsid w:val="00850F7D"/>
    <w:rsid w:val="00850F9C"/>
    <w:rsid w:val="00851088"/>
    <w:rsid w:val="008511E8"/>
    <w:rsid w:val="008511F6"/>
    <w:rsid w:val="00851355"/>
    <w:rsid w:val="008513EA"/>
    <w:rsid w:val="00851444"/>
    <w:rsid w:val="008515F1"/>
    <w:rsid w:val="0085167A"/>
    <w:rsid w:val="008516E3"/>
    <w:rsid w:val="00851A12"/>
    <w:rsid w:val="00851AAF"/>
    <w:rsid w:val="00851BAB"/>
    <w:rsid w:val="00851D3D"/>
    <w:rsid w:val="008520FA"/>
    <w:rsid w:val="0085214F"/>
    <w:rsid w:val="00852308"/>
    <w:rsid w:val="0085240A"/>
    <w:rsid w:val="0085271D"/>
    <w:rsid w:val="00852952"/>
    <w:rsid w:val="008529AB"/>
    <w:rsid w:val="00852A4F"/>
    <w:rsid w:val="00852B61"/>
    <w:rsid w:val="00852B75"/>
    <w:rsid w:val="00852CC4"/>
    <w:rsid w:val="00852EEF"/>
    <w:rsid w:val="0085300F"/>
    <w:rsid w:val="008530B8"/>
    <w:rsid w:val="00853175"/>
    <w:rsid w:val="008532A0"/>
    <w:rsid w:val="0085334F"/>
    <w:rsid w:val="0085361D"/>
    <w:rsid w:val="008537A7"/>
    <w:rsid w:val="008537B9"/>
    <w:rsid w:val="008538CB"/>
    <w:rsid w:val="00853A07"/>
    <w:rsid w:val="00853BD3"/>
    <w:rsid w:val="00853C00"/>
    <w:rsid w:val="00853DCA"/>
    <w:rsid w:val="00853EA9"/>
    <w:rsid w:val="00853EAC"/>
    <w:rsid w:val="00853EE7"/>
    <w:rsid w:val="008540F6"/>
    <w:rsid w:val="0085444D"/>
    <w:rsid w:val="00854883"/>
    <w:rsid w:val="008548B8"/>
    <w:rsid w:val="00854904"/>
    <w:rsid w:val="00854A82"/>
    <w:rsid w:val="00854D95"/>
    <w:rsid w:val="00854F6C"/>
    <w:rsid w:val="00855304"/>
    <w:rsid w:val="0085530C"/>
    <w:rsid w:val="008553F4"/>
    <w:rsid w:val="008553FB"/>
    <w:rsid w:val="00855483"/>
    <w:rsid w:val="008554EC"/>
    <w:rsid w:val="00855542"/>
    <w:rsid w:val="00855662"/>
    <w:rsid w:val="0085566D"/>
    <w:rsid w:val="0085568D"/>
    <w:rsid w:val="0085584A"/>
    <w:rsid w:val="00855994"/>
    <w:rsid w:val="00855A8D"/>
    <w:rsid w:val="00855AB5"/>
    <w:rsid w:val="00855BD3"/>
    <w:rsid w:val="00855C22"/>
    <w:rsid w:val="00855CBE"/>
    <w:rsid w:val="00855CFE"/>
    <w:rsid w:val="00855E3E"/>
    <w:rsid w:val="00855E83"/>
    <w:rsid w:val="00855FF1"/>
    <w:rsid w:val="0085605F"/>
    <w:rsid w:val="00856175"/>
    <w:rsid w:val="0085638D"/>
    <w:rsid w:val="0085681F"/>
    <w:rsid w:val="008568E9"/>
    <w:rsid w:val="008569FE"/>
    <w:rsid w:val="00856A2D"/>
    <w:rsid w:val="00856B54"/>
    <w:rsid w:val="00856BA1"/>
    <w:rsid w:val="00856CA1"/>
    <w:rsid w:val="00856DC7"/>
    <w:rsid w:val="008571DE"/>
    <w:rsid w:val="0085744B"/>
    <w:rsid w:val="00857466"/>
    <w:rsid w:val="00857537"/>
    <w:rsid w:val="00857790"/>
    <w:rsid w:val="008578F2"/>
    <w:rsid w:val="0085792E"/>
    <w:rsid w:val="00857AAF"/>
    <w:rsid w:val="00857CD8"/>
    <w:rsid w:val="00857E1F"/>
    <w:rsid w:val="008601A9"/>
    <w:rsid w:val="008602E1"/>
    <w:rsid w:val="00860423"/>
    <w:rsid w:val="00860719"/>
    <w:rsid w:val="008607DB"/>
    <w:rsid w:val="008608A6"/>
    <w:rsid w:val="00860932"/>
    <w:rsid w:val="00860975"/>
    <w:rsid w:val="0086097E"/>
    <w:rsid w:val="008609FC"/>
    <w:rsid w:val="00860A21"/>
    <w:rsid w:val="00860AC9"/>
    <w:rsid w:val="00860B32"/>
    <w:rsid w:val="00860D44"/>
    <w:rsid w:val="00860DE1"/>
    <w:rsid w:val="00861018"/>
    <w:rsid w:val="008610EB"/>
    <w:rsid w:val="008613FA"/>
    <w:rsid w:val="008614B7"/>
    <w:rsid w:val="0086151A"/>
    <w:rsid w:val="00861750"/>
    <w:rsid w:val="00861799"/>
    <w:rsid w:val="0086195D"/>
    <w:rsid w:val="00861B78"/>
    <w:rsid w:val="00861D13"/>
    <w:rsid w:val="00861E72"/>
    <w:rsid w:val="00861E80"/>
    <w:rsid w:val="008620CE"/>
    <w:rsid w:val="008621F9"/>
    <w:rsid w:val="0086249C"/>
    <w:rsid w:val="008624FA"/>
    <w:rsid w:val="00862637"/>
    <w:rsid w:val="00862964"/>
    <w:rsid w:val="00862A64"/>
    <w:rsid w:val="00862B54"/>
    <w:rsid w:val="00862C9B"/>
    <w:rsid w:val="00862D52"/>
    <w:rsid w:val="00862D75"/>
    <w:rsid w:val="00862DCB"/>
    <w:rsid w:val="00863255"/>
    <w:rsid w:val="0086336E"/>
    <w:rsid w:val="008633AA"/>
    <w:rsid w:val="008633E1"/>
    <w:rsid w:val="00863519"/>
    <w:rsid w:val="008637B5"/>
    <w:rsid w:val="00863813"/>
    <w:rsid w:val="00863835"/>
    <w:rsid w:val="00863A68"/>
    <w:rsid w:val="00863B27"/>
    <w:rsid w:val="00863B72"/>
    <w:rsid w:val="00863BDE"/>
    <w:rsid w:val="00863E79"/>
    <w:rsid w:val="00864473"/>
    <w:rsid w:val="008644B4"/>
    <w:rsid w:val="008648BA"/>
    <w:rsid w:val="00864BB2"/>
    <w:rsid w:val="00864C48"/>
    <w:rsid w:val="00864C51"/>
    <w:rsid w:val="00864C7D"/>
    <w:rsid w:val="00864D4F"/>
    <w:rsid w:val="00864DB5"/>
    <w:rsid w:val="0086539D"/>
    <w:rsid w:val="00865782"/>
    <w:rsid w:val="00865B0C"/>
    <w:rsid w:val="00865D35"/>
    <w:rsid w:val="00865DBD"/>
    <w:rsid w:val="00865F54"/>
    <w:rsid w:val="00865F86"/>
    <w:rsid w:val="00865FE6"/>
    <w:rsid w:val="00866068"/>
    <w:rsid w:val="00866180"/>
    <w:rsid w:val="008661F1"/>
    <w:rsid w:val="008661FB"/>
    <w:rsid w:val="00866264"/>
    <w:rsid w:val="0086637B"/>
    <w:rsid w:val="008663EB"/>
    <w:rsid w:val="0086670A"/>
    <w:rsid w:val="00866734"/>
    <w:rsid w:val="0086680F"/>
    <w:rsid w:val="00866825"/>
    <w:rsid w:val="00866886"/>
    <w:rsid w:val="00866953"/>
    <w:rsid w:val="00866C54"/>
    <w:rsid w:val="00866D4C"/>
    <w:rsid w:val="00866E26"/>
    <w:rsid w:val="00866E44"/>
    <w:rsid w:val="00866F95"/>
    <w:rsid w:val="00867071"/>
    <w:rsid w:val="008670C0"/>
    <w:rsid w:val="00867428"/>
    <w:rsid w:val="00867594"/>
    <w:rsid w:val="00867687"/>
    <w:rsid w:val="008676C1"/>
    <w:rsid w:val="00867816"/>
    <w:rsid w:val="00867974"/>
    <w:rsid w:val="00867A6D"/>
    <w:rsid w:val="00867A95"/>
    <w:rsid w:val="00867B8C"/>
    <w:rsid w:val="00867BBA"/>
    <w:rsid w:val="00867C03"/>
    <w:rsid w:val="00867C7E"/>
    <w:rsid w:val="00867D4B"/>
    <w:rsid w:val="00867D53"/>
    <w:rsid w:val="00867E4E"/>
    <w:rsid w:val="008701AB"/>
    <w:rsid w:val="00870207"/>
    <w:rsid w:val="008703A4"/>
    <w:rsid w:val="00870BB6"/>
    <w:rsid w:val="00870C03"/>
    <w:rsid w:val="00870EF7"/>
    <w:rsid w:val="00870F2B"/>
    <w:rsid w:val="00871101"/>
    <w:rsid w:val="0087111C"/>
    <w:rsid w:val="0087163A"/>
    <w:rsid w:val="0087170A"/>
    <w:rsid w:val="008718E2"/>
    <w:rsid w:val="00871A42"/>
    <w:rsid w:val="00871ABC"/>
    <w:rsid w:val="00871B4F"/>
    <w:rsid w:val="00871BDB"/>
    <w:rsid w:val="00871C4E"/>
    <w:rsid w:val="00871D62"/>
    <w:rsid w:val="00871D97"/>
    <w:rsid w:val="00871E5F"/>
    <w:rsid w:val="00871FAB"/>
    <w:rsid w:val="008720AE"/>
    <w:rsid w:val="0087217F"/>
    <w:rsid w:val="008722AE"/>
    <w:rsid w:val="008723F9"/>
    <w:rsid w:val="00872424"/>
    <w:rsid w:val="00872535"/>
    <w:rsid w:val="008726CC"/>
    <w:rsid w:val="00872962"/>
    <w:rsid w:val="008729F1"/>
    <w:rsid w:val="00872A13"/>
    <w:rsid w:val="00872B4F"/>
    <w:rsid w:val="00872BAF"/>
    <w:rsid w:val="00872CA2"/>
    <w:rsid w:val="00872D42"/>
    <w:rsid w:val="00872DA5"/>
    <w:rsid w:val="008732F5"/>
    <w:rsid w:val="008733BD"/>
    <w:rsid w:val="00873526"/>
    <w:rsid w:val="0087381D"/>
    <w:rsid w:val="008739C5"/>
    <w:rsid w:val="00873A67"/>
    <w:rsid w:val="00873C38"/>
    <w:rsid w:val="00873C55"/>
    <w:rsid w:val="00873EC1"/>
    <w:rsid w:val="00874182"/>
    <w:rsid w:val="008743AF"/>
    <w:rsid w:val="00874424"/>
    <w:rsid w:val="008745AC"/>
    <w:rsid w:val="008745C9"/>
    <w:rsid w:val="00874602"/>
    <w:rsid w:val="008747DE"/>
    <w:rsid w:val="0087488D"/>
    <w:rsid w:val="0087489F"/>
    <w:rsid w:val="00874945"/>
    <w:rsid w:val="00874A25"/>
    <w:rsid w:val="00874BCE"/>
    <w:rsid w:val="00874F21"/>
    <w:rsid w:val="00874F60"/>
    <w:rsid w:val="00875085"/>
    <w:rsid w:val="00875196"/>
    <w:rsid w:val="008753C2"/>
    <w:rsid w:val="008753D2"/>
    <w:rsid w:val="00875427"/>
    <w:rsid w:val="008754FE"/>
    <w:rsid w:val="008755A4"/>
    <w:rsid w:val="0087585D"/>
    <w:rsid w:val="008759B6"/>
    <w:rsid w:val="008759CA"/>
    <w:rsid w:val="00875A8A"/>
    <w:rsid w:val="00875AD8"/>
    <w:rsid w:val="00875E0F"/>
    <w:rsid w:val="00875F53"/>
    <w:rsid w:val="00876003"/>
    <w:rsid w:val="00876028"/>
    <w:rsid w:val="008760A1"/>
    <w:rsid w:val="00876120"/>
    <w:rsid w:val="008761CF"/>
    <w:rsid w:val="0087641B"/>
    <w:rsid w:val="0087655A"/>
    <w:rsid w:val="00876694"/>
    <w:rsid w:val="00876698"/>
    <w:rsid w:val="00876737"/>
    <w:rsid w:val="00876851"/>
    <w:rsid w:val="008769B2"/>
    <w:rsid w:val="00876A0C"/>
    <w:rsid w:val="00876C01"/>
    <w:rsid w:val="00876C26"/>
    <w:rsid w:val="00876C38"/>
    <w:rsid w:val="00876EA6"/>
    <w:rsid w:val="00876F2F"/>
    <w:rsid w:val="0087737A"/>
    <w:rsid w:val="008774AD"/>
    <w:rsid w:val="008774F5"/>
    <w:rsid w:val="00877656"/>
    <w:rsid w:val="008778D6"/>
    <w:rsid w:val="008778E4"/>
    <w:rsid w:val="00877AE1"/>
    <w:rsid w:val="00877BF9"/>
    <w:rsid w:val="00877CBC"/>
    <w:rsid w:val="00877D63"/>
    <w:rsid w:val="008800C5"/>
    <w:rsid w:val="008800DA"/>
    <w:rsid w:val="008800E8"/>
    <w:rsid w:val="008802C8"/>
    <w:rsid w:val="0088034B"/>
    <w:rsid w:val="0088094F"/>
    <w:rsid w:val="008809B7"/>
    <w:rsid w:val="00880B84"/>
    <w:rsid w:val="00880C7F"/>
    <w:rsid w:val="00880C86"/>
    <w:rsid w:val="00880D16"/>
    <w:rsid w:val="00880D46"/>
    <w:rsid w:val="008810A6"/>
    <w:rsid w:val="008811DC"/>
    <w:rsid w:val="00881259"/>
    <w:rsid w:val="008812CF"/>
    <w:rsid w:val="008815C8"/>
    <w:rsid w:val="00881708"/>
    <w:rsid w:val="00881765"/>
    <w:rsid w:val="0088179C"/>
    <w:rsid w:val="00881912"/>
    <w:rsid w:val="00881921"/>
    <w:rsid w:val="00881AAA"/>
    <w:rsid w:val="00881B11"/>
    <w:rsid w:val="00881B37"/>
    <w:rsid w:val="00881CEB"/>
    <w:rsid w:val="00881D14"/>
    <w:rsid w:val="00881D2B"/>
    <w:rsid w:val="00881D2D"/>
    <w:rsid w:val="00881E7B"/>
    <w:rsid w:val="00881EC6"/>
    <w:rsid w:val="00881F25"/>
    <w:rsid w:val="00881F6A"/>
    <w:rsid w:val="0088219D"/>
    <w:rsid w:val="008821E9"/>
    <w:rsid w:val="00882297"/>
    <w:rsid w:val="00882480"/>
    <w:rsid w:val="008824B0"/>
    <w:rsid w:val="00882546"/>
    <w:rsid w:val="00882634"/>
    <w:rsid w:val="00882696"/>
    <w:rsid w:val="00882798"/>
    <w:rsid w:val="00882923"/>
    <w:rsid w:val="008829AF"/>
    <w:rsid w:val="008830AA"/>
    <w:rsid w:val="0088357C"/>
    <w:rsid w:val="00883586"/>
    <w:rsid w:val="00883702"/>
    <w:rsid w:val="00883715"/>
    <w:rsid w:val="00883870"/>
    <w:rsid w:val="00883994"/>
    <w:rsid w:val="00883A73"/>
    <w:rsid w:val="00883AC7"/>
    <w:rsid w:val="00883B57"/>
    <w:rsid w:val="00883B60"/>
    <w:rsid w:val="00883D28"/>
    <w:rsid w:val="00883EB6"/>
    <w:rsid w:val="00883F3E"/>
    <w:rsid w:val="008840C4"/>
    <w:rsid w:val="008840E3"/>
    <w:rsid w:val="0088411E"/>
    <w:rsid w:val="00884132"/>
    <w:rsid w:val="00884172"/>
    <w:rsid w:val="00884176"/>
    <w:rsid w:val="008841B1"/>
    <w:rsid w:val="00884214"/>
    <w:rsid w:val="00884365"/>
    <w:rsid w:val="00884411"/>
    <w:rsid w:val="00884495"/>
    <w:rsid w:val="008844A7"/>
    <w:rsid w:val="008844ED"/>
    <w:rsid w:val="00884544"/>
    <w:rsid w:val="0088480D"/>
    <w:rsid w:val="00884B19"/>
    <w:rsid w:val="00884B24"/>
    <w:rsid w:val="00884C2E"/>
    <w:rsid w:val="00884D07"/>
    <w:rsid w:val="00884D23"/>
    <w:rsid w:val="00884E33"/>
    <w:rsid w:val="008852AB"/>
    <w:rsid w:val="0088536F"/>
    <w:rsid w:val="0088556C"/>
    <w:rsid w:val="008855AE"/>
    <w:rsid w:val="008856FD"/>
    <w:rsid w:val="00885B9F"/>
    <w:rsid w:val="00885C23"/>
    <w:rsid w:val="00885D46"/>
    <w:rsid w:val="00885E6A"/>
    <w:rsid w:val="00885EAE"/>
    <w:rsid w:val="00885FBA"/>
    <w:rsid w:val="00886006"/>
    <w:rsid w:val="0088605C"/>
    <w:rsid w:val="008860CE"/>
    <w:rsid w:val="008861CC"/>
    <w:rsid w:val="00886277"/>
    <w:rsid w:val="008862C2"/>
    <w:rsid w:val="00886391"/>
    <w:rsid w:val="008863E8"/>
    <w:rsid w:val="00886435"/>
    <w:rsid w:val="008864C5"/>
    <w:rsid w:val="0088653F"/>
    <w:rsid w:val="0088684D"/>
    <w:rsid w:val="008868C8"/>
    <w:rsid w:val="008868CB"/>
    <w:rsid w:val="00886CBB"/>
    <w:rsid w:val="00886CBD"/>
    <w:rsid w:val="00886EBC"/>
    <w:rsid w:val="00887164"/>
    <w:rsid w:val="0088743B"/>
    <w:rsid w:val="008876B3"/>
    <w:rsid w:val="00887749"/>
    <w:rsid w:val="008877CC"/>
    <w:rsid w:val="00887843"/>
    <w:rsid w:val="008878A2"/>
    <w:rsid w:val="008879E5"/>
    <w:rsid w:val="00887B48"/>
    <w:rsid w:val="00887C85"/>
    <w:rsid w:val="00887D62"/>
    <w:rsid w:val="00887DE4"/>
    <w:rsid w:val="00887DEB"/>
    <w:rsid w:val="00887EAD"/>
    <w:rsid w:val="00887EB2"/>
    <w:rsid w:val="00887EFC"/>
    <w:rsid w:val="00890038"/>
    <w:rsid w:val="00890106"/>
    <w:rsid w:val="00890131"/>
    <w:rsid w:val="0089013F"/>
    <w:rsid w:val="00890330"/>
    <w:rsid w:val="00890814"/>
    <w:rsid w:val="00890A42"/>
    <w:rsid w:val="00890A52"/>
    <w:rsid w:val="00890AFE"/>
    <w:rsid w:val="00890C67"/>
    <w:rsid w:val="00890D96"/>
    <w:rsid w:val="00890DDD"/>
    <w:rsid w:val="00890EAA"/>
    <w:rsid w:val="00890FF5"/>
    <w:rsid w:val="008910C0"/>
    <w:rsid w:val="008911D4"/>
    <w:rsid w:val="008913F4"/>
    <w:rsid w:val="00891501"/>
    <w:rsid w:val="0089158E"/>
    <w:rsid w:val="00891608"/>
    <w:rsid w:val="00891856"/>
    <w:rsid w:val="00891948"/>
    <w:rsid w:val="00891A1F"/>
    <w:rsid w:val="00891AC9"/>
    <w:rsid w:val="00891CCB"/>
    <w:rsid w:val="00891D99"/>
    <w:rsid w:val="00891E73"/>
    <w:rsid w:val="00891F3D"/>
    <w:rsid w:val="0089213C"/>
    <w:rsid w:val="008922B5"/>
    <w:rsid w:val="008922E6"/>
    <w:rsid w:val="00892302"/>
    <w:rsid w:val="008924BD"/>
    <w:rsid w:val="0089258F"/>
    <w:rsid w:val="00892793"/>
    <w:rsid w:val="0089284B"/>
    <w:rsid w:val="00892ABB"/>
    <w:rsid w:val="00892BC4"/>
    <w:rsid w:val="00892F21"/>
    <w:rsid w:val="00892F64"/>
    <w:rsid w:val="00892F76"/>
    <w:rsid w:val="00893293"/>
    <w:rsid w:val="00893429"/>
    <w:rsid w:val="008936CB"/>
    <w:rsid w:val="0089381D"/>
    <w:rsid w:val="00893AF7"/>
    <w:rsid w:val="00893B39"/>
    <w:rsid w:val="00893E29"/>
    <w:rsid w:val="00893F6C"/>
    <w:rsid w:val="00893FC7"/>
    <w:rsid w:val="00893FCB"/>
    <w:rsid w:val="0089401F"/>
    <w:rsid w:val="00894077"/>
    <w:rsid w:val="00894250"/>
    <w:rsid w:val="00894411"/>
    <w:rsid w:val="00894437"/>
    <w:rsid w:val="00894513"/>
    <w:rsid w:val="00894736"/>
    <w:rsid w:val="008947E9"/>
    <w:rsid w:val="00894918"/>
    <w:rsid w:val="00894929"/>
    <w:rsid w:val="00894954"/>
    <w:rsid w:val="00894962"/>
    <w:rsid w:val="00894B61"/>
    <w:rsid w:val="00894C36"/>
    <w:rsid w:val="00894D0E"/>
    <w:rsid w:val="00894D31"/>
    <w:rsid w:val="00894D69"/>
    <w:rsid w:val="00894EC0"/>
    <w:rsid w:val="0089500C"/>
    <w:rsid w:val="008951F6"/>
    <w:rsid w:val="00895475"/>
    <w:rsid w:val="008954D5"/>
    <w:rsid w:val="008957F6"/>
    <w:rsid w:val="00895800"/>
    <w:rsid w:val="008958E6"/>
    <w:rsid w:val="008959BA"/>
    <w:rsid w:val="00895A1F"/>
    <w:rsid w:val="00895A5D"/>
    <w:rsid w:val="00895AE8"/>
    <w:rsid w:val="00895B9E"/>
    <w:rsid w:val="00895BA2"/>
    <w:rsid w:val="00895BB1"/>
    <w:rsid w:val="00895E3A"/>
    <w:rsid w:val="00895F29"/>
    <w:rsid w:val="00895F31"/>
    <w:rsid w:val="00896029"/>
    <w:rsid w:val="0089602A"/>
    <w:rsid w:val="0089603D"/>
    <w:rsid w:val="00896092"/>
    <w:rsid w:val="008964F0"/>
    <w:rsid w:val="008966AC"/>
    <w:rsid w:val="008966B1"/>
    <w:rsid w:val="0089697A"/>
    <w:rsid w:val="00896B3D"/>
    <w:rsid w:val="00896BBD"/>
    <w:rsid w:val="00896C09"/>
    <w:rsid w:val="00896C1E"/>
    <w:rsid w:val="00896C62"/>
    <w:rsid w:val="00896CEF"/>
    <w:rsid w:val="00896D17"/>
    <w:rsid w:val="00896D91"/>
    <w:rsid w:val="00896E51"/>
    <w:rsid w:val="0089718D"/>
    <w:rsid w:val="00897342"/>
    <w:rsid w:val="00897373"/>
    <w:rsid w:val="0089738F"/>
    <w:rsid w:val="0089749F"/>
    <w:rsid w:val="008977A6"/>
    <w:rsid w:val="00897898"/>
    <w:rsid w:val="0089794E"/>
    <w:rsid w:val="00897A7D"/>
    <w:rsid w:val="00897D20"/>
    <w:rsid w:val="00897F14"/>
    <w:rsid w:val="008A000D"/>
    <w:rsid w:val="008A0168"/>
    <w:rsid w:val="008A0465"/>
    <w:rsid w:val="008A056B"/>
    <w:rsid w:val="008A05CD"/>
    <w:rsid w:val="008A0614"/>
    <w:rsid w:val="008A08EE"/>
    <w:rsid w:val="008A0A7B"/>
    <w:rsid w:val="008A0AB4"/>
    <w:rsid w:val="008A0C85"/>
    <w:rsid w:val="008A0D39"/>
    <w:rsid w:val="008A0DC4"/>
    <w:rsid w:val="008A0DE7"/>
    <w:rsid w:val="008A1403"/>
    <w:rsid w:val="008A155E"/>
    <w:rsid w:val="008A15B3"/>
    <w:rsid w:val="008A1728"/>
    <w:rsid w:val="008A190F"/>
    <w:rsid w:val="008A19B7"/>
    <w:rsid w:val="008A19E8"/>
    <w:rsid w:val="008A19EB"/>
    <w:rsid w:val="008A1A57"/>
    <w:rsid w:val="008A1A89"/>
    <w:rsid w:val="008A1B78"/>
    <w:rsid w:val="008A1D2C"/>
    <w:rsid w:val="008A1FDC"/>
    <w:rsid w:val="008A2203"/>
    <w:rsid w:val="008A2287"/>
    <w:rsid w:val="008A236D"/>
    <w:rsid w:val="008A23E6"/>
    <w:rsid w:val="008A25E5"/>
    <w:rsid w:val="008A26A5"/>
    <w:rsid w:val="008A26B0"/>
    <w:rsid w:val="008A285A"/>
    <w:rsid w:val="008A3244"/>
    <w:rsid w:val="008A336E"/>
    <w:rsid w:val="008A3391"/>
    <w:rsid w:val="008A3485"/>
    <w:rsid w:val="008A36C7"/>
    <w:rsid w:val="008A38D5"/>
    <w:rsid w:val="008A3931"/>
    <w:rsid w:val="008A39BC"/>
    <w:rsid w:val="008A40FA"/>
    <w:rsid w:val="008A41AA"/>
    <w:rsid w:val="008A4226"/>
    <w:rsid w:val="008A4283"/>
    <w:rsid w:val="008A4567"/>
    <w:rsid w:val="008A471C"/>
    <w:rsid w:val="008A47F1"/>
    <w:rsid w:val="008A4869"/>
    <w:rsid w:val="008A48D9"/>
    <w:rsid w:val="008A4AC1"/>
    <w:rsid w:val="008A4AD6"/>
    <w:rsid w:val="008A4C15"/>
    <w:rsid w:val="008A4CB7"/>
    <w:rsid w:val="008A4D57"/>
    <w:rsid w:val="008A4F24"/>
    <w:rsid w:val="008A5046"/>
    <w:rsid w:val="008A5223"/>
    <w:rsid w:val="008A52EF"/>
    <w:rsid w:val="008A535B"/>
    <w:rsid w:val="008A53EB"/>
    <w:rsid w:val="008A5550"/>
    <w:rsid w:val="008A56F0"/>
    <w:rsid w:val="008A5700"/>
    <w:rsid w:val="008A5758"/>
    <w:rsid w:val="008A5784"/>
    <w:rsid w:val="008A57F9"/>
    <w:rsid w:val="008A5955"/>
    <w:rsid w:val="008A5B0C"/>
    <w:rsid w:val="008A5B83"/>
    <w:rsid w:val="008A5D7E"/>
    <w:rsid w:val="008A5DFF"/>
    <w:rsid w:val="008A5E7D"/>
    <w:rsid w:val="008A6153"/>
    <w:rsid w:val="008A61E1"/>
    <w:rsid w:val="008A61F6"/>
    <w:rsid w:val="008A6230"/>
    <w:rsid w:val="008A6351"/>
    <w:rsid w:val="008A63CE"/>
    <w:rsid w:val="008A6479"/>
    <w:rsid w:val="008A6623"/>
    <w:rsid w:val="008A6874"/>
    <w:rsid w:val="008A69EA"/>
    <w:rsid w:val="008A69FD"/>
    <w:rsid w:val="008A6D1D"/>
    <w:rsid w:val="008A6D55"/>
    <w:rsid w:val="008A6EB0"/>
    <w:rsid w:val="008A706D"/>
    <w:rsid w:val="008A7160"/>
    <w:rsid w:val="008A7173"/>
    <w:rsid w:val="008A741E"/>
    <w:rsid w:val="008A7501"/>
    <w:rsid w:val="008A75C4"/>
    <w:rsid w:val="008A788A"/>
    <w:rsid w:val="008A789C"/>
    <w:rsid w:val="008A7ABC"/>
    <w:rsid w:val="008A7D14"/>
    <w:rsid w:val="008A7F95"/>
    <w:rsid w:val="008B0040"/>
    <w:rsid w:val="008B0228"/>
    <w:rsid w:val="008B02A7"/>
    <w:rsid w:val="008B0460"/>
    <w:rsid w:val="008B0481"/>
    <w:rsid w:val="008B0488"/>
    <w:rsid w:val="008B04AE"/>
    <w:rsid w:val="008B0510"/>
    <w:rsid w:val="008B0537"/>
    <w:rsid w:val="008B055A"/>
    <w:rsid w:val="008B0631"/>
    <w:rsid w:val="008B0898"/>
    <w:rsid w:val="008B08A9"/>
    <w:rsid w:val="008B08E7"/>
    <w:rsid w:val="008B097B"/>
    <w:rsid w:val="008B09B5"/>
    <w:rsid w:val="008B09EA"/>
    <w:rsid w:val="008B09F4"/>
    <w:rsid w:val="008B0B2D"/>
    <w:rsid w:val="008B0DA7"/>
    <w:rsid w:val="008B0F7E"/>
    <w:rsid w:val="008B1043"/>
    <w:rsid w:val="008B1103"/>
    <w:rsid w:val="008B12E8"/>
    <w:rsid w:val="008B1443"/>
    <w:rsid w:val="008B161F"/>
    <w:rsid w:val="008B1756"/>
    <w:rsid w:val="008B1874"/>
    <w:rsid w:val="008B1DAE"/>
    <w:rsid w:val="008B2006"/>
    <w:rsid w:val="008B2042"/>
    <w:rsid w:val="008B2118"/>
    <w:rsid w:val="008B2225"/>
    <w:rsid w:val="008B2767"/>
    <w:rsid w:val="008B2791"/>
    <w:rsid w:val="008B282B"/>
    <w:rsid w:val="008B284F"/>
    <w:rsid w:val="008B297C"/>
    <w:rsid w:val="008B2B3F"/>
    <w:rsid w:val="008B2CB5"/>
    <w:rsid w:val="008B32F3"/>
    <w:rsid w:val="008B3389"/>
    <w:rsid w:val="008B33CA"/>
    <w:rsid w:val="008B3649"/>
    <w:rsid w:val="008B3852"/>
    <w:rsid w:val="008B39CC"/>
    <w:rsid w:val="008B39D2"/>
    <w:rsid w:val="008B39E1"/>
    <w:rsid w:val="008B3B78"/>
    <w:rsid w:val="008B3C0C"/>
    <w:rsid w:val="008B3D3A"/>
    <w:rsid w:val="008B40DD"/>
    <w:rsid w:val="008B42B3"/>
    <w:rsid w:val="008B4315"/>
    <w:rsid w:val="008B4356"/>
    <w:rsid w:val="008B4366"/>
    <w:rsid w:val="008B43C0"/>
    <w:rsid w:val="008B4941"/>
    <w:rsid w:val="008B4BC8"/>
    <w:rsid w:val="008B4D59"/>
    <w:rsid w:val="008B4DF3"/>
    <w:rsid w:val="008B4E5C"/>
    <w:rsid w:val="008B503A"/>
    <w:rsid w:val="008B5070"/>
    <w:rsid w:val="008B52ED"/>
    <w:rsid w:val="008B553C"/>
    <w:rsid w:val="008B559C"/>
    <w:rsid w:val="008B56BA"/>
    <w:rsid w:val="008B5983"/>
    <w:rsid w:val="008B5AAB"/>
    <w:rsid w:val="008B5C8C"/>
    <w:rsid w:val="008B5CAA"/>
    <w:rsid w:val="008B5DC3"/>
    <w:rsid w:val="008B5E04"/>
    <w:rsid w:val="008B5E09"/>
    <w:rsid w:val="008B5E7B"/>
    <w:rsid w:val="008B5F0B"/>
    <w:rsid w:val="008B5F72"/>
    <w:rsid w:val="008B5FE0"/>
    <w:rsid w:val="008B6040"/>
    <w:rsid w:val="008B62AF"/>
    <w:rsid w:val="008B64A1"/>
    <w:rsid w:val="008B65D4"/>
    <w:rsid w:val="008B6B13"/>
    <w:rsid w:val="008B6BB9"/>
    <w:rsid w:val="008B6CA3"/>
    <w:rsid w:val="008B6CD0"/>
    <w:rsid w:val="008B6D20"/>
    <w:rsid w:val="008B6EAC"/>
    <w:rsid w:val="008B6EB6"/>
    <w:rsid w:val="008B6F79"/>
    <w:rsid w:val="008B7078"/>
    <w:rsid w:val="008B7177"/>
    <w:rsid w:val="008B7360"/>
    <w:rsid w:val="008B73F0"/>
    <w:rsid w:val="008B7562"/>
    <w:rsid w:val="008B7881"/>
    <w:rsid w:val="008B7964"/>
    <w:rsid w:val="008B7990"/>
    <w:rsid w:val="008B7A94"/>
    <w:rsid w:val="008B7C1D"/>
    <w:rsid w:val="008B7C6C"/>
    <w:rsid w:val="008B7DEB"/>
    <w:rsid w:val="008C003B"/>
    <w:rsid w:val="008C00D4"/>
    <w:rsid w:val="008C011B"/>
    <w:rsid w:val="008C03B4"/>
    <w:rsid w:val="008C04E5"/>
    <w:rsid w:val="008C05E7"/>
    <w:rsid w:val="008C068D"/>
    <w:rsid w:val="008C074A"/>
    <w:rsid w:val="008C0A65"/>
    <w:rsid w:val="008C0A9B"/>
    <w:rsid w:val="008C0B72"/>
    <w:rsid w:val="008C0BEC"/>
    <w:rsid w:val="008C0D27"/>
    <w:rsid w:val="008C0E25"/>
    <w:rsid w:val="008C0F4C"/>
    <w:rsid w:val="008C0F97"/>
    <w:rsid w:val="008C120D"/>
    <w:rsid w:val="008C12ED"/>
    <w:rsid w:val="008C1328"/>
    <w:rsid w:val="008C147E"/>
    <w:rsid w:val="008C14FA"/>
    <w:rsid w:val="008C1578"/>
    <w:rsid w:val="008C178A"/>
    <w:rsid w:val="008C17D2"/>
    <w:rsid w:val="008C1A4A"/>
    <w:rsid w:val="008C1A91"/>
    <w:rsid w:val="008C1B66"/>
    <w:rsid w:val="008C1D41"/>
    <w:rsid w:val="008C1E2F"/>
    <w:rsid w:val="008C1ED0"/>
    <w:rsid w:val="008C213C"/>
    <w:rsid w:val="008C2157"/>
    <w:rsid w:val="008C21B1"/>
    <w:rsid w:val="008C23B1"/>
    <w:rsid w:val="008C2413"/>
    <w:rsid w:val="008C2489"/>
    <w:rsid w:val="008C2C3E"/>
    <w:rsid w:val="008C2D9D"/>
    <w:rsid w:val="008C2F2E"/>
    <w:rsid w:val="008C3140"/>
    <w:rsid w:val="008C3271"/>
    <w:rsid w:val="008C3273"/>
    <w:rsid w:val="008C34DA"/>
    <w:rsid w:val="008C36C6"/>
    <w:rsid w:val="008C39DF"/>
    <w:rsid w:val="008C3B02"/>
    <w:rsid w:val="008C3BFF"/>
    <w:rsid w:val="008C3C3B"/>
    <w:rsid w:val="008C3D2A"/>
    <w:rsid w:val="008C3EF6"/>
    <w:rsid w:val="008C413D"/>
    <w:rsid w:val="008C4146"/>
    <w:rsid w:val="008C41C5"/>
    <w:rsid w:val="008C4435"/>
    <w:rsid w:val="008C449E"/>
    <w:rsid w:val="008C4582"/>
    <w:rsid w:val="008C4724"/>
    <w:rsid w:val="008C4BD9"/>
    <w:rsid w:val="008C4D0F"/>
    <w:rsid w:val="008C4E02"/>
    <w:rsid w:val="008C4ED2"/>
    <w:rsid w:val="008C4FDB"/>
    <w:rsid w:val="008C5201"/>
    <w:rsid w:val="008C5538"/>
    <w:rsid w:val="008C556A"/>
    <w:rsid w:val="008C55B2"/>
    <w:rsid w:val="008C5841"/>
    <w:rsid w:val="008C59BC"/>
    <w:rsid w:val="008C5B15"/>
    <w:rsid w:val="008C5CED"/>
    <w:rsid w:val="008C5DF1"/>
    <w:rsid w:val="008C6123"/>
    <w:rsid w:val="008C63DE"/>
    <w:rsid w:val="008C6621"/>
    <w:rsid w:val="008C665A"/>
    <w:rsid w:val="008C66B7"/>
    <w:rsid w:val="008C6723"/>
    <w:rsid w:val="008C6763"/>
    <w:rsid w:val="008C6AE8"/>
    <w:rsid w:val="008C6B24"/>
    <w:rsid w:val="008C7002"/>
    <w:rsid w:val="008C709D"/>
    <w:rsid w:val="008C716E"/>
    <w:rsid w:val="008C7171"/>
    <w:rsid w:val="008C7227"/>
    <w:rsid w:val="008C733E"/>
    <w:rsid w:val="008C744A"/>
    <w:rsid w:val="008C76EA"/>
    <w:rsid w:val="008C77A5"/>
    <w:rsid w:val="008C782A"/>
    <w:rsid w:val="008C78CF"/>
    <w:rsid w:val="008C7A69"/>
    <w:rsid w:val="008C7B48"/>
    <w:rsid w:val="008C7BAB"/>
    <w:rsid w:val="008C7CC0"/>
    <w:rsid w:val="008C7F24"/>
    <w:rsid w:val="008D00E2"/>
    <w:rsid w:val="008D0141"/>
    <w:rsid w:val="008D02BB"/>
    <w:rsid w:val="008D035B"/>
    <w:rsid w:val="008D0378"/>
    <w:rsid w:val="008D039F"/>
    <w:rsid w:val="008D07B1"/>
    <w:rsid w:val="008D07C6"/>
    <w:rsid w:val="008D09FB"/>
    <w:rsid w:val="008D0A70"/>
    <w:rsid w:val="008D0C57"/>
    <w:rsid w:val="008D0C8A"/>
    <w:rsid w:val="008D1153"/>
    <w:rsid w:val="008D116D"/>
    <w:rsid w:val="008D13FB"/>
    <w:rsid w:val="008D140F"/>
    <w:rsid w:val="008D1612"/>
    <w:rsid w:val="008D1725"/>
    <w:rsid w:val="008D1799"/>
    <w:rsid w:val="008D1963"/>
    <w:rsid w:val="008D19EF"/>
    <w:rsid w:val="008D1ADF"/>
    <w:rsid w:val="008D1B8E"/>
    <w:rsid w:val="008D1D8F"/>
    <w:rsid w:val="008D1E59"/>
    <w:rsid w:val="008D1F7C"/>
    <w:rsid w:val="008D209D"/>
    <w:rsid w:val="008D2308"/>
    <w:rsid w:val="008D2441"/>
    <w:rsid w:val="008D2543"/>
    <w:rsid w:val="008D2608"/>
    <w:rsid w:val="008D2737"/>
    <w:rsid w:val="008D2778"/>
    <w:rsid w:val="008D28FD"/>
    <w:rsid w:val="008D2AE6"/>
    <w:rsid w:val="008D2AFC"/>
    <w:rsid w:val="008D2DD2"/>
    <w:rsid w:val="008D2E22"/>
    <w:rsid w:val="008D2F2C"/>
    <w:rsid w:val="008D2FD5"/>
    <w:rsid w:val="008D30F1"/>
    <w:rsid w:val="008D31FF"/>
    <w:rsid w:val="008D336C"/>
    <w:rsid w:val="008D33B6"/>
    <w:rsid w:val="008D33D8"/>
    <w:rsid w:val="008D3433"/>
    <w:rsid w:val="008D3447"/>
    <w:rsid w:val="008D3457"/>
    <w:rsid w:val="008D3506"/>
    <w:rsid w:val="008D366C"/>
    <w:rsid w:val="008D3732"/>
    <w:rsid w:val="008D38D6"/>
    <w:rsid w:val="008D3B9A"/>
    <w:rsid w:val="008D3DD5"/>
    <w:rsid w:val="008D3E64"/>
    <w:rsid w:val="008D3F05"/>
    <w:rsid w:val="008D3FEB"/>
    <w:rsid w:val="008D3FF6"/>
    <w:rsid w:val="008D4092"/>
    <w:rsid w:val="008D40AC"/>
    <w:rsid w:val="008D41C6"/>
    <w:rsid w:val="008D41C8"/>
    <w:rsid w:val="008D41E1"/>
    <w:rsid w:val="008D42CE"/>
    <w:rsid w:val="008D4491"/>
    <w:rsid w:val="008D44F8"/>
    <w:rsid w:val="008D461F"/>
    <w:rsid w:val="008D465B"/>
    <w:rsid w:val="008D46BD"/>
    <w:rsid w:val="008D46E0"/>
    <w:rsid w:val="008D4A1C"/>
    <w:rsid w:val="008D4AA6"/>
    <w:rsid w:val="008D4BB0"/>
    <w:rsid w:val="008D4BFD"/>
    <w:rsid w:val="008D4CE1"/>
    <w:rsid w:val="008D4DD2"/>
    <w:rsid w:val="008D4DD8"/>
    <w:rsid w:val="008D4EAD"/>
    <w:rsid w:val="008D5058"/>
    <w:rsid w:val="008D5071"/>
    <w:rsid w:val="008D5277"/>
    <w:rsid w:val="008D5291"/>
    <w:rsid w:val="008D5525"/>
    <w:rsid w:val="008D5581"/>
    <w:rsid w:val="008D576F"/>
    <w:rsid w:val="008D57EE"/>
    <w:rsid w:val="008D5890"/>
    <w:rsid w:val="008D5AF8"/>
    <w:rsid w:val="008D5D81"/>
    <w:rsid w:val="008D5E0D"/>
    <w:rsid w:val="008D6278"/>
    <w:rsid w:val="008D634C"/>
    <w:rsid w:val="008D63C1"/>
    <w:rsid w:val="008D66D1"/>
    <w:rsid w:val="008D67D9"/>
    <w:rsid w:val="008D68B9"/>
    <w:rsid w:val="008D6AAE"/>
    <w:rsid w:val="008D6C20"/>
    <w:rsid w:val="008D6C30"/>
    <w:rsid w:val="008D6C8E"/>
    <w:rsid w:val="008D6D6E"/>
    <w:rsid w:val="008D6E7C"/>
    <w:rsid w:val="008D6E9B"/>
    <w:rsid w:val="008D6FB1"/>
    <w:rsid w:val="008D702C"/>
    <w:rsid w:val="008D706A"/>
    <w:rsid w:val="008D741E"/>
    <w:rsid w:val="008D742A"/>
    <w:rsid w:val="008D75CE"/>
    <w:rsid w:val="008D766D"/>
    <w:rsid w:val="008D76BD"/>
    <w:rsid w:val="008D76E2"/>
    <w:rsid w:val="008D77FE"/>
    <w:rsid w:val="008D79D0"/>
    <w:rsid w:val="008D79E4"/>
    <w:rsid w:val="008D7A20"/>
    <w:rsid w:val="008D7A97"/>
    <w:rsid w:val="008D7D63"/>
    <w:rsid w:val="008D7D8D"/>
    <w:rsid w:val="008D7DFA"/>
    <w:rsid w:val="008D7F1D"/>
    <w:rsid w:val="008E0059"/>
    <w:rsid w:val="008E00C7"/>
    <w:rsid w:val="008E0190"/>
    <w:rsid w:val="008E029D"/>
    <w:rsid w:val="008E02F0"/>
    <w:rsid w:val="008E0352"/>
    <w:rsid w:val="008E04B1"/>
    <w:rsid w:val="008E061D"/>
    <w:rsid w:val="008E078E"/>
    <w:rsid w:val="008E0886"/>
    <w:rsid w:val="008E095C"/>
    <w:rsid w:val="008E0A82"/>
    <w:rsid w:val="008E0AF7"/>
    <w:rsid w:val="008E0B3F"/>
    <w:rsid w:val="008E0D5A"/>
    <w:rsid w:val="008E0D7C"/>
    <w:rsid w:val="008E0E3A"/>
    <w:rsid w:val="008E1054"/>
    <w:rsid w:val="008E10E4"/>
    <w:rsid w:val="008E110C"/>
    <w:rsid w:val="008E11DB"/>
    <w:rsid w:val="008E12BB"/>
    <w:rsid w:val="008E12F5"/>
    <w:rsid w:val="008E1390"/>
    <w:rsid w:val="008E15C4"/>
    <w:rsid w:val="008E1868"/>
    <w:rsid w:val="008E19AB"/>
    <w:rsid w:val="008E1A4F"/>
    <w:rsid w:val="008E1ACA"/>
    <w:rsid w:val="008E1ECF"/>
    <w:rsid w:val="008E211A"/>
    <w:rsid w:val="008E2137"/>
    <w:rsid w:val="008E2369"/>
    <w:rsid w:val="008E262D"/>
    <w:rsid w:val="008E272F"/>
    <w:rsid w:val="008E27AE"/>
    <w:rsid w:val="008E27AF"/>
    <w:rsid w:val="008E2931"/>
    <w:rsid w:val="008E2946"/>
    <w:rsid w:val="008E2949"/>
    <w:rsid w:val="008E29CE"/>
    <w:rsid w:val="008E29F5"/>
    <w:rsid w:val="008E2AC6"/>
    <w:rsid w:val="008E2BC8"/>
    <w:rsid w:val="008E302B"/>
    <w:rsid w:val="008E31E1"/>
    <w:rsid w:val="008E3368"/>
    <w:rsid w:val="008E33B6"/>
    <w:rsid w:val="008E33D9"/>
    <w:rsid w:val="008E344C"/>
    <w:rsid w:val="008E3456"/>
    <w:rsid w:val="008E38AB"/>
    <w:rsid w:val="008E39D5"/>
    <w:rsid w:val="008E3B69"/>
    <w:rsid w:val="008E3B8C"/>
    <w:rsid w:val="008E3C1B"/>
    <w:rsid w:val="008E3E84"/>
    <w:rsid w:val="008E3EF6"/>
    <w:rsid w:val="008E3FAA"/>
    <w:rsid w:val="008E40A7"/>
    <w:rsid w:val="008E413D"/>
    <w:rsid w:val="008E4168"/>
    <w:rsid w:val="008E41A0"/>
    <w:rsid w:val="008E41F9"/>
    <w:rsid w:val="008E4214"/>
    <w:rsid w:val="008E4282"/>
    <w:rsid w:val="008E428C"/>
    <w:rsid w:val="008E442A"/>
    <w:rsid w:val="008E4441"/>
    <w:rsid w:val="008E459F"/>
    <w:rsid w:val="008E4601"/>
    <w:rsid w:val="008E4710"/>
    <w:rsid w:val="008E491F"/>
    <w:rsid w:val="008E4940"/>
    <w:rsid w:val="008E4C7F"/>
    <w:rsid w:val="008E4DFB"/>
    <w:rsid w:val="008E4EE8"/>
    <w:rsid w:val="008E507B"/>
    <w:rsid w:val="008E50D8"/>
    <w:rsid w:val="008E528D"/>
    <w:rsid w:val="008E52F7"/>
    <w:rsid w:val="008E5359"/>
    <w:rsid w:val="008E56BE"/>
    <w:rsid w:val="008E56D5"/>
    <w:rsid w:val="008E5755"/>
    <w:rsid w:val="008E58C2"/>
    <w:rsid w:val="008E5960"/>
    <w:rsid w:val="008E5A15"/>
    <w:rsid w:val="008E5F1D"/>
    <w:rsid w:val="008E5FB0"/>
    <w:rsid w:val="008E6097"/>
    <w:rsid w:val="008E6194"/>
    <w:rsid w:val="008E62B4"/>
    <w:rsid w:val="008E62D4"/>
    <w:rsid w:val="008E6408"/>
    <w:rsid w:val="008E67C8"/>
    <w:rsid w:val="008E6CEE"/>
    <w:rsid w:val="008E6DDE"/>
    <w:rsid w:val="008E6E85"/>
    <w:rsid w:val="008E6EC5"/>
    <w:rsid w:val="008E70EC"/>
    <w:rsid w:val="008E7101"/>
    <w:rsid w:val="008E71CE"/>
    <w:rsid w:val="008E71DC"/>
    <w:rsid w:val="008E72A3"/>
    <w:rsid w:val="008E7389"/>
    <w:rsid w:val="008E760E"/>
    <w:rsid w:val="008E782E"/>
    <w:rsid w:val="008E7854"/>
    <w:rsid w:val="008E7A16"/>
    <w:rsid w:val="008E7AA4"/>
    <w:rsid w:val="008E7CF4"/>
    <w:rsid w:val="008F02A7"/>
    <w:rsid w:val="008F036A"/>
    <w:rsid w:val="008F0536"/>
    <w:rsid w:val="008F058F"/>
    <w:rsid w:val="008F0643"/>
    <w:rsid w:val="008F071E"/>
    <w:rsid w:val="008F0760"/>
    <w:rsid w:val="008F08F4"/>
    <w:rsid w:val="008F0AEE"/>
    <w:rsid w:val="008F0B8B"/>
    <w:rsid w:val="008F0DDC"/>
    <w:rsid w:val="008F0E4E"/>
    <w:rsid w:val="008F0FEB"/>
    <w:rsid w:val="008F11BC"/>
    <w:rsid w:val="008F11E7"/>
    <w:rsid w:val="008F1447"/>
    <w:rsid w:val="008F186E"/>
    <w:rsid w:val="008F187C"/>
    <w:rsid w:val="008F18C4"/>
    <w:rsid w:val="008F1ADE"/>
    <w:rsid w:val="008F1B04"/>
    <w:rsid w:val="008F1B14"/>
    <w:rsid w:val="008F1D86"/>
    <w:rsid w:val="008F1E87"/>
    <w:rsid w:val="008F21AB"/>
    <w:rsid w:val="008F220A"/>
    <w:rsid w:val="008F221D"/>
    <w:rsid w:val="008F2285"/>
    <w:rsid w:val="008F22A0"/>
    <w:rsid w:val="008F23D0"/>
    <w:rsid w:val="008F23D7"/>
    <w:rsid w:val="008F2470"/>
    <w:rsid w:val="008F24DE"/>
    <w:rsid w:val="008F25D0"/>
    <w:rsid w:val="008F27B2"/>
    <w:rsid w:val="008F2849"/>
    <w:rsid w:val="008F289E"/>
    <w:rsid w:val="008F28A0"/>
    <w:rsid w:val="008F28ED"/>
    <w:rsid w:val="008F2A97"/>
    <w:rsid w:val="008F2C0C"/>
    <w:rsid w:val="008F2D61"/>
    <w:rsid w:val="008F2DBE"/>
    <w:rsid w:val="008F2E43"/>
    <w:rsid w:val="008F2F0F"/>
    <w:rsid w:val="008F2F25"/>
    <w:rsid w:val="008F2F49"/>
    <w:rsid w:val="008F2F77"/>
    <w:rsid w:val="008F3059"/>
    <w:rsid w:val="008F315E"/>
    <w:rsid w:val="008F32A6"/>
    <w:rsid w:val="008F339F"/>
    <w:rsid w:val="008F34A9"/>
    <w:rsid w:val="008F37DF"/>
    <w:rsid w:val="008F3A5E"/>
    <w:rsid w:val="008F3B06"/>
    <w:rsid w:val="008F3C0C"/>
    <w:rsid w:val="008F3E2A"/>
    <w:rsid w:val="008F3EA2"/>
    <w:rsid w:val="008F3EC4"/>
    <w:rsid w:val="008F3F85"/>
    <w:rsid w:val="008F3FF6"/>
    <w:rsid w:val="008F40C2"/>
    <w:rsid w:val="008F4175"/>
    <w:rsid w:val="008F41EB"/>
    <w:rsid w:val="008F4365"/>
    <w:rsid w:val="008F443D"/>
    <w:rsid w:val="008F4676"/>
    <w:rsid w:val="008F46C8"/>
    <w:rsid w:val="008F46E9"/>
    <w:rsid w:val="008F4783"/>
    <w:rsid w:val="008F47E7"/>
    <w:rsid w:val="008F48C2"/>
    <w:rsid w:val="008F490E"/>
    <w:rsid w:val="008F4969"/>
    <w:rsid w:val="008F4A13"/>
    <w:rsid w:val="008F4C31"/>
    <w:rsid w:val="008F4EA5"/>
    <w:rsid w:val="008F4F46"/>
    <w:rsid w:val="008F4F4A"/>
    <w:rsid w:val="008F506D"/>
    <w:rsid w:val="008F51AA"/>
    <w:rsid w:val="008F5343"/>
    <w:rsid w:val="008F53DF"/>
    <w:rsid w:val="008F558E"/>
    <w:rsid w:val="008F564F"/>
    <w:rsid w:val="008F579F"/>
    <w:rsid w:val="008F5BA0"/>
    <w:rsid w:val="008F5DD4"/>
    <w:rsid w:val="008F5E47"/>
    <w:rsid w:val="008F5E8F"/>
    <w:rsid w:val="008F5F8F"/>
    <w:rsid w:val="008F602C"/>
    <w:rsid w:val="008F61B6"/>
    <w:rsid w:val="008F61EA"/>
    <w:rsid w:val="008F6414"/>
    <w:rsid w:val="008F643F"/>
    <w:rsid w:val="008F6580"/>
    <w:rsid w:val="008F6A17"/>
    <w:rsid w:val="008F6ACC"/>
    <w:rsid w:val="008F6B0A"/>
    <w:rsid w:val="008F6C9B"/>
    <w:rsid w:val="008F6E66"/>
    <w:rsid w:val="008F6EA6"/>
    <w:rsid w:val="008F710C"/>
    <w:rsid w:val="008F7288"/>
    <w:rsid w:val="008F7561"/>
    <w:rsid w:val="008F7589"/>
    <w:rsid w:val="008F758D"/>
    <w:rsid w:val="008F7915"/>
    <w:rsid w:val="008F7939"/>
    <w:rsid w:val="008F7A57"/>
    <w:rsid w:val="008F7A9C"/>
    <w:rsid w:val="008F7BDB"/>
    <w:rsid w:val="008F7C16"/>
    <w:rsid w:val="008F7CCD"/>
    <w:rsid w:val="008F7DCE"/>
    <w:rsid w:val="008F7F28"/>
    <w:rsid w:val="008F7FA5"/>
    <w:rsid w:val="008FACA7"/>
    <w:rsid w:val="00900025"/>
    <w:rsid w:val="009001F8"/>
    <w:rsid w:val="00900421"/>
    <w:rsid w:val="0090061B"/>
    <w:rsid w:val="00900635"/>
    <w:rsid w:val="00900685"/>
    <w:rsid w:val="0090068D"/>
    <w:rsid w:val="00900711"/>
    <w:rsid w:val="009007AF"/>
    <w:rsid w:val="00900994"/>
    <w:rsid w:val="00900A18"/>
    <w:rsid w:val="00900C66"/>
    <w:rsid w:val="00900E71"/>
    <w:rsid w:val="00900F9D"/>
    <w:rsid w:val="00901063"/>
    <w:rsid w:val="009010AD"/>
    <w:rsid w:val="009011A3"/>
    <w:rsid w:val="009014C3"/>
    <w:rsid w:val="009016FE"/>
    <w:rsid w:val="00901796"/>
    <w:rsid w:val="009017BF"/>
    <w:rsid w:val="00901914"/>
    <w:rsid w:val="009019CA"/>
    <w:rsid w:val="009019EF"/>
    <w:rsid w:val="00901C29"/>
    <w:rsid w:val="00901C31"/>
    <w:rsid w:val="00901F24"/>
    <w:rsid w:val="00901F25"/>
    <w:rsid w:val="00902490"/>
    <w:rsid w:val="009026D3"/>
    <w:rsid w:val="00902785"/>
    <w:rsid w:val="0090293E"/>
    <w:rsid w:val="009029B8"/>
    <w:rsid w:val="009029BD"/>
    <w:rsid w:val="00902B06"/>
    <w:rsid w:val="00902DEF"/>
    <w:rsid w:val="00902E5B"/>
    <w:rsid w:val="00902E85"/>
    <w:rsid w:val="00902FCE"/>
    <w:rsid w:val="009030FB"/>
    <w:rsid w:val="00903145"/>
    <w:rsid w:val="0090322A"/>
    <w:rsid w:val="00903286"/>
    <w:rsid w:val="0090328D"/>
    <w:rsid w:val="009036BA"/>
    <w:rsid w:val="00903B23"/>
    <w:rsid w:val="00903B25"/>
    <w:rsid w:val="00903BA2"/>
    <w:rsid w:val="00903DAE"/>
    <w:rsid w:val="00903F12"/>
    <w:rsid w:val="00903F2B"/>
    <w:rsid w:val="00903FBC"/>
    <w:rsid w:val="00903FDF"/>
    <w:rsid w:val="009040F5"/>
    <w:rsid w:val="00904112"/>
    <w:rsid w:val="00904444"/>
    <w:rsid w:val="009045C9"/>
    <w:rsid w:val="009046FB"/>
    <w:rsid w:val="009047A0"/>
    <w:rsid w:val="009047D4"/>
    <w:rsid w:val="00904985"/>
    <w:rsid w:val="00904BFD"/>
    <w:rsid w:val="00904DFA"/>
    <w:rsid w:val="00904EFB"/>
    <w:rsid w:val="009054A1"/>
    <w:rsid w:val="00905585"/>
    <w:rsid w:val="0090558F"/>
    <w:rsid w:val="009056D6"/>
    <w:rsid w:val="00905788"/>
    <w:rsid w:val="00905789"/>
    <w:rsid w:val="0090580E"/>
    <w:rsid w:val="0090584C"/>
    <w:rsid w:val="00905880"/>
    <w:rsid w:val="00905B4A"/>
    <w:rsid w:val="00905BAE"/>
    <w:rsid w:val="00905C61"/>
    <w:rsid w:val="00905EC8"/>
    <w:rsid w:val="009062B4"/>
    <w:rsid w:val="00906445"/>
    <w:rsid w:val="00906498"/>
    <w:rsid w:val="00906645"/>
    <w:rsid w:val="0090668A"/>
    <w:rsid w:val="009066BC"/>
    <w:rsid w:val="0090672B"/>
    <w:rsid w:val="009067DA"/>
    <w:rsid w:val="009069F2"/>
    <w:rsid w:val="00906D39"/>
    <w:rsid w:val="00906F89"/>
    <w:rsid w:val="00907184"/>
    <w:rsid w:val="009072E6"/>
    <w:rsid w:val="009075E2"/>
    <w:rsid w:val="00907A49"/>
    <w:rsid w:val="00907C81"/>
    <w:rsid w:val="00907D28"/>
    <w:rsid w:val="00907E24"/>
    <w:rsid w:val="009100A5"/>
    <w:rsid w:val="00910207"/>
    <w:rsid w:val="00910225"/>
    <w:rsid w:val="00910248"/>
    <w:rsid w:val="0091045E"/>
    <w:rsid w:val="00910560"/>
    <w:rsid w:val="00910569"/>
    <w:rsid w:val="00910617"/>
    <w:rsid w:val="0091091C"/>
    <w:rsid w:val="00910A87"/>
    <w:rsid w:val="00910B0C"/>
    <w:rsid w:val="00910B1A"/>
    <w:rsid w:val="00910B76"/>
    <w:rsid w:val="00910B95"/>
    <w:rsid w:val="00910BBC"/>
    <w:rsid w:val="00910C0A"/>
    <w:rsid w:val="00910CD2"/>
    <w:rsid w:val="00910D74"/>
    <w:rsid w:val="00910FEE"/>
    <w:rsid w:val="00911066"/>
    <w:rsid w:val="00911073"/>
    <w:rsid w:val="009110E8"/>
    <w:rsid w:val="00911152"/>
    <w:rsid w:val="0091128B"/>
    <w:rsid w:val="00911307"/>
    <w:rsid w:val="009116AB"/>
    <w:rsid w:val="009118E6"/>
    <w:rsid w:val="00911988"/>
    <w:rsid w:val="00911A4D"/>
    <w:rsid w:val="00911AC2"/>
    <w:rsid w:val="00911AEC"/>
    <w:rsid w:val="00911B71"/>
    <w:rsid w:val="00911D42"/>
    <w:rsid w:val="00911F27"/>
    <w:rsid w:val="0091204D"/>
    <w:rsid w:val="00912154"/>
    <w:rsid w:val="0091227E"/>
    <w:rsid w:val="009125F8"/>
    <w:rsid w:val="009128ED"/>
    <w:rsid w:val="0091295E"/>
    <w:rsid w:val="00912AB6"/>
    <w:rsid w:val="00912ACB"/>
    <w:rsid w:val="00912BB1"/>
    <w:rsid w:val="00912BB2"/>
    <w:rsid w:val="00912D39"/>
    <w:rsid w:val="00912E27"/>
    <w:rsid w:val="00912EB0"/>
    <w:rsid w:val="00912FF3"/>
    <w:rsid w:val="0091307B"/>
    <w:rsid w:val="009135AA"/>
    <w:rsid w:val="0091362E"/>
    <w:rsid w:val="00913A34"/>
    <w:rsid w:val="00913C12"/>
    <w:rsid w:val="00913CF5"/>
    <w:rsid w:val="00913E0A"/>
    <w:rsid w:val="00913E78"/>
    <w:rsid w:val="00913F6D"/>
    <w:rsid w:val="00914051"/>
    <w:rsid w:val="0091418E"/>
    <w:rsid w:val="00914272"/>
    <w:rsid w:val="009142FB"/>
    <w:rsid w:val="0091431A"/>
    <w:rsid w:val="0091444C"/>
    <w:rsid w:val="009145C1"/>
    <w:rsid w:val="009149BA"/>
    <w:rsid w:val="00914B30"/>
    <w:rsid w:val="00914BF9"/>
    <w:rsid w:val="00914C72"/>
    <w:rsid w:val="00914D73"/>
    <w:rsid w:val="00915487"/>
    <w:rsid w:val="0091554D"/>
    <w:rsid w:val="00915638"/>
    <w:rsid w:val="009156FD"/>
    <w:rsid w:val="00915A0E"/>
    <w:rsid w:val="00915B3B"/>
    <w:rsid w:val="00915C1B"/>
    <w:rsid w:val="00915E2D"/>
    <w:rsid w:val="00916191"/>
    <w:rsid w:val="009162AA"/>
    <w:rsid w:val="009163A2"/>
    <w:rsid w:val="0091640B"/>
    <w:rsid w:val="0091640C"/>
    <w:rsid w:val="0091642B"/>
    <w:rsid w:val="00916502"/>
    <w:rsid w:val="0091695C"/>
    <w:rsid w:val="00916C57"/>
    <w:rsid w:val="00916F23"/>
    <w:rsid w:val="00917049"/>
    <w:rsid w:val="00917075"/>
    <w:rsid w:val="00917125"/>
    <w:rsid w:val="009177DE"/>
    <w:rsid w:val="009178CD"/>
    <w:rsid w:val="00917A88"/>
    <w:rsid w:val="00917C7E"/>
    <w:rsid w:val="00917DB4"/>
    <w:rsid w:val="00917F8C"/>
    <w:rsid w:val="0091B502"/>
    <w:rsid w:val="0091FAA1"/>
    <w:rsid w:val="00920011"/>
    <w:rsid w:val="0092038B"/>
    <w:rsid w:val="009206AA"/>
    <w:rsid w:val="009206D6"/>
    <w:rsid w:val="009207CE"/>
    <w:rsid w:val="0092086D"/>
    <w:rsid w:val="00920AD0"/>
    <w:rsid w:val="00920B32"/>
    <w:rsid w:val="00920B81"/>
    <w:rsid w:val="00920B90"/>
    <w:rsid w:val="00920BD1"/>
    <w:rsid w:val="00920F20"/>
    <w:rsid w:val="00920F30"/>
    <w:rsid w:val="0092134E"/>
    <w:rsid w:val="009213B2"/>
    <w:rsid w:val="00921429"/>
    <w:rsid w:val="009214C2"/>
    <w:rsid w:val="009216B5"/>
    <w:rsid w:val="00921985"/>
    <w:rsid w:val="00921B95"/>
    <w:rsid w:val="00921E5E"/>
    <w:rsid w:val="009220B2"/>
    <w:rsid w:val="00922106"/>
    <w:rsid w:val="0092222F"/>
    <w:rsid w:val="009223D3"/>
    <w:rsid w:val="009224C4"/>
    <w:rsid w:val="0092259C"/>
    <w:rsid w:val="00922627"/>
    <w:rsid w:val="0092277D"/>
    <w:rsid w:val="00922A79"/>
    <w:rsid w:val="00922B7E"/>
    <w:rsid w:val="00922CE3"/>
    <w:rsid w:val="00922CE5"/>
    <w:rsid w:val="00922D93"/>
    <w:rsid w:val="00922EFC"/>
    <w:rsid w:val="00922FA1"/>
    <w:rsid w:val="00923009"/>
    <w:rsid w:val="009231E0"/>
    <w:rsid w:val="00923400"/>
    <w:rsid w:val="00923476"/>
    <w:rsid w:val="009235A2"/>
    <w:rsid w:val="00923C3E"/>
    <w:rsid w:val="00923D64"/>
    <w:rsid w:val="00923F41"/>
    <w:rsid w:val="0092400F"/>
    <w:rsid w:val="00924064"/>
    <w:rsid w:val="00924082"/>
    <w:rsid w:val="009241E9"/>
    <w:rsid w:val="00924273"/>
    <w:rsid w:val="00924669"/>
    <w:rsid w:val="00924681"/>
    <w:rsid w:val="00924709"/>
    <w:rsid w:val="009248C6"/>
    <w:rsid w:val="00924A3A"/>
    <w:rsid w:val="00924C7B"/>
    <w:rsid w:val="00924DF6"/>
    <w:rsid w:val="00924FCA"/>
    <w:rsid w:val="00925074"/>
    <w:rsid w:val="0092513C"/>
    <w:rsid w:val="00925251"/>
    <w:rsid w:val="00925356"/>
    <w:rsid w:val="009253BC"/>
    <w:rsid w:val="009254E2"/>
    <w:rsid w:val="009255CB"/>
    <w:rsid w:val="009256B2"/>
    <w:rsid w:val="00925864"/>
    <w:rsid w:val="00925920"/>
    <w:rsid w:val="00925A2C"/>
    <w:rsid w:val="00925B90"/>
    <w:rsid w:val="00925BD0"/>
    <w:rsid w:val="00925C3C"/>
    <w:rsid w:val="00925F4F"/>
    <w:rsid w:val="00925FD3"/>
    <w:rsid w:val="0092601A"/>
    <w:rsid w:val="00926271"/>
    <w:rsid w:val="0092628A"/>
    <w:rsid w:val="0092630D"/>
    <w:rsid w:val="00926329"/>
    <w:rsid w:val="00926333"/>
    <w:rsid w:val="009264D0"/>
    <w:rsid w:val="009264FE"/>
    <w:rsid w:val="00926565"/>
    <w:rsid w:val="009267CD"/>
    <w:rsid w:val="009268CC"/>
    <w:rsid w:val="00926B11"/>
    <w:rsid w:val="00926C4A"/>
    <w:rsid w:val="00926C93"/>
    <w:rsid w:val="00926D24"/>
    <w:rsid w:val="00926EF2"/>
    <w:rsid w:val="00927071"/>
    <w:rsid w:val="009276F3"/>
    <w:rsid w:val="009279E2"/>
    <w:rsid w:val="00927E3B"/>
    <w:rsid w:val="00927EB6"/>
    <w:rsid w:val="00927FFC"/>
    <w:rsid w:val="0093002F"/>
    <w:rsid w:val="00930075"/>
    <w:rsid w:val="00930236"/>
    <w:rsid w:val="00930293"/>
    <w:rsid w:val="00930348"/>
    <w:rsid w:val="0093043C"/>
    <w:rsid w:val="00930964"/>
    <w:rsid w:val="009309AB"/>
    <w:rsid w:val="009309B2"/>
    <w:rsid w:val="00930A7F"/>
    <w:rsid w:val="00930B81"/>
    <w:rsid w:val="00930C6F"/>
    <w:rsid w:val="00930CDB"/>
    <w:rsid w:val="00930F91"/>
    <w:rsid w:val="00931099"/>
    <w:rsid w:val="0093128B"/>
    <w:rsid w:val="00931397"/>
    <w:rsid w:val="009313BE"/>
    <w:rsid w:val="00931540"/>
    <w:rsid w:val="009315D8"/>
    <w:rsid w:val="009316E0"/>
    <w:rsid w:val="0093171B"/>
    <w:rsid w:val="00931740"/>
    <w:rsid w:val="0093179F"/>
    <w:rsid w:val="00931A50"/>
    <w:rsid w:val="00931A77"/>
    <w:rsid w:val="00931ADF"/>
    <w:rsid w:val="00931C2A"/>
    <w:rsid w:val="00931C88"/>
    <w:rsid w:val="00931D6E"/>
    <w:rsid w:val="00932597"/>
    <w:rsid w:val="009325DB"/>
    <w:rsid w:val="009327AD"/>
    <w:rsid w:val="0093296D"/>
    <w:rsid w:val="00932A6D"/>
    <w:rsid w:val="00932B40"/>
    <w:rsid w:val="00932F89"/>
    <w:rsid w:val="009330DA"/>
    <w:rsid w:val="009331B0"/>
    <w:rsid w:val="00933372"/>
    <w:rsid w:val="00933518"/>
    <w:rsid w:val="009335FD"/>
    <w:rsid w:val="009336D2"/>
    <w:rsid w:val="00933756"/>
    <w:rsid w:val="00933AA6"/>
    <w:rsid w:val="00933B38"/>
    <w:rsid w:val="00933B40"/>
    <w:rsid w:val="00933DE7"/>
    <w:rsid w:val="0093410A"/>
    <w:rsid w:val="00934180"/>
    <w:rsid w:val="0093429A"/>
    <w:rsid w:val="00934531"/>
    <w:rsid w:val="00934703"/>
    <w:rsid w:val="0093485F"/>
    <w:rsid w:val="00934A32"/>
    <w:rsid w:val="00934A70"/>
    <w:rsid w:val="00934D4E"/>
    <w:rsid w:val="00934D7F"/>
    <w:rsid w:val="00934DA0"/>
    <w:rsid w:val="00934E6B"/>
    <w:rsid w:val="00934EB4"/>
    <w:rsid w:val="00935391"/>
    <w:rsid w:val="0093546A"/>
    <w:rsid w:val="009354D7"/>
    <w:rsid w:val="00935669"/>
    <w:rsid w:val="00935714"/>
    <w:rsid w:val="00935806"/>
    <w:rsid w:val="0093585F"/>
    <w:rsid w:val="00935A18"/>
    <w:rsid w:val="00935CE4"/>
    <w:rsid w:val="00935F65"/>
    <w:rsid w:val="009360F3"/>
    <w:rsid w:val="00936317"/>
    <w:rsid w:val="00936350"/>
    <w:rsid w:val="00936354"/>
    <w:rsid w:val="00936408"/>
    <w:rsid w:val="0093654A"/>
    <w:rsid w:val="00936741"/>
    <w:rsid w:val="00936B20"/>
    <w:rsid w:val="00936B60"/>
    <w:rsid w:val="00936CB0"/>
    <w:rsid w:val="00936D8F"/>
    <w:rsid w:val="00936DB5"/>
    <w:rsid w:val="00936DF3"/>
    <w:rsid w:val="00936E41"/>
    <w:rsid w:val="00936FF3"/>
    <w:rsid w:val="0093706F"/>
    <w:rsid w:val="009370B8"/>
    <w:rsid w:val="00937108"/>
    <w:rsid w:val="009374AB"/>
    <w:rsid w:val="00937512"/>
    <w:rsid w:val="0093756C"/>
    <w:rsid w:val="009375D4"/>
    <w:rsid w:val="0093770B"/>
    <w:rsid w:val="00937A52"/>
    <w:rsid w:val="00937D78"/>
    <w:rsid w:val="009402F5"/>
    <w:rsid w:val="0094031A"/>
    <w:rsid w:val="0094042B"/>
    <w:rsid w:val="00940444"/>
    <w:rsid w:val="009404A0"/>
    <w:rsid w:val="00940624"/>
    <w:rsid w:val="0094082E"/>
    <w:rsid w:val="00940895"/>
    <w:rsid w:val="009408A6"/>
    <w:rsid w:val="00940A6B"/>
    <w:rsid w:val="00940D07"/>
    <w:rsid w:val="0094108F"/>
    <w:rsid w:val="0094119D"/>
    <w:rsid w:val="009411A8"/>
    <w:rsid w:val="009412A0"/>
    <w:rsid w:val="009413EB"/>
    <w:rsid w:val="009414CA"/>
    <w:rsid w:val="009415F0"/>
    <w:rsid w:val="00941635"/>
    <w:rsid w:val="0094163F"/>
    <w:rsid w:val="009416B2"/>
    <w:rsid w:val="009417CF"/>
    <w:rsid w:val="009417E6"/>
    <w:rsid w:val="009417F0"/>
    <w:rsid w:val="009418C1"/>
    <w:rsid w:val="0094196C"/>
    <w:rsid w:val="00941B3C"/>
    <w:rsid w:val="00941C30"/>
    <w:rsid w:val="00941D6A"/>
    <w:rsid w:val="00941D9F"/>
    <w:rsid w:val="00941F41"/>
    <w:rsid w:val="00941F47"/>
    <w:rsid w:val="009421C7"/>
    <w:rsid w:val="00942422"/>
    <w:rsid w:val="00942436"/>
    <w:rsid w:val="00942721"/>
    <w:rsid w:val="00942763"/>
    <w:rsid w:val="0094279A"/>
    <w:rsid w:val="00942B5A"/>
    <w:rsid w:val="00942C71"/>
    <w:rsid w:val="00942E73"/>
    <w:rsid w:val="0094318E"/>
    <w:rsid w:val="009433A4"/>
    <w:rsid w:val="009433DE"/>
    <w:rsid w:val="00943700"/>
    <w:rsid w:val="009437A3"/>
    <w:rsid w:val="009437D2"/>
    <w:rsid w:val="009438F0"/>
    <w:rsid w:val="0094399B"/>
    <w:rsid w:val="009439E4"/>
    <w:rsid w:val="00943B36"/>
    <w:rsid w:val="00943E20"/>
    <w:rsid w:val="00943E35"/>
    <w:rsid w:val="00943E6F"/>
    <w:rsid w:val="00943F00"/>
    <w:rsid w:val="00943F3F"/>
    <w:rsid w:val="00943F76"/>
    <w:rsid w:val="00944067"/>
    <w:rsid w:val="009440B1"/>
    <w:rsid w:val="009440B6"/>
    <w:rsid w:val="009440CF"/>
    <w:rsid w:val="00944390"/>
    <w:rsid w:val="009444A9"/>
    <w:rsid w:val="00944593"/>
    <w:rsid w:val="00944615"/>
    <w:rsid w:val="009446E4"/>
    <w:rsid w:val="00944806"/>
    <w:rsid w:val="00944878"/>
    <w:rsid w:val="0094499B"/>
    <w:rsid w:val="009449D6"/>
    <w:rsid w:val="00944A95"/>
    <w:rsid w:val="00944C13"/>
    <w:rsid w:val="00944C2A"/>
    <w:rsid w:val="00944CC1"/>
    <w:rsid w:val="00944F29"/>
    <w:rsid w:val="00944F72"/>
    <w:rsid w:val="00945062"/>
    <w:rsid w:val="009450D2"/>
    <w:rsid w:val="009452C0"/>
    <w:rsid w:val="00945325"/>
    <w:rsid w:val="00945368"/>
    <w:rsid w:val="00945495"/>
    <w:rsid w:val="00945511"/>
    <w:rsid w:val="00945575"/>
    <w:rsid w:val="0094557C"/>
    <w:rsid w:val="009455FD"/>
    <w:rsid w:val="0094562B"/>
    <w:rsid w:val="0094567C"/>
    <w:rsid w:val="00945813"/>
    <w:rsid w:val="00945870"/>
    <w:rsid w:val="00945A16"/>
    <w:rsid w:val="00945BE9"/>
    <w:rsid w:val="00945CA9"/>
    <w:rsid w:val="00945E1A"/>
    <w:rsid w:val="00945E25"/>
    <w:rsid w:val="00946013"/>
    <w:rsid w:val="009464DE"/>
    <w:rsid w:val="00946574"/>
    <w:rsid w:val="00946582"/>
    <w:rsid w:val="009465C8"/>
    <w:rsid w:val="00946751"/>
    <w:rsid w:val="00946877"/>
    <w:rsid w:val="009469BA"/>
    <w:rsid w:val="00946A9D"/>
    <w:rsid w:val="00946B48"/>
    <w:rsid w:val="00946BA9"/>
    <w:rsid w:val="00946BBF"/>
    <w:rsid w:val="00946C54"/>
    <w:rsid w:val="00946CF9"/>
    <w:rsid w:val="00946D54"/>
    <w:rsid w:val="00946FFF"/>
    <w:rsid w:val="00947100"/>
    <w:rsid w:val="00947595"/>
    <w:rsid w:val="009476AC"/>
    <w:rsid w:val="0094777B"/>
    <w:rsid w:val="00947903"/>
    <w:rsid w:val="009479D9"/>
    <w:rsid w:val="00947DDE"/>
    <w:rsid w:val="00947DFB"/>
    <w:rsid w:val="009500B1"/>
    <w:rsid w:val="0095016A"/>
    <w:rsid w:val="009501BA"/>
    <w:rsid w:val="00950201"/>
    <w:rsid w:val="00950385"/>
    <w:rsid w:val="0095055F"/>
    <w:rsid w:val="009505A0"/>
    <w:rsid w:val="009509CE"/>
    <w:rsid w:val="00950A00"/>
    <w:rsid w:val="00950AED"/>
    <w:rsid w:val="00950CFC"/>
    <w:rsid w:val="00950F93"/>
    <w:rsid w:val="00950F9D"/>
    <w:rsid w:val="00951007"/>
    <w:rsid w:val="00951070"/>
    <w:rsid w:val="00951090"/>
    <w:rsid w:val="00951374"/>
    <w:rsid w:val="00951432"/>
    <w:rsid w:val="00951435"/>
    <w:rsid w:val="00951505"/>
    <w:rsid w:val="009515CD"/>
    <w:rsid w:val="00951653"/>
    <w:rsid w:val="00951755"/>
    <w:rsid w:val="009518CE"/>
    <w:rsid w:val="00951979"/>
    <w:rsid w:val="009519AD"/>
    <w:rsid w:val="00951EDF"/>
    <w:rsid w:val="00952040"/>
    <w:rsid w:val="0095208F"/>
    <w:rsid w:val="0095210A"/>
    <w:rsid w:val="00952114"/>
    <w:rsid w:val="0095218D"/>
    <w:rsid w:val="00952246"/>
    <w:rsid w:val="0095232F"/>
    <w:rsid w:val="00952362"/>
    <w:rsid w:val="009524A8"/>
    <w:rsid w:val="00952505"/>
    <w:rsid w:val="00952598"/>
    <w:rsid w:val="009526E8"/>
    <w:rsid w:val="0095283C"/>
    <w:rsid w:val="00952884"/>
    <w:rsid w:val="00952AEB"/>
    <w:rsid w:val="00952B83"/>
    <w:rsid w:val="00952D76"/>
    <w:rsid w:val="00952D78"/>
    <w:rsid w:val="00952E22"/>
    <w:rsid w:val="0095319E"/>
    <w:rsid w:val="00953211"/>
    <w:rsid w:val="0095323C"/>
    <w:rsid w:val="009532A0"/>
    <w:rsid w:val="009532D3"/>
    <w:rsid w:val="0095354F"/>
    <w:rsid w:val="009536EA"/>
    <w:rsid w:val="0095372B"/>
    <w:rsid w:val="0095394A"/>
    <w:rsid w:val="00953C13"/>
    <w:rsid w:val="00953E0E"/>
    <w:rsid w:val="00953EBB"/>
    <w:rsid w:val="009545A8"/>
    <w:rsid w:val="009545D0"/>
    <w:rsid w:val="009546E5"/>
    <w:rsid w:val="00954743"/>
    <w:rsid w:val="009547CF"/>
    <w:rsid w:val="009547E0"/>
    <w:rsid w:val="009548A0"/>
    <w:rsid w:val="009548BB"/>
    <w:rsid w:val="009549DA"/>
    <w:rsid w:val="00954B1E"/>
    <w:rsid w:val="00954DF6"/>
    <w:rsid w:val="00954EB0"/>
    <w:rsid w:val="00954FCA"/>
    <w:rsid w:val="00954FD0"/>
    <w:rsid w:val="009551D5"/>
    <w:rsid w:val="0095562C"/>
    <w:rsid w:val="00955760"/>
    <w:rsid w:val="009558F9"/>
    <w:rsid w:val="00955B2F"/>
    <w:rsid w:val="00955BA8"/>
    <w:rsid w:val="00955D8C"/>
    <w:rsid w:val="00955EDC"/>
    <w:rsid w:val="00955FE3"/>
    <w:rsid w:val="00956095"/>
    <w:rsid w:val="0095612C"/>
    <w:rsid w:val="009561AF"/>
    <w:rsid w:val="00956270"/>
    <w:rsid w:val="00956418"/>
    <w:rsid w:val="0095644C"/>
    <w:rsid w:val="009565E7"/>
    <w:rsid w:val="009566A5"/>
    <w:rsid w:val="009566BA"/>
    <w:rsid w:val="00956741"/>
    <w:rsid w:val="0095677D"/>
    <w:rsid w:val="00956913"/>
    <w:rsid w:val="00956C15"/>
    <w:rsid w:val="00956F2A"/>
    <w:rsid w:val="009570A4"/>
    <w:rsid w:val="009572ED"/>
    <w:rsid w:val="0095734C"/>
    <w:rsid w:val="009573F4"/>
    <w:rsid w:val="00957494"/>
    <w:rsid w:val="009574CD"/>
    <w:rsid w:val="00957531"/>
    <w:rsid w:val="009575E4"/>
    <w:rsid w:val="00957762"/>
    <w:rsid w:val="00957988"/>
    <w:rsid w:val="00957A1B"/>
    <w:rsid w:val="00957BE0"/>
    <w:rsid w:val="00957D8F"/>
    <w:rsid w:val="00957E0B"/>
    <w:rsid w:val="00957E28"/>
    <w:rsid w:val="00957ECC"/>
    <w:rsid w:val="00957F3C"/>
    <w:rsid w:val="0096003A"/>
    <w:rsid w:val="009602AC"/>
    <w:rsid w:val="00960316"/>
    <w:rsid w:val="00960537"/>
    <w:rsid w:val="00960586"/>
    <w:rsid w:val="00960683"/>
    <w:rsid w:val="009606F2"/>
    <w:rsid w:val="009606FD"/>
    <w:rsid w:val="00960833"/>
    <w:rsid w:val="009608E2"/>
    <w:rsid w:val="00960AF2"/>
    <w:rsid w:val="00960CA3"/>
    <w:rsid w:val="00960CEF"/>
    <w:rsid w:val="00960D3B"/>
    <w:rsid w:val="00960D91"/>
    <w:rsid w:val="00960DF5"/>
    <w:rsid w:val="00960E92"/>
    <w:rsid w:val="00961085"/>
    <w:rsid w:val="00961132"/>
    <w:rsid w:val="00961336"/>
    <w:rsid w:val="00961756"/>
    <w:rsid w:val="009617D9"/>
    <w:rsid w:val="00961838"/>
    <w:rsid w:val="009618C5"/>
    <w:rsid w:val="00961919"/>
    <w:rsid w:val="00961A16"/>
    <w:rsid w:val="00961A35"/>
    <w:rsid w:val="00961AB2"/>
    <w:rsid w:val="00961AFF"/>
    <w:rsid w:val="00961B27"/>
    <w:rsid w:val="00961CBA"/>
    <w:rsid w:val="00961D04"/>
    <w:rsid w:val="00961E6C"/>
    <w:rsid w:val="00961FC1"/>
    <w:rsid w:val="00961FCD"/>
    <w:rsid w:val="00962049"/>
    <w:rsid w:val="00962189"/>
    <w:rsid w:val="00962345"/>
    <w:rsid w:val="00962363"/>
    <w:rsid w:val="0096239C"/>
    <w:rsid w:val="0096249A"/>
    <w:rsid w:val="0096272E"/>
    <w:rsid w:val="00962838"/>
    <w:rsid w:val="00962A97"/>
    <w:rsid w:val="00962B32"/>
    <w:rsid w:val="00962CD0"/>
    <w:rsid w:val="00962E15"/>
    <w:rsid w:val="00962E3A"/>
    <w:rsid w:val="00962E8B"/>
    <w:rsid w:val="00962ECA"/>
    <w:rsid w:val="00962EE3"/>
    <w:rsid w:val="00963111"/>
    <w:rsid w:val="00963206"/>
    <w:rsid w:val="009635EF"/>
    <w:rsid w:val="00963659"/>
    <w:rsid w:val="00963A36"/>
    <w:rsid w:val="00963E10"/>
    <w:rsid w:val="0096406E"/>
    <w:rsid w:val="0096418D"/>
    <w:rsid w:val="0096420C"/>
    <w:rsid w:val="0096426E"/>
    <w:rsid w:val="0096465B"/>
    <w:rsid w:val="00964672"/>
    <w:rsid w:val="00964BAD"/>
    <w:rsid w:val="00964CD5"/>
    <w:rsid w:val="00964D5E"/>
    <w:rsid w:val="00964D81"/>
    <w:rsid w:val="00964DD3"/>
    <w:rsid w:val="0096518C"/>
    <w:rsid w:val="009651E5"/>
    <w:rsid w:val="00965209"/>
    <w:rsid w:val="00965386"/>
    <w:rsid w:val="00965491"/>
    <w:rsid w:val="009654D9"/>
    <w:rsid w:val="0096553F"/>
    <w:rsid w:val="00965620"/>
    <w:rsid w:val="0096569E"/>
    <w:rsid w:val="009656B7"/>
    <w:rsid w:val="009656D4"/>
    <w:rsid w:val="00965AA6"/>
    <w:rsid w:val="00965AD8"/>
    <w:rsid w:val="00965CCD"/>
    <w:rsid w:val="00965E27"/>
    <w:rsid w:val="00965FFA"/>
    <w:rsid w:val="00966019"/>
    <w:rsid w:val="009660AF"/>
    <w:rsid w:val="009660BB"/>
    <w:rsid w:val="00966173"/>
    <w:rsid w:val="0096619C"/>
    <w:rsid w:val="009662B4"/>
    <w:rsid w:val="009662F0"/>
    <w:rsid w:val="0096648B"/>
    <w:rsid w:val="009664E1"/>
    <w:rsid w:val="00966564"/>
    <w:rsid w:val="00966663"/>
    <w:rsid w:val="00966766"/>
    <w:rsid w:val="00966A95"/>
    <w:rsid w:val="00966B4D"/>
    <w:rsid w:val="00966E01"/>
    <w:rsid w:val="00966EA5"/>
    <w:rsid w:val="00966F17"/>
    <w:rsid w:val="00966FB3"/>
    <w:rsid w:val="00967076"/>
    <w:rsid w:val="00967149"/>
    <w:rsid w:val="009671B2"/>
    <w:rsid w:val="00967253"/>
    <w:rsid w:val="009675E9"/>
    <w:rsid w:val="009675F6"/>
    <w:rsid w:val="0096764C"/>
    <w:rsid w:val="009677B2"/>
    <w:rsid w:val="009677CB"/>
    <w:rsid w:val="009677D8"/>
    <w:rsid w:val="00967825"/>
    <w:rsid w:val="00967C0C"/>
    <w:rsid w:val="00967DB5"/>
    <w:rsid w:val="00967DD9"/>
    <w:rsid w:val="00967F6F"/>
    <w:rsid w:val="00967FC5"/>
    <w:rsid w:val="00970254"/>
    <w:rsid w:val="0097041F"/>
    <w:rsid w:val="00970841"/>
    <w:rsid w:val="0097086F"/>
    <w:rsid w:val="009708F5"/>
    <w:rsid w:val="0097091F"/>
    <w:rsid w:val="00970A20"/>
    <w:rsid w:val="00970A65"/>
    <w:rsid w:val="00970F88"/>
    <w:rsid w:val="00971270"/>
    <w:rsid w:val="0097140D"/>
    <w:rsid w:val="00971418"/>
    <w:rsid w:val="00971499"/>
    <w:rsid w:val="009715FE"/>
    <w:rsid w:val="00971646"/>
    <w:rsid w:val="0097176E"/>
    <w:rsid w:val="00971776"/>
    <w:rsid w:val="00971832"/>
    <w:rsid w:val="0097187E"/>
    <w:rsid w:val="009718C4"/>
    <w:rsid w:val="0097196A"/>
    <w:rsid w:val="00971A4F"/>
    <w:rsid w:val="00971B77"/>
    <w:rsid w:val="00971BF0"/>
    <w:rsid w:val="00971E85"/>
    <w:rsid w:val="00971E96"/>
    <w:rsid w:val="009724D8"/>
    <w:rsid w:val="009724F3"/>
    <w:rsid w:val="00972655"/>
    <w:rsid w:val="00972830"/>
    <w:rsid w:val="0097287E"/>
    <w:rsid w:val="00972934"/>
    <w:rsid w:val="00972B86"/>
    <w:rsid w:val="00972BD3"/>
    <w:rsid w:val="00972CD2"/>
    <w:rsid w:val="00972CEE"/>
    <w:rsid w:val="00972D24"/>
    <w:rsid w:val="00972E18"/>
    <w:rsid w:val="00972E2C"/>
    <w:rsid w:val="00972E58"/>
    <w:rsid w:val="00972EA1"/>
    <w:rsid w:val="00972F04"/>
    <w:rsid w:val="0097302D"/>
    <w:rsid w:val="00973110"/>
    <w:rsid w:val="00973158"/>
    <w:rsid w:val="009735B0"/>
    <w:rsid w:val="009736B0"/>
    <w:rsid w:val="009736BC"/>
    <w:rsid w:val="0097376C"/>
    <w:rsid w:val="00973780"/>
    <w:rsid w:val="00973994"/>
    <w:rsid w:val="00973C88"/>
    <w:rsid w:val="00973CD4"/>
    <w:rsid w:val="00973F50"/>
    <w:rsid w:val="00973FBD"/>
    <w:rsid w:val="00974003"/>
    <w:rsid w:val="0097404C"/>
    <w:rsid w:val="009740E1"/>
    <w:rsid w:val="00974178"/>
    <w:rsid w:val="00974183"/>
    <w:rsid w:val="00974185"/>
    <w:rsid w:val="009741A5"/>
    <w:rsid w:val="009741D4"/>
    <w:rsid w:val="00974236"/>
    <w:rsid w:val="009742E3"/>
    <w:rsid w:val="00974375"/>
    <w:rsid w:val="00974380"/>
    <w:rsid w:val="00974D52"/>
    <w:rsid w:val="00974D5D"/>
    <w:rsid w:val="00974DF5"/>
    <w:rsid w:val="00974E59"/>
    <w:rsid w:val="00974E77"/>
    <w:rsid w:val="00975023"/>
    <w:rsid w:val="00975029"/>
    <w:rsid w:val="00975085"/>
    <w:rsid w:val="0097513E"/>
    <w:rsid w:val="0097515F"/>
    <w:rsid w:val="00975175"/>
    <w:rsid w:val="0097522B"/>
    <w:rsid w:val="00975476"/>
    <w:rsid w:val="00975671"/>
    <w:rsid w:val="00975804"/>
    <w:rsid w:val="00975977"/>
    <w:rsid w:val="00975A5C"/>
    <w:rsid w:val="00975AB0"/>
    <w:rsid w:val="00975DDC"/>
    <w:rsid w:val="00975EC6"/>
    <w:rsid w:val="00976134"/>
    <w:rsid w:val="00976191"/>
    <w:rsid w:val="009761C6"/>
    <w:rsid w:val="0097648E"/>
    <w:rsid w:val="009764BB"/>
    <w:rsid w:val="00976594"/>
    <w:rsid w:val="00976736"/>
    <w:rsid w:val="00976873"/>
    <w:rsid w:val="0097690C"/>
    <w:rsid w:val="00976BD8"/>
    <w:rsid w:val="00976C10"/>
    <w:rsid w:val="00976C4A"/>
    <w:rsid w:val="00976C96"/>
    <w:rsid w:val="00976CA5"/>
    <w:rsid w:val="00976D07"/>
    <w:rsid w:val="00976D4D"/>
    <w:rsid w:val="00976DE0"/>
    <w:rsid w:val="00976DFE"/>
    <w:rsid w:val="00976E61"/>
    <w:rsid w:val="0097753F"/>
    <w:rsid w:val="00977570"/>
    <w:rsid w:val="00977964"/>
    <w:rsid w:val="00977A5E"/>
    <w:rsid w:val="00977C81"/>
    <w:rsid w:val="00977EA8"/>
    <w:rsid w:val="00977F0D"/>
    <w:rsid w:val="0098010F"/>
    <w:rsid w:val="009801D7"/>
    <w:rsid w:val="00980398"/>
    <w:rsid w:val="00980556"/>
    <w:rsid w:val="009807FA"/>
    <w:rsid w:val="00980928"/>
    <w:rsid w:val="00980998"/>
    <w:rsid w:val="009809EB"/>
    <w:rsid w:val="00980AA6"/>
    <w:rsid w:val="00980CA5"/>
    <w:rsid w:val="00980CB8"/>
    <w:rsid w:val="00980CFE"/>
    <w:rsid w:val="00980E67"/>
    <w:rsid w:val="00980E73"/>
    <w:rsid w:val="00980EDA"/>
    <w:rsid w:val="00981227"/>
    <w:rsid w:val="009813E2"/>
    <w:rsid w:val="00981418"/>
    <w:rsid w:val="009814C2"/>
    <w:rsid w:val="00981512"/>
    <w:rsid w:val="00981596"/>
    <w:rsid w:val="00981AD0"/>
    <w:rsid w:val="00981C0D"/>
    <w:rsid w:val="00981E46"/>
    <w:rsid w:val="00981F84"/>
    <w:rsid w:val="0098212C"/>
    <w:rsid w:val="0098216A"/>
    <w:rsid w:val="00982184"/>
    <w:rsid w:val="009821B2"/>
    <w:rsid w:val="009821DF"/>
    <w:rsid w:val="009821F0"/>
    <w:rsid w:val="009822B4"/>
    <w:rsid w:val="00982315"/>
    <w:rsid w:val="009823BD"/>
    <w:rsid w:val="009824DB"/>
    <w:rsid w:val="009825C0"/>
    <w:rsid w:val="009825C4"/>
    <w:rsid w:val="0098263A"/>
    <w:rsid w:val="009827A4"/>
    <w:rsid w:val="00982AC3"/>
    <w:rsid w:val="00982C15"/>
    <w:rsid w:val="00982C63"/>
    <w:rsid w:val="00982CBF"/>
    <w:rsid w:val="00982D36"/>
    <w:rsid w:val="00982D88"/>
    <w:rsid w:val="00982E83"/>
    <w:rsid w:val="00982EAE"/>
    <w:rsid w:val="00982F1E"/>
    <w:rsid w:val="009830E3"/>
    <w:rsid w:val="009831AD"/>
    <w:rsid w:val="009834C6"/>
    <w:rsid w:val="00983584"/>
    <w:rsid w:val="00983789"/>
    <w:rsid w:val="00983832"/>
    <w:rsid w:val="00983901"/>
    <w:rsid w:val="00983A4E"/>
    <w:rsid w:val="00983C6C"/>
    <w:rsid w:val="00983C74"/>
    <w:rsid w:val="00983D7F"/>
    <w:rsid w:val="00983EB5"/>
    <w:rsid w:val="00983F96"/>
    <w:rsid w:val="00984086"/>
    <w:rsid w:val="0098421F"/>
    <w:rsid w:val="00984268"/>
    <w:rsid w:val="00984386"/>
    <w:rsid w:val="009844C9"/>
    <w:rsid w:val="009844E3"/>
    <w:rsid w:val="009845AE"/>
    <w:rsid w:val="009845B9"/>
    <w:rsid w:val="00984975"/>
    <w:rsid w:val="009849CB"/>
    <w:rsid w:val="00984AE9"/>
    <w:rsid w:val="00984D19"/>
    <w:rsid w:val="00984E6E"/>
    <w:rsid w:val="009852B8"/>
    <w:rsid w:val="00985517"/>
    <w:rsid w:val="00985576"/>
    <w:rsid w:val="00985653"/>
    <w:rsid w:val="009857B0"/>
    <w:rsid w:val="00985801"/>
    <w:rsid w:val="00985A70"/>
    <w:rsid w:val="00985AE3"/>
    <w:rsid w:val="00985B68"/>
    <w:rsid w:val="00985BDA"/>
    <w:rsid w:val="00985C98"/>
    <w:rsid w:val="009861B1"/>
    <w:rsid w:val="00986454"/>
    <w:rsid w:val="00986545"/>
    <w:rsid w:val="0098672E"/>
    <w:rsid w:val="0098682D"/>
    <w:rsid w:val="00986969"/>
    <w:rsid w:val="009869CB"/>
    <w:rsid w:val="00986B30"/>
    <w:rsid w:val="00986C94"/>
    <w:rsid w:val="00986CD5"/>
    <w:rsid w:val="00986DD0"/>
    <w:rsid w:val="00986E1B"/>
    <w:rsid w:val="00986FB7"/>
    <w:rsid w:val="0098734C"/>
    <w:rsid w:val="009873CF"/>
    <w:rsid w:val="0098745E"/>
    <w:rsid w:val="00987479"/>
    <w:rsid w:val="00987584"/>
    <w:rsid w:val="009875B2"/>
    <w:rsid w:val="009875C0"/>
    <w:rsid w:val="009875ED"/>
    <w:rsid w:val="00987722"/>
    <w:rsid w:val="009878AE"/>
    <w:rsid w:val="009878C8"/>
    <w:rsid w:val="009878DB"/>
    <w:rsid w:val="00987942"/>
    <w:rsid w:val="00987961"/>
    <w:rsid w:val="009879EE"/>
    <w:rsid w:val="00987A51"/>
    <w:rsid w:val="00987AC6"/>
    <w:rsid w:val="00987C8B"/>
    <w:rsid w:val="00987F74"/>
    <w:rsid w:val="009900DC"/>
    <w:rsid w:val="009901DF"/>
    <w:rsid w:val="00990389"/>
    <w:rsid w:val="00990521"/>
    <w:rsid w:val="009905F4"/>
    <w:rsid w:val="009908BA"/>
    <w:rsid w:val="0099099F"/>
    <w:rsid w:val="00990C48"/>
    <w:rsid w:val="00990D91"/>
    <w:rsid w:val="00990EBF"/>
    <w:rsid w:val="00991175"/>
    <w:rsid w:val="0099119F"/>
    <w:rsid w:val="0099126E"/>
    <w:rsid w:val="009915C2"/>
    <w:rsid w:val="00991782"/>
    <w:rsid w:val="00991AD7"/>
    <w:rsid w:val="00991BB8"/>
    <w:rsid w:val="00991F30"/>
    <w:rsid w:val="009920D1"/>
    <w:rsid w:val="0099222B"/>
    <w:rsid w:val="00992237"/>
    <w:rsid w:val="00992375"/>
    <w:rsid w:val="009929F0"/>
    <w:rsid w:val="00992C01"/>
    <w:rsid w:val="00992DFD"/>
    <w:rsid w:val="00992E22"/>
    <w:rsid w:val="009930B7"/>
    <w:rsid w:val="00993143"/>
    <w:rsid w:val="009931C6"/>
    <w:rsid w:val="009934DD"/>
    <w:rsid w:val="009936EE"/>
    <w:rsid w:val="0099387A"/>
    <w:rsid w:val="009938DD"/>
    <w:rsid w:val="00993ADE"/>
    <w:rsid w:val="00993BEB"/>
    <w:rsid w:val="00993BFE"/>
    <w:rsid w:val="00993CDD"/>
    <w:rsid w:val="00993E31"/>
    <w:rsid w:val="00993E6C"/>
    <w:rsid w:val="00993F77"/>
    <w:rsid w:val="0099401C"/>
    <w:rsid w:val="0099408E"/>
    <w:rsid w:val="0099424F"/>
    <w:rsid w:val="00994486"/>
    <w:rsid w:val="00994780"/>
    <w:rsid w:val="009949E8"/>
    <w:rsid w:val="00994C1F"/>
    <w:rsid w:val="009950D3"/>
    <w:rsid w:val="009952BA"/>
    <w:rsid w:val="00995516"/>
    <w:rsid w:val="0099577D"/>
    <w:rsid w:val="00995903"/>
    <w:rsid w:val="0099592C"/>
    <w:rsid w:val="00995A6D"/>
    <w:rsid w:val="00995B19"/>
    <w:rsid w:val="00995BC4"/>
    <w:rsid w:val="00995C67"/>
    <w:rsid w:val="00995CBC"/>
    <w:rsid w:val="00995D76"/>
    <w:rsid w:val="00995DFA"/>
    <w:rsid w:val="0099607C"/>
    <w:rsid w:val="00996091"/>
    <w:rsid w:val="009960B7"/>
    <w:rsid w:val="0099635F"/>
    <w:rsid w:val="00996378"/>
    <w:rsid w:val="0099640A"/>
    <w:rsid w:val="00996492"/>
    <w:rsid w:val="009964CF"/>
    <w:rsid w:val="0099650F"/>
    <w:rsid w:val="0099654C"/>
    <w:rsid w:val="0099654F"/>
    <w:rsid w:val="009965AE"/>
    <w:rsid w:val="009966F9"/>
    <w:rsid w:val="00996930"/>
    <w:rsid w:val="009969B9"/>
    <w:rsid w:val="009969C2"/>
    <w:rsid w:val="009969DA"/>
    <w:rsid w:val="00996B1A"/>
    <w:rsid w:val="00996E8C"/>
    <w:rsid w:val="00996FDA"/>
    <w:rsid w:val="00997056"/>
    <w:rsid w:val="009970A6"/>
    <w:rsid w:val="00997143"/>
    <w:rsid w:val="00997278"/>
    <w:rsid w:val="009972F3"/>
    <w:rsid w:val="00997381"/>
    <w:rsid w:val="009973AD"/>
    <w:rsid w:val="00997539"/>
    <w:rsid w:val="00997594"/>
    <w:rsid w:val="00997813"/>
    <w:rsid w:val="00997856"/>
    <w:rsid w:val="00997ADE"/>
    <w:rsid w:val="00997B4F"/>
    <w:rsid w:val="00997CB0"/>
    <w:rsid w:val="00999C02"/>
    <w:rsid w:val="009A0189"/>
    <w:rsid w:val="009A031C"/>
    <w:rsid w:val="009A0812"/>
    <w:rsid w:val="009A091C"/>
    <w:rsid w:val="009A09BD"/>
    <w:rsid w:val="009A0A5D"/>
    <w:rsid w:val="009A0AE9"/>
    <w:rsid w:val="009A0E4C"/>
    <w:rsid w:val="009A1213"/>
    <w:rsid w:val="009A134A"/>
    <w:rsid w:val="009A1393"/>
    <w:rsid w:val="009A159B"/>
    <w:rsid w:val="009A16EA"/>
    <w:rsid w:val="009A1736"/>
    <w:rsid w:val="009A1895"/>
    <w:rsid w:val="009A19BC"/>
    <w:rsid w:val="009A19D9"/>
    <w:rsid w:val="009A19F9"/>
    <w:rsid w:val="009A1A0A"/>
    <w:rsid w:val="009A1A3C"/>
    <w:rsid w:val="009A1A4E"/>
    <w:rsid w:val="009A1A9D"/>
    <w:rsid w:val="009A1EAA"/>
    <w:rsid w:val="009A1FCE"/>
    <w:rsid w:val="009A20AD"/>
    <w:rsid w:val="009A229D"/>
    <w:rsid w:val="009A2364"/>
    <w:rsid w:val="009A2AE9"/>
    <w:rsid w:val="009A2D65"/>
    <w:rsid w:val="009A2DC8"/>
    <w:rsid w:val="009A2FBF"/>
    <w:rsid w:val="009A30CA"/>
    <w:rsid w:val="009A3343"/>
    <w:rsid w:val="009A337C"/>
    <w:rsid w:val="009A35AD"/>
    <w:rsid w:val="009A35D6"/>
    <w:rsid w:val="009A372F"/>
    <w:rsid w:val="009A3A31"/>
    <w:rsid w:val="009A3AEA"/>
    <w:rsid w:val="009A3B6C"/>
    <w:rsid w:val="009A3BC3"/>
    <w:rsid w:val="009A3D91"/>
    <w:rsid w:val="009A3DAB"/>
    <w:rsid w:val="009A4306"/>
    <w:rsid w:val="009A443D"/>
    <w:rsid w:val="009A44F3"/>
    <w:rsid w:val="009A49CD"/>
    <w:rsid w:val="009A4A39"/>
    <w:rsid w:val="009A4C1F"/>
    <w:rsid w:val="009A50BB"/>
    <w:rsid w:val="009A533F"/>
    <w:rsid w:val="009A53E2"/>
    <w:rsid w:val="009A5434"/>
    <w:rsid w:val="009A57BE"/>
    <w:rsid w:val="009A594C"/>
    <w:rsid w:val="009A599D"/>
    <w:rsid w:val="009A5A03"/>
    <w:rsid w:val="009A5AFB"/>
    <w:rsid w:val="009A5B17"/>
    <w:rsid w:val="009A5BB2"/>
    <w:rsid w:val="009A5CE6"/>
    <w:rsid w:val="009A5D6D"/>
    <w:rsid w:val="009A5E2C"/>
    <w:rsid w:val="009A652A"/>
    <w:rsid w:val="009A6980"/>
    <w:rsid w:val="009A6A54"/>
    <w:rsid w:val="009A6BCC"/>
    <w:rsid w:val="009A6D29"/>
    <w:rsid w:val="009A6D45"/>
    <w:rsid w:val="009A701C"/>
    <w:rsid w:val="009A716D"/>
    <w:rsid w:val="009A71CA"/>
    <w:rsid w:val="009A73E2"/>
    <w:rsid w:val="009A7402"/>
    <w:rsid w:val="009A7782"/>
    <w:rsid w:val="009A7810"/>
    <w:rsid w:val="009A78A8"/>
    <w:rsid w:val="009A7BD6"/>
    <w:rsid w:val="009A7E3E"/>
    <w:rsid w:val="009A7E56"/>
    <w:rsid w:val="009A7E68"/>
    <w:rsid w:val="009B0083"/>
    <w:rsid w:val="009B0124"/>
    <w:rsid w:val="009B012D"/>
    <w:rsid w:val="009B0153"/>
    <w:rsid w:val="009B01AA"/>
    <w:rsid w:val="009B01E0"/>
    <w:rsid w:val="009B0382"/>
    <w:rsid w:val="009B0399"/>
    <w:rsid w:val="009B05D9"/>
    <w:rsid w:val="009B092B"/>
    <w:rsid w:val="009B0B1B"/>
    <w:rsid w:val="009B0BD4"/>
    <w:rsid w:val="009B0D84"/>
    <w:rsid w:val="009B0DED"/>
    <w:rsid w:val="009B1040"/>
    <w:rsid w:val="009B1361"/>
    <w:rsid w:val="009B13C8"/>
    <w:rsid w:val="009B1637"/>
    <w:rsid w:val="009B1669"/>
    <w:rsid w:val="009B167F"/>
    <w:rsid w:val="009B17DF"/>
    <w:rsid w:val="009B18DA"/>
    <w:rsid w:val="009B18E7"/>
    <w:rsid w:val="009B1951"/>
    <w:rsid w:val="009B1A01"/>
    <w:rsid w:val="009B1B49"/>
    <w:rsid w:val="009B1CA9"/>
    <w:rsid w:val="009B1F39"/>
    <w:rsid w:val="009B1F3A"/>
    <w:rsid w:val="009B1F63"/>
    <w:rsid w:val="009B1FFC"/>
    <w:rsid w:val="009B20B8"/>
    <w:rsid w:val="009B20C6"/>
    <w:rsid w:val="009B2195"/>
    <w:rsid w:val="009B21F6"/>
    <w:rsid w:val="009B2376"/>
    <w:rsid w:val="009B23EB"/>
    <w:rsid w:val="009B243B"/>
    <w:rsid w:val="009B2562"/>
    <w:rsid w:val="009B26CA"/>
    <w:rsid w:val="009B298C"/>
    <w:rsid w:val="009B2A94"/>
    <w:rsid w:val="009B2ACA"/>
    <w:rsid w:val="009B2B2A"/>
    <w:rsid w:val="009B2BB4"/>
    <w:rsid w:val="009B2CF2"/>
    <w:rsid w:val="009B2D69"/>
    <w:rsid w:val="009B2E35"/>
    <w:rsid w:val="009B2E91"/>
    <w:rsid w:val="009B2EC2"/>
    <w:rsid w:val="009B2F01"/>
    <w:rsid w:val="009B30CE"/>
    <w:rsid w:val="009B328E"/>
    <w:rsid w:val="009B3352"/>
    <w:rsid w:val="009B36E3"/>
    <w:rsid w:val="009B378E"/>
    <w:rsid w:val="009B3854"/>
    <w:rsid w:val="009B388C"/>
    <w:rsid w:val="009B3A23"/>
    <w:rsid w:val="009B3A87"/>
    <w:rsid w:val="009B3B74"/>
    <w:rsid w:val="009B3BD6"/>
    <w:rsid w:val="009B3D1B"/>
    <w:rsid w:val="009B3E0B"/>
    <w:rsid w:val="009B3FD3"/>
    <w:rsid w:val="009B43A6"/>
    <w:rsid w:val="009B4524"/>
    <w:rsid w:val="009B46E1"/>
    <w:rsid w:val="009B48AD"/>
    <w:rsid w:val="009B48C0"/>
    <w:rsid w:val="009B4A30"/>
    <w:rsid w:val="009B4AB5"/>
    <w:rsid w:val="009B4B50"/>
    <w:rsid w:val="009B4B5C"/>
    <w:rsid w:val="009B4D7C"/>
    <w:rsid w:val="009B504F"/>
    <w:rsid w:val="009B5094"/>
    <w:rsid w:val="009B50D1"/>
    <w:rsid w:val="009B5140"/>
    <w:rsid w:val="009B5416"/>
    <w:rsid w:val="009B54AF"/>
    <w:rsid w:val="009B5535"/>
    <w:rsid w:val="009B5598"/>
    <w:rsid w:val="009B5A7A"/>
    <w:rsid w:val="009B5AC2"/>
    <w:rsid w:val="009B5BE9"/>
    <w:rsid w:val="009B5C75"/>
    <w:rsid w:val="009B5CA5"/>
    <w:rsid w:val="009B5CAA"/>
    <w:rsid w:val="009B5D3B"/>
    <w:rsid w:val="009B5FD7"/>
    <w:rsid w:val="009B6164"/>
    <w:rsid w:val="009B6295"/>
    <w:rsid w:val="009B62C4"/>
    <w:rsid w:val="009B63AD"/>
    <w:rsid w:val="009B6654"/>
    <w:rsid w:val="009B6783"/>
    <w:rsid w:val="009B6843"/>
    <w:rsid w:val="009B6884"/>
    <w:rsid w:val="009B6AD5"/>
    <w:rsid w:val="009B6B36"/>
    <w:rsid w:val="009B6BCC"/>
    <w:rsid w:val="009B6EB7"/>
    <w:rsid w:val="009B70C2"/>
    <w:rsid w:val="009B710B"/>
    <w:rsid w:val="009B7138"/>
    <w:rsid w:val="009B713D"/>
    <w:rsid w:val="009B722A"/>
    <w:rsid w:val="009B7659"/>
    <w:rsid w:val="009B784D"/>
    <w:rsid w:val="009B7868"/>
    <w:rsid w:val="009B7CA4"/>
    <w:rsid w:val="009B7CCA"/>
    <w:rsid w:val="009B7D52"/>
    <w:rsid w:val="009B7F07"/>
    <w:rsid w:val="009C008A"/>
    <w:rsid w:val="009C0148"/>
    <w:rsid w:val="009C01BF"/>
    <w:rsid w:val="009C01D5"/>
    <w:rsid w:val="009C0365"/>
    <w:rsid w:val="009C03C3"/>
    <w:rsid w:val="009C05B8"/>
    <w:rsid w:val="009C07EA"/>
    <w:rsid w:val="009C0B79"/>
    <w:rsid w:val="009C104F"/>
    <w:rsid w:val="009C10FB"/>
    <w:rsid w:val="009C1111"/>
    <w:rsid w:val="009C119C"/>
    <w:rsid w:val="009C12DB"/>
    <w:rsid w:val="009C1365"/>
    <w:rsid w:val="009C1387"/>
    <w:rsid w:val="009C1685"/>
    <w:rsid w:val="009C199D"/>
    <w:rsid w:val="009C1A9B"/>
    <w:rsid w:val="009C1EB2"/>
    <w:rsid w:val="009C2091"/>
    <w:rsid w:val="009C209F"/>
    <w:rsid w:val="009C229D"/>
    <w:rsid w:val="009C2401"/>
    <w:rsid w:val="009C2513"/>
    <w:rsid w:val="009C257C"/>
    <w:rsid w:val="009C273B"/>
    <w:rsid w:val="009C2799"/>
    <w:rsid w:val="009C291F"/>
    <w:rsid w:val="009C2AF3"/>
    <w:rsid w:val="009C2D24"/>
    <w:rsid w:val="009C3168"/>
    <w:rsid w:val="009C3205"/>
    <w:rsid w:val="009C32EA"/>
    <w:rsid w:val="009C3342"/>
    <w:rsid w:val="009C3358"/>
    <w:rsid w:val="009C339E"/>
    <w:rsid w:val="009C35D5"/>
    <w:rsid w:val="009C3716"/>
    <w:rsid w:val="009C3895"/>
    <w:rsid w:val="009C3943"/>
    <w:rsid w:val="009C39DB"/>
    <w:rsid w:val="009C3A0F"/>
    <w:rsid w:val="009C3A9B"/>
    <w:rsid w:val="009C3B70"/>
    <w:rsid w:val="009C3BDB"/>
    <w:rsid w:val="009C3CA3"/>
    <w:rsid w:val="009C3D42"/>
    <w:rsid w:val="009C3E48"/>
    <w:rsid w:val="009C3E4F"/>
    <w:rsid w:val="009C3EA4"/>
    <w:rsid w:val="009C3FC4"/>
    <w:rsid w:val="009C411B"/>
    <w:rsid w:val="009C4445"/>
    <w:rsid w:val="009C45BA"/>
    <w:rsid w:val="009C4610"/>
    <w:rsid w:val="009C4866"/>
    <w:rsid w:val="009C4882"/>
    <w:rsid w:val="009C4BEE"/>
    <w:rsid w:val="009C4DD4"/>
    <w:rsid w:val="009C4E84"/>
    <w:rsid w:val="009C4E94"/>
    <w:rsid w:val="009C4F6E"/>
    <w:rsid w:val="009C536F"/>
    <w:rsid w:val="009C5717"/>
    <w:rsid w:val="009C58C6"/>
    <w:rsid w:val="009C5A4F"/>
    <w:rsid w:val="009C5A92"/>
    <w:rsid w:val="009C5D5D"/>
    <w:rsid w:val="009C5E8A"/>
    <w:rsid w:val="009C5F47"/>
    <w:rsid w:val="009C5FB8"/>
    <w:rsid w:val="009C61C2"/>
    <w:rsid w:val="009C6257"/>
    <w:rsid w:val="009C62C1"/>
    <w:rsid w:val="009C6311"/>
    <w:rsid w:val="009C63B9"/>
    <w:rsid w:val="009C63DF"/>
    <w:rsid w:val="009C6556"/>
    <w:rsid w:val="009C6C5C"/>
    <w:rsid w:val="009C6C6A"/>
    <w:rsid w:val="009C6DAA"/>
    <w:rsid w:val="009C6E6C"/>
    <w:rsid w:val="009C6F21"/>
    <w:rsid w:val="009C7075"/>
    <w:rsid w:val="009C70BD"/>
    <w:rsid w:val="009C7159"/>
    <w:rsid w:val="009C71C9"/>
    <w:rsid w:val="009C72A0"/>
    <w:rsid w:val="009C7376"/>
    <w:rsid w:val="009C7404"/>
    <w:rsid w:val="009C7770"/>
    <w:rsid w:val="009C7D27"/>
    <w:rsid w:val="009C7DC2"/>
    <w:rsid w:val="009C7E8B"/>
    <w:rsid w:val="009C7FE7"/>
    <w:rsid w:val="009D0056"/>
    <w:rsid w:val="009D00F4"/>
    <w:rsid w:val="009D00F5"/>
    <w:rsid w:val="009D012B"/>
    <w:rsid w:val="009D0194"/>
    <w:rsid w:val="009D022F"/>
    <w:rsid w:val="009D042B"/>
    <w:rsid w:val="009D0548"/>
    <w:rsid w:val="009D06AB"/>
    <w:rsid w:val="009D06AC"/>
    <w:rsid w:val="009D0707"/>
    <w:rsid w:val="009D07B6"/>
    <w:rsid w:val="009D0870"/>
    <w:rsid w:val="009D08C9"/>
    <w:rsid w:val="009D0A6B"/>
    <w:rsid w:val="009D0AE0"/>
    <w:rsid w:val="009D0B4D"/>
    <w:rsid w:val="009D0F56"/>
    <w:rsid w:val="009D0FDF"/>
    <w:rsid w:val="009D112E"/>
    <w:rsid w:val="009D1203"/>
    <w:rsid w:val="009D121E"/>
    <w:rsid w:val="009D1276"/>
    <w:rsid w:val="009D135B"/>
    <w:rsid w:val="009D1545"/>
    <w:rsid w:val="009D16BB"/>
    <w:rsid w:val="009D16D4"/>
    <w:rsid w:val="009D1898"/>
    <w:rsid w:val="009D18A5"/>
    <w:rsid w:val="009D1948"/>
    <w:rsid w:val="009D19E7"/>
    <w:rsid w:val="009D1B8B"/>
    <w:rsid w:val="009D1F3D"/>
    <w:rsid w:val="009D1FE0"/>
    <w:rsid w:val="009D239C"/>
    <w:rsid w:val="009D2530"/>
    <w:rsid w:val="009D264D"/>
    <w:rsid w:val="009D266F"/>
    <w:rsid w:val="009D2762"/>
    <w:rsid w:val="009D2850"/>
    <w:rsid w:val="009D2ACB"/>
    <w:rsid w:val="009D2B32"/>
    <w:rsid w:val="009D2DB1"/>
    <w:rsid w:val="009D3030"/>
    <w:rsid w:val="009D3082"/>
    <w:rsid w:val="009D30C3"/>
    <w:rsid w:val="009D34D9"/>
    <w:rsid w:val="009D3964"/>
    <w:rsid w:val="009D3B19"/>
    <w:rsid w:val="009D3B77"/>
    <w:rsid w:val="009D3B9F"/>
    <w:rsid w:val="009D3C23"/>
    <w:rsid w:val="009D3EE3"/>
    <w:rsid w:val="009D4047"/>
    <w:rsid w:val="009D41B3"/>
    <w:rsid w:val="009D41F5"/>
    <w:rsid w:val="009D4336"/>
    <w:rsid w:val="009D4396"/>
    <w:rsid w:val="009D43AA"/>
    <w:rsid w:val="009D43AB"/>
    <w:rsid w:val="009D43D0"/>
    <w:rsid w:val="009D44B8"/>
    <w:rsid w:val="009D47BB"/>
    <w:rsid w:val="009D4815"/>
    <w:rsid w:val="009D4BEA"/>
    <w:rsid w:val="009D4C73"/>
    <w:rsid w:val="009D4CEF"/>
    <w:rsid w:val="009D4EC5"/>
    <w:rsid w:val="009D5004"/>
    <w:rsid w:val="009D5038"/>
    <w:rsid w:val="009D5076"/>
    <w:rsid w:val="009D524C"/>
    <w:rsid w:val="009D52B1"/>
    <w:rsid w:val="009D5425"/>
    <w:rsid w:val="009D5435"/>
    <w:rsid w:val="009D54E1"/>
    <w:rsid w:val="009D58E4"/>
    <w:rsid w:val="009D598F"/>
    <w:rsid w:val="009D5BAE"/>
    <w:rsid w:val="009D5DBC"/>
    <w:rsid w:val="009D5E55"/>
    <w:rsid w:val="009D5FED"/>
    <w:rsid w:val="009D6027"/>
    <w:rsid w:val="009D61B7"/>
    <w:rsid w:val="009D6268"/>
    <w:rsid w:val="009D626B"/>
    <w:rsid w:val="009D637E"/>
    <w:rsid w:val="009D665B"/>
    <w:rsid w:val="009D6778"/>
    <w:rsid w:val="009D688E"/>
    <w:rsid w:val="009D69E0"/>
    <w:rsid w:val="009D69E4"/>
    <w:rsid w:val="009D6A00"/>
    <w:rsid w:val="009D6B1A"/>
    <w:rsid w:val="009D6B5B"/>
    <w:rsid w:val="009D6EB5"/>
    <w:rsid w:val="009D6F36"/>
    <w:rsid w:val="009D7044"/>
    <w:rsid w:val="009D7188"/>
    <w:rsid w:val="009D723A"/>
    <w:rsid w:val="009D72A2"/>
    <w:rsid w:val="009D74D3"/>
    <w:rsid w:val="009D7523"/>
    <w:rsid w:val="009D7660"/>
    <w:rsid w:val="009D771F"/>
    <w:rsid w:val="009D78EF"/>
    <w:rsid w:val="009D7909"/>
    <w:rsid w:val="009D7C28"/>
    <w:rsid w:val="009D7C2F"/>
    <w:rsid w:val="009D7C57"/>
    <w:rsid w:val="009D7DAF"/>
    <w:rsid w:val="009E00B9"/>
    <w:rsid w:val="009E0127"/>
    <w:rsid w:val="009E01C2"/>
    <w:rsid w:val="009E0432"/>
    <w:rsid w:val="009E04D3"/>
    <w:rsid w:val="009E08D9"/>
    <w:rsid w:val="009E0A4A"/>
    <w:rsid w:val="009E0A69"/>
    <w:rsid w:val="009E0A70"/>
    <w:rsid w:val="009E0AAC"/>
    <w:rsid w:val="009E0C6B"/>
    <w:rsid w:val="009E0D68"/>
    <w:rsid w:val="009E11B0"/>
    <w:rsid w:val="009E11CF"/>
    <w:rsid w:val="009E1295"/>
    <w:rsid w:val="009E13B6"/>
    <w:rsid w:val="009E171B"/>
    <w:rsid w:val="009E185C"/>
    <w:rsid w:val="009E19EE"/>
    <w:rsid w:val="009E1ADB"/>
    <w:rsid w:val="009E1D17"/>
    <w:rsid w:val="009E1E6C"/>
    <w:rsid w:val="009E1EC0"/>
    <w:rsid w:val="009E2186"/>
    <w:rsid w:val="009E265E"/>
    <w:rsid w:val="009E2811"/>
    <w:rsid w:val="009E2A9F"/>
    <w:rsid w:val="009E2B6B"/>
    <w:rsid w:val="009E2E6D"/>
    <w:rsid w:val="009E2FE1"/>
    <w:rsid w:val="009E31B2"/>
    <w:rsid w:val="009E3225"/>
    <w:rsid w:val="009E3310"/>
    <w:rsid w:val="009E3326"/>
    <w:rsid w:val="009E3441"/>
    <w:rsid w:val="009E3743"/>
    <w:rsid w:val="009E37BB"/>
    <w:rsid w:val="009E3984"/>
    <w:rsid w:val="009E3BD5"/>
    <w:rsid w:val="009E3CF4"/>
    <w:rsid w:val="009E3F9B"/>
    <w:rsid w:val="009E43CE"/>
    <w:rsid w:val="009E4505"/>
    <w:rsid w:val="009E4570"/>
    <w:rsid w:val="009E45DB"/>
    <w:rsid w:val="009E45DF"/>
    <w:rsid w:val="009E484F"/>
    <w:rsid w:val="009E49A3"/>
    <w:rsid w:val="009E4CC2"/>
    <w:rsid w:val="009E4ECE"/>
    <w:rsid w:val="009E51D5"/>
    <w:rsid w:val="009E582F"/>
    <w:rsid w:val="009E58C1"/>
    <w:rsid w:val="009E594B"/>
    <w:rsid w:val="009E5BCC"/>
    <w:rsid w:val="009E5BCF"/>
    <w:rsid w:val="009E5CDC"/>
    <w:rsid w:val="009E5E50"/>
    <w:rsid w:val="009E5EB7"/>
    <w:rsid w:val="009E6105"/>
    <w:rsid w:val="009E6308"/>
    <w:rsid w:val="009E63D8"/>
    <w:rsid w:val="009E66F9"/>
    <w:rsid w:val="009E68EC"/>
    <w:rsid w:val="009E68F4"/>
    <w:rsid w:val="009E695B"/>
    <w:rsid w:val="009E6961"/>
    <w:rsid w:val="009E6A81"/>
    <w:rsid w:val="009E6AE0"/>
    <w:rsid w:val="009E6B2A"/>
    <w:rsid w:val="009E6B88"/>
    <w:rsid w:val="009E6BC8"/>
    <w:rsid w:val="009E6CE1"/>
    <w:rsid w:val="009E6D2F"/>
    <w:rsid w:val="009E6E6A"/>
    <w:rsid w:val="009E6E91"/>
    <w:rsid w:val="009E6ED5"/>
    <w:rsid w:val="009E6F8E"/>
    <w:rsid w:val="009E70FC"/>
    <w:rsid w:val="009E71BD"/>
    <w:rsid w:val="009E7861"/>
    <w:rsid w:val="009E7912"/>
    <w:rsid w:val="009E7BA6"/>
    <w:rsid w:val="009E7C3A"/>
    <w:rsid w:val="009E7DE3"/>
    <w:rsid w:val="009E7DFC"/>
    <w:rsid w:val="009F005B"/>
    <w:rsid w:val="009F02C1"/>
    <w:rsid w:val="009F0525"/>
    <w:rsid w:val="009F05DA"/>
    <w:rsid w:val="009F0604"/>
    <w:rsid w:val="009F0669"/>
    <w:rsid w:val="009F0773"/>
    <w:rsid w:val="009F07C8"/>
    <w:rsid w:val="009F08C2"/>
    <w:rsid w:val="009F08C4"/>
    <w:rsid w:val="009F0938"/>
    <w:rsid w:val="009F09A7"/>
    <w:rsid w:val="009F0B3E"/>
    <w:rsid w:val="009F0B44"/>
    <w:rsid w:val="009F0BC8"/>
    <w:rsid w:val="009F0BCC"/>
    <w:rsid w:val="009F0C9A"/>
    <w:rsid w:val="009F0D1A"/>
    <w:rsid w:val="009F0D8D"/>
    <w:rsid w:val="009F0EAF"/>
    <w:rsid w:val="009F114D"/>
    <w:rsid w:val="009F11A6"/>
    <w:rsid w:val="009F122A"/>
    <w:rsid w:val="009F152D"/>
    <w:rsid w:val="009F1724"/>
    <w:rsid w:val="009F199D"/>
    <w:rsid w:val="009F1B21"/>
    <w:rsid w:val="009F1CCF"/>
    <w:rsid w:val="009F1FAF"/>
    <w:rsid w:val="009F1FFF"/>
    <w:rsid w:val="009F253F"/>
    <w:rsid w:val="009F29E5"/>
    <w:rsid w:val="009F2E75"/>
    <w:rsid w:val="009F323E"/>
    <w:rsid w:val="009F3258"/>
    <w:rsid w:val="009F3300"/>
    <w:rsid w:val="009F3512"/>
    <w:rsid w:val="009F396E"/>
    <w:rsid w:val="009F3A7D"/>
    <w:rsid w:val="009F3AFA"/>
    <w:rsid w:val="009F3C59"/>
    <w:rsid w:val="009F3CAC"/>
    <w:rsid w:val="009F3E2A"/>
    <w:rsid w:val="009F3EB2"/>
    <w:rsid w:val="009F3F9E"/>
    <w:rsid w:val="009F415F"/>
    <w:rsid w:val="009F42D6"/>
    <w:rsid w:val="009F42DC"/>
    <w:rsid w:val="009F4400"/>
    <w:rsid w:val="009F46E7"/>
    <w:rsid w:val="009F4789"/>
    <w:rsid w:val="009F4BEC"/>
    <w:rsid w:val="009F4C48"/>
    <w:rsid w:val="009F4CE0"/>
    <w:rsid w:val="009F4E34"/>
    <w:rsid w:val="009F4E71"/>
    <w:rsid w:val="009F4F65"/>
    <w:rsid w:val="009F50B1"/>
    <w:rsid w:val="009F50B2"/>
    <w:rsid w:val="009F50E7"/>
    <w:rsid w:val="009F513D"/>
    <w:rsid w:val="009F5414"/>
    <w:rsid w:val="009F55E1"/>
    <w:rsid w:val="009F5868"/>
    <w:rsid w:val="009F5945"/>
    <w:rsid w:val="009F5A89"/>
    <w:rsid w:val="009F5AC2"/>
    <w:rsid w:val="009F5AC5"/>
    <w:rsid w:val="009F5B8C"/>
    <w:rsid w:val="009F5E03"/>
    <w:rsid w:val="009F5FCD"/>
    <w:rsid w:val="009F6071"/>
    <w:rsid w:val="009F61C4"/>
    <w:rsid w:val="009F6333"/>
    <w:rsid w:val="009F6403"/>
    <w:rsid w:val="009F643C"/>
    <w:rsid w:val="009F66EE"/>
    <w:rsid w:val="009F6843"/>
    <w:rsid w:val="009F6845"/>
    <w:rsid w:val="009F6900"/>
    <w:rsid w:val="009F6965"/>
    <w:rsid w:val="009F699A"/>
    <w:rsid w:val="009F6B41"/>
    <w:rsid w:val="009F6BFE"/>
    <w:rsid w:val="009F6CAF"/>
    <w:rsid w:val="009F6D5A"/>
    <w:rsid w:val="009F6D9C"/>
    <w:rsid w:val="009F6EB9"/>
    <w:rsid w:val="009F6F0B"/>
    <w:rsid w:val="009F7045"/>
    <w:rsid w:val="009F70DA"/>
    <w:rsid w:val="009F7369"/>
    <w:rsid w:val="009F73FE"/>
    <w:rsid w:val="009F74ED"/>
    <w:rsid w:val="009F75F1"/>
    <w:rsid w:val="009F7610"/>
    <w:rsid w:val="009F76A5"/>
    <w:rsid w:val="009F76F3"/>
    <w:rsid w:val="009F7793"/>
    <w:rsid w:val="009F77BE"/>
    <w:rsid w:val="009F7B3E"/>
    <w:rsid w:val="009F7BE2"/>
    <w:rsid w:val="009F7CD8"/>
    <w:rsid w:val="009F7E55"/>
    <w:rsid w:val="009F7EC6"/>
    <w:rsid w:val="009F7EC7"/>
    <w:rsid w:val="009F7EE4"/>
    <w:rsid w:val="00A00239"/>
    <w:rsid w:val="00A0023F"/>
    <w:rsid w:val="00A002B8"/>
    <w:rsid w:val="00A0037E"/>
    <w:rsid w:val="00A006F9"/>
    <w:rsid w:val="00A008E0"/>
    <w:rsid w:val="00A009C2"/>
    <w:rsid w:val="00A00CC5"/>
    <w:rsid w:val="00A00FCD"/>
    <w:rsid w:val="00A0114D"/>
    <w:rsid w:val="00A013E8"/>
    <w:rsid w:val="00A01459"/>
    <w:rsid w:val="00A01711"/>
    <w:rsid w:val="00A01736"/>
    <w:rsid w:val="00A01741"/>
    <w:rsid w:val="00A01959"/>
    <w:rsid w:val="00A019C9"/>
    <w:rsid w:val="00A01A7A"/>
    <w:rsid w:val="00A01BD9"/>
    <w:rsid w:val="00A02050"/>
    <w:rsid w:val="00A02182"/>
    <w:rsid w:val="00A0233C"/>
    <w:rsid w:val="00A02646"/>
    <w:rsid w:val="00A02723"/>
    <w:rsid w:val="00A02758"/>
    <w:rsid w:val="00A029EE"/>
    <w:rsid w:val="00A02AC6"/>
    <w:rsid w:val="00A02B28"/>
    <w:rsid w:val="00A02C22"/>
    <w:rsid w:val="00A02C9B"/>
    <w:rsid w:val="00A02E43"/>
    <w:rsid w:val="00A02F99"/>
    <w:rsid w:val="00A03104"/>
    <w:rsid w:val="00A03461"/>
    <w:rsid w:val="00A03706"/>
    <w:rsid w:val="00A0381A"/>
    <w:rsid w:val="00A039FB"/>
    <w:rsid w:val="00A03A30"/>
    <w:rsid w:val="00A03D00"/>
    <w:rsid w:val="00A03D12"/>
    <w:rsid w:val="00A03E39"/>
    <w:rsid w:val="00A03E3F"/>
    <w:rsid w:val="00A040FD"/>
    <w:rsid w:val="00A04354"/>
    <w:rsid w:val="00A0441F"/>
    <w:rsid w:val="00A045BB"/>
    <w:rsid w:val="00A045D9"/>
    <w:rsid w:val="00A047D5"/>
    <w:rsid w:val="00A0485F"/>
    <w:rsid w:val="00A04B2B"/>
    <w:rsid w:val="00A04B98"/>
    <w:rsid w:val="00A04BC2"/>
    <w:rsid w:val="00A04E82"/>
    <w:rsid w:val="00A04F25"/>
    <w:rsid w:val="00A04F35"/>
    <w:rsid w:val="00A052E2"/>
    <w:rsid w:val="00A05414"/>
    <w:rsid w:val="00A054B8"/>
    <w:rsid w:val="00A05637"/>
    <w:rsid w:val="00A0568A"/>
    <w:rsid w:val="00A0568E"/>
    <w:rsid w:val="00A056A6"/>
    <w:rsid w:val="00A056CD"/>
    <w:rsid w:val="00A05866"/>
    <w:rsid w:val="00A05933"/>
    <w:rsid w:val="00A05BAE"/>
    <w:rsid w:val="00A05C12"/>
    <w:rsid w:val="00A05C34"/>
    <w:rsid w:val="00A05D80"/>
    <w:rsid w:val="00A05DB9"/>
    <w:rsid w:val="00A05DC3"/>
    <w:rsid w:val="00A05FFE"/>
    <w:rsid w:val="00A06076"/>
    <w:rsid w:val="00A060AA"/>
    <w:rsid w:val="00A06405"/>
    <w:rsid w:val="00A06558"/>
    <w:rsid w:val="00A06630"/>
    <w:rsid w:val="00A066EE"/>
    <w:rsid w:val="00A0678F"/>
    <w:rsid w:val="00A0682A"/>
    <w:rsid w:val="00A06865"/>
    <w:rsid w:val="00A069CC"/>
    <w:rsid w:val="00A069E7"/>
    <w:rsid w:val="00A06A7A"/>
    <w:rsid w:val="00A06A8F"/>
    <w:rsid w:val="00A06B1D"/>
    <w:rsid w:val="00A07091"/>
    <w:rsid w:val="00A07251"/>
    <w:rsid w:val="00A072B6"/>
    <w:rsid w:val="00A07532"/>
    <w:rsid w:val="00A0775A"/>
    <w:rsid w:val="00A07772"/>
    <w:rsid w:val="00A077DB"/>
    <w:rsid w:val="00A07821"/>
    <w:rsid w:val="00A07955"/>
    <w:rsid w:val="00A079B6"/>
    <w:rsid w:val="00A07BCA"/>
    <w:rsid w:val="00A07E09"/>
    <w:rsid w:val="00A07E4B"/>
    <w:rsid w:val="00A07E96"/>
    <w:rsid w:val="00A10349"/>
    <w:rsid w:val="00A104C6"/>
    <w:rsid w:val="00A10649"/>
    <w:rsid w:val="00A10726"/>
    <w:rsid w:val="00A107BE"/>
    <w:rsid w:val="00A1081A"/>
    <w:rsid w:val="00A10861"/>
    <w:rsid w:val="00A10B50"/>
    <w:rsid w:val="00A10E24"/>
    <w:rsid w:val="00A110E9"/>
    <w:rsid w:val="00A110FD"/>
    <w:rsid w:val="00A113B8"/>
    <w:rsid w:val="00A115D1"/>
    <w:rsid w:val="00A116EF"/>
    <w:rsid w:val="00A11706"/>
    <w:rsid w:val="00A117C8"/>
    <w:rsid w:val="00A1197D"/>
    <w:rsid w:val="00A119D3"/>
    <w:rsid w:val="00A11C5E"/>
    <w:rsid w:val="00A11C83"/>
    <w:rsid w:val="00A1207A"/>
    <w:rsid w:val="00A1212D"/>
    <w:rsid w:val="00A1221F"/>
    <w:rsid w:val="00A12269"/>
    <w:rsid w:val="00A123F6"/>
    <w:rsid w:val="00A12421"/>
    <w:rsid w:val="00A12472"/>
    <w:rsid w:val="00A12509"/>
    <w:rsid w:val="00A125A9"/>
    <w:rsid w:val="00A126E5"/>
    <w:rsid w:val="00A12779"/>
    <w:rsid w:val="00A127F2"/>
    <w:rsid w:val="00A12814"/>
    <w:rsid w:val="00A12A62"/>
    <w:rsid w:val="00A12AAD"/>
    <w:rsid w:val="00A12ABF"/>
    <w:rsid w:val="00A12C4E"/>
    <w:rsid w:val="00A12C55"/>
    <w:rsid w:val="00A12C8B"/>
    <w:rsid w:val="00A12CD1"/>
    <w:rsid w:val="00A131F4"/>
    <w:rsid w:val="00A1340A"/>
    <w:rsid w:val="00A13501"/>
    <w:rsid w:val="00A135D1"/>
    <w:rsid w:val="00A13700"/>
    <w:rsid w:val="00A13916"/>
    <w:rsid w:val="00A13B06"/>
    <w:rsid w:val="00A13D11"/>
    <w:rsid w:val="00A13F6B"/>
    <w:rsid w:val="00A14060"/>
    <w:rsid w:val="00A1423A"/>
    <w:rsid w:val="00A14316"/>
    <w:rsid w:val="00A14362"/>
    <w:rsid w:val="00A1452D"/>
    <w:rsid w:val="00A1461A"/>
    <w:rsid w:val="00A146DC"/>
    <w:rsid w:val="00A149D3"/>
    <w:rsid w:val="00A14AF6"/>
    <w:rsid w:val="00A14B40"/>
    <w:rsid w:val="00A14E3F"/>
    <w:rsid w:val="00A14FAE"/>
    <w:rsid w:val="00A1501F"/>
    <w:rsid w:val="00A15096"/>
    <w:rsid w:val="00A15469"/>
    <w:rsid w:val="00A1562F"/>
    <w:rsid w:val="00A15692"/>
    <w:rsid w:val="00A156C2"/>
    <w:rsid w:val="00A15743"/>
    <w:rsid w:val="00A15906"/>
    <w:rsid w:val="00A15A99"/>
    <w:rsid w:val="00A15FB4"/>
    <w:rsid w:val="00A16149"/>
    <w:rsid w:val="00A161C7"/>
    <w:rsid w:val="00A162E1"/>
    <w:rsid w:val="00A16471"/>
    <w:rsid w:val="00A164F8"/>
    <w:rsid w:val="00A166C5"/>
    <w:rsid w:val="00A16814"/>
    <w:rsid w:val="00A169B4"/>
    <w:rsid w:val="00A16A09"/>
    <w:rsid w:val="00A16A7E"/>
    <w:rsid w:val="00A16E2C"/>
    <w:rsid w:val="00A16FAB"/>
    <w:rsid w:val="00A16FCF"/>
    <w:rsid w:val="00A16FED"/>
    <w:rsid w:val="00A17261"/>
    <w:rsid w:val="00A17441"/>
    <w:rsid w:val="00A1752E"/>
    <w:rsid w:val="00A17586"/>
    <w:rsid w:val="00A1777C"/>
    <w:rsid w:val="00A177E1"/>
    <w:rsid w:val="00A17844"/>
    <w:rsid w:val="00A178E3"/>
    <w:rsid w:val="00A17A3B"/>
    <w:rsid w:val="00A17A94"/>
    <w:rsid w:val="00A17A9C"/>
    <w:rsid w:val="00A17AFA"/>
    <w:rsid w:val="00A17C5A"/>
    <w:rsid w:val="00A17E0C"/>
    <w:rsid w:val="00A20009"/>
    <w:rsid w:val="00A200B5"/>
    <w:rsid w:val="00A200E8"/>
    <w:rsid w:val="00A2020C"/>
    <w:rsid w:val="00A2038D"/>
    <w:rsid w:val="00A203A2"/>
    <w:rsid w:val="00A204F7"/>
    <w:rsid w:val="00A2056E"/>
    <w:rsid w:val="00A2073A"/>
    <w:rsid w:val="00A20758"/>
    <w:rsid w:val="00A20784"/>
    <w:rsid w:val="00A20BAB"/>
    <w:rsid w:val="00A20D7D"/>
    <w:rsid w:val="00A20E84"/>
    <w:rsid w:val="00A21042"/>
    <w:rsid w:val="00A210EB"/>
    <w:rsid w:val="00A213CA"/>
    <w:rsid w:val="00A215F9"/>
    <w:rsid w:val="00A21830"/>
    <w:rsid w:val="00A21BD0"/>
    <w:rsid w:val="00A21C02"/>
    <w:rsid w:val="00A21C56"/>
    <w:rsid w:val="00A21F62"/>
    <w:rsid w:val="00A220DD"/>
    <w:rsid w:val="00A22412"/>
    <w:rsid w:val="00A228BB"/>
    <w:rsid w:val="00A2296B"/>
    <w:rsid w:val="00A229D1"/>
    <w:rsid w:val="00A22A32"/>
    <w:rsid w:val="00A22A41"/>
    <w:rsid w:val="00A22A6E"/>
    <w:rsid w:val="00A22B83"/>
    <w:rsid w:val="00A22BB4"/>
    <w:rsid w:val="00A22BC2"/>
    <w:rsid w:val="00A22E11"/>
    <w:rsid w:val="00A22EC0"/>
    <w:rsid w:val="00A23003"/>
    <w:rsid w:val="00A2306D"/>
    <w:rsid w:val="00A23329"/>
    <w:rsid w:val="00A23401"/>
    <w:rsid w:val="00A2361E"/>
    <w:rsid w:val="00A236E0"/>
    <w:rsid w:val="00A23782"/>
    <w:rsid w:val="00A23900"/>
    <w:rsid w:val="00A23A3E"/>
    <w:rsid w:val="00A23CF0"/>
    <w:rsid w:val="00A23D25"/>
    <w:rsid w:val="00A23D53"/>
    <w:rsid w:val="00A23D56"/>
    <w:rsid w:val="00A23DBC"/>
    <w:rsid w:val="00A23F62"/>
    <w:rsid w:val="00A23F70"/>
    <w:rsid w:val="00A24006"/>
    <w:rsid w:val="00A2432E"/>
    <w:rsid w:val="00A243B0"/>
    <w:rsid w:val="00A243EE"/>
    <w:rsid w:val="00A246BE"/>
    <w:rsid w:val="00A24865"/>
    <w:rsid w:val="00A24A26"/>
    <w:rsid w:val="00A24B69"/>
    <w:rsid w:val="00A24C13"/>
    <w:rsid w:val="00A24D2A"/>
    <w:rsid w:val="00A24EA8"/>
    <w:rsid w:val="00A250CF"/>
    <w:rsid w:val="00A25339"/>
    <w:rsid w:val="00A2538D"/>
    <w:rsid w:val="00A253C7"/>
    <w:rsid w:val="00A253E9"/>
    <w:rsid w:val="00A25411"/>
    <w:rsid w:val="00A254C2"/>
    <w:rsid w:val="00A25581"/>
    <w:rsid w:val="00A256F3"/>
    <w:rsid w:val="00A25727"/>
    <w:rsid w:val="00A2572B"/>
    <w:rsid w:val="00A2588F"/>
    <w:rsid w:val="00A258FA"/>
    <w:rsid w:val="00A25937"/>
    <w:rsid w:val="00A259B6"/>
    <w:rsid w:val="00A25A08"/>
    <w:rsid w:val="00A25A0B"/>
    <w:rsid w:val="00A25B0A"/>
    <w:rsid w:val="00A25B48"/>
    <w:rsid w:val="00A25CCE"/>
    <w:rsid w:val="00A25CE3"/>
    <w:rsid w:val="00A25DC2"/>
    <w:rsid w:val="00A25EBA"/>
    <w:rsid w:val="00A25F8A"/>
    <w:rsid w:val="00A2603B"/>
    <w:rsid w:val="00A26109"/>
    <w:rsid w:val="00A26203"/>
    <w:rsid w:val="00A2632E"/>
    <w:rsid w:val="00A26361"/>
    <w:rsid w:val="00A26835"/>
    <w:rsid w:val="00A26839"/>
    <w:rsid w:val="00A26881"/>
    <w:rsid w:val="00A268AC"/>
    <w:rsid w:val="00A26AAB"/>
    <w:rsid w:val="00A26BFA"/>
    <w:rsid w:val="00A26CE8"/>
    <w:rsid w:val="00A26D0C"/>
    <w:rsid w:val="00A26DC9"/>
    <w:rsid w:val="00A26FAA"/>
    <w:rsid w:val="00A2701F"/>
    <w:rsid w:val="00A2718F"/>
    <w:rsid w:val="00A2724D"/>
    <w:rsid w:val="00A273F5"/>
    <w:rsid w:val="00A2750B"/>
    <w:rsid w:val="00A2754F"/>
    <w:rsid w:val="00A2756C"/>
    <w:rsid w:val="00A275CA"/>
    <w:rsid w:val="00A275D1"/>
    <w:rsid w:val="00A275FD"/>
    <w:rsid w:val="00A27642"/>
    <w:rsid w:val="00A276AB"/>
    <w:rsid w:val="00A276AC"/>
    <w:rsid w:val="00A276E5"/>
    <w:rsid w:val="00A2782F"/>
    <w:rsid w:val="00A278D1"/>
    <w:rsid w:val="00A27A0A"/>
    <w:rsid w:val="00A27B6A"/>
    <w:rsid w:val="00A27BD3"/>
    <w:rsid w:val="00A27DA0"/>
    <w:rsid w:val="00A300A6"/>
    <w:rsid w:val="00A301AB"/>
    <w:rsid w:val="00A302E0"/>
    <w:rsid w:val="00A30351"/>
    <w:rsid w:val="00A3042E"/>
    <w:rsid w:val="00A304A2"/>
    <w:rsid w:val="00A305C6"/>
    <w:rsid w:val="00A3060A"/>
    <w:rsid w:val="00A3064F"/>
    <w:rsid w:val="00A306E9"/>
    <w:rsid w:val="00A306F0"/>
    <w:rsid w:val="00A307A3"/>
    <w:rsid w:val="00A307C1"/>
    <w:rsid w:val="00A30903"/>
    <w:rsid w:val="00A30ABA"/>
    <w:rsid w:val="00A30B49"/>
    <w:rsid w:val="00A30C3C"/>
    <w:rsid w:val="00A30CA6"/>
    <w:rsid w:val="00A30E2D"/>
    <w:rsid w:val="00A30EA7"/>
    <w:rsid w:val="00A30EE4"/>
    <w:rsid w:val="00A30EFE"/>
    <w:rsid w:val="00A30F39"/>
    <w:rsid w:val="00A30FFD"/>
    <w:rsid w:val="00A310BB"/>
    <w:rsid w:val="00A311F2"/>
    <w:rsid w:val="00A3124A"/>
    <w:rsid w:val="00A31383"/>
    <w:rsid w:val="00A313D2"/>
    <w:rsid w:val="00A31490"/>
    <w:rsid w:val="00A31497"/>
    <w:rsid w:val="00A314E4"/>
    <w:rsid w:val="00A3183F"/>
    <w:rsid w:val="00A31946"/>
    <w:rsid w:val="00A31A20"/>
    <w:rsid w:val="00A31AD2"/>
    <w:rsid w:val="00A31B00"/>
    <w:rsid w:val="00A31B25"/>
    <w:rsid w:val="00A31B28"/>
    <w:rsid w:val="00A31D2D"/>
    <w:rsid w:val="00A31D84"/>
    <w:rsid w:val="00A31F84"/>
    <w:rsid w:val="00A320E5"/>
    <w:rsid w:val="00A32151"/>
    <w:rsid w:val="00A32176"/>
    <w:rsid w:val="00A32230"/>
    <w:rsid w:val="00A32262"/>
    <w:rsid w:val="00A32397"/>
    <w:rsid w:val="00A3244A"/>
    <w:rsid w:val="00A32481"/>
    <w:rsid w:val="00A325C8"/>
    <w:rsid w:val="00A32604"/>
    <w:rsid w:val="00A327D0"/>
    <w:rsid w:val="00A327F5"/>
    <w:rsid w:val="00A328B3"/>
    <w:rsid w:val="00A32C20"/>
    <w:rsid w:val="00A32C42"/>
    <w:rsid w:val="00A32CEB"/>
    <w:rsid w:val="00A32D47"/>
    <w:rsid w:val="00A32E27"/>
    <w:rsid w:val="00A32FF7"/>
    <w:rsid w:val="00A330A7"/>
    <w:rsid w:val="00A332F2"/>
    <w:rsid w:val="00A332FC"/>
    <w:rsid w:val="00A33419"/>
    <w:rsid w:val="00A33A47"/>
    <w:rsid w:val="00A33E93"/>
    <w:rsid w:val="00A34029"/>
    <w:rsid w:val="00A342E2"/>
    <w:rsid w:val="00A34305"/>
    <w:rsid w:val="00A3434E"/>
    <w:rsid w:val="00A343FB"/>
    <w:rsid w:val="00A34446"/>
    <w:rsid w:val="00A344A1"/>
    <w:rsid w:val="00A346C8"/>
    <w:rsid w:val="00A347FC"/>
    <w:rsid w:val="00A3492B"/>
    <w:rsid w:val="00A349DB"/>
    <w:rsid w:val="00A34BA1"/>
    <w:rsid w:val="00A34DBC"/>
    <w:rsid w:val="00A34F4A"/>
    <w:rsid w:val="00A35021"/>
    <w:rsid w:val="00A35064"/>
    <w:rsid w:val="00A351EF"/>
    <w:rsid w:val="00A35282"/>
    <w:rsid w:val="00A35362"/>
    <w:rsid w:val="00A356C3"/>
    <w:rsid w:val="00A356FA"/>
    <w:rsid w:val="00A35732"/>
    <w:rsid w:val="00A358CC"/>
    <w:rsid w:val="00A3595C"/>
    <w:rsid w:val="00A35A48"/>
    <w:rsid w:val="00A35A85"/>
    <w:rsid w:val="00A35C41"/>
    <w:rsid w:val="00A35D81"/>
    <w:rsid w:val="00A35E33"/>
    <w:rsid w:val="00A35EA0"/>
    <w:rsid w:val="00A36078"/>
    <w:rsid w:val="00A360C8"/>
    <w:rsid w:val="00A361E2"/>
    <w:rsid w:val="00A362AC"/>
    <w:rsid w:val="00A36445"/>
    <w:rsid w:val="00A364B1"/>
    <w:rsid w:val="00A36533"/>
    <w:rsid w:val="00A36790"/>
    <w:rsid w:val="00A3687A"/>
    <w:rsid w:val="00A3688A"/>
    <w:rsid w:val="00A36989"/>
    <w:rsid w:val="00A369C3"/>
    <w:rsid w:val="00A36A45"/>
    <w:rsid w:val="00A36B31"/>
    <w:rsid w:val="00A36C5F"/>
    <w:rsid w:val="00A36C74"/>
    <w:rsid w:val="00A36DB8"/>
    <w:rsid w:val="00A3703A"/>
    <w:rsid w:val="00A370EA"/>
    <w:rsid w:val="00A371D3"/>
    <w:rsid w:val="00A37567"/>
    <w:rsid w:val="00A3757A"/>
    <w:rsid w:val="00A37591"/>
    <w:rsid w:val="00A3761A"/>
    <w:rsid w:val="00A377C4"/>
    <w:rsid w:val="00A378C0"/>
    <w:rsid w:val="00A37A94"/>
    <w:rsid w:val="00A37B23"/>
    <w:rsid w:val="00A37DEC"/>
    <w:rsid w:val="00A401D4"/>
    <w:rsid w:val="00A40585"/>
    <w:rsid w:val="00A40592"/>
    <w:rsid w:val="00A405E5"/>
    <w:rsid w:val="00A40664"/>
    <w:rsid w:val="00A40786"/>
    <w:rsid w:val="00A4098B"/>
    <w:rsid w:val="00A40A87"/>
    <w:rsid w:val="00A40AA1"/>
    <w:rsid w:val="00A40B59"/>
    <w:rsid w:val="00A40C22"/>
    <w:rsid w:val="00A40DF8"/>
    <w:rsid w:val="00A40F2E"/>
    <w:rsid w:val="00A41010"/>
    <w:rsid w:val="00A41096"/>
    <w:rsid w:val="00A411E0"/>
    <w:rsid w:val="00A4124C"/>
    <w:rsid w:val="00A4125A"/>
    <w:rsid w:val="00A41263"/>
    <w:rsid w:val="00A412C5"/>
    <w:rsid w:val="00A4157E"/>
    <w:rsid w:val="00A417DB"/>
    <w:rsid w:val="00A4185B"/>
    <w:rsid w:val="00A41915"/>
    <w:rsid w:val="00A41B90"/>
    <w:rsid w:val="00A41DA6"/>
    <w:rsid w:val="00A41E5C"/>
    <w:rsid w:val="00A420A7"/>
    <w:rsid w:val="00A42142"/>
    <w:rsid w:val="00A42522"/>
    <w:rsid w:val="00A42A0B"/>
    <w:rsid w:val="00A42A6D"/>
    <w:rsid w:val="00A42F0C"/>
    <w:rsid w:val="00A43213"/>
    <w:rsid w:val="00A4321E"/>
    <w:rsid w:val="00A4351E"/>
    <w:rsid w:val="00A4354A"/>
    <w:rsid w:val="00A4369B"/>
    <w:rsid w:val="00A4395A"/>
    <w:rsid w:val="00A43AED"/>
    <w:rsid w:val="00A43D5F"/>
    <w:rsid w:val="00A43E0F"/>
    <w:rsid w:val="00A43F79"/>
    <w:rsid w:val="00A43FAD"/>
    <w:rsid w:val="00A4400B"/>
    <w:rsid w:val="00A4405F"/>
    <w:rsid w:val="00A444EB"/>
    <w:rsid w:val="00A445E1"/>
    <w:rsid w:val="00A44840"/>
    <w:rsid w:val="00A448BF"/>
    <w:rsid w:val="00A448E7"/>
    <w:rsid w:val="00A44A03"/>
    <w:rsid w:val="00A44A3A"/>
    <w:rsid w:val="00A44D1E"/>
    <w:rsid w:val="00A44D1F"/>
    <w:rsid w:val="00A44FCD"/>
    <w:rsid w:val="00A450C6"/>
    <w:rsid w:val="00A451E1"/>
    <w:rsid w:val="00A45388"/>
    <w:rsid w:val="00A45389"/>
    <w:rsid w:val="00A455CE"/>
    <w:rsid w:val="00A459CB"/>
    <w:rsid w:val="00A45A8D"/>
    <w:rsid w:val="00A45B7C"/>
    <w:rsid w:val="00A45BEC"/>
    <w:rsid w:val="00A45F6A"/>
    <w:rsid w:val="00A46326"/>
    <w:rsid w:val="00A46378"/>
    <w:rsid w:val="00A463FE"/>
    <w:rsid w:val="00A465DD"/>
    <w:rsid w:val="00A466FD"/>
    <w:rsid w:val="00A46777"/>
    <w:rsid w:val="00A46917"/>
    <w:rsid w:val="00A4697D"/>
    <w:rsid w:val="00A469CF"/>
    <w:rsid w:val="00A46B41"/>
    <w:rsid w:val="00A46BD7"/>
    <w:rsid w:val="00A46BDE"/>
    <w:rsid w:val="00A46CD1"/>
    <w:rsid w:val="00A46E40"/>
    <w:rsid w:val="00A46E89"/>
    <w:rsid w:val="00A46FE3"/>
    <w:rsid w:val="00A46FE6"/>
    <w:rsid w:val="00A47109"/>
    <w:rsid w:val="00A4716F"/>
    <w:rsid w:val="00A4738A"/>
    <w:rsid w:val="00A47499"/>
    <w:rsid w:val="00A47698"/>
    <w:rsid w:val="00A476A2"/>
    <w:rsid w:val="00A476FF"/>
    <w:rsid w:val="00A47725"/>
    <w:rsid w:val="00A4772F"/>
    <w:rsid w:val="00A478F8"/>
    <w:rsid w:val="00A47C01"/>
    <w:rsid w:val="00A47D8B"/>
    <w:rsid w:val="00A500B9"/>
    <w:rsid w:val="00A502AC"/>
    <w:rsid w:val="00A502FF"/>
    <w:rsid w:val="00A50328"/>
    <w:rsid w:val="00A50628"/>
    <w:rsid w:val="00A50724"/>
    <w:rsid w:val="00A5073A"/>
    <w:rsid w:val="00A50D82"/>
    <w:rsid w:val="00A514AB"/>
    <w:rsid w:val="00A51536"/>
    <w:rsid w:val="00A516A8"/>
    <w:rsid w:val="00A516DA"/>
    <w:rsid w:val="00A51A8A"/>
    <w:rsid w:val="00A52021"/>
    <w:rsid w:val="00A520D9"/>
    <w:rsid w:val="00A52204"/>
    <w:rsid w:val="00A52336"/>
    <w:rsid w:val="00A52563"/>
    <w:rsid w:val="00A52603"/>
    <w:rsid w:val="00A5268F"/>
    <w:rsid w:val="00A526EA"/>
    <w:rsid w:val="00A5285A"/>
    <w:rsid w:val="00A5287E"/>
    <w:rsid w:val="00A52A9A"/>
    <w:rsid w:val="00A52CA6"/>
    <w:rsid w:val="00A52E59"/>
    <w:rsid w:val="00A53084"/>
    <w:rsid w:val="00A5317E"/>
    <w:rsid w:val="00A531D5"/>
    <w:rsid w:val="00A53320"/>
    <w:rsid w:val="00A533A8"/>
    <w:rsid w:val="00A533DB"/>
    <w:rsid w:val="00A5340B"/>
    <w:rsid w:val="00A5379B"/>
    <w:rsid w:val="00A537A4"/>
    <w:rsid w:val="00A53946"/>
    <w:rsid w:val="00A539B0"/>
    <w:rsid w:val="00A53AB7"/>
    <w:rsid w:val="00A53BC6"/>
    <w:rsid w:val="00A53CBC"/>
    <w:rsid w:val="00A53CC6"/>
    <w:rsid w:val="00A53E1D"/>
    <w:rsid w:val="00A53E51"/>
    <w:rsid w:val="00A53E87"/>
    <w:rsid w:val="00A53F87"/>
    <w:rsid w:val="00A541C7"/>
    <w:rsid w:val="00A54296"/>
    <w:rsid w:val="00A542AF"/>
    <w:rsid w:val="00A543BB"/>
    <w:rsid w:val="00A544B1"/>
    <w:rsid w:val="00A544BB"/>
    <w:rsid w:val="00A5457B"/>
    <w:rsid w:val="00A545D9"/>
    <w:rsid w:val="00A549E6"/>
    <w:rsid w:val="00A54A0A"/>
    <w:rsid w:val="00A54B39"/>
    <w:rsid w:val="00A54B97"/>
    <w:rsid w:val="00A54C27"/>
    <w:rsid w:val="00A54D23"/>
    <w:rsid w:val="00A54D81"/>
    <w:rsid w:val="00A54E4B"/>
    <w:rsid w:val="00A55146"/>
    <w:rsid w:val="00A55150"/>
    <w:rsid w:val="00A551D7"/>
    <w:rsid w:val="00A556BC"/>
    <w:rsid w:val="00A5598E"/>
    <w:rsid w:val="00A55B07"/>
    <w:rsid w:val="00A55B4F"/>
    <w:rsid w:val="00A55E39"/>
    <w:rsid w:val="00A55FE8"/>
    <w:rsid w:val="00A56012"/>
    <w:rsid w:val="00A56082"/>
    <w:rsid w:val="00A560B9"/>
    <w:rsid w:val="00A560C2"/>
    <w:rsid w:val="00A56174"/>
    <w:rsid w:val="00A5617A"/>
    <w:rsid w:val="00A56204"/>
    <w:rsid w:val="00A5664D"/>
    <w:rsid w:val="00A5678D"/>
    <w:rsid w:val="00A5680A"/>
    <w:rsid w:val="00A56932"/>
    <w:rsid w:val="00A56B0F"/>
    <w:rsid w:val="00A56B4A"/>
    <w:rsid w:val="00A56CB8"/>
    <w:rsid w:val="00A56D9E"/>
    <w:rsid w:val="00A56DA4"/>
    <w:rsid w:val="00A56FB6"/>
    <w:rsid w:val="00A56FD8"/>
    <w:rsid w:val="00A56FEE"/>
    <w:rsid w:val="00A57000"/>
    <w:rsid w:val="00A570F1"/>
    <w:rsid w:val="00A57330"/>
    <w:rsid w:val="00A57357"/>
    <w:rsid w:val="00A573FA"/>
    <w:rsid w:val="00A57427"/>
    <w:rsid w:val="00A5743F"/>
    <w:rsid w:val="00A574C9"/>
    <w:rsid w:val="00A575E2"/>
    <w:rsid w:val="00A57638"/>
    <w:rsid w:val="00A5782E"/>
    <w:rsid w:val="00A57867"/>
    <w:rsid w:val="00A57972"/>
    <w:rsid w:val="00A57978"/>
    <w:rsid w:val="00A579F0"/>
    <w:rsid w:val="00A57A19"/>
    <w:rsid w:val="00A57A5D"/>
    <w:rsid w:val="00A57BA9"/>
    <w:rsid w:val="00A57CB4"/>
    <w:rsid w:val="00A57F15"/>
    <w:rsid w:val="00A60002"/>
    <w:rsid w:val="00A601C4"/>
    <w:rsid w:val="00A60267"/>
    <w:rsid w:val="00A60299"/>
    <w:rsid w:val="00A603A1"/>
    <w:rsid w:val="00A60461"/>
    <w:rsid w:val="00A604AD"/>
    <w:rsid w:val="00A6069A"/>
    <w:rsid w:val="00A606A5"/>
    <w:rsid w:val="00A6071E"/>
    <w:rsid w:val="00A6081F"/>
    <w:rsid w:val="00A60917"/>
    <w:rsid w:val="00A6096A"/>
    <w:rsid w:val="00A60B72"/>
    <w:rsid w:val="00A60B7A"/>
    <w:rsid w:val="00A60BA9"/>
    <w:rsid w:val="00A60CCE"/>
    <w:rsid w:val="00A60E15"/>
    <w:rsid w:val="00A61296"/>
    <w:rsid w:val="00A6144D"/>
    <w:rsid w:val="00A614E9"/>
    <w:rsid w:val="00A6155E"/>
    <w:rsid w:val="00A615E2"/>
    <w:rsid w:val="00A6176D"/>
    <w:rsid w:val="00A61A04"/>
    <w:rsid w:val="00A61A10"/>
    <w:rsid w:val="00A61BD7"/>
    <w:rsid w:val="00A61BDB"/>
    <w:rsid w:val="00A61C73"/>
    <w:rsid w:val="00A61CF6"/>
    <w:rsid w:val="00A61D40"/>
    <w:rsid w:val="00A61E45"/>
    <w:rsid w:val="00A61FAE"/>
    <w:rsid w:val="00A6201B"/>
    <w:rsid w:val="00A6202D"/>
    <w:rsid w:val="00A6231E"/>
    <w:rsid w:val="00A6234E"/>
    <w:rsid w:val="00A624EB"/>
    <w:rsid w:val="00A62649"/>
    <w:rsid w:val="00A62ADB"/>
    <w:rsid w:val="00A62C49"/>
    <w:rsid w:val="00A62C82"/>
    <w:rsid w:val="00A62D45"/>
    <w:rsid w:val="00A63090"/>
    <w:rsid w:val="00A6317B"/>
    <w:rsid w:val="00A631CF"/>
    <w:rsid w:val="00A631F0"/>
    <w:rsid w:val="00A63200"/>
    <w:rsid w:val="00A633FA"/>
    <w:rsid w:val="00A63467"/>
    <w:rsid w:val="00A63844"/>
    <w:rsid w:val="00A6387D"/>
    <w:rsid w:val="00A63969"/>
    <w:rsid w:val="00A63AB8"/>
    <w:rsid w:val="00A63BD6"/>
    <w:rsid w:val="00A63C01"/>
    <w:rsid w:val="00A63C18"/>
    <w:rsid w:val="00A63C7B"/>
    <w:rsid w:val="00A64036"/>
    <w:rsid w:val="00A6411E"/>
    <w:rsid w:val="00A6415A"/>
    <w:rsid w:val="00A641E0"/>
    <w:rsid w:val="00A64283"/>
    <w:rsid w:val="00A6452E"/>
    <w:rsid w:val="00A6455D"/>
    <w:rsid w:val="00A647A4"/>
    <w:rsid w:val="00A64845"/>
    <w:rsid w:val="00A649D1"/>
    <w:rsid w:val="00A64A32"/>
    <w:rsid w:val="00A64CC5"/>
    <w:rsid w:val="00A64D3D"/>
    <w:rsid w:val="00A64F6D"/>
    <w:rsid w:val="00A650D4"/>
    <w:rsid w:val="00A6524E"/>
    <w:rsid w:val="00A653A0"/>
    <w:rsid w:val="00A65420"/>
    <w:rsid w:val="00A654A1"/>
    <w:rsid w:val="00A654C0"/>
    <w:rsid w:val="00A654C6"/>
    <w:rsid w:val="00A65585"/>
    <w:rsid w:val="00A655D8"/>
    <w:rsid w:val="00A6575C"/>
    <w:rsid w:val="00A6588B"/>
    <w:rsid w:val="00A65941"/>
    <w:rsid w:val="00A659E9"/>
    <w:rsid w:val="00A65A54"/>
    <w:rsid w:val="00A65AD6"/>
    <w:rsid w:val="00A65BC4"/>
    <w:rsid w:val="00A65BF3"/>
    <w:rsid w:val="00A65D03"/>
    <w:rsid w:val="00A65D45"/>
    <w:rsid w:val="00A65D78"/>
    <w:rsid w:val="00A65DD6"/>
    <w:rsid w:val="00A65DDB"/>
    <w:rsid w:val="00A65F8E"/>
    <w:rsid w:val="00A65F98"/>
    <w:rsid w:val="00A66174"/>
    <w:rsid w:val="00A66210"/>
    <w:rsid w:val="00A662D7"/>
    <w:rsid w:val="00A66658"/>
    <w:rsid w:val="00A6669E"/>
    <w:rsid w:val="00A666B3"/>
    <w:rsid w:val="00A6672D"/>
    <w:rsid w:val="00A6681E"/>
    <w:rsid w:val="00A669F2"/>
    <w:rsid w:val="00A66B2B"/>
    <w:rsid w:val="00A66B78"/>
    <w:rsid w:val="00A66CE8"/>
    <w:rsid w:val="00A66E3C"/>
    <w:rsid w:val="00A66FFA"/>
    <w:rsid w:val="00A67347"/>
    <w:rsid w:val="00A673EE"/>
    <w:rsid w:val="00A6755A"/>
    <w:rsid w:val="00A67A3E"/>
    <w:rsid w:val="00A67A97"/>
    <w:rsid w:val="00A67BBF"/>
    <w:rsid w:val="00A67C47"/>
    <w:rsid w:val="00A67DC5"/>
    <w:rsid w:val="00A67DD8"/>
    <w:rsid w:val="00A700F6"/>
    <w:rsid w:val="00A70222"/>
    <w:rsid w:val="00A7042A"/>
    <w:rsid w:val="00A706B6"/>
    <w:rsid w:val="00A707C6"/>
    <w:rsid w:val="00A707E8"/>
    <w:rsid w:val="00A709B1"/>
    <w:rsid w:val="00A70B40"/>
    <w:rsid w:val="00A70D54"/>
    <w:rsid w:val="00A7100B"/>
    <w:rsid w:val="00A710F4"/>
    <w:rsid w:val="00A711DB"/>
    <w:rsid w:val="00A71232"/>
    <w:rsid w:val="00A71233"/>
    <w:rsid w:val="00A71344"/>
    <w:rsid w:val="00A71348"/>
    <w:rsid w:val="00A713D4"/>
    <w:rsid w:val="00A7145C"/>
    <w:rsid w:val="00A7174A"/>
    <w:rsid w:val="00A717A6"/>
    <w:rsid w:val="00A718D8"/>
    <w:rsid w:val="00A719ED"/>
    <w:rsid w:val="00A719F7"/>
    <w:rsid w:val="00A71E7E"/>
    <w:rsid w:val="00A72174"/>
    <w:rsid w:val="00A72239"/>
    <w:rsid w:val="00A72392"/>
    <w:rsid w:val="00A725AD"/>
    <w:rsid w:val="00A72751"/>
    <w:rsid w:val="00A728DE"/>
    <w:rsid w:val="00A7298A"/>
    <w:rsid w:val="00A72A8F"/>
    <w:rsid w:val="00A72AC3"/>
    <w:rsid w:val="00A72B87"/>
    <w:rsid w:val="00A72C24"/>
    <w:rsid w:val="00A73046"/>
    <w:rsid w:val="00A730A6"/>
    <w:rsid w:val="00A730CB"/>
    <w:rsid w:val="00A730D9"/>
    <w:rsid w:val="00A73125"/>
    <w:rsid w:val="00A73144"/>
    <w:rsid w:val="00A731BF"/>
    <w:rsid w:val="00A73283"/>
    <w:rsid w:val="00A733DB"/>
    <w:rsid w:val="00A733F6"/>
    <w:rsid w:val="00A735F1"/>
    <w:rsid w:val="00A735F8"/>
    <w:rsid w:val="00A73673"/>
    <w:rsid w:val="00A73704"/>
    <w:rsid w:val="00A73757"/>
    <w:rsid w:val="00A737E0"/>
    <w:rsid w:val="00A73807"/>
    <w:rsid w:val="00A7396E"/>
    <w:rsid w:val="00A739E3"/>
    <w:rsid w:val="00A73AEC"/>
    <w:rsid w:val="00A73BCD"/>
    <w:rsid w:val="00A73CC6"/>
    <w:rsid w:val="00A73D03"/>
    <w:rsid w:val="00A73D2E"/>
    <w:rsid w:val="00A73EE1"/>
    <w:rsid w:val="00A73F18"/>
    <w:rsid w:val="00A73F30"/>
    <w:rsid w:val="00A740F1"/>
    <w:rsid w:val="00A741B6"/>
    <w:rsid w:val="00A741D0"/>
    <w:rsid w:val="00A74278"/>
    <w:rsid w:val="00A74304"/>
    <w:rsid w:val="00A7430C"/>
    <w:rsid w:val="00A7431D"/>
    <w:rsid w:val="00A744E5"/>
    <w:rsid w:val="00A745B1"/>
    <w:rsid w:val="00A745CD"/>
    <w:rsid w:val="00A74694"/>
    <w:rsid w:val="00A7477F"/>
    <w:rsid w:val="00A74887"/>
    <w:rsid w:val="00A748A7"/>
    <w:rsid w:val="00A748E5"/>
    <w:rsid w:val="00A74D79"/>
    <w:rsid w:val="00A74F2B"/>
    <w:rsid w:val="00A74F31"/>
    <w:rsid w:val="00A750E8"/>
    <w:rsid w:val="00A7522B"/>
    <w:rsid w:val="00A753B9"/>
    <w:rsid w:val="00A753CD"/>
    <w:rsid w:val="00A75755"/>
    <w:rsid w:val="00A7575B"/>
    <w:rsid w:val="00A757E9"/>
    <w:rsid w:val="00A75858"/>
    <w:rsid w:val="00A75A20"/>
    <w:rsid w:val="00A75A4A"/>
    <w:rsid w:val="00A75B7F"/>
    <w:rsid w:val="00A75CC4"/>
    <w:rsid w:val="00A75D63"/>
    <w:rsid w:val="00A75DCA"/>
    <w:rsid w:val="00A7625E"/>
    <w:rsid w:val="00A7634B"/>
    <w:rsid w:val="00A7646F"/>
    <w:rsid w:val="00A765F9"/>
    <w:rsid w:val="00A76669"/>
    <w:rsid w:val="00A7667D"/>
    <w:rsid w:val="00A7685D"/>
    <w:rsid w:val="00A76A0C"/>
    <w:rsid w:val="00A76C1D"/>
    <w:rsid w:val="00A76C3B"/>
    <w:rsid w:val="00A76E77"/>
    <w:rsid w:val="00A76F7E"/>
    <w:rsid w:val="00A771CC"/>
    <w:rsid w:val="00A771E8"/>
    <w:rsid w:val="00A77253"/>
    <w:rsid w:val="00A77291"/>
    <w:rsid w:val="00A77437"/>
    <w:rsid w:val="00A7754C"/>
    <w:rsid w:val="00A775E1"/>
    <w:rsid w:val="00A77B2E"/>
    <w:rsid w:val="00A77CF0"/>
    <w:rsid w:val="00A77D76"/>
    <w:rsid w:val="00A77E04"/>
    <w:rsid w:val="00A77F6B"/>
    <w:rsid w:val="00A77F6F"/>
    <w:rsid w:val="00A7A64E"/>
    <w:rsid w:val="00A80350"/>
    <w:rsid w:val="00A803A4"/>
    <w:rsid w:val="00A803B0"/>
    <w:rsid w:val="00A803BB"/>
    <w:rsid w:val="00A8060E"/>
    <w:rsid w:val="00A80673"/>
    <w:rsid w:val="00A8088A"/>
    <w:rsid w:val="00A808A4"/>
    <w:rsid w:val="00A808A5"/>
    <w:rsid w:val="00A80999"/>
    <w:rsid w:val="00A80A9A"/>
    <w:rsid w:val="00A80B9C"/>
    <w:rsid w:val="00A80BA5"/>
    <w:rsid w:val="00A80CD4"/>
    <w:rsid w:val="00A80F30"/>
    <w:rsid w:val="00A80F46"/>
    <w:rsid w:val="00A80FC5"/>
    <w:rsid w:val="00A8103B"/>
    <w:rsid w:val="00A81062"/>
    <w:rsid w:val="00A813B2"/>
    <w:rsid w:val="00A814AF"/>
    <w:rsid w:val="00A8161D"/>
    <w:rsid w:val="00A81AB0"/>
    <w:rsid w:val="00A81AB1"/>
    <w:rsid w:val="00A81B0E"/>
    <w:rsid w:val="00A81C0B"/>
    <w:rsid w:val="00A81C36"/>
    <w:rsid w:val="00A81CE7"/>
    <w:rsid w:val="00A81D32"/>
    <w:rsid w:val="00A81E2F"/>
    <w:rsid w:val="00A81E31"/>
    <w:rsid w:val="00A81E49"/>
    <w:rsid w:val="00A82020"/>
    <w:rsid w:val="00A823B6"/>
    <w:rsid w:val="00A823EE"/>
    <w:rsid w:val="00A82479"/>
    <w:rsid w:val="00A824DC"/>
    <w:rsid w:val="00A824E9"/>
    <w:rsid w:val="00A82540"/>
    <w:rsid w:val="00A82800"/>
    <w:rsid w:val="00A82869"/>
    <w:rsid w:val="00A829F2"/>
    <w:rsid w:val="00A82B88"/>
    <w:rsid w:val="00A82B92"/>
    <w:rsid w:val="00A82C68"/>
    <w:rsid w:val="00A82E7F"/>
    <w:rsid w:val="00A82F84"/>
    <w:rsid w:val="00A832BE"/>
    <w:rsid w:val="00A8335E"/>
    <w:rsid w:val="00A833A5"/>
    <w:rsid w:val="00A835F6"/>
    <w:rsid w:val="00A83633"/>
    <w:rsid w:val="00A837CA"/>
    <w:rsid w:val="00A837F5"/>
    <w:rsid w:val="00A83E79"/>
    <w:rsid w:val="00A83EF3"/>
    <w:rsid w:val="00A83F20"/>
    <w:rsid w:val="00A83F62"/>
    <w:rsid w:val="00A84112"/>
    <w:rsid w:val="00A841BF"/>
    <w:rsid w:val="00A84212"/>
    <w:rsid w:val="00A842D3"/>
    <w:rsid w:val="00A845E4"/>
    <w:rsid w:val="00A84634"/>
    <w:rsid w:val="00A8465A"/>
    <w:rsid w:val="00A8499A"/>
    <w:rsid w:val="00A84A37"/>
    <w:rsid w:val="00A84B09"/>
    <w:rsid w:val="00A84FED"/>
    <w:rsid w:val="00A854CC"/>
    <w:rsid w:val="00A858EE"/>
    <w:rsid w:val="00A85936"/>
    <w:rsid w:val="00A8598A"/>
    <w:rsid w:val="00A859E4"/>
    <w:rsid w:val="00A85A10"/>
    <w:rsid w:val="00A85A48"/>
    <w:rsid w:val="00A85C4D"/>
    <w:rsid w:val="00A85CB8"/>
    <w:rsid w:val="00A85D72"/>
    <w:rsid w:val="00A85E40"/>
    <w:rsid w:val="00A85F3B"/>
    <w:rsid w:val="00A85FDC"/>
    <w:rsid w:val="00A860C4"/>
    <w:rsid w:val="00A86138"/>
    <w:rsid w:val="00A86351"/>
    <w:rsid w:val="00A8639B"/>
    <w:rsid w:val="00A86659"/>
    <w:rsid w:val="00A8674F"/>
    <w:rsid w:val="00A8677E"/>
    <w:rsid w:val="00A86859"/>
    <w:rsid w:val="00A86923"/>
    <w:rsid w:val="00A86A5D"/>
    <w:rsid w:val="00A86A63"/>
    <w:rsid w:val="00A86EBB"/>
    <w:rsid w:val="00A87078"/>
    <w:rsid w:val="00A872D1"/>
    <w:rsid w:val="00A873CF"/>
    <w:rsid w:val="00A87466"/>
    <w:rsid w:val="00A87591"/>
    <w:rsid w:val="00A875D2"/>
    <w:rsid w:val="00A879F8"/>
    <w:rsid w:val="00A87A28"/>
    <w:rsid w:val="00A87A43"/>
    <w:rsid w:val="00A87CCA"/>
    <w:rsid w:val="00A87D29"/>
    <w:rsid w:val="00A87EF2"/>
    <w:rsid w:val="00A90066"/>
    <w:rsid w:val="00A9020C"/>
    <w:rsid w:val="00A90419"/>
    <w:rsid w:val="00A906C8"/>
    <w:rsid w:val="00A90B6E"/>
    <w:rsid w:val="00A90B74"/>
    <w:rsid w:val="00A90C4C"/>
    <w:rsid w:val="00A90D1E"/>
    <w:rsid w:val="00A90E0D"/>
    <w:rsid w:val="00A90F26"/>
    <w:rsid w:val="00A90FEF"/>
    <w:rsid w:val="00A90FFD"/>
    <w:rsid w:val="00A91042"/>
    <w:rsid w:val="00A91186"/>
    <w:rsid w:val="00A911F7"/>
    <w:rsid w:val="00A91323"/>
    <w:rsid w:val="00A91358"/>
    <w:rsid w:val="00A91508"/>
    <w:rsid w:val="00A91593"/>
    <w:rsid w:val="00A915BC"/>
    <w:rsid w:val="00A915DB"/>
    <w:rsid w:val="00A917BD"/>
    <w:rsid w:val="00A9181C"/>
    <w:rsid w:val="00A91B2D"/>
    <w:rsid w:val="00A91B79"/>
    <w:rsid w:val="00A91C38"/>
    <w:rsid w:val="00A91D9D"/>
    <w:rsid w:val="00A91E05"/>
    <w:rsid w:val="00A91ED8"/>
    <w:rsid w:val="00A92042"/>
    <w:rsid w:val="00A920C2"/>
    <w:rsid w:val="00A9219F"/>
    <w:rsid w:val="00A9221A"/>
    <w:rsid w:val="00A924E7"/>
    <w:rsid w:val="00A925FF"/>
    <w:rsid w:val="00A927B7"/>
    <w:rsid w:val="00A927EF"/>
    <w:rsid w:val="00A92873"/>
    <w:rsid w:val="00A9292A"/>
    <w:rsid w:val="00A929DB"/>
    <w:rsid w:val="00A92B57"/>
    <w:rsid w:val="00A92DC8"/>
    <w:rsid w:val="00A92E35"/>
    <w:rsid w:val="00A9300C"/>
    <w:rsid w:val="00A93063"/>
    <w:rsid w:val="00A9311F"/>
    <w:rsid w:val="00A93157"/>
    <w:rsid w:val="00A93367"/>
    <w:rsid w:val="00A93522"/>
    <w:rsid w:val="00A935AC"/>
    <w:rsid w:val="00A935BE"/>
    <w:rsid w:val="00A936F3"/>
    <w:rsid w:val="00A93736"/>
    <w:rsid w:val="00A9380E"/>
    <w:rsid w:val="00A938AB"/>
    <w:rsid w:val="00A938C8"/>
    <w:rsid w:val="00A938CE"/>
    <w:rsid w:val="00A93A46"/>
    <w:rsid w:val="00A93B79"/>
    <w:rsid w:val="00A93BC4"/>
    <w:rsid w:val="00A93FAB"/>
    <w:rsid w:val="00A942CA"/>
    <w:rsid w:val="00A942EE"/>
    <w:rsid w:val="00A94335"/>
    <w:rsid w:val="00A9436B"/>
    <w:rsid w:val="00A9440F"/>
    <w:rsid w:val="00A944AB"/>
    <w:rsid w:val="00A9461C"/>
    <w:rsid w:val="00A9474C"/>
    <w:rsid w:val="00A94A50"/>
    <w:rsid w:val="00A94B69"/>
    <w:rsid w:val="00A94CDA"/>
    <w:rsid w:val="00A94F7B"/>
    <w:rsid w:val="00A94FBB"/>
    <w:rsid w:val="00A95154"/>
    <w:rsid w:val="00A9516E"/>
    <w:rsid w:val="00A951A3"/>
    <w:rsid w:val="00A952C2"/>
    <w:rsid w:val="00A95349"/>
    <w:rsid w:val="00A953F5"/>
    <w:rsid w:val="00A95570"/>
    <w:rsid w:val="00A9568F"/>
    <w:rsid w:val="00A956FD"/>
    <w:rsid w:val="00A957DD"/>
    <w:rsid w:val="00A95C04"/>
    <w:rsid w:val="00A95D10"/>
    <w:rsid w:val="00A95DF1"/>
    <w:rsid w:val="00A95EB0"/>
    <w:rsid w:val="00A96289"/>
    <w:rsid w:val="00A962CF"/>
    <w:rsid w:val="00A96416"/>
    <w:rsid w:val="00A96435"/>
    <w:rsid w:val="00A966C4"/>
    <w:rsid w:val="00A96722"/>
    <w:rsid w:val="00A9681E"/>
    <w:rsid w:val="00A968BC"/>
    <w:rsid w:val="00A96934"/>
    <w:rsid w:val="00A9693B"/>
    <w:rsid w:val="00A96C31"/>
    <w:rsid w:val="00A96C50"/>
    <w:rsid w:val="00A96F97"/>
    <w:rsid w:val="00A9703E"/>
    <w:rsid w:val="00A971B8"/>
    <w:rsid w:val="00A9741F"/>
    <w:rsid w:val="00A97634"/>
    <w:rsid w:val="00A9764B"/>
    <w:rsid w:val="00A976F6"/>
    <w:rsid w:val="00A97A47"/>
    <w:rsid w:val="00A97CE7"/>
    <w:rsid w:val="00A97F27"/>
    <w:rsid w:val="00AA01D2"/>
    <w:rsid w:val="00AA0288"/>
    <w:rsid w:val="00AA0334"/>
    <w:rsid w:val="00AA03D2"/>
    <w:rsid w:val="00AA040E"/>
    <w:rsid w:val="00AA041E"/>
    <w:rsid w:val="00AA0719"/>
    <w:rsid w:val="00AA074E"/>
    <w:rsid w:val="00AA0B0D"/>
    <w:rsid w:val="00AA0B90"/>
    <w:rsid w:val="00AA0C35"/>
    <w:rsid w:val="00AA0D53"/>
    <w:rsid w:val="00AA0D81"/>
    <w:rsid w:val="00AA1114"/>
    <w:rsid w:val="00AA1213"/>
    <w:rsid w:val="00AA12FF"/>
    <w:rsid w:val="00AA1332"/>
    <w:rsid w:val="00AA1348"/>
    <w:rsid w:val="00AA17A9"/>
    <w:rsid w:val="00AA17F6"/>
    <w:rsid w:val="00AA18DC"/>
    <w:rsid w:val="00AA1A45"/>
    <w:rsid w:val="00AA1ACD"/>
    <w:rsid w:val="00AA1AF4"/>
    <w:rsid w:val="00AA1D9D"/>
    <w:rsid w:val="00AA1EA0"/>
    <w:rsid w:val="00AA1F53"/>
    <w:rsid w:val="00AA1F59"/>
    <w:rsid w:val="00AA1FCE"/>
    <w:rsid w:val="00AA2149"/>
    <w:rsid w:val="00AA223B"/>
    <w:rsid w:val="00AA23A3"/>
    <w:rsid w:val="00AA28BF"/>
    <w:rsid w:val="00AA2C81"/>
    <w:rsid w:val="00AA2DAF"/>
    <w:rsid w:val="00AA2DE6"/>
    <w:rsid w:val="00AA32D9"/>
    <w:rsid w:val="00AA331E"/>
    <w:rsid w:val="00AA350F"/>
    <w:rsid w:val="00AA36FB"/>
    <w:rsid w:val="00AA37FA"/>
    <w:rsid w:val="00AA383F"/>
    <w:rsid w:val="00AA3850"/>
    <w:rsid w:val="00AA38B8"/>
    <w:rsid w:val="00AA391D"/>
    <w:rsid w:val="00AA3975"/>
    <w:rsid w:val="00AA3BB4"/>
    <w:rsid w:val="00AA3C21"/>
    <w:rsid w:val="00AA3C3A"/>
    <w:rsid w:val="00AA3D76"/>
    <w:rsid w:val="00AA3DDF"/>
    <w:rsid w:val="00AA4167"/>
    <w:rsid w:val="00AA41B5"/>
    <w:rsid w:val="00AA43B7"/>
    <w:rsid w:val="00AA44E5"/>
    <w:rsid w:val="00AA45D3"/>
    <w:rsid w:val="00AA45E3"/>
    <w:rsid w:val="00AA46ED"/>
    <w:rsid w:val="00AA4AA6"/>
    <w:rsid w:val="00AA4D6A"/>
    <w:rsid w:val="00AA4DD8"/>
    <w:rsid w:val="00AA4F5E"/>
    <w:rsid w:val="00AA4F74"/>
    <w:rsid w:val="00AA5179"/>
    <w:rsid w:val="00AA529D"/>
    <w:rsid w:val="00AA53D3"/>
    <w:rsid w:val="00AA545F"/>
    <w:rsid w:val="00AA5678"/>
    <w:rsid w:val="00AA5809"/>
    <w:rsid w:val="00AA584C"/>
    <w:rsid w:val="00AA5B2E"/>
    <w:rsid w:val="00AA5B36"/>
    <w:rsid w:val="00AA5C6A"/>
    <w:rsid w:val="00AA5DB6"/>
    <w:rsid w:val="00AA616A"/>
    <w:rsid w:val="00AA616E"/>
    <w:rsid w:val="00AA61B0"/>
    <w:rsid w:val="00AA61C7"/>
    <w:rsid w:val="00AA622D"/>
    <w:rsid w:val="00AA6291"/>
    <w:rsid w:val="00AA6292"/>
    <w:rsid w:val="00AA62C9"/>
    <w:rsid w:val="00AA63D2"/>
    <w:rsid w:val="00AA640D"/>
    <w:rsid w:val="00AA65E2"/>
    <w:rsid w:val="00AA6847"/>
    <w:rsid w:val="00AA6A8F"/>
    <w:rsid w:val="00AA6D3B"/>
    <w:rsid w:val="00AA716C"/>
    <w:rsid w:val="00AA7194"/>
    <w:rsid w:val="00AA72E7"/>
    <w:rsid w:val="00AA74A6"/>
    <w:rsid w:val="00AA75C2"/>
    <w:rsid w:val="00AA770F"/>
    <w:rsid w:val="00AA77BA"/>
    <w:rsid w:val="00AA7989"/>
    <w:rsid w:val="00AA7A25"/>
    <w:rsid w:val="00AA7C85"/>
    <w:rsid w:val="00AA7CB3"/>
    <w:rsid w:val="00AA7D08"/>
    <w:rsid w:val="00AB0208"/>
    <w:rsid w:val="00AB022E"/>
    <w:rsid w:val="00AB0430"/>
    <w:rsid w:val="00AB05F2"/>
    <w:rsid w:val="00AB0605"/>
    <w:rsid w:val="00AB0691"/>
    <w:rsid w:val="00AB06E7"/>
    <w:rsid w:val="00AB07D1"/>
    <w:rsid w:val="00AB084A"/>
    <w:rsid w:val="00AB0865"/>
    <w:rsid w:val="00AB08B5"/>
    <w:rsid w:val="00AB098B"/>
    <w:rsid w:val="00AB09EA"/>
    <w:rsid w:val="00AB0A73"/>
    <w:rsid w:val="00AB0C03"/>
    <w:rsid w:val="00AB0C10"/>
    <w:rsid w:val="00AB0DEA"/>
    <w:rsid w:val="00AB1099"/>
    <w:rsid w:val="00AB1328"/>
    <w:rsid w:val="00AB1335"/>
    <w:rsid w:val="00AB1554"/>
    <w:rsid w:val="00AB1749"/>
    <w:rsid w:val="00AB183C"/>
    <w:rsid w:val="00AB1984"/>
    <w:rsid w:val="00AB19E8"/>
    <w:rsid w:val="00AB19FA"/>
    <w:rsid w:val="00AB1CF0"/>
    <w:rsid w:val="00AB1FD4"/>
    <w:rsid w:val="00AB2131"/>
    <w:rsid w:val="00AB21FB"/>
    <w:rsid w:val="00AB25A3"/>
    <w:rsid w:val="00AB25B6"/>
    <w:rsid w:val="00AB2672"/>
    <w:rsid w:val="00AB26C9"/>
    <w:rsid w:val="00AB27AB"/>
    <w:rsid w:val="00AB27FA"/>
    <w:rsid w:val="00AB290B"/>
    <w:rsid w:val="00AB2A1A"/>
    <w:rsid w:val="00AB2A95"/>
    <w:rsid w:val="00AB2BD6"/>
    <w:rsid w:val="00AB2E05"/>
    <w:rsid w:val="00AB2EE9"/>
    <w:rsid w:val="00AB2F69"/>
    <w:rsid w:val="00AB2FD3"/>
    <w:rsid w:val="00AB311F"/>
    <w:rsid w:val="00AB3214"/>
    <w:rsid w:val="00AB3253"/>
    <w:rsid w:val="00AB332A"/>
    <w:rsid w:val="00AB342F"/>
    <w:rsid w:val="00AB3453"/>
    <w:rsid w:val="00AB34D0"/>
    <w:rsid w:val="00AB3761"/>
    <w:rsid w:val="00AB3B6C"/>
    <w:rsid w:val="00AB3B74"/>
    <w:rsid w:val="00AB3D28"/>
    <w:rsid w:val="00AB3E63"/>
    <w:rsid w:val="00AB401D"/>
    <w:rsid w:val="00AB4038"/>
    <w:rsid w:val="00AB4049"/>
    <w:rsid w:val="00AB43C2"/>
    <w:rsid w:val="00AB441A"/>
    <w:rsid w:val="00AB441E"/>
    <w:rsid w:val="00AB4596"/>
    <w:rsid w:val="00AB45B4"/>
    <w:rsid w:val="00AB49DD"/>
    <w:rsid w:val="00AB4B81"/>
    <w:rsid w:val="00AB4CE3"/>
    <w:rsid w:val="00AB4E56"/>
    <w:rsid w:val="00AB52E5"/>
    <w:rsid w:val="00AB54D3"/>
    <w:rsid w:val="00AB55D8"/>
    <w:rsid w:val="00AB55DB"/>
    <w:rsid w:val="00AB55E0"/>
    <w:rsid w:val="00AB5698"/>
    <w:rsid w:val="00AB5720"/>
    <w:rsid w:val="00AB587C"/>
    <w:rsid w:val="00AB5952"/>
    <w:rsid w:val="00AB59DA"/>
    <w:rsid w:val="00AB5C87"/>
    <w:rsid w:val="00AB5FEF"/>
    <w:rsid w:val="00AB63E8"/>
    <w:rsid w:val="00AB6418"/>
    <w:rsid w:val="00AB66A3"/>
    <w:rsid w:val="00AB699A"/>
    <w:rsid w:val="00AB6C27"/>
    <w:rsid w:val="00AB6C5A"/>
    <w:rsid w:val="00AB6C86"/>
    <w:rsid w:val="00AB6DC4"/>
    <w:rsid w:val="00AB7278"/>
    <w:rsid w:val="00AB7462"/>
    <w:rsid w:val="00AB7573"/>
    <w:rsid w:val="00AB75FE"/>
    <w:rsid w:val="00AB77C1"/>
    <w:rsid w:val="00AB786F"/>
    <w:rsid w:val="00AB7C65"/>
    <w:rsid w:val="00AB7D03"/>
    <w:rsid w:val="00AB7D69"/>
    <w:rsid w:val="00AB7D8D"/>
    <w:rsid w:val="00AB7FC8"/>
    <w:rsid w:val="00AC00DD"/>
    <w:rsid w:val="00AC01C0"/>
    <w:rsid w:val="00AC0255"/>
    <w:rsid w:val="00AC048E"/>
    <w:rsid w:val="00AC05DB"/>
    <w:rsid w:val="00AC062D"/>
    <w:rsid w:val="00AC0901"/>
    <w:rsid w:val="00AC0919"/>
    <w:rsid w:val="00AC0A76"/>
    <w:rsid w:val="00AC0B04"/>
    <w:rsid w:val="00AC1126"/>
    <w:rsid w:val="00AC1260"/>
    <w:rsid w:val="00AC1306"/>
    <w:rsid w:val="00AC166D"/>
    <w:rsid w:val="00AC186C"/>
    <w:rsid w:val="00AC1ABF"/>
    <w:rsid w:val="00AC1E4B"/>
    <w:rsid w:val="00AC2142"/>
    <w:rsid w:val="00AC228C"/>
    <w:rsid w:val="00AC2380"/>
    <w:rsid w:val="00AC272F"/>
    <w:rsid w:val="00AC290D"/>
    <w:rsid w:val="00AC2A2D"/>
    <w:rsid w:val="00AC2A61"/>
    <w:rsid w:val="00AC2A9B"/>
    <w:rsid w:val="00AC2BEF"/>
    <w:rsid w:val="00AC2C2E"/>
    <w:rsid w:val="00AC2D4F"/>
    <w:rsid w:val="00AC2E21"/>
    <w:rsid w:val="00AC2ECC"/>
    <w:rsid w:val="00AC2FB9"/>
    <w:rsid w:val="00AC30D9"/>
    <w:rsid w:val="00AC3172"/>
    <w:rsid w:val="00AC327D"/>
    <w:rsid w:val="00AC3298"/>
    <w:rsid w:val="00AC35BD"/>
    <w:rsid w:val="00AC378E"/>
    <w:rsid w:val="00AC39BA"/>
    <w:rsid w:val="00AC39DB"/>
    <w:rsid w:val="00AC3C02"/>
    <w:rsid w:val="00AC413B"/>
    <w:rsid w:val="00AC41FC"/>
    <w:rsid w:val="00AC423B"/>
    <w:rsid w:val="00AC44EA"/>
    <w:rsid w:val="00AC4639"/>
    <w:rsid w:val="00AC46B7"/>
    <w:rsid w:val="00AC4712"/>
    <w:rsid w:val="00AC47A9"/>
    <w:rsid w:val="00AC49AE"/>
    <w:rsid w:val="00AC4B3E"/>
    <w:rsid w:val="00AC4B77"/>
    <w:rsid w:val="00AC4C36"/>
    <w:rsid w:val="00AC4CDB"/>
    <w:rsid w:val="00AC4D1B"/>
    <w:rsid w:val="00AC4ED2"/>
    <w:rsid w:val="00AC4F43"/>
    <w:rsid w:val="00AC510B"/>
    <w:rsid w:val="00AC5240"/>
    <w:rsid w:val="00AC54BF"/>
    <w:rsid w:val="00AC555D"/>
    <w:rsid w:val="00AC5560"/>
    <w:rsid w:val="00AC5756"/>
    <w:rsid w:val="00AC5786"/>
    <w:rsid w:val="00AC5BA7"/>
    <w:rsid w:val="00AC5BCA"/>
    <w:rsid w:val="00AC5F55"/>
    <w:rsid w:val="00AC5FD3"/>
    <w:rsid w:val="00AC603A"/>
    <w:rsid w:val="00AC608E"/>
    <w:rsid w:val="00AC60C0"/>
    <w:rsid w:val="00AC60ED"/>
    <w:rsid w:val="00AC60F0"/>
    <w:rsid w:val="00AC6198"/>
    <w:rsid w:val="00AC61D8"/>
    <w:rsid w:val="00AC63FF"/>
    <w:rsid w:val="00AC6611"/>
    <w:rsid w:val="00AC68A9"/>
    <w:rsid w:val="00AC699B"/>
    <w:rsid w:val="00AC69A1"/>
    <w:rsid w:val="00AC6AD5"/>
    <w:rsid w:val="00AC6B9A"/>
    <w:rsid w:val="00AC6E20"/>
    <w:rsid w:val="00AC6E98"/>
    <w:rsid w:val="00AC7053"/>
    <w:rsid w:val="00AC7076"/>
    <w:rsid w:val="00AC7189"/>
    <w:rsid w:val="00AC7242"/>
    <w:rsid w:val="00AC7256"/>
    <w:rsid w:val="00AC73CD"/>
    <w:rsid w:val="00AC74E0"/>
    <w:rsid w:val="00AC74F0"/>
    <w:rsid w:val="00AC75DA"/>
    <w:rsid w:val="00AC769A"/>
    <w:rsid w:val="00AC7748"/>
    <w:rsid w:val="00AC777C"/>
    <w:rsid w:val="00AC77CC"/>
    <w:rsid w:val="00AC78B3"/>
    <w:rsid w:val="00AC792E"/>
    <w:rsid w:val="00AC7A47"/>
    <w:rsid w:val="00AC7A58"/>
    <w:rsid w:val="00AC7EB6"/>
    <w:rsid w:val="00AC7F69"/>
    <w:rsid w:val="00AD00E9"/>
    <w:rsid w:val="00AD023F"/>
    <w:rsid w:val="00AD0283"/>
    <w:rsid w:val="00AD02C7"/>
    <w:rsid w:val="00AD05DC"/>
    <w:rsid w:val="00AD05F8"/>
    <w:rsid w:val="00AD096E"/>
    <w:rsid w:val="00AD0A33"/>
    <w:rsid w:val="00AD0A5D"/>
    <w:rsid w:val="00AD0A9B"/>
    <w:rsid w:val="00AD0E43"/>
    <w:rsid w:val="00AD10AB"/>
    <w:rsid w:val="00AD1144"/>
    <w:rsid w:val="00AD1433"/>
    <w:rsid w:val="00AD156E"/>
    <w:rsid w:val="00AD16D1"/>
    <w:rsid w:val="00AD16EC"/>
    <w:rsid w:val="00AD1B51"/>
    <w:rsid w:val="00AD1CE0"/>
    <w:rsid w:val="00AD1CE2"/>
    <w:rsid w:val="00AD1FCD"/>
    <w:rsid w:val="00AD2150"/>
    <w:rsid w:val="00AD2365"/>
    <w:rsid w:val="00AD2884"/>
    <w:rsid w:val="00AD28D6"/>
    <w:rsid w:val="00AD2921"/>
    <w:rsid w:val="00AD2B96"/>
    <w:rsid w:val="00AD2BBB"/>
    <w:rsid w:val="00AD2D07"/>
    <w:rsid w:val="00AD2D80"/>
    <w:rsid w:val="00AD2D93"/>
    <w:rsid w:val="00AD3103"/>
    <w:rsid w:val="00AD3143"/>
    <w:rsid w:val="00AD33F5"/>
    <w:rsid w:val="00AD34BF"/>
    <w:rsid w:val="00AD34CB"/>
    <w:rsid w:val="00AD360A"/>
    <w:rsid w:val="00AD3684"/>
    <w:rsid w:val="00AD3724"/>
    <w:rsid w:val="00AD373C"/>
    <w:rsid w:val="00AD3818"/>
    <w:rsid w:val="00AD3A87"/>
    <w:rsid w:val="00AD3A92"/>
    <w:rsid w:val="00AD3E00"/>
    <w:rsid w:val="00AD3ED8"/>
    <w:rsid w:val="00AD405B"/>
    <w:rsid w:val="00AD41FD"/>
    <w:rsid w:val="00AD4290"/>
    <w:rsid w:val="00AD4353"/>
    <w:rsid w:val="00AD4793"/>
    <w:rsid w:val="00AD486A"/>
    <w:rsid w:val="00AD4A3D"/>
    <w:rsid w:val="00AD4B36"/>
    <w:rsid w:val="00AD4B43"/>
    <w:rsid w:val="00AD4BA8"/>
    <w:rsid w:val="00AD4BF7"/>
    <w:rsid w:val="00AD4E01"/>
    <w:rsid w:val="00AD4E13"/>
    <w:rsid w:val="00AD4EB0"/>
    <w:rsid w:val="00AD4EDB"/>
    <w:rsid w:val="00AD4F9E"/>
    <w:rsid w:val="00AD509E"/>
    <w:rsid w:val="00AD515F"/>
    <w:rsid w:val="00AD52A8"/>
    <w:rsid w:val="00AD550F"/>
    <w:rsid w:val="00AD581F"/>
    <w:rsid w:val="00AD58C3"/>
    <w:rsid w:val="00AD5AA8"/>
    <w:rsid w:val="00AD5C25"/>
    <w:rsid w:val="00AD5C55"/>
    <w:rsid w:val="00AD5D5B"/>
    <w:rsid w:val="00AD5E17"/>
    <w:rsid w:val="00AD5FB0"/>
    <w:rsid w:val="00AD6004"/>
    <w:rsid w:val="00AD600B"/>
    <w:rsid w:val="00AD61EB"/>
    <w:rsid w:val="00AD6300"/>
    <w:rsid w:val="00AD6377"/>
    <w:rsid w:val="00AD6386"/>
    <w:rsid w:val="00AD6851"/>
    <w:rsid w:val="00AD686B"/>
    <w:rsid w:val="00AD69FF"/>
    <w:rsid w:val="00AD6A21"/>
    <w:rsid w:val="00AD6D10"/>
    <w:rsid w:val="00AD6D65"/>
    <w:rsid w:val="00AD6E8B"/>
    <w:rsid w:val="00AD6EDA"/>
    <w:rsid w:val="00AD7091"/>
    <w:rsid w:val="00AD71A4"/>
    <w:rsid w:val="00AD72C2"/>
    <w:rsid w:val="00AD738B"/>
    <w:rsid w:val="00AD73A9"/>
    <w:rsid w:val="00AD747D"/>
    <w:rsid w:val="00AD758F"/>
    <w:rsid w:val="00AD768E"/>
    <w:rsid w:val="00AD76B0"/>
    <w:rsid w:val="00AD76FC"/>
    <w:rsid w:val="00AD77D3"/>
    <w:rsid w:val="00AD79F3"/>
    <w:rsid w:val="00AD7C4C"/>
    <w:rsid w:val="00AD7C5F"/>
    <w:rsid w:val="00AD7C8B"/>
    <w:rsid w:val="00AD7DE0"/>
    <w:rsid w:val="00AD7FFA"/>
    <w:rsid w:val="00AE012C"/>
    <w:rsid w:val="00AE01F8"/>
    <w:rsid w:val="00AE029A"/>
    <w:rsid w:val="00AE0364"/>
    <w:rsid w:val="00AE03B5"/>
    <w:rsid w:val="00AE03F4"/>
    <w:rsid w:val="00AE0689"/>
    <w:rsid w:val="00AE06D3"/>
    <w:rsid w:val="00AE0784"/>
    <w:rsid w:val="00AE079A"/>
    <w:rsid w:val="00AE07A6"/>
    <w:rsid w:val="00AE080F"/>
    <w:rsid w:val="00AE081C"/>
    <w:rsid w:val="00AE093F"/>
    <w:rsid w:val="00AE09B2"/>
    <w:rsid w:val="00AE0B1D"/>
    <w:rsid w:val="00AE0C89"/>
    <w:rsid w:val="00AE0D6F"/>
    <w:rsid w:val="00AE0E99"/>
    <w:rsid w:val="00AE0FAB"/>
    <w:rsid w:val="00AE0FF5"/>
    <w:rsid w:val="00AE100B"/>
    <w:rsid w:val="00AE1255"/>
    <w:rsid w:val="00AE14AC"/>
    <w:rsid w:val="00AE14BC"/>
    <w:rsid w:val="00AE161D"/>
    <w:rsid w:val="00AE163B"/>
    <w:rsid w:val="00AE1649"/>
    <w:rsid w:val="00AE16A0"/>
    <w:rsid w:val="00AE1743"/>
    <w:rsid w:val="00AE184D"/>
    <w:rsid w:val="00AE185D"/>
    <w:rsid w:val="00AE1A14"/>
    <w:rsid w:val="00AE1B18"/>
    <w:rsid w:val="00AE1E80"/>
    <w:rsid w:val="00AE217D"/>
    <w:rsid w:val="00AE217E"/>
    <w:rsid w:val="00AE2212"/>
    <w:rsid w:val="00AE23CF"/>
    <w:rsid w:val="00AE27C6"/>
    <w:rsid w:val="00AE2AA1"/>
    <w:rsid w:val="00AE2AAB"/>
    <w:rsid w:val="00AE2B74"/>
    <w:rsid w:val="00AE2E13"/>
    <w:rsid w:val="00AE2E68"/>
    <w:rsid w:val="00AE2E95"/>
    <w:rsid w:val="00AE3028"/>
    <w:rsid w:val="00AE3147"/>
    <w:rsid w:val="00AE321D"/>
    <w:rsid w:val="00AE32BC"/>
    <w:rsid w:val="00AE3550"/>
    <w:rsid w:val="00AE357C"/>
    <w:rsid w:val="00AE376E"/>
    <w:rsid w:val="00AE3979"/>
    <w:rsid w:val="00AE39C0"/>
    <w:rsid w:val="00AE3A82"/>
    <w:rsid w:val="00AE3C81"/>
    <w:rsid w:val="00AE3D4E"/>
    <w:rsid w:val="00AE4077"/>
    <w:rsid w:val="00AE4141"/>
    <w:rsid w:val="00AE4353"/>
    <w:rsid w:val="00AE45AA"/>
    <w:rsid w:val="00AE46CD"/>
    <w:rsid w:val="00AE4AEA"/>
    <w:rsid w:val="00AE4B36"/>
    <w:rsid w:val="00AE4CD6"/>
    <w:rsid w:val="00AE4DAC"/>
    <w:rsid w:val="00AE4F91"/>
    <w:rsid w:val="00AE5081"/>
    <w:rsid w:val="00AE50DA"/>
    <w:rsid w:val="00AE50EE"/>
    <w:rsid w:val="00AE51C1"/>
    <w:rsid w:val="00AE537F"/>
    <w:rsid w:val="00AE5770"/>
    <w:rsid w:val="00AE57F6"/>
    <w:rsid w:val="00AE59F5"/>
    <w:rsid w:val="00AE5B20"/>
    <w:rsid w:val="00AE5B8D"/>
    <w:rsid w:val="00AE5D05"/>
    <w:rsid w:val="00AE5D7E"/>
    <w:rsid w:val="00AE5E5B"/>
    <w:rsid w:val="00AE5F0E"/>
    <w:rsid w:val="00AE5FDD"/>
    <w:rsid w:val="00AE6139"/>
    <w:rsid w:val="00AE64F9"/>
    <w:rsid w:val="00AE659C"/>
    <w:rsid w:val="00AE680F"/>
    <w:rsid w:val="00AE6991"/>
    <w:rsid w:val="00AE6994"/>
    <w:rsid w:val="00AE6E68"/>
    <w:rsid w:val="00AE7019"/>
    <w:rsid w:val="00AE701A"/>
    <w:rsid w:val="00AE712E"/>
    <w:rsid w:val="00AE7376"/>
    <w:rsid w:val="00AE73D8"/>
    <w:rsid w:val="00AE745E"/>
    <w:rsid w:val="00AE74A2"/>
    <w:rsid w:val="00AE765C"/>
    <w:rsid w:val="00AE7A05"/>
    <w:rsid w:val="00AE7A26"/>
    <w:rsid w:val="00AE7CC2"/>
    <w:rsid w:val="00AE7ED9"/>
    <w:rsid w:val="00AE7F2A"/>
    <w:rsid w:val="00AE7FF0"/>
    <w:rsid w:val="00AF0160"/>
    <w:rsid w:val="00AF03C9"/>
    <w:rsid w:val="00AF064B"/>
    <w:rsid w:val="00AF0C40"/>
    <w:rsid w:val="00AF0EAF"/>
    <w:rsid w:val="00AF10D7"/>
    <w:rsid w:val="00AF11EF"/>
    <w:rsid w:val="00AF1208"/>
    <w:rsid w:val="00AF13A3"/>
    <w:rsid w:val="00AF14A8"/>
    <w:rsid w:val="00AF17BF"/>
    <w:rsid w:val="00AF1915"/>
    <w:rsid w:val="00AF193A"/>
    <w:rsid w:val="00AF1EB2"/>
    <w:rsid w:val="00AF1F65"/>
    <w:rsid w:val="00AF1F7F"/>
    <w:rsid w:val="00AF2187"/>
    <w:rsid w:val="00AF2198"/>
    <w:rsid w:val="00AF22F6"/>
    <w:rsid w:val="00AF2383"/>
    <w:rsid w:val="00AF2A83"/>
    <w:rsid w:val="00AF2AEB"/>
    <w:rsid w:val="00AF2D11"/>
    <w:rsid w:val="00AF2E48"/>
    <w:rsid w:val="00AF2EA4"/>
    <w:rsid w:val="00AF2EA7"/>
    <w:rsid w:val="00AF3172"/>
    <w:rsid w:val="00AF324E"/>
    <w:rsid w:val="00AF3469"/>
    <w:rsid w:val="00AF3474"/>
    <w:rsid w:val="00AF34BA"/>
    <w:rsid w:val="00AF3543"/>
    <w:rsid w:val="00AF35D3"/>
    <w:rsid w:val="00AF3665"/>
    <w:rsid w:val="00AF3731"/>
    <w:rsid w:val="00AF3E70"/>
    <w:rsid w:val="00AF40C4"/>
    <w:rsid w:val="00AF424A"/>
    <w:rsid w:val="00AF43E0"/>
    <w:rsid w:val="00AF46A1"/>
    <w:rsid w:val="00AF47D5"/>
    <w:rsid w:val="00AF488F"/>
    <w:rsid w:val="00AF4939"/>
    <w:rsid w:val="00AF4ADE"/>
    <w:rsid w:val="00AF50DC"/>
    <w:rsid w:val="00AF50EE"/>
    <w:rsid w:val="00AF5218"/>
    <w:rsid w:val="00AF526B"/>
    <w:rsid w:val="00AF52AB"/>
    <w:rsid w:val="00AF530B"/>
    <w:rsid w:val="00AF53CE"/>
    <w:rsid w:val="00AF5448"/>
    <w:rsid w:val="00AF5590"/>
    <w:rsid w:val="00AF57C7"/>
    <w:rsid w:val="00AF59F8"/>
    <w:rsid w:val="00AF5C47"/>
    <w:rsid w:val="00AF5F82"/>
    <w:rsid w:val="00AF624C"/>
    <w:rsid w:val="00AF634E"/>
    <w:rsid w:val="00AF646A"/>
    <w:rsid w:val="00AF64DE"/>
    <w:rsid w:val="00AF6824"/>
    <w:rsid w:val="00AF68C0"/>
    <w:rsid w:val="00AF6CB1"/>
    <w:rsid w:val="00AF6DBA"/>
    <w:rsid w:val="00AF6EFD"/>
    <w:rsid w:val="00AF6F0B"/>
    <w:rsid w:val="00AF6F5C"/>
    <w:rsid w:val="00AF7092"/>
    <w:rsid w:val="00AF70B0"/>
    <w:rsid w:val="00AF713D"/>
    <w:rsid w:val="00AF71F7"/>
    <w:rsid w:val="00AF77C8"/>
    <w:rsid w:val="00AF7877"/>
    <w:rsid w:val="00AF792A"/>
    <w:rsid w:val="00AF7A74"/>
    <w:rsid w:val="00AF7B2D"/>
    <w:rsid w:val="00AF7B40"/>
    <w:rsid w:val="00AF7BA9"/>
    <w:rsid w:val="00AF7BAE"/>
    <w:rsid w:val="00AF7CF7"/>
    <w:rsid w:val="00AF7E60"/>
    <w:rsid w:val="00B00097"/>
    <w:rsid w:val="00B0019F"/>
    <w:rsid w:val="00B00273"/>
    <w:rsid w:val="00B0029D"/>
    <w:rsid w:val="00B00403"/>
    <w:rsid w:val="00B0049A"/>
    <w:rsid w:val="00B004CE"/>
    <w:rsid w:val="00B005CD"/>
    <w:rsid w:val="00B007D4"/>
    <w:rsid w:val="00B00C45"/>
    <w:rsid w:val="00B00DC8"/>
    <w:rsid w:val="00B00E24"/>
    <w:rsid w:val="00B00EDE"/>
    <w:rsid w:val="00B01268"/>
    <w:rsid w:val="00B012E5"/>
    <w:rsid w:val="00B013F5"/>
    <w:rsid w:val="00B015E9"/>
    <w:rsid w:val="00B01768"/>
    <w:rsid w:val="00B017A0"/>
    <w:rsid w:val="00B01836"/>
    <w:rsid w:val="00B0183C"/>
    <w:rsid w:val="00B018D8"/>
    <w:rsid w:val="00B018E2"/>
    <w:rsid w:val="00B01BB8"/>
    <w:rsid w:val="00B01C87"/>
    <w:rsid w:val="00B01DC9"/>
    <w:rsid w:val="00B01E7B"/>
    <w:rsid w:val="00B01FCF"/>
    <w:rsid w:val="00B01FFF"/>
    <w:rsid w:val="00B0207E"/>
    <w:rsid w:val="00B02154"/>
    <w:rsid w:val="00B02190"/>
    <w:rsid w:val="00B022E0"/>
    <w:rsid w:val="00B0261A"/>
    <w:rsid w:val="00B029AF"/>
    <w:rsid w:val="00B029C3"/>
    <w:rsid w:val="00B02E20"/>
    <w:rsid w:val="00B02E8B"/>
    <w:rsid w:val="00B02FAA"/>
    <w:rsid w:val="00B030B4"/>
    <w:rsid w:val="00B030E3"/>
    <w:rsid w:val="00B033D4"/>
    <w:rsid w:val="00B03479"/>
    <w:rsid w:val="00B034D4"/>
    <w:rsid w:val="00B036D5"/>
    <w:rsid w:val="00B0370F"/>
    <w:rsid w:val="00B037F1"/>
    <w:rsid w:val="00B03A8B"/>
    <w:rsid w:val="00B03B1A"/>
    <w:rsid w:val="00B03C2C"/>
    <w:rsid w:val="00B03C77"/>
    <w:rsid w:val="00B03CE3"/>
    <w:rsid w:val="00B03DCF"/>
    <w:rsid w:val="00B03E83"/>
    <w:rsid w:val="00B03F6C"/>
    <w:rsid w:val="00B042D7"/>
    <w:rsid w:val="00B04435"/>
    <w:rsid w:val="00B044DD"/>
    <w:rsid w:val="00B04527"/>
    <w:rsid w:val="00B04A87"/>
    <w:rsid w:val="00B04B93"/>
    <w:rsid w:val="00B04BE9"/>
    <w:rsid w:val="00B04E6E"/>
    <w:rsid w:val="00B04F1E"/>
    <w:rsid w:val="00B0502A"/>
    <w:rsid w:val="00B0520D"/>
    <w:rsid w:val="00B05315"/>
    <w:rsid w:val="00B055CA"/>
    <w:rsid w:val="00B05A1E"/>
    <w:rsid w:val="00B05ED7"/>
    <w:rsid w:val="00B05EFD"/>
    <w:rsid w:val="00B05FAC"/>
    <w:rsid w:val="00B0606E"/>
    <w:rsid w:val="00B0642E"/>
    <w:rsid w:val="00B06453"/>
    <w:rsid w:val="00B0649D"/>
    <w:rsid w:val="00B06500"/>
    <w:rsid w:val="00B06559"/>
    <w:rsid w:val="00B06738"/>
    <w:rsid w:val="00B06AD8"/>
    <w:rsid w:val="00B06BE9"/>
    <w:rsid w:val="00B06C30"/>
    <w:rsid w:val="00B06D3E"/>
    <w:rsid w:val="00B06D5E"/>
    <w:rsid w:val="00B06DF2"/>
    <w:rsid w:val="00B06F2C"/>
    <w:rsid w:val="00B06F68"/>
    <w:rsid w:val="00B070AE"/>
    <w:rsid w:val="00B0716A"/>
    <w:rsid w:val="00B0722F"/>
    <w:rsid w:val="00B0729B"/>
    <w:rsid w:val="00B075B1"/>
    <w:rsid w:val="00B076B4"/>
    <w:rsid w:val="00B07829"/>
    <w:rsid w:val="00B078A1"/>
    <w:rsid w:val="00B078C8"/>
    <w:rsid w:val="00B07A2E"/>
    <w:rsid w:val="00B07BF6"/>
    <w:rsid w:val="00B07C17"/>
    <w:rsid w:val="00B07C46"/>
    <w:rsid w:val="00B07C7E"/>
    <w:rsid w:val="00B07E0B"/>
    <w:rsid w:val="00B07EF5"/>
    <w:rsid w:val="00B101EF"/>
    <w:rsid w:val="00B102A1"/>
    <w:rsid w:val="00B10486"/>
    <w:rsid w:val="00B1068F"/>
    <w:rsid w:val="00B10704"/>
    <w:rsid w:val="00B10939"/>
    <w:rsid w:val="00B10B09"/>
    <w:rsid w:val="00B10B27"/>
    <w:rsid w:val="00B10C7E"/>
    <w:rsid w:val="00B1111F"/>
    <w:rsid w:val="00B11239"/>
    <w:rsid w:val="00B112BC"/>
    <w:rsid w:val="00B113AF"/>
    <w:rsid w:val="00B115DB"/>
    <w:rsid w:val="00B1164F"/>
    <w:rsid w:val="00B1169A"/>
    <w:rsid w:val="00B11941"/>
    <w:rsid w:val="00B12103"/>
    <w:rsid w:val="00B123DD"/>
    <w:rsid w:val="00B12562"/>
    <w:rsid w:val="00B12ABE"/>
    <w:rsid w:val="00B12B64"/>
    <w:rsid w:val="00B12BCC"/>
    <w:rsid w:val="00B12C5E"/>
    <w:rsid w:val="00B12D81"/>
    <w:rsid w:val="00B12E15"/>
    <w:rsid w:val="00B12E39"/>
    <w:rsid w:val="00B12E80"/>
    <w:rsid w:val="00B12FAD"/>
    <w:rsid w:val="00B13071"/>
    <w:rsid w:val="00B130C2"/>
    <w:rsid w:val="00B1317A"/>
    <w:rsid w:val="00B13213"/>
    <w:rsid w:val="00B13446"/>
    <w:rsid w:val="00B13502"/>
    <w:rsid w:val="00B135D8"/>
    <w:rsid w:val="00B1366B"/>
    <w:rsid w:val="00B138E7"/>
    <w:rsid w:val="00B13966"/>
    <w:rsid w:val="00B13A7A"/>
    <w:rsid w:val="00B13B4B"/>
    <w:rsid w:val="00B13CD6"/>
    <w:rsid w:val="00B13D4F"/>
    <w:rsid w:val="00B13FAD"/>
    <w:rsid w:val="00B14067"/>
    <w:rsid w:val="00B1406B"/>
    <w:rsid w:val="00B14158"/>
    <w:rsid w:val="00B1420E"/>
    <w:rsid w:val="00B142F5"/>
    <w:rsid w:val="00B1450B"/>
    <w:rsid w:val="00B14605"/>
    <w:rsid w:val="00B147E3"/>
    <w:rsid w:val="00B147FB"/>
    <w:rsid w:val="00B14AEA"/>
    <w:rsid w:val="00B14B4D"/>
    <w:rsid w:val="00B14D62"/>
    <w:rsid w:val="00B14D7C"/>
    <w:rsid w:val="00B14F44"/>
    <w:rsid w:val="00B1507B"/>
    <w:rsid w:val="00B151A9"/>
    <w:rsid w:val="00B151D1"/>
    <w:rsid w:val="00B151E6"/>
    <w:rsid w:val="00B15292"/>
    <w:rsid w:val="00B153D3"/>
    <w:rsid w:val="00B15800"/>
    <w:rsid w:val="00B15908"/>
    <w:rsid w:val="00B15911"/>
    <w:rsid w:val="00B15943"/>
    <w:rsid w:val="00B15969"/>
    <w:rsid w:val="00B15B14"/>
    <w:rsid w:val="00B15E2B"/>
    <w:rsid w:val="00B16154"/>
    <w:rsid w:val="00B16156"/>
    <w:rsid w:val="00B1647A"/>
    <w:rsid w:val="00B16603"/>
    <w:rsid w:val="00B166E9"/>
    <w:rsid w:val="00B16B30"/>
    <w:rsid w:val="00B16C59"/>
    <w:rsid w:val="00B16C7E"/>
    <w:rsid w:val="00B16D07"/>
    <w:rsid w:val="00B16F70"/>
    <w:rsid w:val="00B16FF0"/>
    <w:rsid w:val="00B170D8"/>
    <w:rsid w:val="00B17225"/>
    <w:rsid w:val="00B17308"/>
    <w:rsid w:val="00B1736C"/>
    <w:rsid w:val="00B174C7"/>
    <w:rsid w:val="00B1768D"/>
    <w:rsid w:val="00B176B3"/>
    <w:rsid w:val="00B179E1"/>
    <w:rsid w:val="00B179E7"/>
    <w:rsid w:val="00B17A0D"/>
    <w:rsid w:val="00B17A44"/>
    <w:rsid w:val="00B17A51"/>
    <w:rsid w:val="00B17F7C"/>
    <w:rsid w:val="00B200F8"/>
    <w:rsid w:val="00B2027C"/>
    <w:rsid w:val="00B2031D"/>
    <w:rsid w:val="00B205B0"/>
    <w:rsid w:val="00B206E7"/>
    <w:rsid w:val="00B20797"/>
    <w:rsid w:val="00B2080A"/>
    <w:rsid w:val="00B20817"/>
    <w:rsid w:val="00B20A05"/>
    <w:rsid w:val="00B20A87"/>
    <w:rsid w:val="00B20BC2"/>
    <w:rsid w:val="00B20C39"/>
    <w:rsid w:val="00B20E00"/>
    <w:rsid w:val="00B20F41"/>
    <w:rsid w:val="00B20FAB"/>
    <w:rsid w:val="00B210AF"/>
    <w:rsid w:val="00B21450"/>
    <w:rsid w:val="00B21586"/>
    <w:rsid w:val="00B2173B"/>
    <w:rsid w:val="00B21A48"/>
    <w:rsid w:val="00B21A6B"/>
    <w:rsid w:val="00B21BBE"/>
    <w:rsid w:val="00B21DA9"/>
    <w:rsid w:val="00B21E0B"/>
    <w:rsid w:val="00B22013"/>
    <w:rsid w:val="00B22243"/>
    <w:rsid w:val="00B223E2"/>
    <w:rsid w:val="00B224DF"/>
    <w:rsid w:val="00B22618"/>
    <w:rsid w:val="00B22669"/>
    <w:rsid w:val="00B22895"/>
    <w:rsid w:val="00B22C3B"/>
    <w:rsid w:val="00B22C8D"/>
    <w:rsid w:val="00B22CB5"/>
    <w:rsid w:val="00B22DB4"/>
    <w:rsid w:val="00B22DC1"/>
    <w:rsid w:val="00B22E07"/>
    <w:rsid w:val="00B230CA"/>
    <w:rsid w:val="00B23227"/>
    <w:rsid w:val="00B23394"/>
    <w:rsid w:val="00B23560"/>
    <w:rsid w:val="00B23588"/>
    <w:rsid w:val="00B23741"/>
    <w:rsid w:val="00B23747"/>
    <w:rsid w:val="00B23866"/>
    <w:rsid w:val="00B23910"/>
    <w:rsid w:val="00B239C7"/>
    <w:rsid w:val="00B23AD7"/>
    <w:rsid w:val="00B23BFF"/>
    <w:rsid w:val="00B23DE9"/>
    <w:rsid w:val="00B23EFD"/>
    <w:rsid w:val="00B23FB4"/>
    <w:rsid w:val="00B24254"/>
    <w:rsid w:val="00B24305"/>
    <w:rsid w:val="00B24313"/>
    <w:rsid w:val="00B2437C"/>
    <w:rsid w:val="00B2442F"/>
    <w:rsid w:val="00B245CE"/>
    <w:rsid w:val="00B245D5"/>
    <w:rsid w:val="00B2465F"/>
    <w:rsid w:val="00B246FF"/>
    <w:rsid w:val="00B24744"/>
    <w:rsid w:val="00B247DB"/>
    <w:rsid w:val="00B24849"/>
    <w:rsid w:val="00B24859"/>
    <w:rsid w:val="00B2494A"/>
    <w:rsid w:val="00B24BFE"/>
    <w:rsid w:val="00B24FA9"/>
    <w:rsid w:val="00B24FFF"/>
    <w:rsid w:val="00B2502B"/>
    <w:rsid w:val="00B25047"/>
    <w:rsid w:val="00B251F7"/>
    <w:rsid w:val="00B25306"/>
    <w:rsid w:val="00B25604"/>
    <w:rsid w:val="00B25687"/>
    <w:rsid w:val="00B257B8"/>
    <w:rsid w:val="00B257DF"/>
    <w:rsid w:val="00B25931"/>
    <w:rsid w:val="00B259A9"/>
    <w:rsid w:val="00B259F8"/>
    <w:rsid w:val="00B25B3F"/>
    <w:rsid w:val="00B25B5A"/>
    <w:rsid w:val="00B25B71"/>
    <w:rsid w:val="00B26242"/>
    <w:rsid w:val="00B2640D"/>
    <w:rsid w:val="00B26614"/>
    <w:rsid w:val="00B267E4"/>
    <w:rsid w:val="00B26814"/>
    <w:rsid w:val="00B26963"/>
    <w:rsid w:val="00B26AA2"/>
    <w:rsid w:val="00B26AA8"/>
    <w:rsid w:val="00B26CC7"/>
    <w:rsid w:val="00B27120"/>
    <w:rsid w:val="00B2712A"/>
    <w:rsid w:val="00B2736D"/>
    <w:rsid w:val="00B27649"/>
    <w:rsid w:val="00B2770A"/>
    <w:rsid w:val="00B27986"/>
    <w:rsid w:val="00B27A92"/>
    <w:rsid w:val="00B27D3A"/>
    <w:rsid w:val="00B27D91"/>
    <w:rsid w:val="00B27E36"/>
    <w:rsid w:val="00B27EC1"/>
    <w:rsid w:val="00B27FCD"/>
    <w:rsid w:val="00B2CEB4"/>
    <w:rsid w:val="00B30142"/>
    <w:rsid w:val="00B3031E"/>
    <w:rsid w:val="00B304BA"/>
    <w:rsid w:val="00B304DD"/>
    <w:rsid w:val="00B30655"/>
    <w:rsid w:val="00B30738"/>
    <w:rsid w:val="00B30A93"/>
    <w:rsid w:val="00B30D14"/>
    <w:rsid w:val="00B30ED1"/>
    <w:rsid w:val="00B31076"/>
    <w:rsid w:val="00B313C2"/>
    <w:rsid w:val="00B31481"/>
    <w:rsid w:val="00B3171A"/>
    <w:rsid w:val="00B31728"/>
    <w:rsid w:val="00B317D9"/>
    <w:rsid w:val="00B31A66"/>
    <w:rsid w:val="00B31ADC"/>
    <w:rsid w:val="00B31BD9"/>
    <w:rsid w:val="00B31D46"/>
    <w:rsid w:val="00B31D60"/>
    <w:rsid w:val="00B31F86"/>
    <w:rsid w:val="00B31FCD"/>
    <w:rsid w:val="00B3208C"/>
    <w:rsid w:val="00B3212F"/>
    <w:rsid w:val="00B3244C"/>
    <w:rsid w:val="00B3250B"/>
    <w:rsid w:val="00B32564"/>
    <w:rsid w:val="00B32847"/>
    <w:rsid w:val="00B32A59"/>
    <w:rsid w:val="00B32AC8"/>
    <w:rsid w:val="00B32B43"/>
    <w:rsid w:val="00B32C1D"/>
    <w:rsid w:val="00B32CF9"/>
    <w:rsid w:val="00B32F44"/>
    <w:rsid w:val="00B334DC"/>
    <w:rsid w:val="00B335EA"/>
    <w:rsid w:val="00B33733"/>
    <w:rsid w:val="00B338E6"/>
    <w:rsid w:val="00B33923"/>
    <w:rsid w:val="00B33A94"/>
    <w:rsid w:val="00B33CF3"/>
    <w:rsid w:val="00B33FC4"/>
    <w:rsid w:val="00B34127"/>
    <w:rsid w:val="00B3434E"/>
    <w:rsid w:val="00B34452"/>
    <w:rsid w:val="00B34592"/>
    <w:rsid w:val="00B345FC"/>
    <w:rsid w:val="00B34A78"/>
    <w:rsid w:val="00B34AE6"/>
    <w:rsid w:val="00B34BF6"/>
    <w:rsid w:val="00B34D97"/>
    <w:rsid w:val="00B34F85"/>
    <w:rsid w:val="00B35076"/>
    <w:rsid w:val="00B3507C"/>
    <w:rsid w:val="00B35112"/>
    <w:rsid w:val="00B3512E"/>
    <w:rsid w:val="00B354E1"/>
    <w:rsid w:val="00B35553"/>
    <w:rsid w:val="00B35565"/>
    <w:rsid w:val="00B3579F"/>
    <w:rsid w:val="00B357A9"/>
    <w:rsid w:val="00B3580D"/>
    <w:rsid w:val="00B358EC"/>
    <w:rsid w:val="00B35935"/>
    <w:rsid w:val="00B35D1D"/>
    <w:rsid w:val="00B35D79"/>
    <w:rsid w:val="00B36164"/>
    <w:rsid w:val="00B361B4"/>
    <w:rsid w:val="00B36211"/>
    <w:rsid w:val="00B36259"/>
    <w:rsid w:val="00B36311"/>
    <w:rsid w:val="00B36374"/>
    <w:rsid w:val="00B36492"/>
    <w:rsid w:val="00B36715"/>
    <w:rsid w:val="00B36747"/>
    <w:rsid w:val="00B36840"/>
    <w:rsid w:val="00B368BF"/>
    <w:rsid w:val="00B368C5"/>
    <w:rsid w:val="00B36AF8"/>
    <w:rsid w:val="00B36B7A"/>
    <w:rsid w:val="00B36CCD"/>
    <w:rsid w:val="00B36FA7"/>
    <w:rsid w:val="00B3709D"/>
    <w:rsid w:val="00B371C2"/>
    <w:rsid w:val="00B37214"/>
    <w:rsid w:val="00B37427"/>
    <w:rsid w:val="00B374C6"/>
    <w:rsid w:val="00B37A73"/>
    <w:rsid w:val="00B37B5E"/>
    <w:rsid w:val="00B37DA4"/>
    <w:rsid w:val="00B37ECC"/>
    <w:rsid w:val="00B37EE2"/>
    <w:rsid w:val="00B37F1C"/>
    <w:rsid w:val="00B37F6B"/>
    <w:rsid w:val="00B4014C"/>
    <w:rsid w:val="00B401D1"/>
    <w:rsid w:val="00B40294"/>
    <w:rsid w:val="00B403D9"/>
    <w:rsid w:val="00B4048A"/>
    <w:rsid w:val="00B405F2"/>
    <w:rsid w:val="00B4074F"/>
    <w:rsid w:val="00B4077F"/>
    <w:rsid w:val="00B40794"/>
    <w:rsid w:val="00B407CA"/>
    <w:rsid w:val="00B40AB1"/>
    <w:rsid w:val="00B40B09"/>
    <w:rsid w:val="00B40B27"/>
    <w:rsid w:val="00B40E59"/>
    <w:rsid w:val="00B40EF5"/>
    <w:rsid w:val="00B410BD"/>
    <w:rsid w:val="00B41173"/>
    <w:rsid w:val="00B41280"/>
    <w:rsid w:val="00B4128F"/>
    <w:rsid w:val="00B41337"/>
    <w:rsid w:val="00B4137F"/>
    <w:rsid w:val="00B414FA"/>
    <w:rsid w:val="00B415F1"/>
    <w:rsid w:val="00B417D1"/>
    <w:rsid w:val="00B41915"/>
    <w:rsid w:val="00B41952"/>
    <w:rsid w:val="00B41CE4"/>
    <w:rsid w:val="00B41CFF"/>
    <w:rsid w:val="00B41F1C"/>
    <w:rsid w:val="00B41F28"/>
    <w:rsid w:val="00B42096"/>
    <w:rsid w:val="00B420E3"/>
    <w:rsid w:val="00B4223B"/>
    <w:rsid w:val="00B42400"/>
    <w:rsid w:val="00B4243D"/>
    <w:rsid w:val="00B4249A"/>
    <w:rsid w:val="00B425E6"/>
    <w:rsid w:val="00B42632"/>
    <w:rsid w:val="00B42683"/>
    <w:rsid w:val="00B42691"/>
    <w:rsid w:val="00B4274A"/>
    <w:rsid w:val="00B429E4"/>
    <w:rsid w:val="00B42D07"/>
    <w:rsid w:val="00B42DA6"/>
    <w:rsid w:val="00B42E34"/>
    <w:rsid w:val="00B42E91"/>
    <w:rsid w:val="00B4301D"/>
    <w:rsid w:val="00B43495"/>
    <w:rsid w:val="00B434C9"/>
    <w:rsid w:val="00B43522"/>
    <w:rsid w:val="00B4368A"/>
    <w:rsid w:val="00B436CE"/>
    <w:rsid w:val="00B43721"/>
    <w:rsid w:val="00B43732"/>
    <w:rsid w:val="00B43740"/>
    <w:rsid w:val="00B437C9"/>
    <w:rsid w:val="00B4396B"/>
    <w:rsid w:val="00B43A5B"/>
    <w:rsid w:val="00B43B77"/>
    <w:rsid w:val="00B43C95"/>
    <w:rsid w:val="00B43CD4"/>
    <w:rsid w:val="00B43F65"/>
    <w:rsid w:val="00B43F6D"/>
    <w:rsid w:val="00B43F75"/>
    <w:rsid w:val="00B4403A"/>
    <w:rsid w:val="00B441BD"/>
    <w:rsid w:val="00B44446"/>
    <w:rsid w:val="00B44633"/>
    <w:rsid w:val="00B448B6"/>
    <w:rsid w:val="00B448E2"/>
    <w:rsid w:val="00B44A5B"/>
    <w:rsid w:val="00B44D0F"/>
    <w:rsid w:val="00B44DDC"/>
    <w:rsid w:val="00B44F43"/>
    <w:rsid w:val="00B450C7"/>
    <w:rsid w:val="00B4523F"/>
    <w:rsid w:val="00B45320"/>
    <w:rsid w:val="00B45453"/>
    <w:rsid w:val="00B455B3"/>
    <w:rsid w:val="00B45B44"/>
    <w:rsid w:val="00B45C02"/>
    <w:rsid w:val="00B45D00"/>
    <w:rsid w:val="00B45E6F"/>
    <w:rsid w:val="00B45F82"/>
    <w:rsid w:val="00B45FA0"/>
    <w:rsid w:val="00B4637F"/>
    <w:rsid w:val="00B464A2"/>
    <w:rsid w:val="00B46751"/>
    <w:rsid w:val="00B467C3"/>
    <w:rsid w:val="00B469AA"/>
    <w:rsid w:val="00B469DF"/>
    <w:rsid w:val="00B46C98"/>
    <w:rsid w:val="00B46CF5"/>
    <w:rsid w:val="00B46CFF"/>
    <w:rsid w:val="00B46E1D"/>
    <w:rsid w:val="00B46FD8"/>
    <w:rsid w:val="00B470DE"/>
    <w:rsid w:val="00B471F1"/>
    <w:rsid w:val="00B471F2"/>
    <w:rsid w:val="00B4721D"/>
    <w:rsid w:val="00B4731F"/>
    <w:rsid w:val="00B473F5"/>
    <w:rsid w:val="00B47526"/>
    <w:rsid w:val="00B475C2"/>
    <w:rsid w:val="00B4768A"/>
    <w:rsid w:val="00B477C0"/>
    <w:rsid w:val="00B47AD0"/>
    <w:rsid w:val="00B47BFA"/>
    <w:rsid w:val="00B47E15"/>
    <w:rsid w:val="00B47E5D"/>
    <w:rsid w:val="00B47E73"/>
    <w:rsid w:val="00B47F47"/>
    <w:rsid w:val="00B47FE9"/>
    <w:rsid w:val="00B502A2"/>
    <w:rsid w:val="00B50310"/>
    <w:rsid w:val="00B504AF"/>
    <w:rsid w:val="00B504D5"/>
    <w:rsid w:val="00B505D9"/>
    <w:rsid w:val="00B5060F"/>
    <w:rsid w:val="00B508A0"/>
    <w:rsid w:val="00B50C1A"/>
    <w:rsid w:val="00B50D66"/>
    <w:rsid w:val="00B50E09"/>
    <w:rsid w:val="00B50E98"/>
    <w:rsid w:val="00B50F05"/>
    <w:rsid w:val="00B50F62"/>
    <w:rsid w:val="00B50F8F"/>
    <w:rsid w:val="00B510D1"/>
    <w:rsid w:val="00B511F4"/>
    <w:rsid w:val="00B513E6"/>
    <w:rsid w:val="00B51408"/>
    <w:rsid w:val="00B5156B"/>
    <w:rsid w:val="00B51878"/>
    <w:rsid w:val="00B51CD4"/>
    <w:rsid w:val="00B51F96"/>
    <w:rsid w:val="00B5207F"/>
    <w:rsid w:val="00B520DA"/>
    <w:rsid w:val="00B522EF"/>
    <w:rsid w:val="00B5231F"/>
    <w:rsid w:val="00B52323"/>
    <w:rsid w:val="00B5236E"/>
    <w:rsid w:val="00B523E9"/>
    <w:rsid w:val="00B5256A"/>
    <w:rsid w:val="00B52609"/>
    <w:rsid w:val="00B52728"/>
    <w:rsid w:val="00B52813"/>
    <w:rsid w:val="00B52938"/>
    <w:rsid w:val="00B52AC0"/>
    <w:rsid w:val="00B52B8E"/>
    <w:rsid w:val="00B52C2E"/>
    <w:rsid w:val="00B52CDF"/>
    <w:rsid w:val="00B52DFA"/>
    <w:rsid w:val="00B52E8D"/>
    <w:rsid w:val="00B53009"/>
    <w:rsid w:val="00B530AC"/>
    <w:rsid w:val="00B533EC"/>
    <w:rsid w:val="00B533FE"/>
    <w:rsid w:val="00B53401"/>
    <w:rsid w:val="00B5377F"/>
    <w:rsid w:val="00B537A6"/>
    <w:rsid w:val="00B53942"/>
    <w:rsid w:val="00B53950"/>
    <w:rsid w:val="00B539D0"/>
    <w:rsid w:val="00B53A45"/>
    <w:rsid w:val="00B53A4D"/>
    <w:rsid w:val="00B53ABD"/>
    <w:rsid w:val="00B53AF5"/>
    <w:rsid w:val="00B53C02"/>
    <w:rsid w:val="00B53C46"/>
    <w:rsid w:val="00B53C61"/>
    <w:rsid w:val="00B53C65"/>
    <w:rsid w:val="00B541D0"/>
    <w:rsid w:val="00B54278"/>
    <w:rsid w:val="00B542D8"/>
    <w:rsid w:val="00B54392"/>
    <w:rsid w:val="00B543D5"/>
    <w:rsid w:val="00B543E4"/>
    <w:rsid w:val="00B5446A"/>
    <w:rsid w:val="00B5465A"/>
    <w:rsid w:val="00B5467C"/>
    <w:rsid w:val="00B54680"/>
    <w:rsid w:val="00B546A7"/>
    <w:rsid w:val="00B546BE"/>
    <w:rsid w:val="00B54775"/>
    <w:rsid w:val="00B5492C"/>
    <w:rsid w:val="00B54A27"/>
    <w:rsid w:val="00B54A79"/>
    <w:rsid w:val="00B54D81"/>
    <w:rsid w:val="00B54E58"/>
    <w:rsid w:val="00B54E80"/>
    <w:rsid w:val="00B54FF7"/>
    <w:rsid w:val="00B55088"/>
    <w:rsid w:val="00B5508E"/>
    <w:rsid w:val="00B552A4"/>
    <w:rsid w:val="00B55420"/>
    <w:rsid w:val="00B5543B"/>
    <w:rsid w:val="00B556BB"/>
    <w:rsid w:val="00B55768"/>
    <w:rsid w:val="00B557BB"/>
    <w:rsid w:val="00B559DB"/>
    <w:rsid w:val="00B559DE"/>
    <w:rsid w:val="00B55A1C"/>
    <w:rsid w:val="00B55A87"/>
    <w:rsid w:val="00B55BC3"/>
    <w:rsid w:val="00B55BCA"/>
    <w:rsid w:val="00B55BFB"/>
    <w:rsid w:val="00B55CA7"/>
    <w:rsid w:val="00B55E7F"/>
    <w:rsid w:val="00B55F7F"/>
    <w:rsid w:val="00B55FA1"/>
    <w:rsid w:val="00B561B3"/>
    <w:rsid w:val="00B56284"/>
    <w:rsid w:val="00B5635E"/>
    <w:rsid w:val="00B56587"/>
    <w:rsid w:val="00B565EF"/>
    <w:rsid w:val="00B565F1"/>
    <w:rsid w:val="00B5679C"/>
    <w:rsid w:val="00B567B8"/>
    <w:rsid w:val="00B567C0"/>
    <w:rsid w:val="00B568AA"/>
    <w:rsid w:val="00B56913"/>
    <w:rsid w:val="00B56A04"/>
    <w:rsid w:val="00B56AE8"/>
    <w:rsid w:val="00B56D7C"/>
    <w:rsid w:val="00B56E35"/>
    <w:rsid w:val="00B56E81"/>
    <w:rsid w:val="00B56ECD"/>
    <w:rsid w:val="00B570E5"/>
    <w:rsid w:val="00B5713F"/>
    <w:rsid w:val="00B57229"/>
    <w:rsid w:val="00B57353"/>
    <w:rsid w:val="00B574B9"/>
    <w:rsid w:val="00B577BE"/>
    <w:rsid w:val="00B57CC0"/>
    <w:rsid w:val="00B57D4A"/>
    <w:rsid w:val="00B57D9F"/>
    <w:rsid w:val="00B57EB4"/>
    <w:rsid w:val="00B57ED2"/>
    <w:rsid w:val="00B6007C"/>
    <w:rsid w:val="00B60103"/>
    <w:rsid w:val="00B60236"/>
    <w:rsid w:val="00B60346"/>
    <w:rsid w:val="00B60573"/>
    <w:rsid w:val="00B605A5"/>
    <w:rsid w:val="00B6061F"/>
    <w:rsid w:val="00B60932"/>
    <w:rsid w:val="00B60BD1"/>
    <w:rsid w:val="00B60C44"/>
    <w:rsid w:val="00B60DF1"/>
    <w:rsid w:val="00B60E45"/>
    <w:rsid w:val="00B60FFC"/>
    <w:rsid w:val="00B61272"/>
    <w:rsid w:val="00B6128F"/>
    <w:rsid w:val="00B612B6"/>
    <w:rsid w:val="00B612E4"/>
    <w:rsid w:val="00B61391"/>
    <w:rsid w:val="00B6139B"/>
    <w:rsid w:val="00B61553"/>
    <w:rsid w:val="00B616ED"/>
    <w:rsid w:val="00B61732"/>
    <w:rsid w:val="00B61762"/>
    <w:rsid w:val="00B617E3"/>
    <w:rsid w:val="00B61884"/>
    <w:rsid w:val="00B61AF5"/>
    <w:rsid w:val="00B61E3C"/>
    <w:rsid w:val="00B61EB1"/>
    <w:rsid w:val="00B62028"/>
    <w:rsid w:val="00B620E1"/>
    <w:rsid w:val="00B6220B"/>
    <w:rsid w:val="00B623C0"/>
    <w:rsid w:val="00B624DB"/>
    <w:rsid w:val="00B62655"/>
    <w:rsid w:val="00B62694"/>
    <w:rsid w:val="00B626A9"/>
    <w:rsid w:val="00B6287C"/>
    <w:rsid w:val="00B629CA"/>
    <w:rsid w:val="00B62A73"/>
    <w:rsid w:val="00B62B9C"/>
    <w:rsid w:val="00B62CAC"/>
    <w:rsid w:val="00B62CF5"/>
    <w:rsid w:val="00B62D39"/>
    <w:rsid w:val="00B63134"/>
    <w:rsid w:val="00B633A3"/>
    <w:rsid w:val="00B633D2"/>
    <w:rsid w:val="00B6347D"/>
    <w:rsid w:val="00B635AE"/>
    <w:rsid w:val="00B635CC"/>
    <w:rsid w:val="00B6364A"/>
    <w:rsid w:val="00B636B7"/>
    <w:rsid w:val="00B637DF"/>
    <w:rsid w:val="00B63AF8"/>
    <w:rsid w:val="00B63F41"/>
    <w:rsid w:val="00B640F3"/>
    <w:rsid w:val="00B64118"/>
    <w:rsid w:val="00B641E9"/>
    <w:rsid w:val="00B64298"/>
    <w:rsid w:val="00B642C2"/>
    <w:rsid w:val="00B644AB"/>
    <w:rsid w:val="00B644D2"/>
    <w:rsid w:val="00B64589"/>
    <w:rsid w:val="00B6469E"/>
    <w:rsid w:val="00B64882"/>
    <w:rsid w:val="00B6488D"/>
    <w:rsid w:val="00B649CC"/>
    <w:rsid w:val="00B64BE7"/>
    <w:rsid w:val="00B64EA7"/>
    <w:rsid w:val="00B64ED9"/>
    <w:rsid w:val="00B64F34"/>
    <w:rsid w:val="00B64F67"/>
    <w:rsid w:val="00B64FED"/>
    <w:rsid w:val="00B65052"/>
    <w:rsid w:val="00B6520D"/>
    <w:rsid w:val="00B65223"/>
    <w:rsid w:val="00B65438"/>
    <w:rsid w:val="00B6556D"/>
    <w:rsid w:val="00B657F1"/>
    <w:rsid w:val="00B658FE"/>
    <w:rsid w:val="00B65AB8"/>
    <w:rsid w:val="00B65B5D"/>
    <w:rsid w:val="00B65B61"/>
    <w:rsid w:val="00B65D0B"/>
    <w:rsid w:val="00B65DA7"/>
    <w:rsid w:val="00B65DAC"/>
    <w:rsid w:val="00B65EE9"/>
    <w:rsid w:val="00B65FD4"/>
    <w:rsid w:val="00B6606A"/>
    <w:rsid w:val="00B66132"/>
    <w:rsid w:val="00B66290"/>
    <w:rsid w:val="00B66303"/>
    <w:rsid w:val="00B66308"/>
    <w:rsid w:val="00B66343"/>
    <w:rsid w:val="00B6664D"/>
    <w:rsid w:val="00B6692B"/>
    <w:rsid w:val="00B66995"/>
    <w:rsid w:val="00B66AD7"/>
    <w:rsid w:val="00B66C06"/>
    <w:rsid w:val="00B66D20"/>
    <w:rsid w:val="00B66FB2"/>
    <w:rsid w:val="00B66FC3"/>
    <w:rsid w:val="00B6714D"/>
    <w:rsid w:val="00B6732A"/>
    <w:rsid w:val="00B67637"/>
    <w:rsid w:val="00B6779A"/>
    <w:rsid w:val="00B677FD"/>
    <w:rsid w:val="00B67848"/>
    <w:rsid w:val="00B679C9"/>
    <w:rsid w:val="00B679D8"/>
    <w:rsid w:val="00B67A81"/>
    <w:rsid w:val="00B67C17"/>
    <w:rsid w:val="00B70185"/>
    <w:rsid w:val="00B702CF"/>
    <w:rsid w:val="00B705FB"/>
    <w:rsid w:val="00B70727"/>
    <w:rsid w:val="00B70950"/>
    <w:rsid w:val="00B7096B"/>
    <w:rsid w:val="00B70CCE"/>
    <w:rsid w:val="00B70DD7"/>
    <w:rsid w:val="00B70DE9"/>
    <w:rsid w:val="00B70E35"/>
    <w:rsid w:val="00B71312"/>
    <w:rsid w:val="00B716ED"/>
    <w:rsid w:val="00B71736"/>
    <w:rsid w:val="00B71819"/>
    <w:rsid w:val="00B718C7"/>
    <w:rsid w:val="00B719D1"/>
    <w:rsid w:val="00B71D02"/>
    <w:rsid w:val="00B71D49"/>
    <w:rsid w:val="00B71EF8"/>
    <w:rsid w:val="00B72102"/>
    <w:rsid w:val="00B72118"/>
    <w:rsid w:val="00B7228C"/>
    <w:rsid w:val="00B728B9"/>
    <w:rsid w:val="00B728C7"/>
    <w:rsid w:val="00B72B42"/>
    <w:rsid w:val="00B72B95"/>
    <w:rsid w:val="00B72CAB"/>
    <w:rsid w:val="00B72EA3"/>
    <w:rsid w:val="00B72EF0"/>
    <w:rsid w:val="00B72F14"/>
    <w:rsid w:val="00B731A1"/>
    <w:rsid w:val="00B73425"/>
    <w:rsid w:val="00B735D3"/>
    <w:rsid w:val="00B735DB"/>
    <w:rsid w:val="00B736DE"/>
    <w:rsid w:val="00B7370A"/>
    <w:rsid w:val="00B73771"/>
    <w:rsid w:val="00B737F3"/>
    <w:rsid w:val="00B73876"/>
    <w:rsid w:val="00B73880"/>
    <w:rsid w:val="00B7392C"/>
    <w:rsid w:val="00B73A99"/>
    <w:rsid w:val="00B73B15"/>
    <w:rsid w:val="00B73B2C"/>
    <w:rsid w:val="00B73D8B"/>
    <w:rsid w:val="00B73D91"/>
    <w:rsid w:val="00B73E73"/>
    <w:rsid w:val="00B73F5C"/>
    <w:rsid w:val="00B73F8C"/>
    <w:rsid w:val="00B74254"/>
    <w:rsid w:val="00B74310"/>
    <w:rsid w:val="00B74379"/>
    <w:rsid w:val="00B7456E"/>
    <w:rsid w:val="00B7458C"/>
    <w:rsid w:val="00B745AE"/>
    <w:rsid w:val="00B74806"/>
    <w:rsid w:val="00B74858"/>
    <w:rsid w:val="00B7498A"/>
    <w:rsid w:val="00B74A97"/>
    <w:rsid w:val="00B74BE0"/>
    <w:rsid w:val="00B74C66"/>
    <w:rsid w:val="00B74CBF"/>
    <w:rsid w:val="00B74FC7"/>
    <w:rsid w:val="00B750FF"/>
    <w:rsid w:val="00B75149"/>
    <w:rsid w:val="00B75246"/>
    <w:rsid w:val="00B75406"/>
    <w:rsid w:val="00B755E1"/>
    <w:rsid w:val="00B7567B"/>
    <w:rsid w:val="00B756A0"/>
    <w:rsid w:val="00B75A30"/>
    <w:rsid w:val="00B75AAD"/>
    <w:rsid w:val="00B75C20"/>
    <w:rsid w:val="00B75CE5"/>
    <w:rsid w:val="00B75E78"/>
    <w:rsid w:val="00B75EFB"/>
    <w:rsid w:val="00B75FC7"/>
    <w:rsid w:val="00B760D4"/>
    <w:rsid w:val="00B7618E"/>
    <w:rsid w:val="00B761A9"/>
    <w:rsid w:val="00B76308"/>
    <w:rsid w:val="00B76476"/>
    <w:rsid w:val="00B7665E"/>
    <w:rsid w:val="00B76666"/>
    <w:rsid w:val="00B7685A"/>
    <w:rsid w:val="00B768FC"/>
    <w:rsid w:val="00B76A40"/>
    <w:rsid w:val="00B76B56"/>
    <w:rsid w:val="00B76C27"/>
    <w:rsid w:val="00B76D5A"/>
    <w:rsid w:val="00B77160"/>
    <w:rsid w:val="00B77263"/>
    <w:rsid w:val="00B77293"/>
    <w:rsid w:val="00B775EC"/>
    <w:rsid w:val="00B77715"/>
    <w:rsid w:val="00B77BC0"/>
    <w:rsid w:val="00B77D03"/>
    <w:rsid w:val="00B77E5A"/>
    <w:rsid w:val="00B77F21"/>
    <w:rsid w:val="00B77FD4"/>
    <w:rsid w:val="00B803DD"/>
    <w:rsid w:val="00B804C9"/>
    <w:rsid w:val="00B806F5"/>
    <w:rsid w:val="00B80745"/>
    <w:rsid w:val="00B80AB3"/>
    <w:rsid w:val="00B80E37"/>
    <w:rsid w:val="00B810EC"/>
    <w:rsid w:val="00B811C2"/>
    <w:rsid w:val="00B81267"/>
    <w:rsid w:val="00B81361"/>
    <w:rsid w:val="00B814DF"/>
    <w:rsid w:val="00B817D4"/>
    <w:rsid w:val="00B81818"/>
    <w:rsid w:val="00B818F8"/>
    <w:rsid w:val="00B8193A"/>
    <w:rsid w:val="00B819C2"/>
    <w:rsid w:val="00B81A6A"/>
    <w:rsid w:val="00B81B1C"/>
    <w:rsid w:val="00B81CB4"/>
    <w:rsid w:val="00B81D07"/>
    <w:rsid w:val="00B81D1C"/>
    <w:rsid w:val="00B81E2F"/>
    <w:rsid w:val="00B81F37"/>
    <w:rsid w:val="00B81F9E"/>
    <w:rsid w:val="00B823C1"/>
    <w:rsid w:val="00B823EB"/>
    <w:rsid w:val="00B82415"/>
    <w:rsid w:val="00B827F0"/>
    <w:rsid w:val="00B8285A"/>
    <w:rsid w:val="00B8292E"/>
    <w:rsid w:val="00B82C60"/>
    <w:rsid w:val="00B82C8A"/>
    <w:rsid w:val="00B82E2E"/>
    <w:rsid w:val="00B82F9D"/>
    <w:rsid w:val="00B830B6"/>
    <w:rsid w:val="00B830ED"/>
    <w:rsid w:val="00B83226"/>
    <w:rsid w:val="00B8336B"/>
    <w:rsid w:val="00B833BE"/>
    <w:rsid w:val="00B83512"/>
    <w:rsid w:val="00B8357D"/>
    <w:rsid w:val="00B836D1"/>
    <w:rsid w:val="00B8387C"/>
    <w:rsid w:val="00B838E5"/>
    <w:rsid w:val="00B838FA"/>
    <w:rsid w:val="00B838FC"/>
    <w:rsid w:val="00B83A34"/>
    <w:rsid w:val="00B83AD4"/>
    <w:rsid w:val="00B83B4A"/>
    <w:rsid w:val="00B83CBB"/>
    <w:rsid w:val="00B83D56"/>
    <w:rsid w:val="00B83F4C"/>
    <w:rsid w:val="00B840A3"/>
    <w:rsid w:val="00B840D8"/>
    <w:rsid w:val="00B840F6"/>
    <w:rsid w:val="00B84183"/>
    <w:rsid w:val="00B842C2"/>
    <w:rsid w:val="00B844CF"/>
    <w:rsid w:val="00B8456C"/>
    <w:rsid w:val="00B8459E"/>
    <w:rsid w:val="00B845A9"/>
    <w:rsid w:val="00B845CC"/>
    <w:rsid w:val="00B84634"/>
    <w:rsid w:val="00B84693"/>
    <w:rsid w:val="00B846E8"/>
    <w:rsid w:val="00B8484F"/>
    <w:rsid w:val="00B849D4"/>
    <w:rsid w:val="00B84A6C"/>
    <w:rsid w:val="00B84B0B"/>
    <w:rsid w:val="00B84BE1"/>
    <w:rsid w:val="00B84D86"/>
    <w:rsid w:val="00B8502D"/>
    <w:rsid w:val="00B850C7"/>
    <w:rsid w:val="00B85204"/>
    <w:rsid w:val="00B852AA"/>
    <w:rsid w:val="00B852B5"/>
    <w:rsid w:val="00B854F8"/>
    <w:rsid w:val="00B85535"/>
    <w:rsid w:val="00B855AF"/>
    <w:rsid w:val="00B85A7C"/>
    <w:rsid w:val="00B85FC3"/>
    <w:rsid w:val="00B85FE0"/>
    <w:rsid w:val="00B85FE7"/>
    <w:rsid w:val="00B862AA"/>
    <w:rsid w:val="00B8643A"/>
    <w:rsid w:val="00B86454"/>
    <w:rsid w:val="00B869A2"/>
    <w:rsid w:val="00B869E8"/>
    <w:rsid w:val="00B86A37"/>
    <w:rsid w:val="00B86B0F"/>
    <w:rsid w:val="00B86E82"/>
    <w:rsid w:val="00B86E86"/>
    <w:rsid w:val="00B87018"/>
    <w:rsid w:val="00B8723A"/>
    <w:rsid w:val="00B87349"/>
    <w:rsid w:val="00B874F4"/>
    <w:rsid w:val="00B8754D"/>
    <w:rsid w:val="00B87824"/>
    <w:rsid w:val="00B87950"/>
    <w:rsid w:val="00B87CA3"/>
    <w:rsid w:val="00B87F7E"/>
    <w:rsid w:val="00B900D3"/>
    <w:rsid w:val="00B9020D"/>
    <w:rsid w:val="00B903C9"/>
    <w:rsid w:val="00B90604"/>
    <w:rsid w:val="00B9089C"/>
    <w:rsid w:val="00B909AA"/>
    <w:rsid w:val="00B909DF"/>
    <w:rsid w:val="00B909E0"/>
    <w:rsid w:val="00B90F3E"/>
    <w:rsid w:val="00B910D7"/>
    <w:rsid w:val="00B91139"/>
    <w:rsid w:val="00B9118B"/>
    <w:rsid w:val="00B91290"/>
    <w:rsid w:val="00B912F5"/>
    <w:rsid w:val="00B9130D"/>
    <w:rsid w:val="00B913E0"/>
    <w:rsid w:val="00B913E1"/>
    <w:rsid w:val="00B91709"/>
    <w:rsid w:val="00B917CD"/>
    <w:rsid w:val="00B919D5"/>
    <w:rsid w:val="00B919EE"/>
    <w:rsid w:val="00B91F9F"/>
    <w:rsid w:val="00B91FE3"/>
    <w:rsid w:val="00B9204C"/>
    <w:rsid w:val="00B920B6"/>
    <w:rsid w:val="00B923E6"/>
    <w:rsid w:val="00B92515"/>
    <w:rsid w:val="00B9252E"/>
    <w:rsid w:val="00B926FF"/>
    <w:rsid w:val="00B9271C"/>
    <w:rsid w:val="00B927AA"/>
    <w:rsid w:val="00B9284B"/>
    <w:rsid w:val="00B92A13"/>
    <w:rsid w:val="00B92A7D"/>
    <w:rsid w:val="00B92BA3"/>
    <w:rsid w:val="00B92EC1"/>
    <w:rsid w:val="00B92EF0"/>
    <w:rsid w:val="00B93062"/>
    <w:rsid w:val="00B9307B"/>
    <w:rsid w:val="00B9308E"/>
    <w:rsid w:val="00B933B6"/>
    <w:rsid w:val="00B933BD"/>
    <w:rsid w:val="00B93607"/>
    <w:rsid w:val="00B93905"/>
    <w:rsid w:val="00B93916"/>
    <w:rsid w:val="00B939C5"/>
    <w:rsid w:val="00B93B3F"/>
    <w:rsid w:val="00B93B7D"/>
    <w:rsid w:val="00B93BB0"/>
    <w:rsid w:val="00B93BF1"/>
    <w:rsid w:val="00B93CBE"/>
    <w:rsid w:val="00B93F49"/>
    <w:rsid w:val="00B940A1"/>
    <w:rsid w:val="00B942A9"/>
    <w:rsid w:val="00B943B0"/>
    <w:rsid w:val="00B94582"/>
    <w:rsid w:val="00B945C5"/>
    <w:rsid w:val="00B94745"/>
    <w:rsid w:val="00B94786"/>
    <w:rsid w:val="00B947B6"/>
    <w:rsid w:val="00B9496A"/>
    <w:rsid w:val="00B94ACF"/>
    <w:rsid w:val="00B94BC1"/>
    <w:rsid w:val="00B94C28"/>
    <w:rsid w:val="00B94CDE"/>
    <w:rsid w:val="00B94D2C"/>
    <w:rsid w:val="00B94E9A"/>
    <w:rsid w:val="00B951F1"/>
    <w:rsid w:val="00B95281"/>
    <w:rsid w:val="00B95476"/>
    <w:rsid w:val="00B954A6"/>
    <w:rsid w:val="00B9552D"/>
    <w:rsid w:val="00B95561"/>
    <w:rsid w:val="00B95864"/>
    <w:rsid w:val="00B958DD"/>
    <w:rsid w:val="00B95DBE"/>
    <w:rsid w:val="00B95EBE"/>
    <w:rsid w:val="00B960F1"/>
    <w:rsid w:val="00B962C0"/>
    <w:rsid w:val="00B962F3"/>
    <w:rsid w:val="00B96350"/>
    <w:rsid w:val="00B96385"/>
    <w:rsid w:val="00B963C9"/>
    <w:rsid w:val="00B9655F"/>
    <w:rsid w:val="00B9664D"/>
    <w:rsid w:val="00B96D11"/>
    <w:rsid w:val="00B96ED1"/>
    <w:rsid w:val="00B96F0A"/>
    <w:rsid w:val="00B96F81"/>
    <w:rsid w:val="00B971A1"/>
    <w:rsid w:val="00B971DA"/>
    <w:rsid w:val="00B9727E"/>
    <w:rsid w:val="00B9737B"/>
    <w:rsid w:val="00B97708"/>
    <w:rsid w:val="00B9770F"/>
    <w:rsid w:val="00B9786C"/>
    <w:rsid w:val="00B978D0"/>
    <w:rsid w:val="00B97985"/>
    <w:rsid w:val="00B979E5"/>
    <w:rsid w:val="00B97B04"/>
    <w:rsid w:val="00B97D8A"/>
    <w:rsid w:val="00B97F42"/>
    <w:rsid w:val="00B97F46"/>
    <w:rsid w:val="00BA02C7"/>
    <w:rsid w:val="00BA054E"/>
    <w:rsid w:val="00BA0688"/>
    <w:rsid w:val="00BA07BB"/>
    <w:rsid w:val="00BA07E1"/>
    <w:rsid w:val="00BA0814"/>
    <w:rsid w:val="00BA09EF"/>
    <w:rsid w:val="00BA0AF9"/>
    <w:rsid w:val="00BA0BB5"/>
    <w:rsid w:val="00BA0D31"/>
    <w:rsid w:val="00BA0D4D"/>
    <w:rsid w:val="00BA0DA4"/>
    <w:rsid w:val="00BA0E25"/>
    <w:rsid w:val="00BA0ED9"/>
    <w:rsid w:val="00BA0EFA"/>
    <w:rsid w:val="00BA1260"/>
    <w:rsid w:val="00BA12C5"/>
    <w:rsid w:val="00BA1517"/>
    <w:rsid w:val="00BA15BE"/>
    <w:rsid w:val="00BA1602"/>
    <w:rsid w:val="00BA1607"/>
    <w:rsid w:val="00BA16C3"/>
    <w:rsid w:val="00BA16E0"/>
    <w:rsid w:val="00BA1730"/>
    <w:rsid w:val="00BA17A0"/>
    <w:rsid w:val="00BA189F"/>
    <w:rsid w:val="00BA18F2"/>
    <w:rsid w:val="00BA1971"/>
    <w:rsid w:val="00BA1997"/>
    <w:rsid w:val="00BA1B1E"/>
    <w:rsid w:val="00BA1DF1"/>
    <w:rsid w:val="00BA1FE3"/>
    <w:rsid w:val="00BA207A"/>
    <w:rsid w:val="00BA2212"/>
    <w:rsid w:val="00BA2629"/>
    <w:rsid w:val="00BA27B8"/>
    <w:rsid w:val="00BA2813"/>
    <w:rsid w:val="00BA2971"/>
    <w:rsid w:val="00BA2A21"/>
    <w:rsid w:val="00BA2B06"/>
    <w:rsid w:val="00BA2CE2"/>
    <w:rsid w:val="00BA2DB7"/>
    <w:rsid w:val="00BA2F77"/>
    <w:rsid w:val="00BA2FD1"/>
    <w:rsid w:val="00BA3055"/>
    <w:rsid w:val="00BA30A5"/>
    <w:rsid w:val="00BA3167"/>
    <w:rsid w:val="00BA3276"/>
    <w:rsid w:val="00BA358B"/>
    <w:rsid w:val="00BA38B0"/>
    <w:rsid w:val="00BA3971"/>
    <w:rsid w:val="00BA3993"/>
    <w:rsid w:val="00BA39F3"/>
    <w:rsid w:val="00BA3A89"/>
    <w:rsid w:val="00BA3B31"/>
    <w:rsid w:val="00BA3BC1"/>
    <w:rsid w:val="00BA3D62"/>
    <w:rsid w:val="00BA401F"/>
    <w:rsid w:val="00BA434E"/>
    <w:rsid w:val="00BA4367"/>
    <w:rsid w:val="00BA4468"/>
    <w:rsid w:val="00BA44C2"/>
    <w:rsid w:val="00BA45CB"/>
    <w:rsid w:val="00BA4888"/>
    <w:rsid w:val="00BA48AE"/>
    <w:rsid w:val="00BA48C5"/>
    <w:rsid w:val="00BA4AC3"/>
    <w:rsid w:val="00BA4B47"/>
    <w:rsid w:val="00BA4C52"/>
    <w:rsid w:val="00BA4F61"/>
    <w:rsid w:val="00BA4FC7"/>
    <w:rsid w:val="00BA50A9"/>
    <w:rsid w:val="00BA515B"/>
    <w:rsid w:val="00BA5170"/>
    <w:rsid w:val="00BA5460"/>
    <w:rsid w:val="00BA549D"/>
    <w:rsid w:val="00BA5800"/>
    <w:rsid w:val="00BA58E7"/>
    <w:rsid w:val="00BA597E"/>
    <w:rsid w:val="00BA59A1"/>
    <w:rsid w:val="00BA5A57"/>
    <w:rsid w:val="00BA5C32"/>
    <w:rsid w:val="00BA5DAD"/>
    <w:rsid w:val="00BA5EA4"/>
    <w:rsid w:val="00BA6188"/>
    <w:rsid w:val="00BA61E8"/>
    <w:rsid w:val="00BA6391"/>
    <w:rsid w:val="00BA6636"/>
    <w:rsid w:val="00BA66F9"/>
    <w:rsid w:val="00BA672F"/>
    <w:rsid w:val="00BA6817"/>
    <w:rsid w:val="00BA685D"/>
    <w:rsid w:val="00BA687C"/>
    <w:rsid w:val="00BA698C"/>
    <w:rsid w:val="00BA6C0A"/>
    <w:rsid w:val="00BA6C6B"/>
    <w:rsid w:val="00BA70F5"/>
    <w:rsid w:val="00BA7637"/>
    <w:rsid w:val="00BA772B"/>
    <w:rsid w:val="00BA774A"/>
    <w:rsid w:val="00BA782F"/>
    <w:rsid w:val="00BA7A0C"/>
    <w:rsid w:val="00BA7A7B"/>
    <w:rsid w:val="00BA7B02"/>
    <w:rsid w:val="00BA7C12"/>
    <w:rsid w:val="00BA7D32"/>
    <w:rsid w:val="00BA7F20"/>
    <w:rsid w:val="00BB0007"/>
    <w:rsid w:val="00BB0051"/>
    <w:rsid w:val="00BB00DF"/>
    <w:rsid w:val="00BB015C"/>
    <w:rsid w:val="00BB0234"/>
    <w:rsid w:val="00BB0250"/>
    <w:rsid w:val="00BB032D"/>
    <w:rsid w:val="00BB069F"/>
    <w:rsid w:val="00BB0789"/>
    <w:rsid w:val="00BB0B09"/>
    <w:rsid w:val="00BB0B47"/>
    <w:rsid w:val="00BB0B79"/>
    <w:rsid w:val="00BB0DB5"/>
    <w:rsid w:val="00BB0ED4"/>
    <w:rsid w:val="00BB10F0"/>
    <w:rsid w:val="00BB139F"/>
    <w:rsid w:val="00BB147E"/>
    <w:rsid w:val="00BB15E1"/>
    <w:rsid w:val="00BB1644"/>
    <w:rsid w:val="00BB16A8"/>
    <w:rsid w:val="00BB17BA"/>
    <w:rsid w:val="00BB1929"/>
    <w:rsid w:val="00BB1CE4"/>
    <w:rsid w:val="00BB1CED"/>
    <w:rsid w:val="00BB1F89"/>
    <w:rsid w:val="00BB256A"/>
    <w:rsid w:val="00BB2589"/>
    <w:rsid w:val="00BB2712"/>
    <w:rsid w:val="00BB28BB"/>
    <w:rsid w:val="00BB2C71"/>
    <w:rsid w:val="00BB2D93"/>
    <w:rsid w:val="00BB2DA3"/>
    <w:rsid w:val="00BB30A6"/>
    <w:rsid w:val="00BB313D"/>
    <w:rsid w:val="00BB315E"/>
    <w:rsid w:val="00BB3167"/>
    <w:rsid w:val="00BB3447"/>
    <w:rsid w:val="00BB358F"/>
    <w:rsid w:val="00BB35DD"/>
    <w:rsid w:val="00BB38DF"/>
    <w:rsid w:val="00BB3A3B"/>
    <w:rsid w:val="00BB3AC0"/>
    <w:rsid w:val="00BB3BF4"/>
    <w:rsid w:val="00BB3C23"/>
    <w:rsid w:val="00BB3DAE"/>
    <w:rsid w:val="00BB3E25"/>
    <w:rsid w:val="00BB3EFC"/>
    <w:rsid w:val="00BB3F08"/>
    <w:rsid w:val="00BB3FD7"/>
    <w:rsid w:val="00BB3FE0"/>
    <w:rsid w:val="00BB402A"/>
    <w:rsid w:val="00BB408F"/>
    <w:rsid w:val="00BB4150"/>
    <w:rsid w:val="00BB4171"/>
    <w:rsid w:val="00BB418C"/>
    <w:rsid w:val="00BB43A1"/>
    <w:rsid w:val="00BB466B"/>
    <w:rsid w:val="00BB46B0"/>
    <w:rsid w:val="00BB4995"/>
    <w:rsid w:val="00BB4A9C"/>
    <w:rsid w:val="00BB4DB9"/>
    <w:rsid w:val="00BB50D0"/>
    <w:rsid w:val="00BB5297"/>
    <w:rsid w:val="00BB537E"/>
    <w:rsid w:val="00BB55E0"/>
    <w:rsid w:val="00BB5676"/>
    <w:rsid w:val="00BB5796"/>
    <w:rsid w:val="00BB57FF"/>
    <w:rsid w:val="00BB5814"/>
    <w:rsid w:val="00BB5843"/>
    <w:rsid w:val="00BB598E"/>
    <w:rsid w:val="00BB5A92"/>
    <w:rsid w:val="00BB5C1A"/>
    <w:rsid w:val="00BB5DAF"/>
    <w:rsid w:val="00BB5E11"/>
    <w:rsid w:val="00BB5ECD"/>
    <w:rsid w:val="00BB6025"/>
    <w:rsid w:val="00BB60EB"/>
    <w:rsid w:val="00BB61A0"/>
    <w:rsid w:val="00BB623F"/>
    <w:rsid w:val="00BB63BB"/>
    <w:rsid w:val="00BB6653"/>
    <w:rsid w:val="00BB6673"/>
    <w:rsid w:val="00BB673E"/>
    <w:rsid w:val="00BB6777"/>
    <w:rsid w:val="00BB6993"/>
    <w:rsid w:val="00BB6B0A"/>
    <w:rsid w:val="00BB6BA6"/>
    <w:rsid w:val="00BB6CB0"/>
    <w:rsid w:val="00BB6DA5"/>
    <w:rsid w:val="00BB6DE0"/>
    <w:rsid w:val="00BB6EAF"/>
    <w:rsid w:val="00BB713B"/>
    <w:rsid w:val="00BB713E"/>
    <w:rsid w:val="00BB7143"/>
    <w:rsid w:val="00BB71CF"/>
    <w:rsid w:val="00BB7376"/>
    <w:rsid w:val="00BB73A4"/>
    <w:rsid w:val="00BB7450"/>
    <w:rsid w:val="00BB7494"/>
    <w:rsid w:val="00BB7531"/>
    <w:rsid w:val="00BB75F8"/>
    <w:rsid w:val="00BB76A5"/>
    <w:rsid w:val="00BB77B7"/>
    <w:rsid w:val="00BB7B21"/>
    <w:rsid w:val="00BB7B35"/>
    <w:rsid w:val="00BB7B53"/>
    <w:rsid w:val="00BB7B80"/>
    <w:rsid w:val="00BB7E19"/>
    <w:rsid w:val="00BB7EE6"/>
    <w:rsid w:val="00BB7F55"/>
    <w:rsid w:val="00BC0135"/>
    <w:rsid w:val="00BC039C"/>
    <w:rsid w:val="00BC03D7"/>
    <w:rsid w:val="00BC0431"/>
    <w:rsid w:val="00BC055F"/>
    <w:rsid w:val="00BC059E"/>
    <w:rsid w:val="00BC05E1"/>
    <w:rsid w:val="00BC06E9"/>
    <w:rsid w:val="00BC0937"/>
    <w:rsid w:val="00BC0945"/>
    <w:rsid w:val="00BC0A82"/>
    <w:rsid w:val="00BC0C25"/>
    <w:rsid w:val="00BC0D7F"/>
    <w:rsid w:val="00BC0DEC"/>
    <w:rsid w:val="00BC0E81"/>
    <w:rsid w:val="00BC1235"/>
    <w:rsid w:val="00BC16C1"/>
    <w:rsid w:val="00BC16F7"/>
    <w:rsid w:val="00BC1739"/>
    <w:rsid w:val="00BC18F6"/>
    <w:rsid w:val="00BC19B8"/>
    <w:rsid w:val="00BC1B3F"/>
    <w:rsid w:val="00BC1BB2"/>
    <w:rsid w:val="00BC1DB2"/>
    <w:rsid w:val="00BC1ED0"/>
    <w:rsid w:val="00BC1F33"/>
    <w:rsid w:val="00BC2217"/>
    <w:rsid w:val="00BC2474"/>
    <w:rsid w:val="00BC2773"/>
    <w:rsid w:val="00BC28E1"/>
    <w:rsid w:val="00BC29E3"/>
    <w:rsid w:val="00BC2AF7"/>
    <w:rsid w:val="00BC2B42"/>
    <w:rsid w:val="00BC2B54"/>
    <w:rsid w:val="00BC2E4C"/>
    <w:rsid w:val="00BC2ED8"/>
    <w:rsid w:val="00BC2FBD"/>
    <w:rsid w:val="00BC307B"/>
    <w:rsid w:val="00BC3193"/>
    <w:rsid w:val="00BC31D4"/>
    <w:rsid w:val="00BC31EF"/>
    <w:rsid w:val="00BC32B4"/>
    <w:rsid w:val="00BC342C"/>
    <w:rsid w:val="00BC3563"/>
    <w:rsid w:val="00BC35C1"/>
    <w:rsid w:val="00BC367B"/>
    <w:rsid w:val="00BC3872"/>
    <w:rsid w:val="00BC3AA1"/>
    <w:rsid w:val="00BC3AA4"/>
    <w:rsid w:val="00BC3AAD"/>
    <w:rsid w:val="00BC3ACA"/>
    <w:rsid w:val="00BC3BD8"/>
    <w:rsid w:val="00BC4013"/>
    <w:rsid w:val="00BC4029"/>
    <w:rsid w:val="00BC4189"/>
    <w:rsid w:val="00BC4221"/>
    <w:rsid w:val="00BC426B"/>
    <w:rsid w:val="00BC427F"/>
    <w:rsid w:val="00BC4326"/>
    <w:rsid w:val="00BC4438"/>
    <w:rsid w:val="00BC4440"/>
    <w:rsid w:val="00BC4477"/>
    <w:rsid w:val="00BC45B9"/>
    <w:rsid w:val="00BC4685"/>
    <w:rsid w:val="00BC46DA"/>
    <w:rsid w:val="00BC4868"/>
    <w:rsid w:val="00BC4B19"/>
    <w:rsid w:val="00BC4B7E"/>
    <w:rsid w:val="00BC4CED"/>
    <w:rsid w:val="00BC4DB9"/>
    <w:rsid w:val="00BC4DD1"/>
    <w:rsid w:val="00BC4F6D"/>
    <w:rsid w:val="00BC4F8E"/>
    <w:rsid w:val="00BC5147"/>
    <w:rsid w:val="00BC51ED"/>
    <w:rsid w:val="00BC51FE"/>
    <w:rsid w:val="00BC529B"/>
    <w:rsid w:val="00BC5354"/>
    <w:rsid w:val="00BC54C4"/>
    <w:rsid w:val="00BC55E5"/>
    <w:rsid w:val="00BC57FF"/>
    <w:rsid w:val="00BC5807"/>
    <w:rsid w:val="00BC584A"/>
    <w:rsid w:val="00BC584F"/>
    <w:rsid w:val="00BC593D"/>
    <w:rsid w:val="00BC5A21"/>
    <w:rsid w:val="00BC5A35"/>
    <w:rsid w:val="00BC5B43"/>
    <w:rsid w:val="00BC5EF8"/>
    <w:rsid w:val="00BC5F15"/>
    <w:rsid w:val="00BC60DC"/>
    <w:rsid w:val="00BC641D"/>
    <w:rsid w:val="00BC660B"/>
    <w:rsid w:val="00BC6717"/>
    <w:rsid w:val="00BC6A55"/>
    <w:rsid w:val="00BC6C53"/>
    <w:rsid w:val="00BC6C86"/>
    <w:rsid w:val="00BC6CBC"/>
    <w:rsid w:val="00BC6CC5"/>
    <w:rsid w:val="00BC6E68"/>
    <w:rsid w:val="00BC6EC3"/>
    <w:rsid w:val="00BC701E"/>
    <w:rsid w:val="00BC7042"/>
    <w:rsid w:val="00BC7050"/>
    <w:rsid w:val="00BC734E"/>
    <w:rsid w:val="00BC7356"/>
    <w:rsid w:val="00BC75B2"/>
    <w:rsid w:val="00BC7628"/>
    <w:rsid w:val="00BC776E"/>
    <w:rsid w:val="00BC78AD"/>
    <w:rsid w:val="00BC798C"/>
    <w:rsid w:val="00BC7BC0"/>
    <w:rsid w:val="00BC7BF4"/>
    <w:rsid w:val="00BC7F03"/>
    <w:rsid w:val="00BC7F72"/>
    <w:rsid w:val="00BD0097"/>
    <w:rsid w:val="00BD012C"/>
    <w:rsid w:val="00BD0180"/>
    <w:rsid w:val="00BD0313"/>
    <w:rsid w:val="00BD03B5"/>
    <w:rsid w:val="00BD03DD"/>
    <w:rsid w:val="00BD05A0"/>
    <w:rsid w:val="00BD0901"/>
    <w:rsid w:val="00BD09BE"/>
    <w:rsid w:val="00BD0AAD"/>
    <w:rsid w:val="00BD101E"/>
    <w:rsid w:val="00BD1045"/>
    <w:rsid w:val="00BD1137"/>
    <w:rsid w:val="00BD11D4"/>
    <w:rsid w:val="00BD122B"/>
    <w:rsid w:val="00BD13FA"/>
    <w:rsid w:val="00BD17E2"/>
    <w:rsid w:val="00BD18CB"/>
    <w:rsid w:val="00BD1990"/>
    <w:rsid w:val="00BD19C7"/>
    <w:rsid w:val="00BD1ADB"/>
    <w:rsid w:val="00BD1BAC"/>
    <w:rsid w:val="00BD1C23"/>
    <w:rsid w:val="00BD1CB2"/>
    <w:rsid w:val="00BD1CBE"/>
    <w:rsid w:val="00BD1CFA"/>
    <w:rsid w:val="00BD1DC7"/>
    <w:rsid w:val="00BD1E18"/>
    <w:rsid w:val="00BD1F3A"/>
    <w:rsid w:val="00BD1FA4"/>
    <w:rsid w:val="00BD2137"/>
    <w:rsid w:val="00BD2174"/>
    <w:rsid w:val="00BD22D3"/>
    <w:rsid w:val="00BD243B"/>
    <w:rsid w:val="00BD245A"/>
    <w:rsid w:val="00BD251D"/>
    <w:rsid w:val="00BD26DC"/>
    <w:rsid w:val="00BD26EE"/>
    <w:rsid w:val="00BD27A5"/>
    <w:rsid w:val="00BD2A41"/>
    <w:rsid w:val="00BD2B27"/>
    <w:rsid w:val="00BD2EE2"/>
    <w:rsid w:val="00BD2F88"/>
    <w:rsid w:val="00BD30EA"/>
    <w:rsid w:val="00BD33BE"/>
    <w:rsid w:val="00BD33EC"/>
    <w:rsid w:val="00BD3400"/>
    <w:rsid w:val="00BD35CE"/>
    <w:rsid w:val="00BD36BC"/>
    <w:rsid w:val="00BD37E9"/>
    <w:rsid w:val="00BD386C"/>
    <w:rsid w:val="00BD3A85"/>
    <w:rsid w:val="00BD3C71"/>
    <w:rsid w:val="00BD3D4B"/>
    <w:rsid w:val="00BD3D74"/>
    <w:rsid w:val="00BD3D9D"/>
    <w:rsid w:val="00BD3DFE"/>
    <w:rsid w:val="00BD3E52"/>
    <w:rsid w:val="00BD3F32"/>
    <w:rsid w:val="00BD4029"/>
    <w:rsid w:val="00BD4046"/>
    <w:rsid w:val="00BD41A7"/>
    <w:rsid w:val="00BD4346"/>
    <w:rsid w:val="00BD44EF"/>
    <w:rsid w:val="00BD46DD"/>
    <w:rsid w:val="00BD484D"/>
    <w:rsid w:val="00BD494B"/>
    <w:rsid w:val="00BD4A76"/>
    <w:rsid w:val="00BD4A9D"/>
    <w:rsid w:val="00BD4BD2"/>
    <w:rsid w:val="00BD4CCE"/>
    <w:rsid w:val="00BD4DAB"/>
    <w:rsid w:val="00BD4E82"/>
    <w:rsid w:val="00BD4ECA"/>
    <w:rsid w:val="00BD4FF9"/>
    <w:rsid w:val="00BD5327"/>
    <w:rsid w:val="00BD540F"/>
    <w:rsid w:val="00BD54CE"/>
    <w:rsid w:val="00BD55B6"/>
    <w:rsid w:val="00BD59D1"/>
    <w:rsid w:val="00BD5CC7"/>
    <w:rsid w:val="00BD5D26"/>
    <w:rsid w:val="00BD5F59"/>
    <w:rsid w:val="00BD6136"/>
    <w:rsid w:val="00BD6297"/>
    <w:rsid w:val="00BD636D"/>
    <w:rsid w:val="00BD63E1"/>
    <w:rsid w:val="00BD6449"/>
    <w:rsid w:val="00BD64D3"/>
    <w:rsid w:val="00BD64E8"/>
    <w:rsid w:val="00BD65E0"/>
    <w:rsid w:val="00BD65EF"/>
    <w:rsid w:val="00BD6796"/>
    <w:rsid w:val="00BD67C4"/>
    <w:rsid w:val="00BD68D1"/>
    <w:rsid w:val="00BD69C0"/>
    <w:rsid w:val="00BD69FE"/>
    <w:rsid w:val="00BD6B6C"/>
    <w:rsid w:val="00BD7327"/>
    <w:rsid w:val="00BD7353"/>
    <w:rsid w:val="00BD7634"/>
    <w:rsid w:val="00BD77D4"/>
    <w:rsid w:val="00BD7832"/>
    <w:rsid w:val="00BD7B92"/>
    <w:rsid w:val="00BD7CBB"/>
    <w:rsid w:val="00BD7DF7"/>
    <w:rsid w:val="00BDE565"/>
    <w:rsid w:val="00BE006D"/>
    <w:rsid w:val="00BE009C"/>
    <w:rsid w:val="00BE0111"/>
    <w:rsid w:val="00BE02A0"/>
    <w:rsid w:val="00BE0369"/>
    <w:rsid w:val="00BE0592"/>
    <w:rsid w:val="00BE089E"/>
    <w:rsid w:val="00BE098E"/>
    <w:rsid w:val="00BE0A4F"/>
    <w:rsid w:val="00BE0B52"/>
    <w:rsid w:val="00BE0DD7"/>
    <w:rsid w:val="00BE0E1C"/>
    <w:rsid w:val="00BE164B"/>
    <w:rsid w:val="00BE18A3"/>
    <w:rsid w:val="00BE1B8D"/>
    <w:rsid w:val="00BE1C11"/>
    <w:rsid w:val="00BE1C71"/>
    <w:rsid w:val="00BE1CCA"/>
    <w:rsid w:val="00BE1D51"/>
    <w:rsid w:val="00BE1D90"/>
    <w:rsid w:val="00BE1DE8"/>
    <w:rsid w:val="00BE1E3D"/>
    <w:rsid w:val="00BE1E68"/>
    <w:rsid w:val="00BE21E5"/>
    <w:rsid w:val="00BE2220"/>
    <w:rsid w:val="00BE226A"/>
    <w:rsid w:val="00BE2310"/>
    <w:rsid w:val="00BE248F"/>
    <w:rsid w:val="00BE25D7"/>
    <w:rsid w:val="00BE2716"/>
    <w:rsid w:val="00BE2991"/>
    <w:rsid w:val="00BE2E27"/>
    <w:rsid w:val="00BE31AA"/>
    <w:rsid w:val="00BE3539"/>
    <w:rsid w:val="00BE35CD"/>
    <w:rsid w:val="00BE35F1"/>
    <w:rsid w:val="00BE365B"/>
    <w:rsid w:val="00BE368D"/>
    <w:rsid w:val="00BE36B3"/>
    <w:rsid w:val="00BE379B"/>
    <w:rsid w:val="00BE39FF"/>
    <w:rsid w:val="00BE3A65"/>
    <w:rsid w:val="00BE3AD2"/>
    <w:rsid w:val="00BE3AE3"/>
    <w:rsid w:val="00BE3C09"/>
    <w:rsid w:val="00BE3C13"/>
    <w:rsid w:val="00BE3CD1"/>
    <w:rsid w:val="00BE4025"/>
    <w:rsid w:val="00BE403C"/>
    <w:rsid w:val="00BE4045"/>
    <w:rsid w:val="00BE4065"/>
    <w:rsid w:val="00BE40EF"/>
    <w:rsid w:val="00BE412D"/>
    <w:rsid w:val="00BE43ED"/>
    <w:rsid w:val="00BE44BF"/>
    <w:rsid w:val="00BE4744"/>
    <w:rsid w:val="00BE48BE"/>
    <w:rsid w:val="00BE49DC"/>
    <w:rsid w:val="00BE4AFF"/>
    <w:rsid w:val="00BE4B82"/>
    <w:rsid w:val="00BE4E40"/>
    <w:rsid w:val="00BE4F14"/>
    <w:rsid w:val="00BE4F37"/>
    <w:rsid w:val="00BE51EB"/>
    <w:rsid w:val="00BE542F"/>
    <w:rsid w:val="00BE5552"/>
    <w:rsid w:val="00BE55DA"/>
    <w:rsid w:val="00BE566D"/>
    <w:rsid w:val="00BE56F3"/>
    <w:rsid w:val="00BE58F6"/>
    <w:rsid w:val="00BE5A4C"/>
    <w:rsid w:val="00BE5C77"/>
    <w:rsid w:val="00BE5D4B"/>
    <w:rsid w:val="00BE5F7E"/>
    <w:rsid w:val="00BE5FFC"/>
    <w:rsid w:val="00BE6182"/>
    <w:rsid w:val="00BE6190"/>
    <w:rsid w:val="00BE61E3"/>
    <w:rsid w:val="00BE62CA"/>
    <w:rsid w:val="00BE642F"/>
    <w:rsid w:val="00BE647E"/>
    <w:rsid w:val="00BE6541"/>
    <w:rsid w:val="00BE67B3"/>
    <w:rsid w:val="00BE69A0"/>
    <w:rsid w:val="00BE6A73"/>
    <w:rsid w:val="00BE6AC9"/>
    <w:rsid w:val="00BE6B3F"/>
    <w:rsid w:val="00BE6B6B"/>
    <w:rsid w:val="00BE6C7A"/>
    <w:rsid w:val="00BE7010"/>
    <w:rsid w:val="00BE70C3"/>
    <w:rsid w:val="00BE7146"/>
    <w:rsid w:val="00BE7339"/>
    <w:rsid w:val="00BE747A"/>
    <w:rsid w:val="00BE7499"/>
    <w:rsid w:val="00BE7591"/>
    <w:rsid w:val="00BE75F1"/>
    <w:rsid w:val="00BE7755"/>
    <w:rsid w:val="00BE7987"/>
    <w:rsid w:val="00BE7C0C"/>
    <w:rsid w:val="00BE7C74"/>
    <w:rsid w:val="00BE7E0A"/>
    <w:rsid w:val="00BF0006"/>
    <w:rsid w:val="00BF0195"/>
    <w:rsid w:val="00BF0351"/>
    <w:rsid w:val="00BF0417"/>
    <w:rsid w:val="00BF05AD"/>
    <w:rsid w:val="00BF05EA"/>
    <w:rsid w:val="00BF063C"/>
    <w:rsid w:val="00BF0737"/>
    <w:rsid w:val="00BF0817"/>
    <w:rsid w:val="00BF0929"/>
    <w:rsid w:val="00BF0A99"/>
    <w:rsid w:val="00BF0D98"/>
    <w:rsid w:val="00BF0EE4"/>
    <w:rsid w:val="00BF0F9C"/>
    <w:rsid w:val="00BF109D"/>
    <w:rsid w:val="00BF11C1"/>
    <w:rsid w:val="00BF11C9"/>
    <w:rsid w:val="00BF1580"/>
    <w:rsid w:val="00BF15A5"/>
    <w:rsid w:val="00BF1BA9"/>
    <w:rsid w:val="00BF1F1F"/>
    <w:rsid w:val="00BF202E"/>
    <w:rsid w:val="00BF2053"/>
    <w:rsid w:val="00BF20B9"/>
    <w:rsid w:val="00BF2235"/>
    <w:rsid w:val="00BF228F"/>
    <w:rsid w:val="00BF2434"/>
    <w:rsid w:val="00BF24EF"/>
    <w:rsid w:val="00BF2623"/>
    <w:rsid w:val="00BF27B2"/>
    <w:rsid w:val="00BF2A5A"/>
    <w:rsid w:val="00BF2AD4"/>
    <w:rsid w:val="00BF2B89"/>
    <w:rsid w:val="00BF2BBD"/>
    <w:rsid w:val="00BF2BEE"/>
    <w:rsid w:val="00BF2D4E"/>
    <w:rsid w:val="00BF2DE4"/>
    <w:rsid w:val="00BF2E78"/>
    <w:rsid w:val="00BF2EF0"/>
    <w:rsid w:val="00BF30C7"/>
    <w:rsid w:val="00BF31CB"/>
    <w:rsid w:val="00BF31DB"/>
    <w:rsid w:val="00BF326A"/>
    <w:rsid w:val="00BF344F"/>
    <w:rsid w:val="00BF3556"/>
    <w:rsid w:val="00BF36DA"/>
    <w:rsid w:val="00BF370A"/>
    <w:rsid w:val="00BF37CE"/>
    <w:rsid w:val="00BF3818"/>
    <w:rsid w:val="00BF403D"/>
    <w:rsid w:val="00BF40FE"/>
    <w:rsid w:val="00BF41B6"/>
    <w:rsid w:val="00BF4322"/>
    <w:rsid w:val="00BF4375"/>
    <w:rsid w:val="00BF4483"/>
    <w:rsid w:val="00BF44F2"/>
    <w:rsid w:val="00BF4790"/>
    <w:rsid w:val="00BF4E48"/>
    <w:rsid w:val="00BF4E51"/>
    <w:rsid w:val="00BF4E58"/>
    <w:rsid w:val="00BF4E66"/>
    <w:rsid w:val="00BF4EC3"/>
    <w:rsid w:val="00BF4EFC"/>
    <w:rsid w:val="00BF4FA4"/>
    <w:rsid w:val="00BF50E4"/>
    <w:rsid w:val="00BF5189"/>
    <w:rsid w:val="00BF519A"/>
    <w:rsid w:val="00BF5295"/>
    <w:rsid w:val="00BF52E9"/>
    <w:rsid w:val="00BF52FD"/>
    <w:rsid w:val="00BF5396"/>
    <w:rsid w:val="00BF5476"/>
    <w:rsid w:val="00BF5487"/>
    <w:rsid w:val="00BF55A5"/>
    <w:rsid w:val="00BF573C"/>
    <w:rsid w:val="00BF57D1"/>
    <w:rsid w:val="00BF5839"/>
    <w:rsid w:val="00BF58DD"/>
    <w:rsid w:val="00BF59E3"/>
    <w:rsid w:val="00BF5A06"/>
    <w:rsid w:val="00BF5CB3"/>
    <w:rsid w:val="00BF5DCE"/>
    <w:rsid w:val="00BF5ED4"/>
    <w:rsid w:val="00BF5ED5"/>
    <w:rsid w:val="00BF602F"/>
    <w:rsid w:val="00BF618E"/>
    <w:rsid w:val="00BF61E0"/>
    <w:rsid w:val="00BF6340"/>
    <w:rsid w:val="00BF6344"/>
    <w:rsid w:val="00BF639F"/>
    <w:rsid w:val="00BF63A2"/>
    <w:rsid w:val="00BF63E5"/>
    <w:rsid w:val="00BF6465"/>
    <w:rsid w:val="00BF6542"/>
    <w:rsid w:val="00BF656C"/>
    <w:rsid w:val="00BF657C"/>
    <w:rsid w:val="00BF65E2"/>
    <w:rsid w:val="00BF6771"/>
    <w:rsid w:val="00BF6ADA"/>
    <w:rsid w:val="00BF6BB0"/>
    <w:rsid w:val="00BF6D34"/>
    <w:rsid w:val="00BF6E1C"/>
    <w:rsid w:val="00BF71D7"/>
    <w:rsid w:val="00BF726E"/>
    <w:rsid w:val="00BF7384"/>
    <w:rsid w:val="00BF75B1"/>
    <w:rsid w:val="00BF7A02"/>
    <w:rsid w:val="00BF7A08"/>
    <w:rsid w:val="00BF7D41"/>
    <w:rsid w:val="00BF7F6B"/>
    <w:rsid w:val="00C003BB"/>
    <w:rsid w:val="00C00422"/>
    <w:rsid w:val="00C00554"/>
    <w:rsid w:val="00C005DD"/>
    <w:rsid w:val="00C00763"/>
    <w:rsid w:val="00C0087A"/>
    <w:rsid w:val="00C00B23"/>
    <w:rsid w:val="00C00B45"/>
    <w:rsid w:val="00C00B68"/>
    <w:rsid w:val="00C00C27"/>
    <w:rsid w:val="00C00D78"/>
    <w:rsid w:val="00C0101A"/>
    <w:rsid w:val="00C0144F"/>
    <w:rsid w:val="00C014A4"/>
    <w:rsid w:val="00C017C4"/>
    <w:rsid w:val="00C018A1"/>
    <w:rsid w:val="00C01964"/>
    <w:rsid w:val="00C01A39"/>
    <w:rsid w:val="00C01AB7"/>
    <w:rsid w:val="00C01C69"/>
    <w:rsid w:val="00C01CB3"/>
    <w:rsid w:val="00C01CCE"/>
    <w:rsid w:val="00C01CD7"/>
    <w:rsid w:val="00C01E5A"/>
    <w:rsid w:val="00C01E5D"/>
    <w:rsid w:val="00C020C7"/>
    <w:rsid w:val="00C0213E"/>
    <w:rsid w:val="00C0266B"/>
    <w:rsid w:val="00C02769"/>
    <w:rsid w:val="00C02857"/>
    <w:rsid w:val="00C0292F"/>
    <w:rsid w:val="00C02B86"/>
    <w:rsid w:val="00C02C57"/>
    <w:rsid w:val="00C02C7A"/>
    <w:rsid w:val="00C02D7B"/>
    <w:rsid w:val="00C02DB6"/>
    <w:rsid w:val="00C02E38"/>
    <w:rsid w:val="00C031D5"/>
    <w:rsid w:val="00C03296"/>
    <w:rsid w:val="00C032A8"/>
    <w:rsid w:val="00C03525"/>
    <w:rsid w:val="00C0370F"/>
    <w:rsid w:val="00C03840"/>
    <w:rsid w:val="00C03869"/>
    <w:rsid w:val="00C03890"/>
    <w:rsid w:val="00C03924"/>
    <w:rsid w:val="00C03A35"/>
    <w:rsid w:val="00C03D54"/>
    <w:rsid w:val="00C03E68"/>
    <w:rsid w:val="00C03F0C"/>
    <w:rsid w:val="00C0433E"/>
    <w:rsid w:val="00C043CE"/>
    <w:rsid w:val="00C04838"/>
    <w:rsid w:val="00C0487F"/>
    <w:rsid w:val="00C048D9"/>
    <w:rsid w:val="00C04B8F"/>
    <w:rsid w:val="00C04B90"/>
    <w:rsid w:val="00C04BB6"/>
    <w:rsid w:val="00C04C8C"/>
    <w:rsid w:val="00C04E39"/>
    <w:rsid w:val="00C04E7F"/>
    <w:rsid w:val="00C04E8A"/>
    <w:rsid w:val="00C050AB"/>
    <w:rsid w:val="00C05107"/>
    <w:rsid w:val="00C0529B"/>
    <w:rsid w:val="00C0541C"/>
    <w:rsid w:val="00C054E2"/>
    <w:rsid w:val="00C055C1"/>
    <w:rsid w:val="00C056FE"/>
    <w:rsid w:val="00C05A47"/>
    <w:rsid w:val="00C05A84"/>
    <w:rsid w:val="00C05C3D"/>
    <w:rsid w:val="00C05CE9"/>
    <w:rsid w:val="00C05F45"/>
    <w:rsid w:val="00C05F8A"/>
    <w:rsid w:val="00C06156"/>
    <w:rsid w:val="00C062F4"/>
    <w:rsid w:val="00C063AC"/>
    <w:rsid w:val="00C063B9"/>
    <w:rsid w:val="00C064F4"/>
    <w:rsid w:val="00C0667C"/>
    <w:rsid w:val="00C0673D"/>
    <w:rsid w:val="00C06884"/>
    <w:rsid w:val="00C069CA"/>
    <w:rsid w:val="00C06A32"/>
    <w:rsid w:val="00C06B8D"/>
    <w:rsid w:val="00C06D8F"/>
    <w:rsid w:val="00C06E2B"/>
    <w:rsid w:val="00C06E3C"/>
    <w:rsid w:val="00C075B5"/>
    <w:rsid w:val="00C07741"/>
    <w:rsid w:val="00C0774A"/>
    <w:rsid w:val="00C07762"/>
    <w:rsid w:val="00C079E1"/>
    <w:rsid w:val="00C07A31"/>
    <w:rsid w:val="00C07A88"/>
    <w:rsid w:val="00C07BE2"/>
    <w:rsid w:val="00C07BF8"/>
    <w:rsid w:val="00C07C97"/>
    <w:rsid w:val="00C07E6A"/>
    <w:rsid w:val="00C07EEE"/>
    <w:rsid w:val="00C07F60"/>
    <w:rsid w:val="00C10014"/>
    <w:rsid w:val="00C10039"/>
    <w:rsid w:val="00C100A8"/>
    <w:rsid w:val="00C101DF"/>
    <w:rsid w:val="00C10216"/>
    <w:rsid w:val="00C10252"/>
    <w:rsid w:val="00C102F1"/>
    <w:rsid w:val="00C10557"/>
    <w:rsid w:val="00C10631"/>
    <w:rsid w:val="00C1086F"/>
    <w:rsid w:val="00C10904"/>
    <w:rsid w:val="00C10D1B"/>
    <w:rsid w:val="00C10E0A"/>
    <w:rsid w:val="00C10F37"/>
    <w:rsid w:val="00C10FBC"/>
    <w:rsid w:val="00C11003"/>
    <w:rsid w:val="00C112C0"/>
    <w:rsid w:val="00C114C2"/>
    <w:rsid w:val="00C114C7"/>
    <w:rsid w:val="00C11762"/>
    <w:rsid w:val="00C11907"/>
    <w:rsid w:val="00C119A0"/>
    <w:rsid w:val="00C11A58"/>
    <w:rsid w:val="00C11ABD"/>
    <w:rsid w:val="00C11B9A"/>
    <w:rsid w:val="00C11C27"/>
    <w:rsid w:val="00C11CF3"/>
    <w:rsid w:val="00C11DD7"/>
    <w:rsid w:val="00C11EB7"/>
    <w:rsid w:val="00C12368"/>
    <w:rsid w:val="00C12419"/>
    <w:rsid w:val="00C12449"/>
    <w:rsid w:val="00C12569"/>
    <w:rsid w:val="00C12647"/>
    <w:rsid w:val="00C126CE"/>
    <w:rsid w:val="00C127CF"/>
    <w:rsid w:val="00C127DD"/>
    <w:rsid w:val="00C1289F"/>
    <w:rsid w:val="00C12993"/>
    <w:rsid w:val="00C12DEC"/>
    <w:rsid w:val="00C12E34"/>
    <w:rsid w:val="00C12E5F"/>
    <w:rsid w:val="00C12E71"/>
    <w:rsid w:val="00C12FF4"/>
    <w:rsid w:val="00C13083"/>
    <w:rsid w:val="00C132C7"/>
    <w:rsid w:val="00C13371"/>
    <w:rsid w:val="00C133A4"/>
    <w:rsid w:val="00C1351C"/>
    <w:rsid w:val="00C136F9"/>
    <w:rsid w:val="00C138FB"/>
    <w:rsid w:val="00C13A14"/>
    <w:rsid w:val="00C13AF5"/>
    <w:rsid w:val="00C13B27"/>
    <w:rsid w:val="00C13C32"/>
    <w:rsid w:val="00C13C73"/>
    <w:rsid w:val="00C13CE2"/>
    <w:rsid w:val="00C13D8F"/>
    <w:rsid w:val="00C1410C"/>
    <w:rsid w:val="00C141CB"/>
    <w:rsid w:val="00C14349"/>
    <w:rsid w:val="00C1435E"/>
    <w:rsid w:val="00C144C5"/>
    <w:rsid w:val="00C1469D"/>
    <w:rsid w:val="00C146AA"/>
    <w:rsid w:val="00C146BE"/>
    <w:rsid w:val="00C14805"/>
    <w:rsid w:val="00C14971"/>
    <w:rsid w:val="00C14A7B"/>
    <w:rsid w:val="00C14B91"/>
    <w:rsid w:val="00C14DDB"/>
    <w:rsid w:val="00C14DFB"/>
    <w:rsid w:val="00C14EA6"/>
    <w:rsid w:val="00C14FB9"/>
    <w:rsid w:val="00C15194"/>
    <w:rsid w:val="00C1521A"/>
    <w:rsid w:val="00C152AD"/>
    <w:rsid w:val="00C155FC"/>
    <w:rsid w:val="00C1560A"/>
    <w:rsid w:val="00C15694"/>
    <w:rsid w:val="00C156A4"/>
    <w:rsid w:val="00C15764"/>
    <w:rsid w:val="00C158DE"/>
    <w:rsid w:val="00C15958"/>
    <w:rsid w:val="00C15A76"/>
    <w:rsid w:val="00C15C89"/>
    <w:rsid w:val="00C15C8C"/>
    <w:rsid w:val="00C15D81"/>
    <w:rsid w:val="00C15E18"/>
    <w:rsid w:val="00C15F29"/>
    <w:rsid w:val="00C15FEF"/>
    <w:rsid w:val="00C16098"/>
    <w:rsid w:val="00C16132"/>
    <w:rsid w:val="00C1619B"/>
    <w:rsid w:val="00C164E3"/>
    <w:rsid w:val="00C165BF"/>
    <w:rsid w:val="00C16645"/>
    <w:rsid w:val="00C16741"/>
    <w:rsid w:val="00C16778"/>
    <w:rsid w:val="00C16794"/>
    <w:rsid w:val="00C169BA"/>
    <w:rsid w:val="00C169FE"/>
    <w:rsid w:val="00C16C7B"/>
    <w:rsid w:val="00C16DDC"/>
    <w:rsid w:val="00C16E63"/>
    <w:rsid w:val="00C16F09"/>
    <w:rsid w:val="00C16FC2"/>
    <w:rsid w:val="00C16FD9"/>
    <w:rsid w:val="00C1700E"/>
    <w:rsid w:val="00C17414"/>
    <w:rsid w:val="00C1746B"/>
    <w:rsid w:val="00C1747E"/>
    <w:rsid w:val="00C174C0"/>
    <w:rsid w:val="00C174C3"/>
    <w:rsid w:val="00C175B6"/>
    <w:rsid w:val="00C175C2"/>
    <w:rsid w:val="00C17732"/>
    <w:rsid w:val="00C17793"/>
    <w:rsid w:val="00C177DF"/>
    <w:rsid w:val="00C178A8"/>
    <w:rsid w:val="00C178FF"/>
    <w:rsid w:val="00C17B69"/>
    <w:rsid w:val="00C2019D"/>
    <w:rsid w:val="00C202B3"/>
    <w:rsid w:val="00C202B8"/>
    <w:rsid w:val="00C2039E"/>
    <w:rsid w:val="00C2061A"/>
    <w:rsid w:val="00C20646"/>
    <w:rsid w:val="00C20654"/>
    <w:rsid w:val="00C20804"/>
    <w:rsid w:val="00C208BF"/>
    <w:rsid w:val="00C20909"/>
    <w:rsid w:val="00C20948"/>
    <w:rsid w:val="00C20AAD"/>
    <w:rsid w:val="00C20BDD"/>
    <w:rsid w:val="00C20BF8"/>
    <w:rsid w:val="00C20D07"/>
    <w:rsid w:val="00C20D6D"/>
    <w:rsid w:val="00C20F31"/>
    <w:rsid w:val="00C210B6"/>
    <w:rsid w:val="00C2123A"/>
    <w:rsid w:val="00C2144D"/>
    <w:rsid w:val="00C21484"/>
    <w:rsid w:val="00C214FE"/>
    <w:rsid w:val="00C2166C"/>
    <w:rsid w:val="00C217D3"/>
    <w:rsid w:val="00C218D8"/>
    <w:rsid w:val="00C21AA7"/>
    <w:rsid w:val="00C21AAB"/>
    <w:rsid w:val="00C21B69"/>
    <w:rsid w:val="00C21D42"/>
    <w:rsid w:val="00C21F2D"/>
    <w:rsid w:val="00C21F3B"/>
    <w:rsid w:val="00C2207A"/>
    <w:rsid w:val="00C2208D"/>
    <w:rsid w:val="00C22128"/>
    <w:rsid w:val="00C22325"/>
    <w:rsid w:val="00C22729"/>
    <w:rsid w:val="00C227D8"/>
    <w:rsid w:val="00C228D6"/>
    <w:rsid w:val="00C22916"/>
    <w:rsid w:val="00C22F4C"/>
    <w:rsid w:val="00C22FFC"/>
    <w:rsid w:val="00C230D5"/>
    <w:rsid w:val="00C2330F"/>
    <w:rsid w:val="00C23402"/>
    <w:rsid w:val="00C234C0"/>
    <w:rsid w:val="00C2355E"/>
    <w:rsid w:val="00C23665"/>
    <w:rsid w:val="00C23700"/>
    <w:rsid w:val="00C239B0"/>
    <w:rsid w:val="00C23A98"/>
    <w:rsid w:val="00C23DF9"/>
    <w:rsid w:val="00C23F43"/>
    <w:rsid w:val="00C23F94"/>
    <w:rsid w:val="00C243B8"/>
    <w:rsid w:val="00C24565"/>
    <w:rsid w:val="00C245C1"/>
    <w:rsid w:val="00C245CF"/>
    <w:rsid w:val="00C246DB"/>
    <w:rsid w:val="00C247C9"/>
    <w:rsid w:val="00C248DB"/>
    <w:rsid w:val="00C248E6"/>
    <w:rsid w:val="00C24DE4"/>
    <w:rsid w:val="00C24E65"/>
    <w:rsid w:val="00C24EEF"/>
    <w:rsid w:val="00C2554A"/>
    <w:rsid w:val="00C256E5"/>
    <w:rsid w:val="00C25844"/>
    <w:rsid w:val="00C258B2"/>
    <w:rsid w:val="00C25922"/>
    <w:rsid w:val="00C25993"/>
    <w:rsid w:val="00C25BBC"/>
    <w:rsid w:val="00C25D0D"/>
    <w:rsid w:val="00C25F74"/>
    <w:rsid w:val="00C262E1"/>
    <w:rsid w:val="00C2653F"/>
    <w:rsid w:val="00C26765"/>
    <w:rsid w:val="00C2687F"/>
    <w:rsid w:val="00C269DE"/>
    <w:rsid w:val="00C26DB0"/>
    <w:rsid w:val="00C26E20"/>
    <w:rsid w:val="00C26E6F"/>
    <w:rsid w:val="00C2713D"/>
    <w:rsid w:val="00C271F5"/>
    <w:rsid w:val="00C272CD"/>
    <w:rsid w:val="00C27309"/>
    <w:rsid w:val="00C2754B"/>
    <w:rsid w:val="00C2760D"/>
    <w:rsid w:val="00C27906"/>
    <w:rsid w:val="00C27A23"/>
    <w:rsid w:val="00C27A6E"/>
    <w:rsid w:val="00C27AE6"/>
    <w:rsid w:val="00C27FDC"/>
    <w:rsid w:val="00C3007D"/>
    <w:rsid w:val="00C30197"/>
    <w:rsid w:val="00C30350"/>
    <w:rsid w:val="00C303A5"/>
    <w:rsid w:val="00C30AF9"/>
    <w:rsid w:val="00C30B42"/>
    <w:rsid w:val="00C30B9B"/>
    <w:rsid w:val="00C30C15"/>
    <w:rsid w:val="00C30CC5"/>
    <w:rsid w:val="00C30E03"/>
    <w:rsid w:val="00C30E86"/>
    <w:rsid w:val="00C30EBA"/>
    <w:rsid w:val="00C30ED3"/>
    <w:rsid w:val="00C30F7B"/>
    <w:rsid w:val="00C30FD5"/>
    <w:rsid w:val="00C3122C"/>
    <w:rsid w:val="00C31324"/>
    <w:rsid w:val="00C3137F"/>
    <w:rsid w:val="00C31596"/>
    <w:rsid w:val="00C3173D"/>
    <w:rsid w:val="00C31826"/>
    <w:rsid w:val="00C31A69"/>
    <w:rsid w:val="00C31AA9"/>
    <w:rsid w:val="00C31AD8"/>
    <w:rsid w:val="00C31B88"/>
    <w:rsid w:val="00C320AB"/>
    <w:rsid w:val="00C3217C"/>
    <w:rsid w:val="00C323AB"/>
    <w:rsid w:val="00C32460"/>
    <w:rsid w:val="00C3255E"/>
    <w:rsid w:val="00C32571"/>
    <w:rsid w:val="00C3282D"/>
    <w:rsid w:val="00C32970"/>
    <w:rsid w:val="00C3297A"/>
    <w:rsid w:val="00C329C0"/>
    <w:rsid w:val="00C32FA5"/>
    <w:rsid w:val="00C32FDE"/>
    <w:rsid w:val="00C332E0"/>
    <w:rsid w:val="00C3345C"/>
    <w:rsid w:val="00C33475"/>
    <w:rsid w:val="00C3351C"/>
    <w:rsid w:val="00C335A2"/>
    <w:rsid w:val="00C3375D"/>
    <w:rsid w:val="00C3377A"/>
    <w:rsid w:val="00C3386C"/>
    <w:rsid w:val="00C33A00"/>
    <w:rsid w:val="00C33BAF"/>
    <w:rsid w:val="00C33BFA"/>
    <w:rsid w:val="00C33C44"/>
    <w:rsid w:val="00C33DDE"/>
    <w:rsid w:val="00C33E0E"/>
    <w:rsid w:val="00C33EBE"/>
    <w:rsid w:val="00C33F6A"/>
    <w:rsid w:val="00C34036"/>
    <w:rsid w:val="00C340FE"/>
    <w:rsid w:val="00C34108"/>
    <w:rsid w:val="00C3418A"/>
    <w:rsid w:val="00C34278"/>
    <w:rsid w:val="00C34398"/>
    <w:rsid w:val="00C3469A"/>
    <w:rsid w:val="00C34911"/>
    <w:rsid w:val="00C349CE"/>
    <w:rsid w:val="00C34A72"/>
    <w:rsid w:val="00C34B25"/>
    <w:rsid w:val="00C34B2C"/>
    <w:rsid w:val="00C34B38"/>
    <w:rsid w:val="00C34E4D"/>
    <w:rsid w:val="00C34FC2"/>
    <w:rsid w:val="00C35051"/>
    <w:rsid w:val="00C35235"/>
    <w:rsid w:val="00C353A7"/>
    <w:rsid w:val="00C353E7"/>
    <w:rsid w:val="00C353EB"/>
    <w:rsid w:val="00C354C2"/>
    <w:rsid w:val="00C3584B"/>
    <w:rsid w:val="00C35907"/>
    <w:rsid w:val="00C3592A"/>
    <w:rsid w:val="00C35A01"/>
    <w:rsid w:val="00C35A09"/>
    <w:rsid w:val="00C35A22"/>
    <w:rsid w:val="00C35AF2"/>
    <w:rsid w:val="00C35BB6"/>
    <w:rsid w:val="00C35C15"/>
    <w:rsid w:val="00C35CFD"/>
    <w:rsid w:val="00C35D87"/>
    <w:rsid w:val="00C35E55"/>
    <w:rsid w:val="00C35E6B"/>
    <w:rsid w:val="00C35EBD"/>
    <w:rsid w:val="00C36093"/>
    <w:rsid w:val="00C3617F"/>
    <w:rsid w:val="00C36220"/>
    <w:rsid w:val="00C36280"/>
    <w:rsid w:val="00C36562"/>
    <w:rsid w:val="00C36577"/>
    <w:rsid w:val="00C36602"/>
    <w:rsid w:val="00C36771"/>
    <w:rsid w:val="00C367D4"/>
    <w:rsid w:val="00C36818"/>
    <w:rsid w:val="00C36825"/>
    <w:rsid w:val="00C36940"/>
    <w:rsid w:val="00C36981"/>
    <w:rsid w:val="00C36B4D"/>
    <w:rsid w:val="00C36BAC"/>
    <w:rsid w:val="00C36CF4"/>
    <w:rsid w:val="00C36E28"/>
    <w:rsid w:val="00C37041"/>
    <w:rsid w:val="00C3719D"/>
    <w:rsid w:val="00C371CD"/>
    <w:rsid w:val="00C3731F"/>
    <w:rsid w:val="00C37341"/>
    <w:rsid w:val="00C37475"/>
    <w:rsid w:val="00C37523"/>
    <w:rsid w:val="00C37687"/>
    <w:rsid w:val="00C37688"/>
    <w:rsid w:val="00C37699"/>
    <w:rsid w:val="00C37853"/>
    <w:rsid w:val="00C37895"/>
    <w:rsid w:val="00C37925"/>
    <w:rsid w:val="00C37BB2"/>
    <w:rsid w:val="00C40044"/>
    <w:rsid w:val="00C40049"/>
    <w:rsid w:val="00C40166"/>
    <w:rsid w:val="00C4016A"/>
    <w:rsid w:val="00C4019B"/>
    <w:rsid w:val="00C40430"/>
    <w:rsid w:val="00C40467"/>
    <w:rsid w:val="00C407B8"/>
    <w:rsid w:val="00C407CC"/>
    <w:rsid w:val="00C40814"/>
    <w:rsid w:val="00C40A1B"/>
    <w:rsid w:val="00C40A53"/>
    <w:rsid w:val="00C40B4F"/>
    <w:rsid w:val="00C40B6D"/>
    <w:rsid w:val="00C40B87"/>
    <w:rsid w:val="00C40CAE"/>
    <w:rsid w:val="00C40CC9"/>
    <w:rsid w:val="00C40E07"/>
    <w:rsid w:val="00C41156"/>
    <w:rsid w:val="00C41284"/>
    <w:rsid w:val="00C41343"/>
    <w:rsid w:val="00C41436"/>
    <w:rsid w:val="00C4150E"/>
    <w:rsid w:val="00C417F8"/>
    <w:rsid w:val="00C41840"/>
    <w:rsid w:val="00C41AC3"/>
    <w:rsid w:val="00C41B2C"/>
    <w:rsid w:val="00C41B2D"/>
    <w:rsid w:val="00C41C3E"/>
    <w:rsid w:val="00C41C64"/>
    <w:rsid w:val="00C41D2A"/>
    <w:rsid w:val="00C41D67"/>
    <w:rsid w:val="00C41D89"/>
    <w:rsid w:val="00C41D8B"/>
    <w:rsid w:val="00C41E44"/>
    <w:rsid w:val="00C41E79"/>
    <w:rsid w:val="00C41EC6"/>
    <w:rsid w:val="00C42161"/>
    <w:rsid w:val="00C42219"/>
    <w:rsid w:val="00C4229B"/>
    <w:rsid w:val="00C422EA"/>
    <w:rsid w:val="00C42512"/>
    <w:rsid w:val="00C42531"/>
    <w:rsid w:val="00C42594"/>
    <w:rsid w:val="00C4273D"/>
    <w:rsid w:val="00C427B4"/>
    <w:rsid w:val="00C42C59"/>
    <w:rsid w:val="00C43211"/>
    <w:rsid w:val="00C43257"/>
    <w:rsid w:val="00C4328A"/>
    <w:rsid w:val="00C43555"/>
    <w:rsid w:val="00C43577"/>
    <w:rsid w:val="00C435E1"/>
    <w:rsid w:val="00C4365D"/>
    <w:rsid w:val="00C4369E"/>
    <w:rsid w:val="00C43761"/>
    <w:rsid w:val="00C437BD"/>
    <w:rsid w:val="00C438A8"/>
    <w:rsid w:val="00C43A4F"/>
    <w:rsid w:val="00C43A60"/>
    <w:rsid w:val="00C43A72"/>
    <w:rsid w:val="00C43A92"/>
    <w:rsid w:val="00C43C55"/>
    <w:rsid w:val="00C43DEE"/>
    <w:rsid w:val="00C43E0F"/>
    <w:rsid w:val="00C43F14"/>
    <w:rsid w:val="00C440A0"/>
    <w:rsid w:val="00C44162"/>
    <w:rsid w:val="00C4440C"/>
    <w:rsid w:val="00C44525"/>
    <w:rsid w:val="00C4464B"/>
    <w:rsid w:val="00C449E6"/>
    <w:rsid w:val="00C44A2B"/>
    <w:rsid w:val="00C44C92"/>
    <w:rsid w:val="00C44CED"/>
    <w:rsid w:val="00C44DA3"/>
    <w:rsid w:val="00C44EFF"/>
    <w:rsid w:val="00C452B1"/>
    <w:rsid w:val="00C452E4"/>
    <w:rsid w:val="00C45302"/>
    <w:rsid w:val="00C453A2"/>
    <w:rsid w:val="00C453BD"/>
    <w:rsid w:val="00C455DF"/>
    <w:rsid w:val="00C45986"/>
    <w:rsid w:val="00C45A78"/>
    <w:rsid w:val="00C45E10"/>
    <w:rsid w:val="00C45F04"/>
    <w:rsid w:val="00C45F43"/>
    <w:rsid w:val="00C45F4C"/>
    <w:rsid w:val="00C46002"/>
    <w:rsid w:val="00C4600E"/>
    <w:rsid w:val="00C460B4"/>
    <w:rsid w:val="00C460CF"/>
    <w:rsid w:val="00C461B7"/>
    <w:rsid w:val="00C46321"/>
    <w:rsid w:val="00C4641F"/>
    <w:rsid w:val="00C464E5"/>
    <w:rsid w:val="00C4650D"/>
    <w:rsid w:val="00C465F2"/>
    <w:rsid w:val="00C466A5"/>
    <w:rsid w:val="00C466B7"/>
    <w:rsid w:val="00C4676A"/>
    <w:rsid w:val="00C467FC"/>
    <w:rsid w:val="00C468AB"/>
    <w:rsid w:val="00C46906"/>
    <w:rsid w:val="00C46965"/>
    <w:rsid w:val="00C46A87"/>
    <w:rsid w:val="00C46C39"/>
    <w:rsid w:val="00C46C70"/>
    <w:rsid w:val="00C46C85"/>
    <w:rsid w:val="00C46C8B"/>
    <w:rsid w:val="00C46F7B"/>
    <w:rsid w:val="00C47092"/>
    <w:rsid w:val="00C47283"/>
    <w:rsid w:val="00C472CA"/>
    <w:rsid w:val="00C4754B"/>
    <w:rsid w:val="00C47677"/>
    <w:rsid w:val="00C47A3E"/>
    <w:rsid w:val="00C47A99"/>
    <w:rsid w:val="00C47BEB"/>
    <w:rsid w:val="00C47CC8"/>
    <w:rsid w:val="00C47E89"/>
    <w:rsid w:val="00C50032"/>
    <w:rsid w:val="00C50052"/>
    <w:rsid w:val="00C50243"/>
    <w:rsid w:val="00C50463"/>
    <w:rsid w:val="00C50477"/>
    <w:rsid w:val="00C505A1"/>
    <w:rsid w:val="00C50618"/>
    <w:rsid w:val="00C5076C"/>
    <w:rsid w:val="00C5090D"/>
    <w:rsid w:val="00C50A0B"/>
    <w:rsid w:val="00C50ABB"/>
    <w:rsid w:val="00C50AF5"/>
    <w:rsid w:val="00C50B85"/>
    <w:rsid w:val="00C50D71"/>
    <w:rsid w:val="00C50E61"/>
    <w:rsid w:val="00C50E85"/>
    <w:rsid w:val="00C51027"/>
    <w:rsid w:val="00C512DC"/>
    <w:rsid w:val="00C5140C"/>
    <w:rsid w:val="00C51975"/>
    <w:rsid w:val="00C51A00"/>
    <w:rsid w:val="00C51AB2"/>
    <w:rsid w:val="00C51B2E"/>
    <w:rsid w:val="00C51CEF"/>
    <w:rsid w:val="00C51D81"/>
    <w:rsid w:val="00C51F5B"/>
    <w:rsid w:val="00C51F99"/>
    <w:rsid w:val="00C522F2"/>
    <w:rsid w:val="00C523A6"/>
    <w:rsid w:val="00C5252F"/>
    <w:rsid w:val="00C525D5"/>
    <w:rsid w:val="00C525DB"/>
    <w:rsid w:val="00C52821"/>
    <w:rsid w:val="00C52833"/>
    <w:rsid w:val="00C52DC3"/>
    <w:rsid w:val="00C53045"/>
    <w:rsid w:val="00C53103"/>
    <w:rsid w:val="00C535C2"/>
    <w:rsid w:val="00C536E3"/>
    <w:rsid w:val="00C5392E"/>
    <w:rsid w:val="00C539A9"/>
    <w:rsid w:val="00C53BF4"/>
    <w:rsid w:val="00C53C4F"/>
    <w:rsid w:val="00C53C93"/>
    <w:rsid w:val="00C53DFE"/>
    <w:rsid w:val="00C54166"/>
    <w:rsid w:val="00C54295"/>
    <w:rsid w:val="00C544A2"/>
    <w:rsid w:val="00C5473D"/>
    <w:rsid w:val="00C54835"/>
    <w:rsid w:val="00C54889"/>
    <w:rsid w:val="00C54B74"/>
    <w:rsid w:val="00C54BCC"/>
    <w:rsid w:val="00C54BF3"/>
    <w:rsid w:val="00C54EEC"/>
    <w:rsid w:val="00C54FA2"/>
    <w:rsid w:val="00C550CE"/>
    <w:rsid w:val="00C5523E"/>
    <w:rsid w:val="00C552E5"/>
    <w:rsid w:val="00C553CA"/>
    <w:rsid w:val="00C55462"/>
    <w:rsid w:val="00C557E3"/>
    <w:rsid w:val="00C557F2"/>
    <w:rsid w:val="00C5585D"/>
    <w:rsid w:val="00C558EE"/>
    <w:rsid w:val="00C55B43"/>
    <w:rsid w:val="00C55C2D"/>
    <w:rsid w:val="00C55CC5"/>
    <w:rsid w:val="00C55D4B"/>
    <w:rsid w:val="00C55E8A"/>
    <w:rsid w:val="00C55FA1"/>
    <w:rsid w:val="00C560C0"/>
    <w:rsid w:val="00C56158"/>
    <w:rsid w:val="00C56177"/>
    <w:rsid w:val="00C561B0"/>
    <w:rsid w:val="00C561E7"/>
    <w:rsid w:val="00C563B3"/>
    <w:rsid w:val="00C568F4"/>
    <w:rsid w:val="00C56A2C"/>
    <w:rsid w:val="00C56CEE"/>
    <w:rsid w:val="00C56D82"/>
    <w:rsid w:val="00C57099"/>
    <w:rsid w:val="00C570C3"/>
    <w:rsid w:val="00C57207"/>
    <w:rsid w:val="00C57324"/>
    <w:rsid w:val="00C5738F"/>
    <w:rsid w:val="00C5746C"/>
    <w:rsid w:val="00C575BD"/>
    <w:rsid w:val="00C575D0"/>
    <w:rsid w:val="00C575EB"/>
    <w:rsid w:val="00C5762E"/>
    <w:rsid w:val="00C5791C"/>
    <w:rsid w:val="00C57A64"/>
    <w:rsid w:val="00C57BB4"/>
    <w:rsid w:val="00C57BF5"/>
    <w:rsid w:val="00C57FE4"/>
    <w:rsid w:val="00C600A0"/>
    <w:rsid w:val="00C60293"/>
    <w:rsid w:val="00C60375"/>
    <w:rsid w:val="00C60588"/>
    <w:rsid w:val="00C60598"/>
    <w:rsid w:val="00C607BA"/>
    <w:rsid w:val="00C608A3"/>
    <w:rsid w:val="00C6096F"/>
    <w:rsid w:val="00C60AB9"/>
    <w:rsid w:val="00C60BFB"/>
    <w:rsid w:val="00C61045"/>
    <w:rsid w:val="00C610B5"/>
    <w:rsid w:val="00C61225"/>
    <w:rsid w:val="00C613F6"/>
    <w:rsid w:val="00C614DD"/>
    <w:rsid w:val="00C61624"/>
    <w:rsid w:val="00C61669"/>
    <w:rsid w:val="00C617C5"/>
    <w:rsid w:val="00C618C1"/>
    <w:rsid w:val="00C61A87"/>
    <w:rsid w:val="00C61B12"/>
    <w:rsid w:val="00C61CA2"/>
    <w:rsid w:val="00C61D0E"/>
    <w:rsid w:val="00C61F9C"/>
    <w:rsid w:val="00C61FC7"/>
    <w:rsid w:val="00C62132"/>
    <w:rsid w:val="00C6214B"/>
    <w:rsid w:val="00C62191"/>
    <w:rsid w:val="00C62388"/>
    <w:rsid w:val="00C6258F"/>
    <w:rsid w:val="00C62804"/>
    <w:rsid w:val="00C62871"/>
    <w:rsid w:val="00C62B3E"/>
    <w:rsid w:val="00C62C49"/>
    <w:rsid w:val="00C62DBB"/>
    <w:rsid w:val="00C62E21"/>
    <w:rsid w:val="00C62E4C"/>
    <w:rsid w:val="00C62EBA"/>
    <w:rsid w:val="00C62FED"/>
    <w:rsid w:val="00C63038"/>
    <w:rsid w:val="00C63053"/>
    <w:rsid w:val="00C63087"/>
    <w:rsid w:val="00C632D6"/>
    <w:rsid w:val="00C63321"/>
    <w:rsid w:val="00C635C2"/>
    <w:rsid w:val="00C637C0"/>
    <w:rsid w:val="00C63882"/>
    <w:rsid w:val="00C63916"/>
    <w:rsid w:val="00C63A5E"/>
    <w:rsid w:val="00C63A8F"/>
    <w:rsid w:val="00C63AB0"/>
    <w:rsid w:val="00C63B19"/>
    <w:rsid w:val="00C63C29"/>
    <w:rsid w:val="00C63E7C"/>
    <w:rsid w:val="00C64084"/>
    <w:rsid w:val="00C6414C"/>
    <w:rsid w:val="00C644A2"/>
    <w:rsid w:val="00C6451D"/>
    <w:rsid w:val="00C6475B"/>
    <w:rsid w:val="00C64821"/>
    <w:rsid w:val="00C64B33"/>
    <w:rsid w:val="00C64BA2"/>
    <w:rsid w:val="00C64C38"/>
    <w:rsid w:val="00C64CAD"/>
    <w:rsid w:val="00C64DB0"/>
    <w:rsid w:val="00C64F12"/>
    <w:rsid w:val="00C65060"/>
    <w:rsid w:val="00C65142"/>
    <w:rsid w:val="00C65193"/>
    <w:rsid w:val="00C65208"/>
    <w:rsid w:val="00C653CC"/>
    <w:rsid w:val="00C65547"/>
    <w:rsid w:val="00C65590"/>
    <w:rsid w:val="00C65725"/>
    <w:rsid w:val="00C65873"/>
    <w:rsid w:val="00C65938"/>
    <w:rsid w:val="00C65A57"/>
    <w:rsid w:val="00C65C7E"/>
    <w:rsid w:val="00C65CDF"/>
    <w:rsid w:val="00C65CF8"/>
    <w:rsid w:val="00C65E79"/>
    <w:rsid w:val="00C65FA9"/>
    <w:rsid w:val="00C66067"/>
    <w:rsid w:val="00C660C7"/>
    <w:rsid w:val="00C66153"/>
    <w:rsid w:val="00C66285"/>
    <w:rsid w:val="00C663D5"/>
    <w:rsid w:val="00C66664"/>
    <w:rsid w:val="00C668EC"/>
    <w:rsid w:val="00C6691C"/>
    <w:rsid w:val="00C66A1A"/>
    <w:rsid w:val="00C66CAF"/>
    <w:rsid w:val="00C66D3B"/>
    <w:rsid w:val="00C6703E"/>
    <w:rsid w:val="00C67097"/>
    <w:rsid w:val="00C67436"/>
    <w:rsid w:val="00C67450"/>
    <w:rsid w:val="00C6745D"/>
    <w:rsid w:val="00C6747F"/>
    <w:rsid w:val="00C67620"/>
    <w:rsid w:val="00C67622"/>
    <w:rsid w:val="00C676A7"/>
    <w:rsid w:val="00C67801"/>
    <w:rsid w:val="00C67B10"/>
    <w:rsid w:val="00C67BDE"/>
    <w:rsid w:val="00C67C2A"/>
    <w:rsid w:val="00C67C31"/>
    <w:rsid w:val="00C67DCC"/>
    <w:rsid w:val="00C67DED"/>
    <w:rsid w:val="00C67FB1"/>
    <w:rsid w:val="00C67FBF"/>
    <w:rsid w:val="00C70260"/>
    <w:rsid w:val="00C70560"/>
    <w:rsid w:val="00C70602"/>
    <w:rsid w:val="00C70736"/>
    <w:rsid w:val="00C7094C"/>
    <w:rsid w:val="00C709BF"/>
    <w:rsid w:val="00C70BDA"/>
    <w:rsid w:val="00C70CB7"/>
    <w:rsid w:val="00C70CF4"/>
    <w:rsid w:val="00C70FAC"/>
    <w:rsid w:val="00C70FC1"/>
    <w:rsid w:val="00C7101A"/>
    <w:rsid w:val="00C7111D"/>
    <w:rsid w:val="00C7124B"/>
    <w:rsid w:val="00C71255"/>
    <w:rsid w:val="00C712B6"/>
    <w:rsid w:val="00C71529"/>
    <w:rsid w:val="00C71560"/>
    <w:rsid w:val="00C715DE"/>
    <w:rsid w:val="00C71BB6"/>
    <w:rsid w:val="00C71CC0"/>
    <w:rsid w:val="00C71E31"/>
    <w:rsid w:val="00C721D5"/>
    <w:rsid w:val="00C722F2"/>
    <w:rsid w:val="00C7257A"/>
    <w:rsid w:val="00C7287F"/>
    <w:rsid w:val="00C728A3"/>
    <w:rsid w:val="00C72B4E"/>
    <w:rsid w:val="00C72C16"/>
    <w:rsid w:val="00C72D4A"/>
    <w:rsid w:val="00C72F9C"/>
    <w:rsid w:val="00C73017"/>
    <w:rsid w:val="00C730F8"/>
    <w:rsid w:val="00C7327D"/>
    <w:rsid w:val="00C73344"/>
    <w:rsid w:val="00C73360"/>
    <w:rsid w:val="00C73539"/>
    <w:rsid w:val="00C736FA"/>
    <w:rsid w:val="00C73A96"/>
    <w:rsid w:val="00C73A9D"/>
    <w:rsid w:val="00C73B24"/>
    <w:rsid w:val="00C73BE3"/>
    <w:rsid w:val="00C73E6B"/>
    <w:rsid w:val="00C73EF5"/>
    <w:rsid w:val="00C73F17"/>
    <w:rsid w:val="00C74037"/>
    <w:rsid w:val="00C74068"/>
    <w:rsid w:val="00C741CB"/>
    <w:rsid w:val="00C742AD"/>
    <w:rsid w:val="00C7433E"/>
    <w:rsid w:val="00C74358"/>
    <w:rsid w:val="00C744B0"/>
    <w:rsid w:val="00C74510"/>
    <w:rsid w:val="00C7463C"/>
    <w:rsid w:val="00C74652"/>
    <w:rsid w:val="00C74678"/>
    <w:rsid w:val="00C746FF"/>
    <w:rsid w:val="00C74747"/>
    <w:rsid w:val="00C74762"/>
    <w:rsid w:val="00C747DA"/>
    <w:rsid w:val="00C7486E"/>
    <w:rsid w:val="00C749B7"/>
    <w:rsid w:val="00C749ED"/>
    <w:rsid w:val="00C74A0E"/>
    <w:rsid w:val="00C74ADD"/>
    <w:rsid w:val="00C74B0C"/>
    <w:rsid w:val="00C74B42"/>
    <w:rsid w:val="00C74BE1"/>
    <w:rsid w:val="00C74CF3"/>
    <w:rsid w:val="00C74D88"/>
    <w:rsid w:val="00C753BE"/>
    <w:rsid w:val="00C75684"/>
    <w:rsid w:val="00C7572B"/>
    <w:rsid w:val="00C75824"/>
    <w:rsid w:val="00C75904"/>
    <w:rsid w:val="00C75A04"/>
    <w:rsid w:val="00C75A1D"/>
    <w:rsid w:val="00C75D7D"/>
    <w:rsid w:val="00C76001"/>
    <w:rsid w:val="00C760FA"/>
    <w:rsid w:val="00C7616D"/>
    <w:rsid w:val="00C76462"/>
    <w:rsid w:val="00C764A2"/>
    <w:rsid w:val="00C764CB"/>
    <w:rsid w:val="00C764DF"/>
    <w:rsid w:val="00C7655A"/>
    <w:rsid w:val="00C765F4"/>
    <w:rsid w:val="00C76608"/>
    <w:rsid w:val="00C76709"/>
    <w:rsid w:val="00C7691D"/>
    <w:rsid w:val="00C76D06"/>
    <w:rsid w:val="00C76DB8"/>
    <w:rsid w:val="00C76E3B"/>
    <w:rsid w:val="00C76FB6"/>
    <w:rsid w:val="00C76FBC"/>
    <w:rsid w:val="00C77504"/>
    <w:rsid w:val="00C775C5"/>
    <w:rsid w:val="00C77879"/>
    <w:rsid w:val="00C77A05"/>
    <w:rsid w:val="00C77AB9"/>
    <w:rsid w:val="00C77ADF"/>
    <w:rsid w:val="00C77F98"/>
    <w:rsid w:val="00C8000D"/>
    <w:rsid w:val="00C8016C"/>
    <w:rsid w:val="00C8020E"/>
    <w:rsid w:val="00C8023E"/>
    <w:rsid w:val="00C8052D"/>
    <w:rsid w:val="00C805A7"/>
    <w:rsid w:val="00C80793"/>
    <w:rsid w:val="00C807FA"/>
    <w:rsid w:val="00C80833"/>
    <w:rsid w:val="00C8088E"/>
    <w:rsid w:val="00C808B7"/>
    <w:rsid w:val="00C80A6F"/>
    <w:rsid w:val="00C81034"/>
    <w:rsid w:val="00C81179"/>
    <w:rsid w:val="00C812FF"/>
    <w:rsid w:val="00C813C0"/>
    <w:rsid w:val="00C8148D"/>
    <w:rsid w:val="00C81500"/>
    <w:rsid w:val="00C8150F"/>
    <w:rsid w:val="00C817CC"/>
    <w:rsid w:val="00C81A2C"/>
    <w:rsid w:val="00C81A80"/>
    <w:rsid w:val="00C81B0B"/>
    <w:rsid w:val="00C81B78"/>
    <w:rsid w:val="00C81BB8"/>
    <w:rsid w:val="00C81E42"/>
    <w:rsid w:val="00C81EC6"/>
    <w:rsid w:val="00C81F57"/>
    <w:rsid w:val="00C81F5A"/>
    <w:rsid w:val="00C82347"/>
    <w:rsid w:val="00C82394"/>
    <w:rsid w:val="00C82732"/>
    <w:rsid w:val="00C828C4"/>
    <w:rsid w:val="00C82C2F"/>
    <w:rsid w:val="00C82CE9"/>
    <w:rsid w:val="00C82D4E"/>
    <w:rsid w:val="00C82D5D"/>
    <w:rsid w:val="00C8312A"/>
    <w:rsid w:val="00C833C5"/>
    <w:rsid w:val="00C8350D"/>
    <w:rsid w:val="00C8365C"/>
    <w:rsid w:val="00C83887"/>
    <w:rsid w:val="00C83BA6"/>
    <w:rsid w:val="00C83C08"/>
    <w:rsid w:val="00C83DD1"/>
    <w:rsid w:val="00C83F6F"/>
    <w:rsid w:val="00C843C8"/>
    <w:rsid w:val="00C84646"/>
    <w:rsid w:val="00C8478B"/>
    <w:rsid w:val="00C8478C"/>
    <w:rsid w:val="00C84793"/>
    <w:rsid w:val="00C84806"/>
    <w:rsid w:val="00C84827"/>
    <w:rsid w:val="00C84863"/>
    <w:rsid w:val="00C8494A"/>
    <w:rsid w:val="00C84A87"/>
    <w:rsid w:val="00C84C26"/>
    <w:rsid w:val="00C84C55"/>
    <w:rsid w:val="00C84D7A"/>
    <w:rsid w:val="00C84F80"/>
    <w:rsid w:val="00C84F9E"/>
    <w:rsid w:val="00C85217"/>
    <w:rsid w:val="00C852A5"/>
    <w:rsid w:val="00C854AF"/>
    <w:rsid w:val="00C8597F"/>
    <w:rsid w:val="00C85A84"/>
    <w:rsid w:val="00C85B09"/>
    <w:rsid w:val="00C85C37"/>
    <w:rsid w:val="00C85C81"/>
    <w:rsid w:val="00C85D36"/>
    <w:rsid w:val="00C85E4D"/>
    <w:rsid w:val="00C85E50"/>
    <w:rsid w:val="00C85E98"/>
    <w:rsid w:val="00C85F9C"/>
    <w:rsid w:val="00C8609A"/>
    <w:rsid w:val="00C86177"/>
    <w:rsid w:val="00C861BA"/>
    <w:rsid w:val="00C8642D"/>
    <w:rsid w:val="00C865E5"/>
    <w:rsid w:val="00C86745"/>
    <w:rsid w:val="00C867DA"/>
    <w:rsid w:val="00C869E6"/>
    <w:rsid w:val="00C869FC"/>
    <w:rsid w:val="00C86B50"/>
    <w:rsid w:val="00C86B83"/>
    <w:rsid w:val="00C86E52"/>
    <w:rsid w:val="00C8724E"/>
    <w:rsid w:val="00C872DE"/>
    <w:rsid w:val="00C874AA"/>
    <w:rsid w:val="00C8770D"/>
    <w:rsid w:val="00C87739"/>
    <w:rsid w:val="00C878DB"/>
    <w:rsid w:val="00C87945"/>
    <w:rsid w:val="00C87BE8"/>
    <w:rsid w:val="00C87CFE"/>
    <w:rsid w:val="00C87E9B"/>
    <w:rsid w:val="00C87EBD"/>
    <w:rsid w:val="00C901AB"/>
    <w:rsid w:val="00C901E2"/>
    <w:rsid w:val="00C90345"/>
    <w:rsid w:val="00C903FD"/>
    <w:rsid w:val="00C9048E"/>
    <w:rsid w:val="00C904C2"/>
    <w:rsid w:val="00C90581"/>
    <w:rsid w:val="00C90760"/>
    <w:rsid w:val="00C9080B"/>
    <w:rsid w:val="00C9083D"/>
    <w:rsid w:val="00C908A0"/>
    <w:rsid w:val="00C90A97"/>
    <w:rsid w:val="00C90C3F"/>
    <w:rsid w:val="00C90CAD"/>
    <w:rsid w:val="00C90D9E"/>
    <w:rsid w:val="00C90E33"/>
    <w:rsid w:val="00C90EC9"/>
    <w:rsid w:val="00C9100D"/>
    <w:rsid w:val="00C9130D"/>
    <w:rsid w:val="00C91311"/>
    <w:rsid w:val="00C913E1"/>
    <w:rsid w:val="00C9142E"/>
    <w:rsid w:val="00C9147C"/>
    <w:rsid w:val="00C915CD"/>
    <w:rsid w:val="00C917C9"/>
    <w:rsid w:val="00C91938"/>
    <w:rsid w:val="00C91A20"/>
    <w:rsid w:val="00C91CBF"/>
    <w:rsid w:val="00C91CF4"/>
    <w:rsid w:val="00C91DA5"/>
    <w:rsid w:val="00C91DF4"/>
    <w:rsid w:val="00C91DF7"/>
    <w:rsid w:val="00C91E54"/>
    <w:rsid w:val="00C91E8D"/>
    <w:rsid w:val="00C91F7E"/>
    <w:rsid w:val="00C9210B"/>
    <w:rsid w:val="00C921DE"/>
    <w:rsid w:val="00C9222F"/>
    <w:rsid w:val="00C922C5"/>
    <w:rsid w:val="00C9247B"/>
    <w:rsid w:val="00C924E8"/>
    <w:rsid w:val="00C924F4"/>
    <w:rsid w:val="00C92559"/>
    <w:rsid w:val="00C9255C"/>
    <w:rsid w:val="00C9255E"/>
    <w:rsid w:val="00C92808"/>
    <w:rsid w:val="00C9281D"/>
    <w:rsid w:val="00C92B55"/>
    <w:rsid w:val="00C92BFE"/>
    <w:rsid w:val="00C92F3D"/>
    <w:rsid w:val="00C92F47"/>
    <w:rsid w:val="00C92FF3"/>
    <w:rsid w:val="00C931CA"/>
    <w:rsid w:val="00C931DD"/>
    <w:rsid w:val="00C93292"/>
    <w:rsid w:val="00C93333"/>
    <w:rsid w:val="00C93383"/>
    <w:rsid w:val="00C93623"/>
    <w:rsid w:val="00C9381D"/>
    <w:rsid w:val="00C93BBA"/>
    <w:rsid w:val="00C93C59"/>
    <w:rsid w:val="00C93DF7"/>
    <w:rsid w:val="00C93F3C"/>
    <w:rsid w:val="00C94000"/>
    <w:rsid w:val="00C94246"/>
    <w:rsid w:val="00C94302"/>
    <w:rsid w:val="00C9445A"/>
    <w:rsid w:val="00C94659"/>
    <w:rsid w:val="00C94689"/>
    <w:rsid w:val="00C94A26"/>
    <w:rsid w:val="00C94A35"/>
    <w:rsid w:val="00C94AE8"/>
    <w:rsid w:val="00C94B2C"/>
    <w:rsid w:val="00C94D1E"/>
    <w:rsid w:val="00C94D40"/>
    <w:rsid w:val="00C94DB7"/>
    <w:rsid w:val="00C94DEF"/>
    <w:rsid w:val="00C94ED4"/>
    <w:rsid w:val="00C95038"/>
    <w:rsid w:val="00C952C5"/>
    <w:rsid w:val="00C95326"/>
    <w:rsid w:val="00C95393"/>
    <w:rsid w:val="00C953CF"/>
    <w:rsid w:val="00C954B2"/>
    <w:rsid w:val="00C955CD"/>
    <w:rsid w:val="00C956B5"/>
    <w:rsid w:val="00C95861"/>
    <w:rsid w:val="00C95A8C"/>
    <w:rsid w:val="00C95B0A"/>
    <w:rsid w:val="00C95CF3"/>
    <w:rsid w:val="00C9601E"/>
    <w:rsid w:val="00C96105"/>
    <w:rsid w:val="00C9618B"/>
    <w:rsid w:val="00C9619F"/>
    <w:rsid w:val="00C9630D"/>
    <w:rsid w:val="00C9679E"/>
    <w:rsid w:val="00C967F1"/>
    <w:rsid w:val="00C96B4E"/>
    <w:rsid w:val="00C96B6F"/>
    <w:rsid w:val="00C96BBD"/>
    <w:rsid w:val="00C96C00"/>
    <w:rsid w:val="00C96D20"/>
    <w:rsid w:val="00C96D26"/>
    <w:rsid w:val="00C96E34"/>
    <w:rsid w:val="00C96F34"/>
    <w:rsid w:val="00C96F3A"/>
    <w:rsid w:val="00C96F6C"/>
    <w:rsid w:val="00C9706A"/>
    <w:rsid w:val="00C9707A"/>
    <w:rsid w:val="00C970C0"/>
    <w:rsid w:val="00C971DD"/>
    <w:rsid w:val="00C97202"/>
    <w:rsid w:val="00C973A5"/>
    <w:rsid w:val="00C97631"/>
    <w:rsid w:val="00C97634"/>
    <w:rsid w:val="00C978BE"/>
    <w:rsid w:val="00C97984"/>
    <w:rsid w:val="00C97CAE"/>
    <w:rsid w:val="00C97FCB"/>
    <w:rsid w:val="00CA0028"/>
    <w:rsid w:val="00CA0091"/>
    <w:rsid w:val="00CA024E"/>
    <w:rsid w:val="00CA030F"/>
    <w:rsid w:val="00CA039B"/>
    <w:rsid w:val="00CA041B"/>
    <w:rsid w:val="00CA05BB"/>
    <w:rsid w:val="00CA05F5"/>
    <w:rsid w:val="00CA074A"/>
    <w:rsid w:val="00CA07B5"/>
    <w:rsid w:val="00CA0AFF"/>
    <w:rsid w:val="00CA0C12"/>
    <w:rsid w:val="00CA0C80"/>
    <w:rsid w:val="00CA0D57"/>
    <w:rsid w:val="00CA0F13"/>
    <w:rsid w:val="00CA10E6"/>
    <w:rsid w:val="00CA1522"/>
    <w:rsid w:val="00CA185F"/>
    <w:rsid w:val="00CA18AB"/>
    <w:rsid w:val="00CA18D0"/>
    <w:rsid w:val="00CA1A12"/>
    <w:rsid w:val="00CA1A6C"/>
    <w:rsid w:val="00CA1BAF"/>
    <w:rsid w:val="00CA1BB2"/>
    <w:rsid w:val="00CA1C16"/>
    <w:rsid w:val="00CA1D6B"/>
    <w:rsid w:val="00CA1DF5"/>
    <w:rsid w:val="00CA2023"/>
    <w:rsid w:val="00CA2058"/>
    <w:rsid w:val="00CA20C2"/>
    <w:rsid w:val="00CA20D7"/>
    <w:rsid w:val="00CA2211"/>
    <w:rsid w:val="00CA2216"/>
    <w:rsid w:val="00CA221A"/>
    <w:rsid w:val="00CA2336"/>
    <w:rsid w:val="00CA2409"/>
    <w:rsid w:val="00CA2481"/>
    <w:rsid w:val="00CA2571"/>
    <w:rsid w:val="00CA25C9"/>
    <w:rsid w:val="00CA2725"/>
    <w:rsid w:val="00CA2758"/>
    <w:rsid w:val="00CA2B30"/>
    <w:rsid w:val="00CA2B61"/>
    <w:rsid w:val="00CA2D88"/>
    <w:rsid w:val="00CA2E03"/>
    <w:rsid w:val="00CA2ECB"/>
    <w:rsid w:val="00CA2FAC"/>
    <w:rsid w:val="00CA30E7"/>
    <w:rsid w:val="00CA3183"/>
    <w:rsid w:val="00CA319B"/>
    <w:rsid w:val="00CA3237"/>
    <w:rsid w:val="00CA3283"/>
    <w:rsid w:val="00CA3305"/>
    <w:rsid w:val="00CA3588"/>
    <w:rsid w:val="00CA3899"/>
    <w:rsid w:val="00CA3A97"/>
    <w:rsid w:val="00CA3D3E"/>
    <w:rsid w:val="00CA3FC1"/>
    <w:rsid w:val="00CA42A9"/>
    <w:rsid w:val="00CA42C0"/>
    <w:rsid w:val="00CA460E"/>
    <w:rsid w:val="00CA4706"/>
    <w:rsid w:val="00CA4770"/>
    <w:rsid w:val="00CA4848"/>
    <w:rsid w:val="00CA487A"/>
    <w:rsid w:val="00CA4900"/>
    <w:rsid w:val="00CA496D"/>
    <w:rsid w:val="00CA499F"/>
    <w:rsid w:val="00CA4CB6"/>
    <w:rsid w:val="00CA4DD1"/>
    <w:rsid w:val="00CA4E22"/>
    <w:rsid w:val="00CA4E63"/>
    <w:rsid w:val="00CA4FC1"/>
    <w:rsid w:val="00CA5002"/>
    <w:rsid w:val="00CA5078"/>
    <w:rsid w:val="00CA5328"/>
    <w:rsid w:val="00CA535C"/>
    <w:rsid w:val="00CA535D"/>
    <w:rsid w:val="00CA5477"/>
    <w:rsid w:val="00CA54C3"/>
    <w:rsid w:val="00CA5558"/>
    <w:rsid w:val="00CA5570"/>
    <w:rsid w:val="00CA557C"/>
    <w:rsid w:val="00CA58F8"/>
    <w:rsid w:val="00CA59CD"/>
    <w:rsid w:val="00CA5D36"/>
    <w:rsid w:val="00CA5DDB"/>
    <w:rsid w:val="00CA5DE9"/>
    <w:rsid w:val="00CA5EFF"/>
    <w:rsid w:val="00CA5F88"/>
    <w:rsid w:val="00CA6077"/>
    <w:rsid w:val="00CA607F"/>
    <w:rsid w:val="00CA6132"/>
    <w:rsid w:val="00CA614D"/>
    <w:rsid w:val="00CA6205"/>
    <w:rsid w:val="00CA621A"/>
    <w:rsid w:val="00CA631A"/>
    <w:rsid w:val="00CA651E"/>
    <w:rsid w:val="00CA6544"/>
    <w:rsid w:val="00CA65CA"/>
    <w:rsid w:val="00CA65D3"/>
    <w:rsid w:val="00CA664C"/>
    <w:rsid w:val="00CA667D"/>
    <w:rsid w:val="00CA6715"/>
    <w:rsid w:val="00CA67EC"/>
    <w:rsid w:val="00CA6991"/>
    <w:rsid w:val="00CA6A58"/>
    <w:rsid w:val="00CA6B04"/>
    <w:rsid w:val="00CA6B7A"/>
    <w:rsid w:val="00CA6BEB"/>
    <w:rsid w:val="00CA6C56"/>
    <w:rsid w:val="00CA6D2D"/>
    <w:rsid w:val="00CA6DF8"/>
    <w:rsid w:val="00CA6F38"/>
    <w:rsid w:val="00CA6F49"/>
    <w:rsid w:val="00CA6F54"/>
    <w:rsid w:val="00CA70B8"/>
    <w:rsid w:val="00CA7210"/>
    <w:rsid w:val="00CA7710"/>
    <w:rsid w:val="00CA78C6"/>
    <w:rsid w:val="00CA78E9"/>
    <w:rsid w:val="00CA7A8A"/>
    <w:rsid w:val="00CA7BC0"/>
    <w:rsid w:val="00CA7C00"/>
    <w:rsid w:val="00CA7CAF"/>
    <w:rsid w:val="00CA7D98"/>
    <w:rsid w:val="00CA7E3D"/>
    <w:rsid w:val="00CA7FE0"/>
    <w:rsid w:val="00CB0121"/>
    <w:rsid w:val="00CB01BF"/>
    <w:rsid w:val="00CB025D"/>
    <w:rsid w:val="00CB03B1"/>
    <w:rsid w:val="00CB04F6"/>
    <w:rsid w:val="00CB059F"/>
    <w:rsid w:val="00CB0707"/>
    <w:rsid w:val="00CB08AF"/>
    <w:rsid w:val="00CB090C"/>
    <w:rsid w:val="00CB0918"/>
    <w:rsid w:val="00CB0AA4"/>
    <w:rsid w:val="00CB0B2D"/>
    <w:rsid w:val="00CB0C6F"/>
    <w:rsid w:val="00CB0E54"/>
    <w:rsid w:val="00CB0EE8"/>
    <w:rsid w:val="00CB1099"/>
    <w:rsid w:val="00CB1145"/>
    <w:rsid w:val="00CB13C8"/>
    <w:rsid w:val="00CB14A4"/>
    <w:rsid w:val="00CB158C"/>
    <w:rsid w:val="00CB159C"/>
    <w:rsid w:val="00CB1616"/>
    <w:rsid w:val="00CB1637"/>
    <w:rsid w:val="00CB163A"/>
    <w:rsid w:val="00CB17A4"/>
    <w:rsid w:val="00CB1855"/>
    <w:rsid w:val="00CB18B1"/>
    <w:rsid w:val="00CB1979"/>
    <w:rsid w:val="00CB19B9"/>
    <w:rsid w:val="00CB1B3E"/>
    <w:rsid w:val="00CB1B6A"/>
    <w:rsid w:val="00CB1BBC"/>
    <w:rsid w:val="00CB1C22"/>
    <w:rsid w:val="00CB1D07"/>
    <w:rsid w:val="00CB1E7C"/>
    <w:rsid w:val="00CB21D4"/>
    <w:rsid w:val="00CB25DA"/>
    <w:rsid w:val="00CB2630"/>
    <w:rsid w:val="00CB2695"/>
    <w:rsid w:val="00CB274C"/>
    <w:rsid w:val="00CB2968"/>
    <w:rsid w:val="00CB2AA4"/>
    <w:rsid w:val="00CB2AFE"/>
    <w:rsid w:val="00CB2C40"/>
    <w:rsid w:val="00CB2C82"/>
    <w:rsid w:val="00CB2CCC"/>
    <w:rsid w:val="00CB2D95"/>
    <w:rsid w:val="00CB2E2A"/>
    <w:rsid w:val="00CB2EDC"/>
    <w:rsid w:val="00CB2F83"/>
    <w:rsid w:val="00CB306E"/>
    <w:rsid w:val="00CB30CD"/>
    <w:rsid w:val="00CB32DB"/>
    <w:rsid w:val="00CB3372"/>
    <w:rsid w:val="00CB3416"/>
    <w:rsid w:val="00CB37AF"/>
    <w:rsid w:val="00CB3892"/>
    <w:rsid w:val="00CB3AD4"/>
    <w:rsid w:val="00CB3AF3"/>
    <w:rsid w:val="00CB3BD8"/>
    <w:rsid w:val="00CB3CE4"/>
    <w:rsid w:val="00CB3CFE"/>
    <w:rsid w:val="00CB4051"/>
    <w:rsid w:val="00CB414B"/>
    <w:rsid w:val="00CB41D7"/>
    <w:rsid w:val="00CB431A"/>
    <w:rsid w:val="00CB43AA"/>
    <w:rsid w:val="00CB43CF"/>
    <w:rsid w:val="00CB4583"/>
    <w:rsid w:val="00CB471C"/>
    <w:rsid w:val="00CB48ED"/>
    <w:rsid w:val="00CB5053"/>
    <w:rsid w:val="00CB5128"/>
    <w:rsid w:val="00CB51D1"/>
    <w:rsid w:val="00CB53CC"/>
    <w:rsid w:val="00CB542B"/>
    <w:rsid w:val="00CB5456"/>
    <w:rsid w:val="00CB56EA"/>
    <w:rsid w:val="00CB57BD"/>
    <w:rsid w:val="00CB59BC"/>
    <w:rsid w:val="00CB5BF1"/>
    <w:rsid w:val="00CB6113"/>
    <w:rsid w:val="00CB6375"/>
    <w:rsid w:val="00CB6512"/>
    <w:rsid w:val="00CB6574"/>
    <w:rsid w:val="00CB669A"/>
    <w:rsid w:val="00CB687D"/>
    <w:rsid w:val="00CB68C8"/>
    <w:rsid w:val="00CB6992"/>
    <w:rsid w:val="00CB69B4"/>
    <w:rsid w:val="00CB6AB5"/>
    <w:rsid w:val="00CB6D93"/>
    <w:rsid w:val="00CB6DDF"/>
    <w:rsid w:val="00CB6E8F"/>
    <w:rsid w:val="00CB6EC0"/>
    <w:rsid w:val="00CB6EEC"/>
    <w:rsid w:val="00CB6F10"/>
    <w:rsid w:val="00CB6F48"/>
    <w:rsid w:val="00CB71FA"/>
    <w:rsid w:val="00CB72BD"/>
    <w:rsid w:val="00CB781F"/>
    <w:rsid w:val="00CB78DB"/>
    <w:rsid w:val="00CB78DC"/>
    <w:rsid w:val="00CB7B2F"/>
    <w:rsid w:val="00CB7B48"/>
    <w:rsid w:val="00CB7EF5"/>
    <w:rsid w:val="00CB7F3D"/>
    <w:rsid w:val="00CC00A8"/>
    <w:rsid w:val="00CC01F4"/>
    <w:rsid w:val="00CC0266"/>
    <w:rsid w:val="00CC0702"/>
    <w:rsid w:val="00CC08A3"/>
    <w:rsid w:val="00CC0C63"/>
    <w:rsid w:val="00CC0D50"/>
    <w:rsid w:val="00CC0FCC"/>
    <w:rsid w:val="00CC0FE9"/>
    <w:rsid w:val="00CC1109"/>
    <w:rsid w:val="00CC137F"/>
    <w:rsid w:val="00CC1517"/>
    <w:rsid w:val="00CC18CD"/>
    <w:rsid w:val="00CC18E1"/>
    <w:rsid w:val="00CC1BCB"/>
    <w:rsid w:val="00CC1CDD"/>
    <w:rsid w:val="00CC20A5"/>
    <w:rsid w:val="00CC22B7"/>
    <w:rsid w:val="00CC24A5"/>
    <w:rsid w:val="00CC24D8"/>
    <w:rsid w:val="00CC25C1"/>
    <w:rsid w:val="00CC2816"/>
    <w:rsid w:val="00CC2BFE"/>
    <w:rsid w:val="00CC2C4A"/>
    <w:rsid w:val="00CC2CB4"/>
    <w:rsid w:val="00CC2FAA"/>
    <w:rsid w:val="00CC2FF8"/>
    <w:rsid w:val="00CC312E"/>
    <w:rsid w:val="00CC34D4"/>
    <w:rsid w:val="00CC3603"/>
    <w:rsid w:val="00CC360B"/>
    <w:rsid w:val="00CC363B"/>
    <w:rsid w:val="00CC37EC"/>
    <w:rsid w:val="00CC38BB"/>
    <w:rsid w:val="00CC39AD"/>
    <w:rsid w:val="00CC3A27"/>
    <w:rsid w:val="00CC3AB2"/>
    <w:rsid w:val="00CC3AC4"/>
    <w:rsid w:val="00CC3B89"/>
    <w:rsid w:val="00CC3CD8"/>
    <w:rsid w:val="00CC3EF4"/>
    <w:rsid w:val="00CC400C"/>
    <w:rsid w:val="00CC425D"/>
    <w:rsid w:val="00CC432F"/>
    <w:rsid w:val="00CC44E6"/>
    <w:rsid w:val="00CC451F"/>
    <w:rsid w:val="00CC4752"/>
    <w:rsid w:val="00CC496E"/>
    <w:rsid w:val="00CC4A8E"/>
    <w:rsid w:val="00CC4AD3"/>
    <w:rsid w:val="00CC4B69"/>
    <w:rsid w:val="00CC4B96"/>
    <w:rsid w:val="00CC4D01"/>
    <w:rsid w:val="00CC4D64"/>
    <w:rsid w:val="00CC4E76"/>
    <w:rsid w:val="00CC4EA2"/>
    <w:rsid w:val="00CC4EF3"/>
    <w:rsid w:val="00CC4F5A"/>
    <w:rsid w:val="00CC4FEB"/>
    <w:rsid w:val="00CC510F"/>
    <w:rsid w:val="00CC5264"/>
    <w:rsid w:val="00CC52D9"/>
    <w:rsid w:val="00CC534A"/>
    <w:rsid w:val="00CC53D6"/>
    <w:rsid w:val="00CC53FA"/>
    <w:rsid w:val="00CC5419"/>
    <w:rsid w:val="00CC546D"/>
    <w:rsid w:val="00CC5599"/>
    <w:rsid w:val="00CC5650"/>
    <w:rsid w:val="00CC56B6"/>
    <w:rsid w:val="00CC59B6"/>
    <w:rsid w:val="00CC59C3"/>
    <w:rsid w:val="00CC5B09"/>
    <w:rsid w:val="00CC5E3B"/>
    <w:rsid w:val="00CC60E2"/>
    <w:rsid w:val="00CC60FA"/>
    <w:rsid w:val="00CC620C"/>
    <w:rsid w:val="00CC62DE"/>
    <w:rsid w:val="00CC6371"/>
    <w:rsid w:val="00CC6381"/>
    <w:rsid w:val="00CC63B6"/>
    <w:rsid w:val="00CC66C9"/>
    <w:rsid w:val="00CC673B"/>
    <w:rsid w:val="00CC676B"/>
    <w:rsid w:val="00CC67B2"/>
    <w:rsid w:val="00CC694A"/>
    <w:rsid w:val="00CC6B29"/>
    <w:rsid w:val="00CC6C75"/>
    <w:rsid w:val="00CC6E80"/>
    <w:rsid w:val="00CC7069"/>
    <w:rsid w:val="00CC711E"/>
    <w:rsid w:val="00CC7499"/>
    <w:rsid w:val="00CC7589"/>
    <w:rsid w:val="00CC7681"/>
    <w:rsid w:val="00CC7682"/>
    <w:rsid w:val="00CC775E"/>
    <w:rsid w:val="00CC78CD"/>
    <w:rsid w:val="00CC7A34"/>
    <w:rsid w:val="00CC7A5E"/>
    <w:rsid w:val="00CC7ACA"/>
    <w:rsid w:val="00CC7AD0"/>
    <w:rsid w:val="00CC7D44"/>
    <w:rsid w:val="00CC7E73"/>
    <w:rsid w:val="00CC7EAE"/>
    <w:rsid w:val="00CC7EBC"/>
    <w:rsid w:val="00CC7EFD"/>
    <w:rsid w:val="00CC7F90"/>
    <w:rsid w:val="00CC7FD9"/>
    <w:rsid w:val="00CD014A"/>
    <w:rsid w:val="00CD0255"/>
    <w:rsid w:val="00CD03E0"/>
    <w:rsid w:val="00CD04FA"/>
    <w:rsid w:val="00CD0536"/>
    <w:rsid w:val="00CD07AA"/>
    <w:rsid w:val="00CD0A81"/>
    <w:rsid w:val="00CD0B78"/>
    <w:rsid w:val="00CD0C2B"/>
    <w:rsid w:val="00CD0C64"/>
    <w:rsid w:val="00CD0E9C"/>
    <w:rsid w:val="00CD0EA1"/>
    <w:rsid w:val="00CD0EBA"/>
    <w:rsid w:val="00CD0F97"/>
    <w:rsid w:val="00CD0FBB"/>
    <w:rsid w:val="00CD13DD"/>
    <w:rsid w:val="00CD14AF"/>
    <w:rsid w:val="00CD1526"/>
    <w:rsid w:val="00CD19FF"/>
    <w:rsid w:val="00CD1A4E"/>
    <w:rsid w:val="00CD1B44"/>
    <w:rsid w:val="00CD1D6B"/>
    <w:rsid w:val="00CD1D79"/>
    <w:rsid w:val="00CD1E11"/>
    <w:rsid w:val="00CD1E3A"/>
    <w:rsid w:val="00CD20DC"/>
    <w:rsid w:val="00CD2115"/>
    <w:rsid w:val="00CD21C9"/>
    <w:rsid w:val="00CD23CD"/>
    <w:rsid w:val="00CD24F6"/>
    <w:rsid w:val="00CD25B0"/>
    <w:rsid w:val="00CD2643"/>
    <w:rsid w:val="00CD2659"/>
    <w:rsid w:val="00CD291E"/>
    <w:rsid w:val="00CD2CA7"/>
    <w:rsid w:val="00CD2EC2"/>
    <w:rsid w:val="00CD2F96"/>
    <w:rsid w:val="00CD3438"/>
    <w:rsid w:val="00CD3574"/>
    <w:rsid w:val="00CD3608"/>
    <w:rsid w:val="00CD3617"/>
    <w:rsid w:val="00CD36C7"/>
    <w:rsid w:val="00CD372C"/>
    <w:rsid w:val="00CD3843"/>
    <w:rsid w:val="00CD3868"/>
    <w:rsid w:val="00CD3D88"/>
    <w:rsid w:val="00CD3E0E"/>
    <w:rsid w:val="00CD3E47"/>
    <w:rsid w:val="00CD3ED9"/>
    <w:rsid w:val="00CD4070"/>
    <w:rsid w:val="00CD4207"/>
    <w:rsid w:val="00CD4387"/>
    <w:rsid w:val="00CD457A"/>
    <w:rsid w:val="00CD471C"/>
    <w:rsid w:val="00CD4738"/>
    <w:rsid w:val="00CD499C"/>
    <w:rsid w:val="00CD49EB"/>
    <w:rsid w:val="00CD4A41"/>
    <w:rsid w:val="00CD4B1A"/>
    <w:rsid w:val="00CD4C01"/>
    <w:rsid w:val="00CD4C0A"/>
    <w:rsid w:val="00CD4C7C"/>
    <w:rsid w:val="00CD4C9C"/>
    <w:rsid w:val="00CD4DD0"/>
    <w:rsid w:val="00CD5088"/>
    <w:rsid w:val="00CD50AA"/>
    <w:rsid w:val="00CD5141"/>
    <w:rsid w:val="00CD5231"/>
    <w:rsid w:val="00CD52E6"/>
    <w:rsid w:val="00CD53E5"/>
    <w:rsid w:val="00CD548F"/>
    <w:rsid w:val="00CD567F"/>
    <w:rsid w:val="00CD56CC"/>
    <w:rsid w:val="00CD5861"/>
    <w:rsid w:val="00CD5B5C"/>
    <w:rsid w:val="00CD5B9F"/>
    <w:rsid w:val="00CD5ECC"/>
    <w:rsid w:val="00CD5F12"/>
    <w:rsid w:val="00CD5FEF"/>
    <w:rsid w:val="00CD621C"/>
    <w:rsid w:val="00CD62E8"/>
    <w:rsid w:val="00CD6338"/>
    <w:rsid w:val="00CD634E"/>
    <w:rsid w:val="00CD638A"/>
    <w:rsid w:val="00CD63DF"/>
    <w:rsid w:val="00CD64D1"/>
    <w:rsid w:val="00CD67CD"/>
    <w:rsid w:val="00CD6918"/>
    <w:rsid w:val="00CD69EF"/>
    <w:rsid w:val="00CD6A0E"/>
    <w:rsid w:val="00CD6A7A"/>
    <w:rsid w:val="00CD6A98"/>
    <w:rsid w:val="00CD6AFF"/>
    <w:rsid w:val="00CD6B44"/>
    <w:rsid w:val="00CD6BCB"/>
    <w:rsid w:val="00CD6BF7"/>
    <w:rsid w:val="00CD6D82"/>
    <w:rsid w:val="00CD6E1B"/>
    <w:rsid w:val="00CD6E3D"/>
    <w:rsid w:val="00CD6FD4"/>
    <w:rsid w:val="00CD7120"/>
    <w:rsid w:val="00CD71AC"/>
    <w:rsid w:val="00CD727F"/>
    <w:rsid w:val="00CD7421"/>
    <w:rsid w:val="00CD76AE"/>
    <w:rsid w:val="00CD79C6"/>
    <w:rsid w:val="00CD7AE9"/>
    <w:rsid w:val="00CD7B67"/>
    <w:rsid w:val="00CD7C08"/>
    <w:rsid w:val="00CD7C4B"/>
    <w:rsid w:val="00CD7D0E"/>
    <w:rsid w:val="00CD7FF3"/>
    <w:rsid w:val="00CE020C"/>
    <w:rsid w:val="00CE040E"/>
    <w:rsid w:val="00CE0600"/>
    <w:rsid w:val="00CE068D"/>
    <w:rsid w:val="00CE08CF"/>
    <w:rsid w:val="00CE0A46"/>
    <w:rsid w:val="00CE0CE0"/>
    <w:rsid w:val="00CE0FB5"/>
    <w:rsid w:val="00CE1067"/>
    <w:rsid w:val="00CE1071"/>
    <w:rsid w:val="00CE1199"/>
    <w:rsid w:val="00CE126C"/>
    <w:rsid w:val="00CE138A"/>
    <w:rsid w:val="00CE14B5"/>
    <w:rsid w:val="00CE1609"/>
    <w:rsid w:val="00CE179C"/>
    <w:rsid w:val="00CE192C"/>
    <w:rsid w:val="00CE1989"/>
    <w:rsid w:val="00CE19A1"/>
    <w:rsid w:val="00CE1AA7"/>
    <w:rsid w:val="00CE1ADC"/>
    <w:rsid w:val="00CE1B19"/>
    <w:rsid w:val="00CE1E40"/>
    <w:rsid w:val="00CE1F65"/>
    <w:rsid w:val="00CE1F86"/>
    <w:rsid w:val="00CE2019"/>
    <w:rsid w:val="00CE21B5"/>
    <w:rsid w:val="00CE2261"/>
    <w:rsid w:val="00CE22CB"/>
    <w:rsid w:val="00CE2388"/>
    <w:rsid w:val="00CE24E9"/>
    <w:rsid w:val="00CE2566"/>
    <w:rsid w:val="00CE26D6"/>
    <w:rsid w:val="00CE2731"/>
    <w:rsid w:val="00CE2A00"/>
    <w:rsid w:val="00CE2AAB"/>
    <w:rsid w:val="00CE2B0E"/>
    <w:rsid w:val="00CE2E62"/>
    <w:rsid w:val="00CE2F3E"/>
    <w:rsid w:val="00CE2FC9"/>
    <w:rsid w:val="00CE2FF8"/>
    <w:rsid w:val="00CE334A"/>
    <w:rsid w:val="00CE33F4"/>
    <w:rsid w:val="00CE37FC"/>
    <w:rsid w:val="00CE3869"/>
    <w:rsid w:val="00CE3ACA"/>
    <w:rsid w:val="00CE3C00"/>
    <w:rsid w:val="00CE3D73"/>
    <w:rsid w:val="00CE3E18"/>
    <w:rsid w:val="00CE3E5A"/>
    <w:rsid w:val="00CE3EE8"/>
    <w:rsid w:val="00CE3FA9"/>
    <w:rsid w:val="00CE40E0"/>
    <w:rsid w:val="00CE43AD"/>
    <w:rsid w:val="00CE4435"/>
    <w:rsid w:val="00CE454A"/>
    <w:rsid w:val="00CE45E6"/>
    <w:rsid w:val="00CE461C"/>
    <w:rsid w:val="00CE4637"/>
    <w:rsid w:val="00CE468F"/>
    <w:rsid w:val="00CE469E"/>
    <w:rsid w:val="00CE485D"/>
    <w:rsid w:val="00CE4868"/>
    <w:rsid w:val="00CE49A0"/>
    <w:rsid w:val="00CE4C76"/>
    <w:rsid w:val="00CE4C80"/>
    <w:rsid w:val="00CE4EB8"/>
    <w:rsid w:val="00CE4ECF"/>
    <w:rsid w:val="00CE4EDC"/>
    <w:rsid w:val="00CE5171"/>
    <w:rsid w:val="00CE5342"/>
    <w:rsid w:val="00CE5505"/>
    <w:rsid w:val="00CE5B37"/>
    <w:rsid w:val="00CE5FE5"/>
    <w:rsid w:val="00CE60A8"/>
    <w:rsid w:val="00CE60B5"/>
    <w:rsid w:val="00CE621A"/>
    <w:rsid w:val="00CE62E2"/>
    <w:rsid w:val="00CE630D"/>
    <w:rsid w:val="00CE63BC"/>
    <w:rsid w:val="00CE6541"/>
    <w:rsid w:val="00CE67C9"/>
    <w:rsid w:val="00CE6870"/>
    <w:rsid w:val="00CE68AC"/>
    <w:rsid w:val="00CE692B"/>
    <w:rsid w:val="00CE6AF4"/>
    <w:rsid w:val="00CE6E91"/>
    <w:rsid w:val="00CE6F04"/>
    <w:rsid w:val="00CE6F12"/>
    <w:rsid w:val="00CE6F77"/>
    <w:rsid w:val="00CE7010"/>
    <w:rsid w:val="00CE7218"/>
    <w:rsid w:val="00CE7226"/>
    <w:rsid w:val="00CE73F4"/>
    <w:rsid w:val="00CE748F"/>
    <w:rsid w:val="00CE751A"/>
    <w:rsid w:val="00CE7799"/>
    <w:rsid w:val="00CE7833"/>
    <w:rsid w:val="00CE79C8"/>
    <w:rsid w:val="00CE79FB"/>
    <w:rsid w:val="00CE7B59"/>
    <w:rsid w:val="00CE7C22"/>
    <w:rsid w:val="00CE7C94"/>
    <w:rsid w:val="00CF0039"/>
    <w:rsid w:val="00CF0219"/>
    <w:rsid w:val="00CF02ED"/>
    <w:rsid w:val="00CF085D"/>
    <w:rsid w:val="00CF0AB8"/>
    <w:rsid w:val="00CF0B4E"/>
    <w:rsid w:val="00CF0BA0"/>
    <w:rsid w:val="00CF0BD1"/>
    <w:rsid w:val="00CF0C47"/>
    <w:rsid w:val="00CF0CCD"/>
    <w:rsid w:val="00CF0CD9"/>
    <w:rsid w:val="00CF0E34"/>
    <w:rsid w:val="00CF0F66"/>
    <w:rsid w:val="00CF0FC6"/>
    <w:rsid w:val="00CF0FDF"/>
    <w:rsid w:val="00CF1164"/>
    <w:rsid w:val="00CF12D5"/>
    <w:rsid w:val="00CF13E0"/>
    <w:rsid w:val="00CF14DD"/>
    <w:rsid w:val="00CF151B"/>
    <w:rsid w:val="00CF1663"/>
    <w:rsid w:val="00CF172F"/>
    <w:rsid w:val="00CF1759"/>
    <w:rsid w:val="00CF1840"/>
    <w:rsid w:val="00CF1877"/>
    <w:rsid w:val="00CF1905"/>
    <w:rsid w:val="00CF1966"/>
    <w:rsid w:val="00CF19E9"/>
    <w:rsid w:val="00CF19F5"/>
    <w:rsid w:val="00CF1B51"/>
    <w:rsid w:val="00CF1C06"/>
    <w:rsid w:val="00CF1CF5"/>
    <w:rsid w:val="00CF2151"/>
    <w:rsid w:val="00CF2271"/>
    <w:rsid w:val="00CF2338"/>
    <w:rsid w:val="00CF24D9"/>
    <w:rsid w:val="00CF2795"/>
    <w:rsid w:val="00CF29E6"/>
    <w:rsid w:val="00CF2A09"/>
    <w:rsid w:val="00CF2F78"/>
    <w:rsid w:val="00CF33E0"/>
    <w:rsid w:val="00CF344F"/>
    <w:rsid w:val="00CF34C3"/>
    <w:rsid w:val="00CF36DD"/>
    <w:rsid w:val="00CF3725"/>
    <w:rsid w:val="00CF3796"/>
    <w:rsid w:val="00CF3957"/>
    <w:rsid w:val="00CF3A66"/>
    <w:rsid w:val="00CF3B1F"/>
    <w:rsid w:val="00CF3BED"/>
    <w:rsid w:val="00CF42B4"/>
    <w:rsid w:val="00CF4394"/>
    <w:rsid w:val="00CF46A1"/>
    <w:rsid w:val="00CF4762"/>
    <w:rsid w:val="00CF48AB"/>
    <w:rsid w:val="00CF4C97"/>
    <w:rsid w:val="00CF4DE5"/>
    <w:rsid w:val="00CF4EE0"/>
    <w:rsid w:val="00CF4F52"/>
    <w:rsid w:val="00CF4F78"/>
    <w:rsid w:val="00CF509B"/>
    <w:rsid w:val="00CF51C6"/>
    <w:rsid w:val="00CF522D"/>
    <w:rsid w:val="00CF5352"/>
    <w:rsid w:val="00CF5364"/>
    <w:rsid w:val="00CF54F6"/>
    <w:rsid w:val="00CF5B23"/>
    <w:rsid w:val="00CF5B96"/>
    <w:rsid w:val="00CF5CD8"/>
    <w:rsid w:val="00CF5DF8"/>
    <w:rsid w:val="00CF61FE"/>
    <w:rsid w:val="00CF63C7"/>
    <w:rsid w:val="00CF64EF"/>
    <w:rsid w:val="00CF655F"/>
    <w:rsid w:val="00CF6616"/>
    <w:rsid w:val="00CF6AD3"/>
    <w:rsid w:val="00CF6B4B"/>
    <w:rsid w:val="00CF6BEF"/>
    <w:rsid w:val="00CF6C19"/>
    <w:rsid w:val="00CF6C35"/>
    <w:rsid w:val="00CF706E"/>
    <w:rsid w:val="00CF7149"/>
    <w:rsid w:val="00CF71EC"/>
    <w:rsid w:val="00CF74A5"/>
    <w:rsid w:val="00CF750E"/>
    <w:rsid w:val="00CF7561"/>
    <w:rsid w:val="00CF7585"/>
    <w:rsid w:val="00CF7663"/>
    <w:rsid w:val="00CF781C"/>
    <w:rsid w:val="00CF78B9"/>
    <w:rsid w:val="00CF7AC7"/>
    <w:rsid w:val="00CF7BB6"/>
    <w:rsid w:val="00D000F8"/>
    <w:rsid w:val="00D0010E"/>
    <w:rsid w:val="00D00134"/>
    <w:rsid w:val="00D002A4"/>
    <w:rsid w:val="00D0051D"/>
    <w:rsid w:val="00D006EC"/>
    <w:rsid w:val="00D00722"/>
    <w:rsid w:val="00D00A24"/>
    <w:rsid w:val="00D00A3B"/>
    <w:rsid w:val="00D00BF6"/>
    <w:rsid w:val="00D00DEC"/>
    <w:rsid w:val="00D00E31"/>
    <w:rsid w:val="00D00F70"/>
    <w:rsid w:val="00D01095"/>
    <w:rsid w:val="00D010CB"/>
    <w:rsid w:val="00D014DF"/>
    <w:rsid w:val="00D01537"/>
    <w:rsid w:val="00D015E2"/>
    <w:rsid w:val="00D017E8"/>
    <w:rsid w:val="00D01A27"/>
    <w:rsid w:val="00D01B31"/>
    <w:rsid w:val="00D01B40"/>
    <w:rsid w:val="00D01B4D"/>
    <w:rsid w:val="00D01B50"/>
    <w:rsid w:val="00D01B83"/>
    <w:rsid w:val="00D01BDA"/>
    <w:rsid w:val="00D01CB1"/>
    <w:rsid w:val="00D02939"/>
    <w:rsid w:val="00D02986"/>
    <w:rsid w:val="00D029D9"/>
    <w:rsid w:val="00D02B48"/>
    <w:rsid w:val="00D02C8C"/>
    <w:rsid w:val="00D02CCD"/>
    <w:rsid w:val="00D02D77"/>
    <w:rsid w:val="00D02D95"/>
    <w:rsid w:val="00D02DF7"/>
    <w:rsid w:val="00D032EF"/>
    <w:rsid w:val="00D03556"/>
    <w:rsid w:val="00D03626"/>
    <w:rsid w:val="00D039EA"/>
    <w:rsid w:val="00D03ACC"/>
    <w:rsid w:val="00D03C86"/>
    <w:rsid w:val="00D03CC4"/>
    <w:rsid w:val="00D0404C"/>
    <w:rsid w:val="00D0423F"/>
    <w:rsid w:val="00D04260"/>
    <w:rsid w:val="00D042AC"/>
    <w:rsid w:val="00D042FA"/>
    <w:rsid w:val="00D0434C"/>
    <w:rsid w:val="00D0460C"/>
    <w:rsid w:val="00D0479C"/>
    <w:rsid w:val="00D04A50"/>
    <w:rsid w:val="00D04A98"/>
    <w:rsid w:val="00D04A9C"/>
    <w:rsid w:val="00D04BCF"/>
    <w:rsid w:val="00D04CE8"/>
    <w:rsid w:val="00D05093"/>
    <w:rsid w:val="00D051E9"/>
    <w:rsid w:val="00D052D1"/>
    <w:rsid w:val="00D05531"/>
    <w:rsid w:val="00D0559B"/>
    <w:rsid w:val="00D05643"/>
    <w:rsid w:val="00D057B2"/>
    <w:rsid w:val="00D058A1"/>
    <w:rsid w:val="00D05A10"/>
    <w:rsid w:val="00D05ABC"/>
    <w:rsid w:val="00D05C93"/>
    <w:rsid w:val="00D05CD0"/>
    <w:rsid w:val="00D05F20"/>
    <w:rsid w:val="00D05FE5"/>
    <w:rsid w:val="00D0600D"/>
    <w:rsid w:val="00D060A2"/>
    <w:rsid w:val="00D062F1"/>
    <w:rsid w:val="00D06379"/>
    <w:rsid w:val="00D0661C"/>
    <w:rsid w:val="00D06A1D"/>
    <w:rsid w:val="00D06A22"/>
    <w:rsid w:val="00D06A34"/>
    <w:rsid w:val="00D06D7E"/>
    <w:rsid w:val="00D06ECE"/>
    <w:rsid w:val="00D06EF6"/>
    <w:rsid w:val="00D06FB7"/>
    <w:rsid w:val="00D0727D"/>
    <w:rsid w:val="00D07283"/>
    <w:rsid w:val="00D0732D"/>
    <w:rsid w:val="00D07505"/>
    <w:rsid w:val="00D075C1"/>
    <w:rsid w:val="00D07647"/>
    <w:rsid w:val="00D076C6"/>
    <w:rsid w:val="00D07738"/>
    <w:rsid w:val="00D077BB"/>
    <w:rsid w:val="00D077CE"/>
    <w:rsid w:val="00D0788C"/>
    <w:rsid w:val="00D07ADD"/>
    <w:rsid w:val="00D07BDA"/>
    <w:rsid w:val="00D07CEF"/>
    <w:rsid w:val="00D07F3D"/>
    <w:rsid w:val="00D07FFA"/>
    <w:rsid w:val="00D100FD"/>
    <w:rsid w:val="00D101E8"/>
    <w:rsid w:val="00D10305"/>
    <w:rsid w:val="00D10325"/>
    <w:rsid w:val="00D107CB"/>
    <w:rsid w:val="00D108B8"/>
    <w:rsid w:val="00D108E7"/>
    <w:rsid w:val="00D1091A"/>
    <w:rsid w:val="00D109B4"/>
    <w:rsid w:val="00D10B64"/>
    <w:rsid w:val="00D10BCD"/>
    <w:rsid w:val="00D10C41"/>
    <w:rsid w:val="00D10D1E"/>
    <w:rsid w:val="00D10E1A"/>
    <w:rsid w:val="00D10F87"/>
    <w:rsid w:val="00D1102C"/>
    <w:rsid w:val="00D11163"/>
    <w:rsid w:val="00D11181"/>
    <w:rsid w:val="00D117BA"/>
    <w:rsid w:val="00D118F3"/>
    <w:rsid w:val="00D119FE"/>
    <w:rsid w:val="00D11CC7"/>
    <w:rsid w:val="00D11D3B"/>
    <w:rsid w:val="00D11D4B"/>
    <w:rsid w:val="00D11F78"/>
    <w:rsid w:val="00D11FE9"/>
    <w:rsid w:val="00D1200A"/>
    <w:rsid w:val="00D12110"/>
    <w:rsid w:val="00D121AC"/>
    <w:rsid w:val="00D122ED"/>
    <w:rsid w:val="00D12764"/>
    <w:rsid w:val="00D129DF"/>
    <w:rsid w:val="00D12B26"/>
    <w:rsid w:val="00D12BAC"/>
    <w:rsid w:val="00D12BD8"/>
    <w:rsid w:val="00D12F82"/>
    <w:rsid w:val="00D13087"/>
    <w:rsid w:val="00D131B2"/>
    <w:rsid w:val="00D1354D"/>
    <w:rsid w:val="00D135D6"/>
    <w:rsid w:val="00D13772"/>
    <w:rsid w:val="00D13AE7"/>
    <w:rsid w:val="00D13BDB"/>
    <w:rsid w:val="00D13CFF"/>
    <w:rsid w:val="00D13E77"/>
    <w:rsid w:val="00D13EE6"/>
    <w:rsid w:val="00D14264"/>
    <w:rsid w:val="00D143C1"/>
    <w:rsid w:val="00D14475"/>
    <w:rsid w:val="00D144FC"/>
    <w:rsid w:val="00D147BA"/>
    <w:rsid w:val="00D148A6"/>
    <w:rsid w:val="00D14927"/>
    <w:rsid w:val="00D14941"/>
    <w:rsid w:val="00D149A3"/>
    <w:rsid w:val="00D14BFD"/>
    <w:rsid w:val="00D14CAA"/>
    <w:rsid w:val="00D14D2A"/>
    <w:rsid w:val="00D14D6F"/>
    <w:rsid w:val="00D14D8E"/>
    <w:rsid w:val="00D14DD9"/>
    <w:rsid w:val="00D14FB8"/>
    <w:rsid w:val="00D15377"/>
    <w:rsid w:val="00D15385"/>
    <w:rsid w:val="00D15468"/>
    <w:rsid w:val="00D156A4"/>
    <w:rsid w:val="00D15703"/>
    <w:rsid w:val="00D157D9"/>
    <w:rsid w:val="00D15898"/>
    <w:rsid w:val="00D158A3"/>
    <w:rsid w:val="00D15A2D"/>
    <w:rsid w:val="00D15B95"/>
    <w:rsid w:val="00D15BE1"/>
    <w:rsid w:val="00D15C18"/>
    <w:rsid w:val="00D15C66"/>
    <w:rsid w:val="00D15C6A"/>
    <w:rsid w:val="00D15E0D"/>
    <w:rsid w:val="00D160D7"/>
    <w:rsid w:val="00D16637"/>
    <w:rsid w:val="00D1694B"/>
    <w:rsid w:val="00D16EDE"/>
    <w:rsid w:val="00D16F10"/>
    <w:rsid w:val="00D1715E"/>
    <w:rsid w:val="00D17430"/>
    <w:rsid w:val="00D176F1"/>
    <w:rsid w:val="00D177E9"/>
    <w:rsid w:val="00D179FD"/>
    <w:rsid w:val="00D17FA5"/>
    <w:rsid w:val="00D20025"/>
    <w:rsid w:val="00D20134"/>
    <w:rsid w:val="00D20291"/>
    <w:rsid w:val="00D2030B"/>
    <w:rsid w:val="00D203FC"/>
    <w:rsid w:val="00D2043D"/>
    <w:rsid w:val="00D204C7"/>
    <w:rsid w:val="00D204E5"/>
    <w:rsid w:val="00D20678"/>
    <w:rsid w:val="00D20848"/>
    <w:rsid w:val="00D20B18"/>
    <w:rsid w:val="00D20CD6"/>
    <w:rsid w:val="00D20D50"/>
    <w:rsid w:val="00D20E9D"/>
    <w:rsid w:val="00D20F13"/>
    <w:rsid w:val="00D2110C"/>
    <w:rsid w:val="00D213C8"/>
    <w:rsid w:val="00D2144B"/>
    <w:rsid w:val="00D2148A"/>
    <w:rsid w:val="00D214BC"/>
    <w:rsid w:val="00D21759"/>
    <w:rsid w:val="00D217AD"/>
    <w:rsid w:val="00D217B3"/>
    <w:rsid w:val="00D218CC"/>
    <w:rsid w:val="00D218F9"/>
    <w:rsid w:val="00D21A29"/>
    <w:rsid w:val="00D21D20"/>
    <w:rsid w:val="00D21DD5"/>
    <w:rsid w:val="00D21E52"/>
    <w:rsid w:val="00D21E65"/>
    <w:rsid w:val="00D22085"/>
    <w:rsid w:val="00D22106"/>
    <w:rsid w:val="00D221B0"/>
    <w:rsid w:val="00D22233"/>
    <w:rsid w:val="00D224E1"/>
    <w:rsid w:val="00D22560"/>
    <w:rsid w:val="00D22590"/>
    <w:rsid w:val="00D226C7"/>
    <w:rsid w:val="00D22719"/>
    <w:rsid w:val="00D22748"/>
    <w:rsid w:val="00D22A80"/>
    <w:rsid w:val="00D22C15"/>
    <w:rsid w:val="00D22D41"/>
    <w:rsid w:val="00D22E09"/>
    <w:rsid w:val="00D22F35"/>
    <w:rsid w:val="00D232A1"/>
    <w:rsid w:val="00D2378D"/>
    <w:rsid w:val="00D237CB"/>
    <w:rsid w:val="00D237D3"/>
    <w:rsid w:val="00D23B8B"/>
    <w:rsid w:val="00D23C30"/>
    <w:rsid w:val="00D23FB8"/>
    <w:rsid w:val="00D24127"/>
    <w:rsid w:val="00D24144"/>
    <w:rsid w:val="00D243D7"/>
    <w:rsid w:val="00D2446D"/>
    <w:rsid w:val="00D244EF"/>
    <w:rsid w:val="00D24545"/>
    <w:rsid w:val="00D24574"/>
    <w:rsid w:val="00D245E1"/>
    <w:rsid w:val="00D24697"/>
    <w:rsid w:val="00D2474A"/>
    <w:rsid w:val="00D248CC"/>
    <w:rsid w:val="00D24983"/>
    <w:rsid w:val="00D24B12"/>
    <w:rsid w:val="00D24B5D"/>
    <w:rsid w:val="00D24C63"/>
    <w:rsid w:val="00D24C9C"/>
    <w:rsid w:val="00D24DC0"/>
    <w:rsid w:val="00D24FD0"/>
    <w:rsid w:val="00D25088"/>
    <w:rsid w:val="00D2518E"/>
    <w:rsid w:val="00D254E4"/>
    <w:rsid w:val="00D25591"/>
    <w:rsid w:val="00D257D9"/>
    <w:rsid w:val="00D25AA0"/>
    <w:rsid w:val="00D25AB4"/>
    <w:rsid w:val="00D25BC8"/>
    <w:rsid w:val="00D25C48"/>
    <w:rsid w:val="00D25D28"/>
    <w:rsid w:val="00D25D55"/>
    <w:rsid w:val="00D25E4A"/>
    <w:rsid w:val="00D25E5F"/>
    <w:rsid w:val="00D25E7E"/>
    <w:rsid w:val="00D26007"/>
    <w:rsid w:val="00D26050"/>
    <w:rsid w:val="00D26130"/>
    <w:rsid w:val="00D2629D"/>
    <w:rsid w:val="00D263A1"/>
    <w:rsid w:val="00D263C1"/>
    <w:rsid w:val="00D266E3"/>
    <w:rsid w:val="00D2683F"/>
    <w:rsid w:val="00D26B0B"/>
    <w:rsid w:val="00D26B1F"/>
    <w:rsid w:val="00D26BAD"/>
    <w:rsid w:val="00D26BDF"/>
    <w:rsid w:val="00D26D0F"/>
    <w:rsid w:val="00D26DFF"/>
    <w:rsid w:val="00D26FF5"/>
    <w:rsid w:val="00D27426"/>
    <w:rsid w:val="00D27538"/>
    <w:rsid w:val="00D275A6"/>
    <w:rsid w:val="00D2770D"/>
    <w:rsid w:val="00D278EE"/>
    <w:rsid w:val="00D27B46"/>
    <w:rsid w:val="00D27BC7"/>
    <w:rsid w:val="00D27CC5"/>
    <w:rsid w:val="00D30008"/>
    <w:rsid w:val="00D30464"/>
    <w:rsid w:val="00D3046B"/>
    <w:rsid w:val="00D305AC"/>
    <w:rsid w:val="00D30663"/>
    <w:rsid w:val="00D30733"/>
    <w:rsid w:val="00D3073C"/>
    <w:rsid w:val="00D30991"/>
    <w:rsid w:val="00D30AD4"/>
    <w:rsid w:val="00D30DA3"/>
    <w:rsid w:val="00D30E40"/>
    <w:rsid w:val="00D30EE6"/>
    <w:rsid w:val="00D3102B"/>
    <w:rsid w:val="00D3105F"/>
    <w:rsid w:val="00D3112C"/>
    <w:rsid w:val="00D31233"/>
    <w:rsid w:val="00D31237"/>
    <w:rsid w:val="00D31298"/>
    <w:rsid w:val="00D314B4"/>
    <w:rsid w:val="00D314D6"/>
    <w:rsid w:val="00D31666"/>
    <w:rsid w:val="00D31A1C"/>
    <w:rsid w:val="00D31C00"/>
    <w:rsid w:val="00D31C2E"/>
    <w:rsid w:val="00D31C3D"/>
    <w:rsid w:val="00D31D57"/>
    <w:rsid w:val="00D31D8D"/>
    <w:rsid w:val="00D31E2E"/>
    <w:rsid w:val="00D31F51"/>
    <w:rsid w:val="00D32134"/>
    <w:rsid w:val="00D321C3"/>
    <w:rsid w:val="00D321CC"/>
    <w:rsid w:val="00D3234D"/>
    <w:rsid w:val="00D32365"/>
    <w:rsid w:val="00D32539"/>
    <w:rsid w:val="00D326FA"/>
    <w:rsid w:val="00D327E0"/>
    <w:rsid w:val="00D32A16"/>
    <w:rsid w:val="00D32A94"/>
    <w:rsid w:val="00D32BAD"/>
    <w:rsid w:val="00D32C08"/>
    <w:rsid w:val="00D32CDC"/>
    <w:rsid w:val="00D32D20"/>
    <w:rsid w:val="00D32DFB"/>
    <w:rsid w:val="00D32E25"/>
    <w:rsid w:val="00D32E79"/>
    <w:rsid w:val="00D32EB0"/>
    <w:rsid w:val="00D3309C"/>
    <w:rsid w:val="00D331B0"/>
    <w:rsid w:val="00D3335F"/>
    <w:rsid w:val="00D33409"/>
    <w:rsid w:val="00D334D4"/>
    <w:rsid w:val="00D33641"/>
    <w:rsid w:val="00D33651"/>
    <w:rsid w:val="00D33707"/>
    <w:rsid w:val="00D33709"/>
    <w:rsid w:val="00D337BD"/>
    <w:rsid w:val="00D339B3"/>
    <w:rsid w:val="00D33A47"/>
    <w:rsid w:val="00D33BA6"/>
    <w:rsid w:val="00D33C75"/>
    <w:rsid w:val="00D342E8"/>
    <w:rsid w:val="00D34339"/>
    <w:rsid w:val="00D343AE"/>
    <w:rsid w:val="00D348BF"/>
    <w:rsid w:val="00D349A1"/>
    <w:rsid w:val="00D34A74"/>
    <w:rsid w:val="00D34AA0"/>
    <w:rsid w:val="00D34C65"/>
    <w:rsid w:val="00D34D84"/>
    <w:rsid w:val="00D34E22"/>
    <w:rsid w:val="00D34EA4"/>
    <w:rsid w:val="00D35010"/>
    <w:rsid w:val="00D350AC"/>
    <w:rsid w:val="00D350EE"/>
    <w:rsid w:val="00D35262"/>
    <w:rsid w:val="00D352BE"/>
    <w:rsid w:val="00D353BF"/>
    <w:rsid w:val="00D35672"/>
    <w:rsid w:val="00D35713"/>
    <w:rsid w:val="00D35942"/>
    <w:rsid w:val="00D359E6"/>
    <w:rsid w:val="00D35B04"/>
    <w:rsid w:val="00D35FDD"/>
    <w:rsid w:val="00D36266"/>
    <w:rsid w:val="00D362BB"/>
    <w:rsid w:val="00D36570"/>
    <w:rsid w:val="00D368DD"/>
    <w:rsid w:val="00D36A3B"/>
    <w:rsid w:val="00D36A60"/>
    <w:rsid w:val="00D36B93"/>
    <w:rsid w:val="00D36BD5"/>
    <w:rsid w:val="00D36D0E"/>
    <w:rsid w:val="00D36D6A"/>
    <w:rsid w:val="00D36D8D"/>
    <w:rsid w:val="00D36E22"/>
    <w:rsid w:val="00D36F61"/>
    <w:rsid w:val="00D36FE6"/>
    <w:rsid w:val="00D37068"/>
    <w:rsid w:val="00D37246"/>
    <w:rsid w:val="00D375EC"/>
    <w:rsid w:val="00D376C1"/>
    <w:rsid w:val="00D379A1"/>
    <w:rsid w:val="00D379CD"/>
    <w:rsid w:val="00D379DA"/>
    <w:rsid w:val="00D37A7F"/>
    <w:rsid w:val="00D37D45"/>
    <w:rsid w:val="00D37D5A"/>
    <w:rsid w:val="00D37EB1"/>
    <w:rsid w:val="00D37F57"/>
    <w:rsid w:val="00D37FED"/>
    <w:rsid w:val="00D4025D"/>
    <w:rsid w:val="00D402AE"/>
    <w:rsid w:val="00D4073D"/>
    <w:rsid w:val="00D407E8"/>
    <w:rsid w:val="00D407F7"/>
    <w:rsid w:val="00D4080D"/>
    <w:rsid w:val="00D40B00"/>
    <w:rsid w:val="00D40B91"/>
    <w:rsid w:val="00D40C47"/>
    <w:rsid w:val="00D40D23"/>
    <w:rsid w:val="00D40D54"/>
    <w:rsid w:val="00D40DFB"/>
    <w:rsid w:val="00D40EB0"/>
    <w:rsid w:val="00D413DC"/>
    <w:rsid w:val="00D4143D"/>
    <w:rsid w:val="00D4148D"/>
    <w:rsid w:val="00D41519"/>
    <w:rsid w:val="00D415DC"/>
    <w:rsid w:val="00D415E9"/>
    <w:rsid w:val="00D416F6"/>
    <w:rsid w:val="00D41BBE"/>
    <w:rsid w:val="00D41DBA"/>
    <w:rsid w:val="00D41FE5"/>
    <w:rsid w:val="00D420A8"/>
    <w:rsid w:val="00D42181"/>
    <w:rsid w:val="00D42231"/>
    <w:rsid w:val="00D4244C"/>
    <w:rsid w:val="00D42514"/>
    <w:rsid w:val="00D428A1"/>
    <w:rsid w:val="00D429B0"/>
    <w:rsid w:val="00D42A87"/>
    <w:rsid w:val="00D42B59"/>
    <w:rsid w:val="00D42BF4"/>
    <w:rsid w:val="00D42C64"/>
    <w:rsid w:val="00D42DB6"/>
    <w:rsid w:val="00D42E97"/>
    <w:rsid w:val="00D43082"/>
    <w:rsid w:val="00D430C3"/>
    <w:rsid w:val="00D430D2"/>
    <w:rsid w:val="00D4316C"/>
    <w:rsid w:val="00D43278"/>
    <w:rsid w:val="00D43396"/>
    <w:rsid w:val="00D43581"/>
    <w:rsid w:val="00D43690"/>
    <w:rsid w:val="00D4369E"/>
    <w:rsid w:val="00D43798"/>
    <w:rsid w:val="00D43824"/>
    <w:rsid w:val="00D4382B"/>
    <w:rsid w:val="00D43B22"/>
    <w:rsid w:val="00D43C54"/>
    <w:rsid w:val="00D43CB3"/>
    <w:rsid w:val="00D43CD2"/>
    <w:rsid w:val="00D43DD3"/>
    <w:rsid w:val="00D43DEE"/>
    <w:rsid w:val="00D43F3D"/>
    <w:rsid w:val="00D44076"/>
    <w:rsid w:val="00D4415D"/>
    <w:rsid w:val="00D4418A"/>
    <w:rsid w:val="00D4429D"/>
    <w:rsid w:val="00D4439E"/>
    <w:rsid w:val="00D44663"/>
    <w:rsid w:val="00D44A42"/>
    <w:rsid w:val="00D44A5C"/>
    <w:rsid w:val="00D44DD7"/>
    <w:rsid w:val="00D44E79"/>
    <w:rsid w:val="00D44F32"/>
    <w:rsid w:val="00D45204"/>
    <w:rsid w:val="00D45218"/>
    <w:rsid w:val="00D4543A"/>
    <w:rsid w:val="00D454BE"/>
    <w:rsid w:val="00D455A7"/>
    <w:rsid w:val="00D456BA"/>
    <w:rsid w:val="00D456DC"/>
    <w:rsid w:val="00D457F9"/>
    <w:rsid w:val="00D45AAB"/>
    <w:rsid w:val="00D45B29"/>
    <w:rsid w:val="00D45B9A"/>
    <w:rsid w:val="00D45BC8"/>
    <w:rsid w:val="00D460AD"/>
    <w:rsid w:val="00D46175"/>
    <w:rsid w:val="00D461EF"/>
    <w:rsid w:val="00D461F0"/>
    <w:rsid w:val="00D4623A"/>
    <w:rsid w:val="00D46391"/>
    <w:rsid w:val="00D464D1"/>
    <w:rsid w:val="00D4663B"/>
    <w:rsid w:val="00D46694"/>
    <w:rsid w:val="00D46738"/>
    <w:rsid w:val="00D467A0"/>
    <w:rsid w:val="00D4685E"/>
    <w:rsid w:val="00D468F5"/>
    <w:rsid w:val="00D469A9"/>
    <w:rsid w:val="00D46BB9"/>
    <w:rsid w:val="00D46F9C"/>
    <w:rsid w:val="00D470D7"/>
    <w:rsid w:val="00D470DE"/>
    <w:rsid w:val="00D472A0"/>
    <w:rsid w:val="00D47323"/>
    <w:rsid w:val="00D47493"/>
    <w:rsid w:val="00D476BB"/>
    <w:rsid w:val="00D476C3"/>
    <w:rsid w:val="00D47949"/>
    <w:rsid w:val="00D47B21"/>
    <w:rsid w:val="00D47B9E"/>
    <w:rsid w:val="00D47BEE"/>
    <w:rsid w:val="00D47C3D"/>
    <w:rsid w:val="00D47EF8"/>
    <w:rsid w:val="00D47F00"/>
    <w:rsid w:val="00D50024"/>
    <w:rsid w:val="00D50087"/>
    <w:rsid w:val="00D501FE"/>
    <w:rsid w:val="00D5033E"/>
    <w:rsid w:val="00D503D1"/>
    <w:rsid w:val="00D5047B"/>
    <w:rsid w:val="00D50595"/>
    <w:rsid w:val="00D50639"/>
    <w:rsid w:val="00D5064F"/>
    <w:rsid w:val="00D506A3"/>
    <w:rsid w:val="00D50771"/>
    <w:rsid w:val="00D507CD"/>
    <w:rsid w:val="00D50A1A"/>
    <w:rsid w:val="00D50BCB"/>
    <w:rsid w:val="00D50C74"/>
    <w:rsid w:val="00D50F3D"/>
    <w:rsid w:val="00D5100A"/>
    <w:rsid w:val="00D51116"/>
    <w:rsid w:val="00D51162"/>
    <w:rsid w:val="00D5118B"/>
    <w:rsid w:val="00D5163C"/>
    <w:rsid w:val="00D51668"/>
    <w:rsid w:val="00D51AE5"/>
    <w:rsid w:val="00D51BB9"/>
    <w:rsid w:val="00D520B1"/>
    <w:rsid w:val="00D52134"/>
    <w:rsid w:val="00D52708"/>
    <w:rsid w:val="00D52735"/>
    <w:rsid w:val="00D52963"/>
    <w:rsid w:val="00D52A3B"/>
    <w:rsid w:val="00D52B33"/>
    <w:rsid w:val="00D52D1E"/>
    <w:rsid w:val="00D52EB7"/>
    <w:rsid w:val="00D52F4D"/>
    <w:rsid w:val="00D53058"/>
    <w:rsid w:val="00D530B0"/>
    <w:rsid w:val="00D531FC"/>
    <w:rsid w:val="00D53223"/>
    <w:rsid w:val="00D5324D"/>
    <w:rsid w:val="00D53490"/>
    <w:rsid w:val="00D534C8"/>
    <w:rsid w:val="00D534E3"/>
    <w:rsid w:val="00D5356C"/>
    <w:rsid w:val="00D535EF"/>
    <w:rsid w:val="00D53783"/>
    <w:rsid w:val="00D5381E"/>
    <w:rsid w:val="00D53E92"/>
    <w:rsid w:val="00D5422C"/>
    <w:rsid w:val="00D543FF"/>
    <w:rsid w:val="00D5442D"/>
    <w:rsid w:val="00D5453F"/>
    <w:rsid w:val="00D545FF"/>
    <w:rsid w:val="00D5463F"/>
    <w:rsid w:val="00D5465C"/>
    <w:rsid w:val="00D54734"/>
    <w:rsid w:val="00D547D9"/>
    <w:rsid w:val="00D5482E"/>
    <w:rsid w:val="00D54906"/>
    <w:rsid w:val="00D5494B"/>
    <w:rsid w:val="00D54C5E"/>
    <w:rsid w:val="00D54E81"/>
    <w:rsid w:val="00D54FD4"/>
    <w:rsid w:val="00D55060"/>
    <w:rsid w:val="00D551DE"/>
    <w:rsid w:val="00D55408"/>
    <w:rsid w:val="00D55535"/>
    <w:rsid w:val="00D55700"/>
    <w:rsid w:val="00D5573C"/>
    <w:rsid w:val="00D55789"/>
    <w:rsid w:val="00D559B2"/>
    <w:rsid w:val="00D55B17"/>
    <w:rsid w:val="00D55C5E"/>
    <w:rsid w:val="00D55EF4"/>
    <w:rsid w:val="00D55F78"/>
    <w:rsid w:val="00D560CD"/>
    <w:rsid w:val="00D56140"/>
    <w:rsid w:val="00D5618A"/>
    <w:rsid w:val="00D562F1"/>
    <w:rsid w:val="00D56419"/>
    <w:rsid w:val="00D5663F"/>
    <w:rsid w:val="00D5670D"/>
    <w:rsid w:val="00D568BA"/>
    <w:rsid w:val="00D5694E"/>
    <w:rsid w:val="00D56ADC"/>
    <w:rsid w:val="00D56C8D"/>
    <w:rsid w:val="00D56CD1"/>
    <w:rsid w:val="00D56FC9"/>
    <w:rsid w:val="00D575FE"/>
    <w:rsid w:val="00D5766C"/>
    <w:rsid w:val="00D57674"/>
    <w:rsid w:val="00D57711"/>
    <w:rsid w:val="00D57813"/>
    <w:rsid w:val="00D5789D"/>
    <w:rsid w:val="00D578B5"/>
    <w:rsid w:val="00D5796F"/>
    <w:rsid w:val="00D57B64"/>
    <w:rsid w:val="00D57B9F"/>
    <w:rsid w:val="00D57E89"/>
    <w:rsid w:val="00D57F41"/>
    <w:rsid w:val="00D57F96"/>
    <w:rsid w:val="00D603B1"/>
    <w:rsid w:val="00D6050B"/>
    <w:rsid w:val="00D6067D"/>
    <w:rsid w:val="00D60703"/>
    <w:rsid w:val="00D60931"/>
    <w:rsid w:val="00D609B1"/>
    <w:rsid w:val="00D60A36"/>
    <w:rsid w:val="00D60A5E"/>
    <w:rsid w:val="00D60C81"/>
    <w:rsid w:val="00D6103C"/>
    <w:rsid w:val="00D6120E"/>
    <w:rsid w:val="00D6120F"/>
    <w:rsid w:val="00D61321"/>
    <w:rsid w:val="00D619C1"/>
    <w:rsid w:val="00D61AAA"/>
    <w:rsid w:val="00D61B5B"/>
    <w:rsid w:val="00D61B5C"/>
    <w:rsid w:val="00D61E00"/>
    <w:rsid w:val="00D61F2A"/>
    <w:rsid w:val="00D61F99"/>
    <w:rsid w:val="00D61FBB"/>
    <w:rsid w:val="00D62251"/>
    <w:rsid w:val="00D623EC"/>
    <w:rsid w:val="00D626B7"/>
    <w:rsid w:val="00D626CC"/>
    <w:rsid w:val="00D6274E"/>
    <w:rsid w:val="00D62820"/>
    <w:rsid w:val="00D62935"/>
    <w:rsid w:val="00D62986"/>
    <w:rsid w:val="00D6306E"/>
    <w:rsid w:val="00D6337A"/>
    <w:rsid w:val="00D633A8"/>
    <w:rsid w:val="00D635F1"/>
    <w:rsid w:val="00D6366B"/>
    <w:rsid w:val="00D63710"/>
    <w:rsid w:val="00D63847"/>
    <w:rsid w:val="00D6395E"/>
    <w:rsid w:val="00D63A80"/>
    <w:rsid w:val="00D63D82"/>
    <w:rsid w:val="00D63E36"/>
    <w:rsid w:val="00D64319"/>
    <w:rsid w:val="00D64418"/>
    <w:rsid w:val="00D6496E"/>
    <w:rsid w:val="00D64980"/>
    <w:rsid w:val="00D64A81"/>
    <w:rsid w:val="00D64ADC"/>
    <w:rsid w:val="00D64C4E"/>
    <w:rsid w:val="00D64D63"/>
    <w:rsid w:val="00D6514D"/>
    <w:rsid w:val="00D651C1"/>
    <w:rsid w:val="00D651C5"/>
    <w:rsid w:val="00D6522C"/>
    <w:rsid w:val="00D6526B"/>
    <w:rsid w:val="00D653D4"/>
    <w:rsid w:val="00D65457"/>
    <w:rsid w:val="00D654B4"/>
    <w:rsid w:val="00D65869"/>
    <w:rsid w:val="00D658DF"/>
    <w:rsid w:val="00D659D3"/>
    <w:rsid w:val="00D65A4D"/>
    <w:rsid w:val="00D65AA5"/>
    <w:rsid w:val="00D65ABF"/>
    <w:rsid w:val="00D65BA7"/>
    <w:rsid w:val="00D65C21"/>
    <w:rsid w:val="00D65C89"/>
    <w:rsid w:val="00D65E89"/>
    <w:rsid w:val="00D6608E"/>
    <w:rsid w:val="00D661EF"/>
    <w:rsid w:val="00D66208"/>
    <w:rsid w:val="00D6641A"/>
    <w:rsid w:val="00D66630"/>
    <w:rsid w:val="00D667D0"/>
    <w:rsid w:val="00D66929"/>
    <w:rsid w:val="00D66A0C"/>
    <w:rsid w:val="00D66A29"/>
    <w:rsid w:val="00D66B75"/>
    <w:rsid w:val="00D66BA9"/>
    <w:rsid w:val="00D66CF8"/>
    <w:rsid w:val="00D66D34"/>
    <w:rsid w:val="00D670D1"/>
    <w:rsid w:val="00D671F4"/>
    <w:rsid w:val="00D6725E"/>
    <w:rsid w:val="00D672B4"/>
    <w:rsid w:val="00D6736B"/>
    <w:rsid w:val="00D6754D"/>
    <w:rsid w:val="00D675DB"/>
    <w:rsid w:val="00D6786B"/>
    <w:rsid w:val="00D6790D"/>
    <w:rsid w:val="00D679D4"/>
    <w:rsid w:val="00D67E0C"/>
    <w:rsid w:val="00D67EA0"/>
    <w:rsid w:val="00D67F6E"/>
    <w:rsid w:val="00D700D1"/>
    <w:rsid w:val="00D701CE"/>
    <w:rsid w:val="00D7022C"/>
    <w:rsid w:val="00D70608"/>
    <w:rsid w:val="00D7064E"/>
    <w:rsid w:val="00D7067F"/>
    <w:rsid w:val="00D70A7D"/>
    <w:rsid w:val="00D70B5C"/>
    <w:rsid w:val="00D70D1D"/>
    <w:rsid w:val="00D7100F"/>
    <w:rsid w:val="00D7120C"/>
    <w:rsid w:val="00D71264"/>
    <w:rsid w:val="00D714F2"/>
    <w:rsid w:val="00D71792"/>
    <w:rsid w:val="00D71A62"/>
    <w:rsid w:val="00D71CE1"/>
    <w:rsid w:val="00D71DD2"/>
    <w:rsid w:val="00D71E8F"/>
    <w:rsid w:val="00D71EE6"/>
    <w:rsid w:val="00D71F30"/>
    <w:rsid w:val="00D71F3D"/>
    <w:rsid w:val="00D71F67"/>
    <w:rsid w:val="00D71FAC"/>
    <w:rsid w:val="00D71FD2"/>
    <w:rsid w:val="00D72031"/>
    <w:rsid w:val="00D720F3"/>
    <w:rsid w:val="00D72252"/>
    <w:rsid w:val="00D723E7"/>
    <w:rsid w:val="00D724CF"/>
    <w:rsid w:val="00D727E1"/>
    <w:rsid w:val="00D7288C"/>
    <w:rsid w:val="00D7294D"/>
    <w:rsid w:val="00D729CC"/>
    <w:rsid w:val="00D72BC8"/>
    <w:rsid w:val="00D72DF2"/>
    <w:rsid w:val="00D72F4F"/>
    <w:rsid w:val="00D73087"/>
    <w:rsid w:val="00D73159"/>
    <w:rsid w:val="00D732FA"/>
    <w:rsid w:val="00D73347"/>
    <w:rsid w:val="00D73388"/>
    <w:rsid w:val="00D73468"/>
    <w:rsid w:val="00D734E0"/>
    <w:rsid w:val="00D73783"/>
    <w:rsid w:val="00D737FF"/>
    <w:rsid w:val="00D73A80"/>
    <w:rsid w:val="00D73ABE"/>
    <w:rsid w:val="00D73B23"/>
    <w:rsid w:val="00D73C9E"/>
    <w:rsid w:val="00D73CFE"/>
    <w:rsid w:val="00D73D4C"/>
    <w:rsid w:val="00D73E5E"/>
    <w:rsid w:val="00D73E9F"/>
    <w:rsid w:val="00D73F7B"/>
    <w:rsid w:val="00D73FFD"/>
    <w:rsid w:val="00D743E9"/>
    <w:rsid w:val="00D7444D"/>
    <w:rsid w:val="00D74505"/>
    <w:rsid w:val="00D74595"/>
    <w:rsid w:val="00D745B0"/>
    <w:rsid w:val="00D7460D"/>
    <w:rsid w:val="00D74670"/>
    <w:rsid w:val="00D74A0F"/>
    <w:rsid w:val="00D74BAC"/>
    <w:rsid w:val="00D74BB6"/>
    <w:rsid w:val="00D74BDE"/>
    <w:rsid w:val="00D74BF7"/>
    <w:rsid w:val="00D74CB0"/>
    <w:rsid w:val="00D74D54"/>
    <w:rsid w:val="00D74F6B"/>
    <w:rsid w:val="00D75127"/>
    <w:rsid w:val="00D75313"/>
    <w:rsid w:val="00D754E2"/>
    <w:rsid w:val="00D7556E"/>
    <w:rsid w:val="00D75598"/>
    <w:rsid w:val="00D756A9"/>
    <w:rsid w:val="00D75805"/>
    <w:rsid w:val="00D75819"/>
    <w:rsid w:val="00D759AD"/>
    <w:rsid w:val="00D75B3A"/>
    <w:rsid w:val="00D75FF6"/>
    <w:rsid w:val="00D7605F"/>
    <w:rsid w:val="00D760BB"/>
    <w:rsid w:val="00D760C9"/>
    <w:rsid w:val="00D7611D"/>
    <w:rsid w:val="00D76217"/>
    <w:rsid w:val="00D764EF"/>
    <w:rsid w:val="00D765DD"/>
    <w:rsid w:val="00D76793"/>
    <w:rsid w:val="00D767AA"/>
    <w:rsid w:val="00D76813"/>
    <w:rsid w:val="00D76828"/>
    <w:rsid w:val="00D76861"/>
    <w:rsid w:val="00D769B0"/>
    <w:rsid w:val="00D76A45"/>
    <w:rsid w:val="00D76A56"/>
    <w:rsid w:val="00D76B13"/>
    <w:rsid w:val="00D76D55"/>
    <w:rsid w:val="00D76E26"/>
    <w:rsid w:val="00D770FF"/>
    <w:rsid w:val="00D7742F"/>
    <w:rsid w:val="00D77438"/>
    <w:rsid w:val="00D77516"/>
    <w:rsid w:val="00D77AF8"/>
    <w:rsid w:val="00D77BE0"/>
    <w:rsid w:val="00D77D44"/>
    <w:rsid w:val="00D77EAE"/>
    <w:rsid w:val="00D77FF3"/>
    <w:rsid w:val="00D800A6"/>
    <w:rsid w:val="00D801D4"/>
    <w:rsid w:val="00D805D6"/>
    <w:rsid w:val="00D80618"/>
    <w:rsid w:val="00D8071F"/>
    <w:rsid w:val="00D809BE"/>
    <w:rsid w:val="00D80E70"/>
    <w:rsid w:val="00D80E9C"/>
    <w:rsid w:val="00D81016"/>
    <w:rsid w:val="00D81097"/>
    <w:rsid w:val="00D81415"/>
    <w:rsid w:val="00D8176C"/>
    <w:rsid w:val="00D81828"/>
    <w:rsid w:val="00D818C5"/>
    <w:rsid w:val="00D8190D"/>
    <w:rsid w:val="00D8192D"/>
    <w:rsid w:val="00D81B18"/>
    <w:rsid w:val="00D81C01"/>
    <w:rsid w:val="00D81C96"/>
    <w:rsid w:val="00D81CB0"/>
    <w:rsid w:val="00D81E61"/>
    <w:rsid w:val="00D81F24"/>
    <w:rsid w:val="00D82202"/>
    <w:rsid w:val="00D82230"/>
    <w:rsid w:val="00D82340"/>
    <w:rsid w:val="00D82568"/>
    <w:rsid w:val="00D825B4"/>
    <w:rsid w:val="00D82679"/>
    <w:rsid w:val="00D826FA"/>
    <w:rsid w:val="00D8293A"/>
    <w:rsid w:val="00D82964"/>
    <w:rsid w:val="00D82A88"/>
    <w:rsid w:val="00D82AA5"/>
    <w:rsid w:val="00D82D25"/>
    <w:rsid w:val="00D82D91"/>
    <w:rsid w:val="00D82DAD"/>
    <w:rsid w:val="00D83027"/>
    <w:rsid w:val="00D8323D"/>
    <w:rsid w:val="00D83556"/>
    <w:rsid w:val="00D836CE"/>
    <w:rsid w:val="00D83760"/>
    <w:rsid w:val="00D8384C"/>
    <w:rsid w:val="00D83AFD"/>
    <w:rsid w:val="00D83B5E"/>
    <w:rsid w:val="00D83C43"/>
    <w:rsid w:val="00D83D8F"/>
    <w:rsid w:val="00D83ED6"/>
    <w:rsid w:val="00D83FEE"/>
    <w:rsid w:val="00D8402A"/>
    <w:rsid w:val="00D84473"/>
    <w:rsid w:val="00D84487"/>
    <w:rsid w:val="00D845B9"/>
    <w:rsid w:val="00D84664"/>
    <w:rsid w:val="00D846A9"/>
    <w:rsid w:val="00D848C0"/>
    <w:rsid w:val="00D84913"/>
    <w:rsid w:val="00D84C18"/>
    <w:rsid w:val="00D84F73"/>
    <w:rsid w:val="00D84FA8"/>
    <w:rsid w:val="00D8526C"/>
    <w:rsid w:val="00D8530E"/>
    <w:rsid w:val="00D854EC"/>
    <w:rsid w:val="00D8554F"/>
    <w:rsid w:val="00D8556E"/>
    <w:rsid w:val="00D85721"/>
    <w:rsid w:val="00D8572B"/>
    <w:rsid w:val="00D857D4"/>
    <w:rsid w:val="00D859D0"/>
    <w:rsid w:val="00D85AE8"/>
    <w:rsid w:val="00D85D68"/>
    <w:rsid w:val="00D85DDA"/>
    <w:rsid w:val="00D85DDF"/>
    <w:rsid w:val="00D85DFD"/>
    <w:rsid w:val="00D8604A"/>
    <w:rsid w:val="00D8604F"/>
    <w:rsid w:val="00D860DD"/>
    <w:rsid w:val="00D8642D"/>
    <w:rsid w:val="00D865C4"/>
    <w:rsid w:val="00D8667E"/>
    <w:rsid w:val="00D8679C"/>
    <w:rsid w:val="00D867A7"/>
    <w:rsid w:val="00D868F7"/>
    <w:rsid w:val="00D86939"/>
    <w:rsid w:val="00D86BD1"/>
    <w:rsid w:val="00D86C20"/>
    <w:rsid w:val="00D86E2C"/>
    <w:rsid w:val="00D86F0E"/>
    <w:rsid w:val="00D870FD"/>
    <w:rsid w:val="00D8711B"/>
    <w:rsid w:val="00D87129"/>
    <w:rsid w:val="00D873AC"/>
    <w:rsid w:val="00D876AA"/>
    <w:rsid w:val="00D876E9"/>
    <w:rsid w:val="00D87A4A"/>
    <w:rsid w:val="00D87A55"/>
    <w:rsid w:val="00D87ACF"/>
    <w:rsid w:val="00D87D77"/>
    <w:rsid w:val="00D87DEA"/>
    <w:rsid w:val="00D87E61"/>
    <w:rsid w:val="00D87EB1"/>
    <w:rsid w:val="00D87F14"/>
    <w:rsid w:val="00D87F35"/>
    <w:rsid w:val="00D87F9C"/>
    <w:rsid w:val="00D90003"/>
    <w:rsid w:val="00D904F1"/>
    <w:rsid w:val="00D90C63"/>
    <w:rsid w:val="00D90D20"/>
    <w:rsid w:val="00D90DC8"/>
    <w:rsid w:val="00D90DF7"/>
    <w:rsid w:val="00D90E78"/>
    <w:rsid w:val="00D90F0E"/>
    <w:rsid w:val="00D90F56"/>
    <w:rsid w:val="00D910DF"/>
    <w:rsid w:val="00D91294"/>
    <w:rsid w:val="00D91614"/>
    <w:rsid w:val="00D9161A"/>
    <w:rsid w:val="00D9176C"/>
    <w:rsid w:val="00D91E2A"/>
    <w:rsid w:val="00D91F2C"/>
    <w:rsid w:val="00D920D3"/>
    <w:rsid w:val="00D92266"/>
    <w:rsid w:val="00D9230D"/>
    <w:rsid w:val="00D92362"/>
    <w:rsid w:val="00D923EB"/>
    <w:rsid w:val="00D92642"/>
    <w:rsid w:val="00D92677"/>
    <w:rsid w:val="00D926C9"/>
    <w:rsid w:val="00D928C1"/>
    <w:rsid w:val="00D92CFB"/>
    <w:rsid w:val="00D92CFD"/>
    <w:rsid w:val="00D92D2E"/>
    <w:rsid w:val="00D92E3D"/>
    <w:rsid w:val="00D92E45"/>
    <w:rsid w:val="00D92EFA"/>
    <w:rsid w:val="00D92F6A"/>
    <w:rsid w:val="00D92FA0"/>
    <w:rsid w:val="00D92FB5"/>
    <w:rsid w:val="00D92FFC"/>
    <w:rsid w:val="00D930DC"/>
    <w:rsid w:val="00D93105"/>
    <w:rsid w:val="00D93273"/>
    <w:rsid w:val="00D932B4"/>
    <w:rsid w:val="00D935D6"/>
    <w:rsid w:val="00D93762"/>
    <w:rsid w:val="00D93767"/>
    <w:rsid w:val="00D937F1"/>
    <w:rsid w:val="00D93ADB"/>
    <w:rsid w:val="00D93B71"/>
    <w:rsid w:val="00D93C57"/>
    <w:rsid w:val="00D93D21"/>
    <w:rsid w:val="00D93DA1"/>
    <w:rsid w:val="00D941C8"/>
    <w:rsid w:val="00D94249"/>
    <w:rsid w:val="00D9431B"/>
    <w:rsid w:val="00D9437C"/>
    <w:rsid w:val="00D94431"/>
    <w:rsid w:val="00D9459C"/>
    <w:rsid w:val="00D9463F"/>
    <w:rsid w:val="00D947BD"/>
    <w:rsid w:val="00D947FD"/>
    <w:rsid w:val="00D94AB1"/>
    <w:rsid w:val="00D94C4D"/>
    <w:rsid w:val="00D94CCF"/>
    <w:rsid w:val="00D94CDD"/>
    <w:rsid w:val="00D94CF6"/>
    <w:rsid w:val="00D94DA0"/>
    <w:rsid w:val="00D94E0E"/>
    <w:rsid w:val="00D94E1C"/>
    <w:rsid w:val="00D94E1D"/>
    <w:rsid w:val="00D94EC7"/>
    <w:rsid w:val="00D94F57"/>
    <w:rsid w:val="00D95072"/>
    <w:rsid w:val="00D95098"/>
    <w:rsid w:val="00D950FA"/>
    <w:rsid w:val="00D95252"/>
    <w:rsid w:val="00D95554"/>
    <w:rsid w:val="00D9568C"/>
    <w:rsid w:val="00D956A1"/>
    <w:rsid w:val="00D957F6"/>
    <w:rsid w:val="00D95966"/>
    <w:rsid w:val="00D95ACC"/>
    <w:rsid w:val="00D95B28"/>
    <w:rsid w:val="00D95DC9"/>
    <w:rsid w:val="00D96040"/>
    <w:rsid w:val="00D96528"/>
    <w:rsid w:val="00D96580"/>
    <w:rsid w:val="00D96589"/>
    <w:rsid w:val="00D965F5"/>
    <w:rsid w:val="00D9679E"/>
    <w:rsid w:val="00D96815"/>
    <w:rsid w:val="00D96B45"/>
    <w:rsid w:val="00D96F05"/>
    <w:rsid w:val="00D96F47"/>
    <w:rsid w:val="00D96F65"/>
    <w:rsid w:val="00D973FD"/>
    <w:rsid w:val="00D97499"/>
    <w:rsid w:val="00D97847"/>
    <w:rsid w:val="00D9794E"/>
    <w:rsid w:val="00D97A0E"/>
    <w:rsid w:val="00D97E6B"/>
    <w:rsid w:val="00D97EE8"/>
    <w:rsid w:val="00D97EF3"/>
    <w:rsid w:val="00D97FD6"/>
    <w:rsid w:val="00D97FDF"/>
    <w:rsid w:val="00DA0004"/>
    <w:rsid w:val="00DA00DA"/>
    <w:rsid w:val="00DA03BF"/>
    <w:rsid w:val="00DA0451"/>
    <w:rsid w:val="00DA0546"/>
    <w:rsid w:val="00DA06B1"/>
    <w:rsid w:val="00DA08AF"/>
    <w:rsid w:val="00DA08BC"/>
    <w:rsid w:val="00DA0944"/>
    <w:rsid w:val="00DA09AF"/>
    <w:rsid w:val="00DA0E35"/>
    <w:rsid w:val="00DA0FF9"/>
    <w:rsid w:val="00DA127E"/>
    <w:rsid w:val="00DA172D"/>
    <w:rsid w:val="00DA1767"/>
    <w:rsid w:val="00DA187A"/>
    <w:rsid w:val="00DA18B4"/>
    <w:rsid w:val="00DA1C99"/>
    <w:rsid w:val="00DA1E43"/>
    <w:rsid w:val="00DA1F4B"/>
    <w:rsid w:val="00DA1F88"/>
    <w:rsid w:val="00DA210D"/>
    <w:rsid w:val="00DA228D"/>
    <w:rsid w:val="00DA2325"/>
    <w:rsid w:val="00DA241C"/>
    <w:rsid w:val="00DA25A6"/>
    <w:rsid w:val="00DA281E"/>
    <w:rsid w:val="00DA2AAF"/>
    <w:rsid w:val="00DA2AE0"/>
    <w:rsid w:val="00DA2BAF"/>
    <w:rsid w:val="00DA2EC5"/>
    <w:rsid w:val="00DA2F35"/>
    <w:rsid w:val="00DA30E1"/>
    <w:rsid w:val="00DA31C5"/>
    <w:rsid w:val="00DA329A"/>
    <w:rsid w:val="00DA3307"/>
    <w:rsid w:val="00DA3331"/>
    <w:rsid w:val="00DA37EC"/>
    <w:rsid w:val="00DA3831"/>
    <w:rsid w:val="00DA387E"/>
    <w:rsid w:val="00DA38E2"/>
    <w:rsid w:val="00DA3B3C"/>
    <w:rsid w:val="00DA3B53"/>
    <w:rsid w:val="00DA3D07"/>
    <w:rsid w:val="00DA3D30"/>
    <w:rsid w:val="00DA40D1"/>
    <w:rsid w:val="00DA41F0"/>
    <w:rsid w:val="00DA43DB"/>
    <w:rsid w:val="00DA44CE"/>
    <w:rsid w:val="00DA451E"/>
    <w:rsid w:val="00DA46A8"/>
    <w:rsid w:val="00DA4722"/>
    <w:rsid w:val="00DA4838"/>
    <w:rsid w:val="00DA4A11"/>
    <w:rsid w:val="00DA4C23"/>
    <w:rsid w:val="00DA4E65"/>
    <w:rsid w:val="00DA4F0E"/>
    <w:rsid w:val="00DA4F13"/>
    <w:rsid w:val="00DA4F41"/>
    <w:rsid w:val="00DA50A6"/>
    <w:rsid w:val="00DA51D5"/>
    <w:rsid w:val="00DA5241"/>
    <w:rsid w:val="00DA52F3"/>
    <w:rsid w:val="00DA5600"/>
    <w:rsid w:val="00DA562F"/>
    <w:rsid w:val="00DA580D"/>
    <w:rsid w:val="00DA590C"/>
    <w:rsid w:val="00DA5935"/>
    <w:rsid w:val="00DA5B48"/>
    <w:rsid w:val="00DA5C12"/>
    <w:rsid w:val="00DA5D02"/>
    <w:rsid w:val="00DA5D68"/>
    <w:rsid w:val="00DA5DE4"/>
    <w:rsid w:val="00DA5E97"/>
    <w:rsid w:val="00DA610E"/>
    <w:rsid w:val="00DA6145"/>
    <w:rsid w:val="00DA6337"/>
    <w:rsid w:val="00DA6408"/>
    <w:rsid w:val="00DA640D"/>
    <w:rsid w:val="00DA641C"/>
    <w:rsid w:val="00DA64B1"/>
    <w:rsid w:val="00DA6659"/>
    <w:rsid w:val="00DA67E6"/>
    <w:rsid w:val="00DA68A8"/>
    <w:rsid w:val="00DA6930"/>
    <w:rsid w:val="00DA6A44"/>
    <w:rsid w:val="00DA6AE2"/>
    <w:rsid w:val="00DA6D58"/>
    <w:rsid w:val="00DA6E84"/>
    <w:rsid w:val="00DA6F6E"/>
    <w:rsid w:val="00DA71A3"/>
    <w:rsid w:val="00DA71C4"/>
    <w:rsid w:val="00DA75EB"/>
    <w:rsid w:val="00DA76F9"/>
    <w:rsid w:val="00DA7A38"/>
    <w:rsid w:val="00DA7B32"/>
    <w:rsid w:val="00DA7E4D"/>
    <w:rsid w:val="00DB014B"/>
    <w:rsid w:val="00DB01BE"/>
    <w:rsid w:val="00DB01F0"/>
    <w:rsid w:val="00DB031B"/>
    <w:rsid w:val="00DB03D2"/>
    <w:rsid w:val="00DB04B3"/>
    <w:rsid w:val="00DB0544"/>
    <w:rsid w:val="00DB0745"/>
    <w:rsid w:val="00DB086A"/>
    <w:rsid w:val="00DB0AE0"/>
    <w:rsid w:val="00DB0C37"/>
    <w:rsid w:val="00DB0CAF"/>
    <w:rsid w:val="00DB0EF2"/>
    <w:rsid w:val="00DB1426"/>
    <w:rsid w:val="00DB1553"/>
    <w:rsid w:val="00DB167B"/>
    <w:rsid w:val="00DB16D9"/>
    <w:rsid w:val="00DB1807"/>
    <w:rsid w:val="00DB1A9E"/>
    <w:rsid w:val="00DB1AA6"/>
    <w:rsid w:val="00DB1B94"/>
    <w:rsid w:val="00DB1F86"/>
    <w:rsid w:val="00DB2086"/>
    <w:rsid w:val="00DB20F6"/>
    <w:rsid w:val="00DB218B"/>
    <w:rsid w:val="00DB22BE"/>
    <w:rsid w:val="00DB23E6"/>
    <w:rsid w:val="00DB23EA"/>
    <w:rsid w:val="00DB243C"/>
    <w:rsid w:val="00DB244B"/>
    <w:rsid w:val="00DB258F"/>
    <w:rsid w:val="00DB2684"/>
    <w:rsid w:val="00DB26D7"/>
    <w:rsid w:val="00DB2747"/>
    <w:rsid w:val="00DB2A93"/>
    <w:rsid w:val="00DB2B2C"/>
    <w:rsid w:val="00DB2D67"/>
    <w:rsid w:val="00DB2EBC"/>
    <w:rsid w:val="00DB2EC6"/>
    <w:rsid w:val="00DB3053"/>
    <w:rsid w:val="00DB317B"/>
    <w:rsid w:val="00DB31DB"/>
    <w:rsid w:val="00DB322A"/>
    <w:rsid w:val="00DB3251"/>
    <w:rsid w:val="00DB32C3"/>
    <w:rsid w:val="00DB367E"/>
    <w:rsid w:val="00DB3698"/>
    <w:rsid w:val="00DB36AF"/>
    <w:rsid w:val="00DB3805"/>
    <w:rsid w:val="00DB3826"/>
    <w:rsid w:val="00DB3B62"/>
    <w:rsid w:val="00DB3C54"/>
    <w:rsid w:val="00DB3CB3"/>
    <w:rsid w:val="00DB3D37"/>
    <w:rsid w:val="00DB3EBD"/>
    <w:rsid w:val="00DB400E"/>
    <w:rsid w:val="00DB404A"/>
    <w:rsid w:val="00DB4266"/>
    <w:rsid w:val="00DB42B1"/>
    <w:rsid w:val="00DB4512"/>
    <w:rsid w:val="00DB464C"/>
    <w:rsid w:val="00DB4688"/>
    <w:rsid w:val="00DB4739"/>
    <w:rsid w:val="00DB47F1"/>
    <w:rsid w:val="00DB4813"/>
    <w:rsid w:val="00DB4819"/>
    <w:rsid w:val="00DB4ACF"/>
    <w:rsid w:val="00DB4B13"/>
    <w:rsid w:val="00DB4BAC"/>
    <w:rsid w:val="00DB4C14"/>
    <w:rsid w:val="00DB4EBB"/>
    <w:rsid w:val="00DB4EEB"/>
    <w:rsid w:val="00DB4EF9"/>
    <w:rsid w:val="00DB4F3F"/>
    <w:rsid w:val="00DB4FC6"/>
    <w:rsid w:val="00DB4FF0"/>
    <w:rsid w:val="00DB52E5"/>
    <w:rsid w:val="00DB5370"/>
    <w:rsid w:val="00DB5508"/>
    <w:rsid w:val="00DB55A2"/>
    <w:rsid w:val="00DB585C"/>
    <w:rsid w:val="00DB58E5"/>
    <w:rsid w:val="00DB5930"/>
    <w:rsid w:val="00DB5951"/>
    <w:rsid w:val="00DB5ADB"/>
    <w:rsid w:val="00DB5BCA"/>
    <w:rsid w:val="00DB5BFE"/>
    <w:rsid w:val="00DB5C61"/>
    <w:rsid w:val="00DB5E98"/>
    <w:rsid w:val="00DB5F03"/>
    <w:rsid w:val="00DB6257"/>
    <w:rsid w:val="00DB6687"/>
    <w:rsid w:val="00DB6796"/>
    <w:rsid w:val="00DB686B"/>
    <w:rsid w:val="00DB68B1"/>
    <w:rsid w:val="00DB6AF4"/>
    <w:rsid w:val="00DB6BBD"/>
    <w:rsid w:val="00DB6DC9"/>
    <w:rsid w:val="00DB6ED1"/>
    <w:rsid w:val="00DB6F61"/>
    <w:rsid w:val="00DB6FE5"/>
    <w:rsid w:val="00DB715A"/>
    <w:rsid w:val="00DB716D"/>
    <w:rsid w:val="00DB7342"/>
    <w:rsid w:val="00DB73BD"/>
    <w:rsid w:val="00DB73C7"/>
    <w:rsid w:val="00DB7453"/>
    <w:rsid w:val="00DB74AB"/>
    <w:rsid w:val="00DB74F0"/>
    <w:rsid w:val="00DB7799"/>
    <w:rsid w:val="00DB79B7"/>
    <w:rsid w:val="00DB7A3C"/>
    <w:rsid w:val="00DB7B80"/>
    <w:rsid w:val="00DB7BDF"/>
    <w:rsid w:val="00DB7C1A"/>
    <w:rsid w:val="00DB7C5C"/>
    <w:rsid w:val="00DB7C79"/>
    <w:rsid w:val="00DB7CA9"/>
    <w:rsid w:val="00DC00E0"/>
    <w:rsid w:val="00DC0264"/>
    <w:rsid w:val="00DC0415"/>
    <w:rsid w:val="00DC0576"/>
    <w:rsid w:val="00DC06A3"/>
    <w:rsid w:val="00DC0974"/>
    <w:rsid w:val="00DC09D9"/>
    <w:rsid w:val="00DC0AD4"/>
    <w:rsid w:val="00DC0D7D"/>
    <w:rsid w:val="00DC0DFA"/>
    <w:rsid w:val="00DC0E0D"/>
    <w:rsid w:val="00DC0EC8"/>
    <w:rsid w:val="00DC0EE6"/>
    <w:rsid w:val="00DC0F46"/>
    <w:rsid w:val="00DC0FB0"/>
    <w:rsid w:val="00DC1009"/>
    <w:rsid w:val="00DC116C"/>
    <w:rsid w:val="00DC12BD"/>
    <w:rsid w:val="00DC132C"/>
    <w:rsid w:val="00DC1504"/>
    <w:rsid w:val="00DC1716"/>
    <w:rsid w:val="00DC1799"/>
    <w:rsid w:val="00DC190C"/>
    <w:rsid w:val="00DC1AB0"/>
    <w:rsid w:val="00DC1ADF"/>
    <w:rsid w:val="00DC1D9D"/>
    <w:rsid w:val="00DC1E2D"/>
    <w:rsid w:val="00DC1E5A"/>
    <w:rsid w:val="00DC2018"/>
    <w:rsid w:val="00DC21BF"/>
    <w:rsid w:val="00DC2222"/>
    <w:rsid w:val="00DC222D"/>
    <w:rsid w:val="00DC2348"/>
    <w:rsid w:val="00DC23E3"/>
    <w:rsid w:val="00DC2404"/>
    <w:rsid w:val="00DC267A"/>
    <w:rsid w:val="00DC27CD"/>
    <w:rsid w:val="00DC28FA"/>
    <w:rsid w:val="00DC2902"/>
    <w:rsid w:val="00DC2970"/>
    <w:rsid w:val="00DC2C8F"/>
    <w:rsid w:val="00DC2CB0"/>
    <w:rsid w:val="00DC2CE0"/>
    <w:rsid w:val="00DC2F30"/>
    <w:rsid w:val="00DC2FAE"/>
    <w:rsid w:val="00DC3085"/>
    <w:rsid w:val="00DC30B1"/>
    <w:rsid w:val="00DC3199"/>
    <w:rsid w:val="00DC325E"/>
    <w:rsid w:val="00DC32CC"/>
    <w:rsid w:val="00DC3323"/>
    <w:rsid w:val="00DC33E1"/>
    <w:rsid w:val="00DC370E"/>
    <w:rsid w:val="00DC372E"/>
    <w:rsid w:val="00DC38E8"/>
    <w:rsid w:val="00DC3AB6"/>
    <w:rsid w:val="00DC3BB4"/>
    <w:rsid w:val="00DC3FD3"/>
    <w:rsid w:val="00DC407F"/>
    <w:rsid w:val="00DC40DE"/>
    <w:rsid w:val="00DC41DE"/>
    <w:rsid w:val="00DC422A"/>
    <w:rsid w:val="00DC463E"/>
    <w:rsid w:val="00DC46B1"/>
    <w:rsid w:val="00DC46F5"/>
    <w:rsid w:val="00DC470E"/>
    <w:rsid w:val="00DC47EC"/>
    <w:rsid w:val="00DC484B"/>
    <w:rsid w:val="00DC49F0"/>
    <w:rsid w:val="00DC4A99"/>
    <w:rsid w:val="00DC4AA6"/>
    <w:rsid w:val="00DC4B86"/>
    <w:rsid w:val="00DC4DB3"/>
    <w:rsid w:val="00DC4FEC"/>
    <w:rsid w:val="00DC508C"/>
    <w:rsid w:val="00DC5267"/>
    <w:rsid w:val="00DC562E"/>
    <w:rsid w:val="00DC5757"/>
    <w:rsid w:val="00DC5A92"/>
    <w:rsid w:val="00DC5EFC"/>
    <w:rsid w:val="00DC5F1F"/>
    <w:rsid w:val="00DC5FCB"/>
    <w:rsid w:val="00DC607B"/>
    <w:rsid w:val="00DC610F"/>
    <w:rsid w:val="00DC6353"/>
    <w:rsid w:val="00DC63C9"/>
    <w:rsid w:val="00DC63EC"/>
    <w:rsid w:val="00DC6477"/>
    <w:rsid w:val="00DC6795"/>
    <w:rsid w:val="00DC687C"/>
    <w:rsid w:val="00DC6993"/>
    <w:rsid w:val="00DC6B23"/>
    <w:rsid w:val="00DC6B54"/>
    <w:rsid w:val="00DC6B62"/>
    <w:rsid w:val="00DC6BE6"/>
    <w:rsid w:val="00DC6C3C"/>
    <w:rsid w:val="00DC6D85"/>
    <w:rsid w:val="00DC6F5F"/>
    <w:rsid w:val="00DC6F61"/>
    <w:rsid w:val="00DC7297"/>
    <w:rsid w:val="00DC7334"/>
    <w:rsid w:val="00DC750C"/>
    <w:rsid w:val="00DC7521"/>
    <w:rsid w:val="00DC7524"/>
    <w:rsid w:val="00DC7532"/>
    <w:rsid w:val="00DC7589"/>
    <w:rsid w:val="00DC76C9"/>
    <w:rsid w:val="00DC771B"/>
    <w:rsid w:val="00DC77E7"/>
    <w:rsid w:val="00DC7806"/>
    <w:rsid w:val="00DC78D0"/>
    <w:rsid w:val="00DC7B0C"/>
    <w:rsid w:val="00DC7B14"/>
    <w:rsid w:val="00DC7B26"/>
    <w:rsid w:val="00DC7CCF"/>
    <w:rsid w:val="00DC7D60"/>
    <w:rsid w:val="00DC7E69"/>
    <w:rsid w:val="00DC7E89"/>
    <w:rsid w:val="00DC7FDE"/>
    <w:rsid w:val="00DD00A4"/>
    <w:rsid w:val="00DD00E2"/>
    <w:rsid w:val="00DD01A6"/>
    <w:rsid w:val="00DD01C5"/>
    <w:rsid w:val="00DD055D"/>
    <w:rsid w:val="00DD05A5"/>
    <w:rsid w:val="00DD0645"/>
    <w:rsid w:val="00DD0711"/>
    <w:rsid w:val="00DD0A88"/>
    <w:rsid w:val="00DD0E0E"/>
    <w:rsid w:val="00DD0E7A"/>
    <w:rsid w:val="00DD0E8E"/>
    <w:rsid w:val="00DD111A"/>
    <w:rsid w:val="00DD1177"/>
    <w:rsid w:val="00DD11DB"/>
    <w:rsid w:val="00DD11E4"/>
    <w:rsid w:val="00DD12D7"/>
    <w:rsid w:val="00DD183C"/>
    <w:rsid w:val="00DD1974"/>
    <w:rsid w:val="00DD1A2D"/>
    <w:rsid w:val="00DD1A71"/>
    <w:rsid w:val="00DD1CFF"/>
    <w:rsid w:val="00DD1E5A"/>
    <w:rsid w:val="00DD220A"/>
    <w:rsid w:val="00DD222C"/>
    <w:rsid w:val="00DD22F6"/>
    <w:rsid w:val="00DD263D"/>
    <w:rsid w:val="00DD266F"/>
    <w:rsid w:val="00DD2847"/>
    <w:rsid w:val="00DD2875"/>
    <w:rsid w:val="00DD28BD"/>
    <w:rsid w:val="00DD2BD3"/>
    <w:rsid w:val="00DD2C61"/>
    <w:rsid w:val="00DD2D98"/>
    <w:rsid w:val="00DD300A"/>
    <w:rsid w:val="00DD30A3"/>
    <w:rsid w:val="00DD3286"/>
    <w:rsid w:val="00DD3308"/>
    <w:rsid w:val="00DD332A"/>
    <w:rsid w:val="00DD3589"/>
    <w:rsid w:val="00DD35C6"/>
    <w:rsid w:val="00DD35E2"/>
    <w:rsid w:val="00DD361B"/>
    <w:rsid w:val="00DD3734"/>
    <w:rsid w:val="00DD37CE"/>
    <w:rsid w:val="00DD3822"/>
    <w:rsid w:val="00DD3837"/>
    <w:rsid w:val="00DD3933"/>
    <w:rsid w:val="00DD3B1F"/>
    <w:rsid w:val="00DD3B6C"/>
    <w:rsid w:val="00DD3B92"/>
    <w:rsid w:val="00DD3C06"/>
    <w:rsid w:val="00DD3CA1"/>
    <w:rsid w:val="00DD3DD5"/>
    <w:rsid w:val="00DD3FB5"/>
    <w:rsid w:val="00DD4064"/>
    <w:rsid w:val="00DD4346"/>
    <w:rsid w:val="00DD439A"/>
    <w:rsid w:val="00DD442B"/>
    <w:rsid w:val="00DD44EF"/>
    <w:rsid w:val="00DD44F7"/>
    <w:rsid w:val="00DD4635"/>
    <w:rsid w:val="00DD47DF"/>
    <w:rsid w:val="00DD48BE"/>
    <w:rsid w:val="00DD496B"/>
    <w:rsid w:val="00DD49FE"/>
    <w:rsid w:val="00DD4A01"/>
    <w:rsid w:val="00DD4C2F"/>
    <w:rsid w:val="00DD4C4D"/>
    <w:rsid w:val="00DD4D56"/>
    <w:rsid w:val="00DD4E16"/>
    <w:rsid w:val="00DD4F29"/>
    <w:rsid w:val="00DD4FD5"/>
    <w:rsid w:val="00DD50A0"/>
    <w:rsid w:val="00DD50FA"/>
    <w:rsid w:val="00DD5541"/>
    <w:rsid w:val="00DD55BE"/>
    <w:rsid w:val="00DD55E5"/>
    <w:rsid w:val="00DD5660"/>
    <w:rsid w:val="00DD5665"/>
    <w:rsid w:val="00DD57DE"/>
    <w:rsid w:val="00DD5945"/>
    <w:rsid w:val="00DD5958"/>
    <w:rsid w:val="00DD5A59"/>
    <w:rsid w:val="00DD5B39"/>
    <w:rsid w:val="00DD5CAB"/>
    <w:rsid w:val="00DD5CE0"/>
    <w:rsid w:val="00DD5D4A"/>
    <w:rsid w:val="00DD5DFD"/>
    <w:rsid w:val="00DD61EB"/>
    <w:rsid w:val="00DD63F7"/>
    <w:rsid w:val="00DD6670"/>
    <w:rsid w:val="00DD6706"/>
    <w:rsid w:val="00DD68D7"/>
    <w:rsid w:val="00DD6949"/>
    <w:rsid w:val="00DD6B7E"/>
    <w:rsid w:val="00DD6BE3"/>
    <w:rsid w:val="00DD6E9D"/>
    <w:rsid w:val="00DD6ECF"/>
    <w:rsid w:val="00DD706D"/>
    <w:rsid w:val="00DD708C"/>
    <w:rsid w:val="00DD7246"/>
    <w:rsid w:val="00DD752E"/>
    <w:rsid w:val="00DD77C9"/>
    <w:rsid w:val="00DD77CB"/>
    <w:rsid w:val="00DD78A4"/>
    <w:rsid w:val="00DD78AB"/>
    <w:rsid w:val="00DD78FA"/>
    <w:rsid w:val="00DD7917"/>
    <w:rsid w:val="00DD796C"/>
    <w:rsid w:val="00DD796D"/>
    <w:rsid w:val="00DD7A41"/>
    <w:rsid w:val="00DD7AA9"/>
    <w:rsid w:val="00DD7D65"/>
    <w:rsid w:val="00DD7D7B"/>
    <w:rsid w:val="00DD7E12"/>
    <w:rsid w:val="00DD7E30"/>
    <w:rsid w:val="00DE0014"/>
    <w:rsid w:val="00DE0074"/>
    <w:rsid w:val="00DE008E"/>
    <w:rsid w:val="00DE020E"/>
    <w:rsid w:val="00DE04D9"/>
    <w:rsid w:val="00DE0553"/>
    <w:rsid w:val="00DE05B5"/>
    <w:rsid w:val="00DE06C9"/>
    <w:rsid w:val="00DE088D"/>
    <w:rsid w:val="00DE093F"/>
    <w:rsid w:val="00DE095C"/>
    <w:rsid w:val="00DE099C"/>
    <w:rsid w:val="00DE0B71"/>
    <w:rsid w:val="00DE0CF6"/>
    <w:rsid w:val="00DE0EE9"/>
    <w:rsid w:val="00DE1064"/>
    <w:rsid w:val="00DE108C"/>
    <w:rsid w:val="00DE113B"/>
    <w:rsid w:val="00DE12EF"/>
    <w:rsid w:val="00DE143C"/>
    <w:rsid w:val="00DE17C6"/>
    <w:rsid w:val="00DE1940"/>
    <w:rsid w:val="00DE1AF8"/>
    <w:rsid w:val="00DE1B03"/>
    <w:rsid w:val="00DE1DB5"/>
    <w:rsid w:val="00DE1F00"/>
    <w:rsid w:val="00DE1F32"/>
    <w:rsid w:val="00DE2123"/>
    <w:rsid w:val="00DE221A"/>
    <w:rsid w:val="00DE22F1"/>
    <w:rsid w:val="00DE2505"/>
    <w:rsid w:val="00DE25CB"/>
    <w:rsid w:val="00DE273D"/>
    <w:rsid w:val="00DE2757"/>
    <w:rsid w:val="00DE27A6"/>
    <w:rsid w:val="00DE287C"/>
    <w:rsid w:val="00DE2A3F"/>
    <w:rsid w:val="00DE2B29"/>
    <w:rsid w:val="00DE2CAB"/>
    <w:rsid w:val="00DE2D0F"/>
    <w:rsid w:val="00DE2DD8"/>
    <w:rsid w:val="00DE2EEF"/>
    <w:rsid w:val="00DE2F24"/>
    <w:rsid w:val="00DE3006"/>
    <w:rsid w:val="00DE310A"/>
    <w:rsid w:val="00DE337D"/>
    <w:rsid w:val="00DE362F"/>
    <w:rsid w:val="00DE3668"/>
    <w:rsid w:val="00DE36D9"/>
    <w:rsid w:val="00DE378B"/>
    <w:rsid w:val="00DE3830"/>
    <w:rsid w:val="00DE3AC2"/>
    <w:rsid w:val="00DE3B03"/>
    <w:rsid w:val="00DE3B3F"/>
    <w:rsid w:val="00DE3BFA"/>
    <w:rsid w:val="00DE3EB9"/>
    <w:rsid w:val="00DE4003"/>
    <w:rsid w:val="00DE4083"/>
    <w:rsid w:val="00DE424D"/>
    <w:rsid w:val="00DE425F"/>
    <w:rsid w:val="00DE42CF"/>
    <w:rsid w:val="00DE4365"/>
    <w:rsid w:val="00DE43AE"/>
    <w:rsid w:val="00DE4486"/>
    <w:rsid w:val="00DE452E"/>
    <w:rsid w:val="00DE462C"/>
    <w:rsid w:val="00DE4869"/>
    <w:rsid w:val="00DE48A3"/>
    <w:rsid w:val="00DE48C0"/>
    <w:rsid w:val="00DE4966"/>
    <w:rsid w:val="00DE4AE2"/>
    <w:rsid w:val="00DE4B32"/>
    <w:rsid w:val="00DE4B47"/>
    <w:rsid w:val="00DE4DA5"/>
    <w:rsid w:val="00DE4E07"/>
    <w:rsid w:val="00DE4EBB"/>
    <w:rsid w:val="00DE4EC6"/>
    <w:rsid w:val="00DE4F15"/>
    <w:rsid w:val="00DE4FF2"/>
    <w:rsid w:val="00DE504A"/>
    <w:rsid w:val="00DE52D7"/>
    <w:rsid w:val="00DE52EC"/>
    <w:rsid w:val="00DE537A"/>
    <w:rsid w:val="00DE54DF"/>
    <w:rsid w:val="00DE5599"/>
    <w:rsid w:val="00DE572A"/>
    <w:rsid w:val="00DE5734"/>
    <w:rsid w:val="00DE579C"/>
    <w:rsid w:val="00DE597E"/>
    <w:rsid w:val="00DE5C15"/>
    <w:rsid w:val="00DE5C71"/>
    <w:rsid w:val="00DE5CBA"/>
    <w:rsid w:val="00DE5DD7"/>
    <w:rsid w:val="00DE5EB8"/>
    <w:rsid w:val="00DE5F85"/>
    <w:rsid w:val="00DE60B7"/>
    <w:rsid w:val="00DE60DA"/>
    <w:rsid w:val="00DE61FD"/>
    <w:rsid w:val="00DE62EF"/>
    <w:rsid w:val="00DE648A"/>
    <w:rsid w:val="00DE64D8"/>
    <w:rsid w:val="00DE65CF"/>
    <w:rsid w:val="00DE6691"/>
    <w:rsid w:val="00DE6912"/>
    <w:rsid w:val="00DE699F"/>
    <w:rsid w:val="00DE69E6"/>
    <w:rsid w:val="00DE6D50"/>
    <w:rsid w:val="00DE6E17"/>
    <w:rsid w:val="00DE6EDC"/>
    <w:rsid w:val="00DE6FBA"/>
    <w:rsid w:val="00DE70AE"/>
    <w:rsid w:val="00DE711D"/>
    <w:rsid w:val="00DE7530"/>
    <w:rsid w:val="00DE756C"/>
    <w:rsid w:val="00DE77FC"/>
    <w:rsid w:val="00DE7848"/>
    <w:rsid w:val="00DE7936"/>
    <w:rsid w:val="00DE7985"/>
    <w:rsid w:val="00DE7A90"/>
    <w:rsid w:val="00DE7A94"/>
    <w:rsid w:val="00DE7E97"/>
    <w:rsid w:val="00DE7F5E"/>
    <w:rsid w:val="00DF0076"/>
    <w:rsid w:val="00DF00CD"/>
    <w:rsid w:val="00DF019B"/>
    <w:rsid w:val="00DF03E6"/>
    <w:rsid w:val="00DF046C"/>
    <w:rsid w:val="00DF055B"/>
    <w:rsid w:val="00DF0937"/>
    <w:rsid w:val="00DF0991"/>
    <w:rsid w:val="00DF0C96"/>
    <w:rsid w:val="00DF0E06"/>
    <w:rsid w:val="00DF104C"/>
    <w:rsid w:val="00DF1111"/>
    <w:rsid w:val="00DF112A"/>
    <w:rsid w:val="00DF12AC"/>
    <w:rsid w:val="00DF1414"/>
    <w:rsid w:val="00DF1482"/>
    <w:rsid w:val="00DF14EE"/>
    <w:rsid w:val="00DF1869"/>
    <w:rsid w:val="00DF18E7"/>
    <w:rsid w:val="00DF1C3A"/>
    <w:rsid w:val="00DF1C41"/>
    <w:rsid w:val="00DF1C5E"/>
    <w:rsid w:val="00DF1CB2"/>
    <w:rsid w:val="00DF1D16"/>
    <w:rsid w:val="00DF1E56"/>
    <w:rsid w:val="00DF1E62"/>
    <w:rsid w:val="00DF1F88"/>
    <w:rsid w:val="00DF1FA9"/>
    <w:rsid w:val="00DF2016"/>
    <w:rsid w:val="00DF21B8"/>
    <w:rsid w:val="00DF21BC"/>
    <w:rsid w:val="00DF29A6"/>
    <w:rsid w:val="00DF2B8A"/>
    <w:rsid w:val="00DF2BE8"/>
    <w:rsid w:val="00DF2CCE"/>
    <w:rsid w:val="00DF2D3D"/>
    <w:rsid w:val="00DF2F09"/>
    <w:rsid w:val="00DF31DC"/>
    <w:rsid w:val="00DF33A2"/>
    <w:rsid w:val="00DF348B"/>
    <w:rsid w:val="00DF348C"/>
    <w:rsid w:val="00DF34BC"/>
    <w:rsid w:val="00DF3A1E"/>
    <w:rsid w:val="00DF3B34"/>
    <w:rsid w:val="00DF3D0F"/>
    <w:rsid w:val="00DF3D5F"/>
    <w:rsid w:val="00DF3DD5"/>
    <w:rsid w:val="00DF4083"/>
    <w:rsid w:val="00DF42CF"/>
    <w:rsid w:val="00DF4302"/>
    <w:rsid w:val="00DF440C"/>
    <w:rsid w:val="00DF44DC"/>
    <w:rsid w:val="00DF4843"/>
    <w:rsid w:val="00DF4852"/>
    <w:rsid w:val="00DF48EC"/>
    <w:rsid w:val="00DF497E"/>
    <w:rsid w:val="00DF4B79"/>
    <w:rsid w:val="00DF4CAA"/>
    <w:rsid w:val="00DF4DC6"/>
    <w:rsid w:val="00DF4E90"/>
    <w:rsid w:val="00DF4EA4"/>
    <w:rsid w:val="00DF4F27"/>
    <w:rsid w:val="00DF509A"/>
    <w:rsid w:val="00DF572B"/>
    <w:rsid w:val="00DF5B01"/>
    <w:rsid w:val="00DF5CB3"/>
    <w:rsid w:val="00DF5DFD"/>
    <w:rsid w:val="00DF5E2B"/>
    <w:rsid w:val="00DF5E56"/>
    <w:rsid w:val="00DF6110"/>
    <w:rsid w:val="00DF646F"/>
    <w:rsid w:val="00DF64B0"/>
    <w:rsid w:val="00DF64F2"/>
    <w:rsid w:val="00DF66CA"/>
    <w:rsid w:val="00DF66FB"/>
    <w:rsid w:val="00DF68B6"/>
    <w:rsid w:val="00DF6963"/>
    <w:rsid w:val="00DF69A8"/>
    <w:rsid w:val="00DF6C66"/>
    <w:rsid w:val="00DF6F76"/>
    <w:rsid w:val="00DF6FD3"/>
    <w:rsid w:val="00DF700F"/>
    <w:rsid w:val="00DF7027"/>
    <w:rsid w:val="00DF70BA"/>
    <w:rsid w:val="00DF71D6"/>
    <w:rsid w:val="00DF752B"/>
    <w:rsid w:val="00DF77FC"/>
    <w:rsid w:val="00DF79D2"/>
    <w:rsid w:val="00DF79EA"/>
    <w:rsid w:val="00DF7AAF"/>
    <w:rsid w:val="00DF7BE8"/>
    <w:rsid w:val="00DF7C61"/>
    <w:rsid w:val="00DF7E1A"/>
    <w:rsid w:val="00E001BA"/>
    <w:rsid w:val="00E002B2"/>
    <w:rsid w:val="00E0043A"/>
    <w:rsid w:val="00E004E0"/>
    <w:rsid w:val="00E00521"/>
    <w:rsid w:val="00E00606"/>
    <w:rsid w:val="00E0061C"/>
    <w:rsid w:val="00E0070E"/>
    <w:rsid w:val="00E009B5"/>
    <w:rsid w:val="00E009C2"/>
    <w:rsid w:val="00E00AB7"/>
    <w:rsid w:val="00E00ADC"/>
    <w:rsid w:val="00E00AEC"/>
    <w:rsid w:val="00E00B03"/>
    <w:rsid w:val="00E00B49"/>
    <w:rsid w:val="00E00DCE"/>
    <w:rsid w:val="00E00E0E"/>
    <w:rsid w:val="00E00EB8"/>
    <w:rsid w:val="00E00F73"/>
    <w:rsid w:val="00E0106D"/>
    <w:rsid w:val="00E0113C"/>
    <w:rsid w:val="00E01166"/>
    <w:rsid w:val="00E01178"/>
    <w:rsid w:val="00E01378"/>
    <w:rsid w:val="00E013CC"/>
    <w:rsid w:val="00E014D7"/>
    <w:rsid w:val="00E014E3"/>
    <w:rsid w:val="00E014FB"/>
    <w:rsid w:val="00E015C9"/>
    <w:rsid w:val="00E018D3"/>
    <w:rsid w:val="00E019AC"/>
    <w:rsid w:val="00E019F5"/>
    <w:rsid w:val="00E01A02"/>
    <w:rsid w:val="00E01E14"/>
    <w:rsid w:val="00E01E1D"/>
    <w:rsid w:val="00E01E4E"/>
    <w:rsid w:val="00E0223F"/>
    <w:rsid w:val="00E024C6"/>
    <w:rsid w:val="00E0262F"/>
    <w:rsid w:val="00E02787"/>
    <w:rsid w:val="00E027E4"/>
    <w:rsid w:val="00E029AC"/>
    <w:rsid w:val="00E02A49"/>
    <w:rsid w:val="00E02B83"/>
    <w:rsid w:val="00E02D75"/>
    <w:rsid w:val="00E02E7B"/>
    <w:rsid w:val="00E02F02"/>
    <w:rsid w:val="00E02F54"/>
    <w:rsid w:val="00E031E9"/>
    <w:rsid w:val="00E034CF"/>
    <w:rsid w:val="00E03548"/>
    <w:rsid w:val="00E03BE2"/>
    <w:rsid w:val="00E03C40"/>
    <w:rsid w:val="00E03FB8"/>
    <w:rsid w:val="00E040B5"/>
    <w:rsid w:val="00E044BE"/>
    <w:rsid w:val="00E045D1"/>
    <w:rsid w:val="00E04686"/>
    <w:rsid w:val="00E046A4"/>
    <w:rsid w:val="00E046B0"/>
    <w:rsid w:val="00E04968"/>
    <w:rsid w:val="00E049EE"/>
    <w:rsid w:val="00E04AEF"/>
    <w:rsid w:val="00E04CC5"/>
    <w:rsid w:val="00E04CCA"/>
    <w:rsid w:val="00E04CE3"/>
    <w:rsid w:val="00E04FAF"/>
    <w:rsid w:val="00E051E3"/>
    <w:rsid w:val="00E053B8"/>
    <w:rsid w:val="00E053E4"/>
    <w:rsid w:val="00E053F1"/>
    <w:rsid w:val="00E05416"/>
    <w:rsid w:val="00E055A8"/>
    <w:rsid w:val="00E0565C"/>
    <w:rsid w:val="00E058A6"/>
    <w:rsid w:val="00E058B5"/>
    <w:rsid w:val="00E0590E"/>
    <w:rsid w:val="00E05B50"/>
    <w:rsid w:val="00E05C6B"/>
    <w:rsid w:val="00E05E8F"/>
    <w:rsid w:val="00E05FB6"/>
    <w:rsid w:val="00E06036"/>
    <w:rsid w:val="00E06164"/>
    <w:rsid w:val="00E06177"/>
    <w:rsid w:val="00E0626C"/>
    <w:rsid w:val="00E0630E"/>
    <w:rsid w:val="00E06473"/>
    <w:rsid w:val="00E067E2"/>
    <w:rsid w:val="00E06D24"/>
    <w:rsid w:val="00E07138"/>
    <w:rsid w:val="00E07392"/>
    <w:rsid w:val="00E073E1"/>
    <w:rsid w:val="00E074CA"/>
    <w:rsid w:val="00E076F4"/>
    <w:rsid w:val="00E07801"/>
    <w:rsid w:val="00E078E3"/>
    <w:rsid w:val="00E079C6"/>
    <w:rsid w:val="00E07B03"/>
    <w:rsid w:val="00E07D3F"/>
    <w:rsid w:val="00E07D8F"/>
    <w:rsid w:val="00E1002E"/>
    <w:rsid w:val="00E10076"/>
    <w:rsid w:val="00E1016A"/>
    <w:rsid w:val="00E103D3"/>
    <w:rsid w:val="00E10449"/>
    <w:rsid w:val="00E1050E"/>
    <w:rsid w:val="00E10576"/>
    <w:rsid w:val="00E105A1"/>
    <w:rsid w:val="00E10623"/>
    <w:rsid w:val="00E1075B"/>
    <w:rsid w:val="00E108DB"/>
    <w:rsid w:val="00E10959"/>
    <w:rsid w:val="00E10AA2"/>
    <w:rsid w:val="00E10AC3"/>
    <w:rsid w:val="00E10B9B"/>
    <w:rsid w:val="00E10BEC"/>
    <w:rsid w:val="00E10C4C"/>
    <w:rsid w:val="00E10E65"/>
    <w:rsid w:val="00E10F6B"/>
    <w:rsid w:val="00E1105D"/>
    <w:rsid w:val="00E1106E"/>
    <w:rsid w:val="00E11160"/>
    <w:rsid w:val="00E1119F"/>
    <w:rsid w:val="00E111BF"/>
    <w:rsid w:val="00E112F3"/>
    <w:rsid w:val="00E117A4"/>
    <w:rsid w:val="00E11A51"/>
    <w:rsid w:val="00E11B36"/>
    <w:rsid w:val="00E11BC6"/>
    <w:rsid w:val="00E11C32"/>
    <w:rsid w:val="00E11C9F"/>
    <w:rsid w:val="00E11EF1"/>
    <w:rsid w:val="00E11FE2"/>
    <w:rsid w:val="00E1219A"/>
    <w:rsid w:val="00E12421"/>
    <w:rsid w:val="00E12478"/>
    <w:rsid w:val="00E12486"/>
    <w:rsid w:val="00E12547"/>
    <w:rsid w:val="00E125D6"/>
    <w:rsid w:val="00E126C9"/>
    <w:rsid w:val="00E1274D"/>
    <w:rsid w:val="00E1288A"/>
    <w:rsid w:val="00E1288E"/>
    <w:rsid w:val="00E12A38"/>
    <w:rsid w:val="00E12AC9"/>
    <w:rsid w:val="00E12ED8"/>
    <w:rsid w:val="00E13170"/>
    <w:rsid w:val="00E13244"/>
    <w:rsid w:val="00E1354A"/>
    <w:rsid w:val="00E1357A"/>
    <w:rsid w:val="00E135E9"/>
    <w:rsid w:val="00E135EB"/>
    <w:rsid w:val="00E137BB"/>
    <w:rsid w:val="00E13AB1"/>
    <w:rsid w:val="00E13CD3"/>
    <w:rsid w:val="00E13D20"/>
    <w:rsid w:val="00E13D27"/>
    <w:rsid w:val="00E13D39"/>
    <w:rsid w:val="00E13EAD"/>
    <w:rsid w:val="00E140BF"/>
    <w:rsid w:val="00E1413D"/>
    <w:rsid w:val="00E14282"/>
    <w:rsid w:val="00E144AD"/>
    <w:rsid w:val="00E145BA"/>
    <w:rsid w:val="00E14820"/>
    <w:rsid w:val="00E148AA"/>
    <w:rsid w:val="00E149F5"/>
    <w:rsid w:val="00E14D9A"/>
    <w:rsid w:val="00E14FC1"/>
    <w:rsid w:val="00E15012"/>
    <w:rsid w:val="00E15049"/>
    <w:rsid w:val="00E1514A"/>
    <w:rsid w:val="00E15186"/>
    <w:rsid w:val="00E15286"/>
    <w:rsid w:val="00E153D4"/>
    <w:rsid w:val="00E15564"/>
    <w:rsid w:val="00E155B7"/>
    <w:rsid w:val="00E15706"/>
    <w:rsid w:val="00E1574C"/>
    <w:rsid w:val="00E158A6"/>
    <w:rsid w:val="00E1593E"/>
    <w:rsid w:val="00E15A3C"/>
    <w:rsid w:val="00E15AB5"/>
    <w:rsid w:val="00E15B27"/>
    <w:rsid w:val="00E15B7D"/>
    <w:rsid w:val="00E15E52"/>
    <w:rsid w:val="00E15ECE"/>
    <w:rsid w:val="00E161EC"/>
    <w:rsid w:val="00E16865"/>
    <w:rsid w:val="00E16AAA"/>
    <w:rsid w:val="00E16ADC"/>
    <w:rsid w:val="00E16B87"/>
    <w:rsid w:val="00E16DCC"/>
    <w:rsid w:val="00E16DFB"/>
    <w:rsid w:val="00E16EA1"/>
    <w:rsid w:val="00E17484"/>
    <w:rsid w:val="00E174A7"/>
    <w:rsid w:val="00E17727"/>
    <w:rsid w:val="00E1773F"/>
    <w:rsid w:val="00E177B5"/>
    <w:rsid w:val="00E17963"/>
    <w:rsid w:val="00E179DB"/>
    <w:rsid w:val="00E17A0D"/>
    <w:rsid w:val="00E17A90"/>
    <w:rsid w:val="00E17ADA"/>
    <w:rsid w:val="00E17BE6"/>
    <w:rsid w:val="00E17D90"/>
    <w:rsid w:val="00E17D95"/>
    <w:rsid w:val="00E17DAC"/>
    <w:rsid w:val="00E17E82"/>
    <w:rsid w:val="00E17E8A"/>
    <w:rsid w:val="00E17ECB"/>
    <w:rsid w:val="00E17EF7"/>
    <w:rsid w:val="00E2020A"/>
    <w:rsid w:val="00E2042A"/>
    <w:rsid w:val="00E204A6"/>
    <w:rsid w:val="00E20785"/>
    <w:rsid w:val="00E2089B"/>
    <w:rsid w:val="00E20AFD"/>
    <w:rsid w:val="00E20C31"/>
    <w:rsid w:val="00E20C3A"/>
    <w:rsid w:val="00E20C7A"/>
    <w:rsid w:val="00E20F4D"/>
    <w:rsid w:val="00E20F98"/>
    <w:rsid w:val="00E2127A"/>
    <w:rsid w:val="00E21366"/>
    <w:rsid w:val="00E2148E"/>
    <w:rsid w:val="00E2156A"/>
    <w:rsid w:val="00E2168D"/>
    <w:rsid w:val="00E216D8"/>
    <w:rsid w:val="00E2190C"/>
    <w:rsid w:val="00E21A73"/>
    <w:rsid w:val="00E21BE7"/>
    <w:rsid w:val="00E21EA3"/>
    <w:rsid w:val="00E21EEA"/>
    <w:rsid w:val="00E21F04"/>
    <w:rsid w:val="00E21F13"/>
    <w:rsid w:val="00E221CE"/>
    <w:rsid w:val="00E2235C"/>
    <w:rsid w:val="00E22540"/>
    <w:rsid w:val="00E2264B"/>
    <w:rsid w:val="00E2265B"/>
    <w:rsid w:val="00E22911"/>
    <w:rsid w:val="00E22956"/>
    <w:rsid w:val="00E22AE6"/>
    <w:rsid w:val="00E22AFE"/>
    <w:rsid w:val="00E22E24"/>
    <w:rsid w:val="00E22E97"/>
    <w:rsid w:val="00E22FE3"/>
    <w:rsid w:val="00E2318F"/>
    <w:rsid w:val="00E232AC"/>
    <w:rsid w:val="00E232F8"/>
    <w:rsid w:val="00E2336B"/>
    <w:rsid w:val="00E23478"/>
    <w:rsid w:val="00E234FC"/>
    <w:rsid w:val="00E23554"/>
    <w:rsid w:val="00E23610"/>
    <w:rsid w:val="00E236A4"/>
    <w:rsid w:val="00E238E4"/>
    <w:rsid w:val="00E23DA9"/>
    <w:rsid w:val="00E23DE2"/>
    <w:rsid w:val="00E241A3"/>
    <w:rsid w:val="00E243DC"/>
    <w:rsid w:val="00E2441F"/>
    <w:rsid w:val="00E24423"/>
    <w:rsid w:val="00E24442"/>
    <w:rsid w:val="00E24929"/>
    <w:rsid w:val="00E24C54"/>
    <w:rsid w:val="00E24CED"/>
    <w:rsid w:val="00E24D3B"/>
    <w:rsid w:val="00E24E85"/>
    <w:rsid w:val="00E24F0A"/>
    <w:rsid w:val="00E24F42"/>
    <w:rsid w:val="00E24F62"/>
    <w:rsid w:val="00E25004"/>
    <w:rsid w:val="00E2502C"/>
    <w:rsid w:val="00E25389"/>
    <w:rsid w:val="00E253C7"/>
    <w:rsid w:val="00E253E5"/>
    <w:rsid w:val="00E2544D"/>
    <w:rsid w:val="00E25622"/>
    <w:rsid w:val="00E25628"/>
    <w:rsid w:val="00E257AC"/>
    <w:rsid w:val="00E257E9"/>
    <w:rsid w:val="00E25894"/>
    <w:rsid w:val="00E258CF"/>
    <w:rsid w:val="00E25B28"/>
    <w:rsid w:val="00E25B99"/>
    <w:rsid w:val="00E25D61"/>
    <w:rsid w:val="00E25D90"/>
    <w:rsid w:val="00E25F81"/>
    <w:rsid w:val="00E26005"/>
    <w:rsid w:val="00E26063"/>
    <w:rsid w:val="00E2606A"/>
    <w:rsid w:val="00E2609B"/>
    <w:rsid w:val="00E260F7"/>
    <w:rsid w:val="00E261F1"/>
    <w:rsid w:val="00E26309"/>
    <w:rsid w:val="00E2632E"/>
    <w:rsid w:val="00E26404"/>
    <w:rsid w:val="00E26551"/>
    <w:rsid w:val="00E26579"/>
    <w:rsid w:val="00E26635"/>
    <w:rsid w:val="00E267D3"/>
    <w:rsid w:val="00E26876"/>
    <w:rsid w:val="00E2691F"/>
    <w:rsid w:val="00E26B9C"/>
    <w:rsid w:val="00E26BCF"/>
    <w:rsid w:val="00E26BE8"/>
    <w:rsid w:val="00E26D07"/>
    <w:rsid w:val="00E26D19"/>
    <w:rsid w:val="00E26D63"/>
    <w:rsid w:val="00E26D7B"/>
    <w:rsid w:val="00E26DA1"/>
    <w:rsid w:val="00E26DF9"/>
    <w:rsid w:val="00E26E26"/>
    <w:rsid w:val="00E27121"/>
    <w:rsid w:val="00E2780A"/>
    <w:rsid w:val="00E278B0"/>
    <w:rsid w:val="00E278B8"/>
    <w:rsid w:val="00E278C7"/>
    <w:rsid w:val="00E27904"/>
    <w:rsid w:val="00E27B29"/>
    <w:rsid w:val="00E27B67"/>
    <w:rsid w:val="00E27CAF"/>
    <w:rsid w:val="00E27E6A"/>
    <w:rsid w:val="00E27EF4"/>
    <w:rsid w:val="00E3007A"/>
    <w:rsid w:val="00E301E9"/>
    <w:rsid w:val="00E3034D"/>
    <w:rsid w:val="00E30421"/>
    <w:rsid w:val="00E304C8"/>
    <w:rsid w:val="00E3063F"/>
    <w:rsid w:val="00E30647"/>
    <w:rsid w:val="00E30694"/>
    <w:rsid w:val="00E3073B"/>
    <w:rsid w:val="00E30766"/>
    <w:rsid w:val="00E3079F"/>
    <w:rsid w:val="00E3091F"/>
    <w:rsid w:val="00E30BDE"/>
    <w:rsid w:val="00E30BE2"/>
    <w:rsid w:val="00E30C34"/>
    <w:rsid w:val="00E30D09"/>
    <w:rsid w:val="00E31211"/>
    <w:rsid w:val="00E31269"/>
    <w:rsid w:val="00E312BC"/>
    <w:rsid w:val="00E313FF"/>
    <w:rsid w:val="00E31412"/>
    <w:rsid w:val="00E31473"/>
    <w:rsid w:val="00E316C6"/>
    <w:rsid w:val="00E318DD"/>
    <w:rsid w:val="00E3196B"/>
    <w:rsid w:val="00E31A22"/>
    <w:rsid w:val="00E31D71"/>
    <w:rsid w:val="00E31E8C"/>
    <w:rsid w:val="00E32093"/>
    <w:rsid w:val="00E320AA"/>
    <w:rsid w:val="00E322B9"/>
    <w:rsid w:val="00E322E8"/>
    <w:rsid w:val="00E324BD"/>
    <w:rsid w:val="00E324DA"/>
    <w:rsid w:val="00E32500"/>
    <w:rsid w:val="00E3295D"/>
    <w:rsid w:val="00E329F5"/>
    <w:rsid w:val="00E32B9B"/>
    <w:rsid w:val="00E32BDC"/>
    <w:rsid w:val="00E32C9C"/>
    <w:rsid w:val="00E32CFE"/>
    <w:rsid w:val="00E32D2E"/>
    <w:rsid w:val="00E32E8E"/>
    <w:rsid w:val="00E3322B"/>
    <w:rsid w:val="00E334C5"/>
    <w:rsid w:val="00E33592"/>
    <w:rsid w:val="00E33677"/>
    <w:rsid w:val="00E3377A"/>
    <w:rsid w:val="00E337F5"/>
    <w:rsid w:val="00E3387D"/>
    <w:rsid w:val="00E33A2E"/>
    <w:rsid w:val="00E33A61"/>
    <w:rsid w:val="00E33BDA"/>
    <w:rsid w:val="00E33CC4"/>
    <w:rsid w:val="00E33CF6"/>
    <w:rsid w:val="00E33F3C"/>
    <w:rsid w:val="00E340F9"/>
    <w:rsid w:val="00E34131"/>
    <w:rsid w:val="00E342A5"/>
    <w:rsid w:val="00E3433B"/>
    <w:rsid w:val="00E3436F"/>
    <w:rsid w:val="00E3467F"/>
    <w:rsid w:val="00E347C2"/>
    <w:rsid w:val="00E348B1"/>
    <w:rsid w:val="00E349F8"/>
    <w:rsid w:val="00E34DF2"/>
    <w:rsid w:val="00E34FEF"/>
    <w:rsid w:val="00E35038"/>
    <w:rsid w:val="00E351A4"/>
    <w:rsid w:val="00E354CF"/>
    <w:rsid w:val="00E35614"/>
    <w:rsid w:val="00E358D2"/>
    <w:rsid w:val="00E35C45"/>
    <w:rsid w:val="00E35C7D"/>
    <w:rsid w:val="00E35CB0"/>
    <w:rsid w:val="00E35D4D"/>
    <w:rsid w:val="00E35D60"/>
    <w:rsid w:val="00E35D62"/>
    <w:rsid w:val="00E35F0B"/>
    <w:rsid w:val="00E360B1"/>
    <w:rsid w:val="00E36267"/>
    <w:rsid w:val="00E362B3"/>
    <w:rsid w:val="00E3635C"/>
    <w:rsid w:val="00E36442"/>
    <w:rsid w:val="00E367FC"/>
    <w:rsid w:val="00E368EC"/>
    <w:rsid w:val="00E36943"/>
    <w:rsid w:val="00E36A6B"/>
    <w:rsid w:val="00E36B99"/>
    <w:rsid w:val="00E36BA4"/>
    <w:rsid w:val="00E36C4D"/>
    <w:rsid w:val="00E36D9A"/>
    <w:rsid w:val="00E36E0F"/>
    <w:rsid w:val="00E36E7F"/>
    <w:rsid w:val="00E36F7C"/>
    <w:rsid w:val="00E37152"/>
    <w:rsid w:val="00E372D2"/>
    <w:rsid w:val="00E37434"/>
    <w:rsid w:val="00E3753C"/>
    <w:rsid w:val="00E376BA"/>
    <w:rsid w:val="00E376CA"/>
    <w:rsid w:val="00E378CC"/>
    <w:rsid w:val="00E378D7"/>
    <w:rsid w:val="00E37A41"/>
    <w:rsid w:val="00E37A56"/>
    <w:rsid w:val="00E37E8D"/>
    <w:rsid w:val="00E37F46"/>
    <w:rsid w:val="00E40009"/>
    <w:rsid w:val="00E40024"/>
    <w:rsid w:val="00E40094"/>
    <w:rsid w:val="00E401C3"/>
    <w:rsid w:val="00E40206"/>
    <w:rsid w:val="00E402DB"/>
    <w:rsid w:val="00E40581"/>
    <w:rsid w:val="00E40618"/>
    <w:rsid w:val="00E407F9"/>
    <w:rsid w:val="00E40855"/>
    <w:rsid w:val="00E40950"/>
    <w:rsid w:val="00E40A47"/>
    <w:rsid w:val="00E40B2C"/>
    <w:rsid w:val="00E40CFF"/>
    <w:rsid w:val="00E40D2F"/>
    <w:rsid w:val="00E40EAD"/>
    <w:rsid w:val="00E4112C"/>
    <w:rsid w:val="00E412D0"/>
    <w:rsid w:val="00E4141F"/>
    <w:rsid w:val="00E41438"/>
    <w:rsid w:val="00E41512"/>
    <w:rsid w:val="00E416CA"/>
    <w:rsid w:val="00E41A10"/>
    <w:rsid w:val="00E41C47"/>
    <w:rsid w:val="00E41CB1"/>
    <w:rsid w:val="00E41CF3"/>
    <w:rsid w:val="00E41D11"/>
    <w:rsid w:val="00E41DEC"/>
    <w:rsid w:val="00E4200A"/>
    <w:rsid w:val="00E422A5"/>
    <w:rsid w:val="00E42325"/>
    <w:rsid w:val="00E423B1"/>
    <w:rsid w:val="00E424F8"/>
    <w:rsid w:val="00E425E6"/>
    <w:rsid w:val="00E42712"/>
    <w:rsid w:val="00E42783"/>
    <w:rsid w:val="00E4284D"/>
    <w:rsid w:val="00E42C85"/>
    <w:rsid w:val="00E42CAC"/>
    <w:rsid w:val="00E42CD7"/>
    <w:rsid w:val="00E42D0D"/>
    <w:rsid w:val="00E42EDA"/>
    <w:rsid w:val="00E42F4F"/>
    <w:rsid w:val="00E433D0"/>
    <w:rsid w:val="00E43444"/>
    <w:rsid w:val="00E4362E"/>
    <w:rsid w:val="00E4381E"/>
    <w:rsid w:val="00E43853"/>
    <w:rsid w:val="00E43A0B"/>
    <w:rsid w:val="00E43B81"/>
    <w:rsid w:val="00E43C84"/>
    <w:rsid w:val="00E43D2C"/>
    <w:rsid w:val="00E43DA9"/>
    <w:rsid w:val="00E43DAF"/>
    <w:rsid w:val="00E43DE1"/>
    <w:rsid w:val="00E43EDA"/>
    <w:rsid w:val="00E43F73"/>
    <w:rsid w:val="00E44514"/>
    <w:rsid w:val="00E447B8"/>
    <w:rsid w:val="00E44881"/>
    <w:rsid w:val="00E448B8"/>
    <w:rsid w:val="00E44F8C"/>
    <w:rsid w:val="00E44FAA"/>
    <w:rsid w:val="00E45160"/>
    <w:rsid w:val="00E45425"/>
    <w:rsid w:val="00E45444"/>
    <w:rsid w:val="00E4551B"/>
    <w:rsid w:val="00E455B8"/>
    <w:rsid w:val="00E45846"/>
    <w:rsid w:val="00E45933"/>
    <w:rsid w:val="00E459E0"/>
    <w:rsid w:val="00E45B14"/>
    <w:rsid w:val="00E45B31"/>
    <w:rsid w:val="00E45B3D"/>
    <w:rsid w:val="00E45DAE"/>
    <w:rsid w:val="00E45FA9"/>
    <w:rsid w:val="00E460F4"/>
    <w:rsid w:val="00E4621E"/>
    <w:rsid w:val="00E46230"/>
    <w:rsid w:val="00E46349"/>
    <w:rsid w:val="00E46359"/>
    <w:rsid w:val="00E46599"/>
    <w:rsid w:val="00E4659E"/>
    <w:rsid w:val="00E4677F"/>
    <w:rsid w:val="00E469A4"/>
    <w:rsid w:val="00E46A4D"/>
    <w:rsid w:val="00E46C9C"/>
    <w:rsid w:val="00E46CA7"/>
    <w:rsid w:val="00E46DD3"/>
    <w:rsid w:val="00E46E19"/>
    <w:rsid w:val="00E4710E"/>
    <w:rsid w:val="00E4714E"/>
    <w:rsid w:val="00E47303"/>
    <w:rsid w:val="00E473A2"/>
    <w:rsid w:val="00E473EE"/>
    <w:rsid w:val="00E474D1"/>
    <w:rsid w:val="00E4750C"/>
    <w:rsid w:val="00E476E7"/>
    <w:rsid w:val="00E4777E"/>
    <w:rsid w:val="00E47963"/>
    <w:rsid w:val="00E47A4C"/>
    <w:rsid w:val="00E47A7C"/>
    <w:rsid w:val="00E47B3D"/>
    <w:rsid w:val="00E47D36"/>
    <w:rsid w:val="00E47EA1"/>
    <w:rsid w:val="00E47FC7"/>
    <w:rsid w:val="00E47FFA"/>
    <w:rsid w:val="00E4D99E"/>
    <w:rsid w:val="00E5003E"/>
    <w:rsid w:val="00E500F6"/>
    <w:rsid w:val="00E500FC"/>
    <w:rsid w:val="00E50186"/>
    <w:rsid w:val="00E502E6"/>
    <w:rsid w:val="00E50562"/>
    <w:rsid w:val="00E506C8"/>
    <w:rsid w:val="00E50737"/>
    <w:rsid w:val="00E50789"/>
    <w:rsid w:val="00E50891"/>
    <w:rsid w:val="00E50C0D"/>
    <w:rsid w:val="00E50C7C"/>
    <w:rsid w:val="00E50CEC"/>
    <w:rsid w:val="00E50D12"/>
    <w:rsid w:val="00E50EE7"/>
    <w:rsid w:val="00E50F05"/>
    <w:rsid w:val="00E50F46"/>
    <w:rsid w:val="00E51009"/>
    <w:rsid w:val="00E51166"/>
    <w:rsid w:val="00E51286"/>
    <w:rsid w:val="00E512EC"/>
    <w:rsid w:val="00E51530"/>
    <w:rsid w:val="00E515BE"/>
    <w:rsid w:val="00E516AF"/>
    <w:rsid w:val="00E51745"/>
    <w:rsid w:val="00E51817"/>
    <w:rsid w:val="00E51912"/>
    <w:rsid w:val="00E51954"/>
    <w:rsid w:val="00E51A14"/>
    <w:rsid w:val="00E51AF2"/>
    <w:rsid w:val="00E51C18"/>
    <w:rsid w:val="00E51D96"/>
    <w:rsid w:val="00E5225A"/>
    <w:rsid w:val="00E5242F"/>
    <w:rsid w:val="00E52599"/>
    <w:rsid w:val="00E5271C"/>
    <w:rsid w:val="00E527DA"/>
    <w:rsid w:val="00E52835"/>
    <w:rsid w:val="00E52836"/>
    <w:rsid w:val="00E528C8"/>
    <w:rsid w:val="00E52A10"/>
    <w:rsid w:val="00E52A71"/>
    <w:rsid w:val="00E52BDD"/>
    <w:rsid w:val="00E52CEC"/>
    <w:rsid w:val="00E52D82"/>
    <w:rsid w:val="00E52EF1"/>
    <w:rsid w:val="00E5302E"/>
    <w:rsid w:val="00E53327"/>
    <w:rsid w:val="00E53439"/>
    <w:rsid w:val="00E53800"/>
    <w:rsid w:val="00E5386A"/>
    <w:rsid w:val="00E53884"/>
    <w:rsid w:val="00E538F9"/>
    <w:rsid w:val="00E539A8"/>
    <w:rsid w:val="00E53D70"/>
    <w:rsid w:val="00E53D74"/>
    <w:rsid w:val="00E53DE2"/>
    <w:rsid w:val="00E53EE4"/>
    <w:rsid w:val="00E541C1"/>
    <w:rsid w:val="00E5425E"/>
    <w:rsid w:val="00E542F8"/>
    <w:rsid w:val="00E54310"/>
    <w:rsid w:val="00E543E9"/>
    <w:rsid w:val="00E54458"/>
    <w:rsid w:val="00E5460D"/>
    <w:rsid w:val="00E54612"/>
    <w:rsid w:val="00E546BD"/>
    <w:rsid w:val="00E547EF"/>
    <w:rsid w:val="00E549F8"/>
    <w:rsid w:val="00E54BA1"/>
    <w:rsid w:val="00E54CB0"/>
    <w:rsid w:val="00E54EC1"/>
    <w:rsid w:val="00E54FB1"/>
    <w:rsid w:val="00E55053"/>
    <w:rsid w:val="00E55104"/>
    <w:rsid w:val="00E55138"/>
    <w:rsid w:val="00E551DB"/>
    <w:rsid w:val="00E551F7"/>
    <w:rsid w:val="00E5528A"/>
    <w:rsid w:val="00E552F2"/>
    <w:rsid w:val="00E5530E"/>
    <w:rsid w:val="00E5534F"/>
    <w:rsid w:val="00E55683"/>
    <w:rsid w:val="00E557F8"/>
    <w:rsid w:val="00E5585E"/>
    <w:rsid w:val="00E55920"/>
    <w:rsid w:val="00E55A28"/>
    <w:rsid w:val="00E55A2F"/>
    <w:rsid w:val="00E55A56"/>
    <w:rsid w:val="00E55C59"/>
    <w:rsid w:val="00E55C7F"/>
    <w:rsid w:val="00E55C91"/>
    <w:rsid w:val="00E55F0E"/>
    <w:rsid w:val="00E55FE5"/>
    <w:rsid w:val="00E5608B"/>
    <w:rsid w:val="00E5611E"/>
    <w:rsid w:val="00E562AB"/>
    <w:rsid w:val="00E56378"/>
    <w:rsid w:val="00E5638E"/>
    <w:rsid w:val="00E56436"/>
    <w:rsid w:val="00E56467"/>
    <w:rsid w:val="00E564A4"/>
    <w:rsid w:val="00E564C7"/>
    <w:rsid w:val="00E56509"/>
    <w:rsid w:val="00E56869"/>
    <w:rsid w:val="00E569AE"/>
    <w:rsid w:val="00E569AF"/>
    <w:rsid w:val="00E56C3B"/>
    <w:rsid w:val="00E56D22"/>
    <w:rsid w:val="00E56D4F"/>
    <w:rsid w:val="00E56DDE"/>
    <w:rsid w:val="00E56F2F"/>
    <w:rsid w:val="00E57052"/>
    <w:rsid w:val="00E570CE"/>
    <w:rsid w:val="00E570FA"/>
    <w:rsid w:val="00E57387"/>
    <w:rsid w:val="00E57482"/>
    <w:rsid w:val="00E57486"/>
    <w:rsid w:val="00E575C1"/>
    <w:rsid w:val="00E5778E"/>
    <w:rsid w:val="00E57E6D"/>
    <w:rsid w:val="00E57E83"/>
    <w:rsid w:val="00E57E98"/>
    <w:rsid w:val="00E57ED8"/>
    <w:rsid w:val="00E57F7B"/>
    <w:rsid w:val="00E57F9A"/>
    <w:rsid w:val="00E6028C"/>
    <w:rsid w:val="00E603D4"/>
    <w:rsid w:val="00E6041F"/>
    <w:rsid w:val="00E605FF"/>
    <w:rsid w:val="00E6078D"/>
    <w:rsid w:val="00E60949"/>
    <w:rsid w:val="00E609F2"/>
    <w:rsid w:val="00E60A9C"/>
    <w:rsid w:val="00E60B09"/>
    <w:rsid w:val="00E60DF9"/>
    <w:rsid w:val="00E60E31"/>
    <w:rsid w:val="00E610F9"/>
    <w:rsid w:val="00E6119E"/>
    <w:rsid w:val="00E611BF"/>
    <w:rsid w:val="00E611F6"/>
    <w:rsid w:val="00E61338"/>
    <w:rsid w:val="00E618E5"/>
    <w:rsid w:val="00E61986"/>
    <w:rsid w:val="00E61A2F"/>
    <w:rsid w:val="00E61AAD"/>
    <w:rsid w:val="00E61AB5"/>
    <w:rsid w:val="00E61B0D"/>
    <w:rsid w:val="00E61D12"/>
    <w:rsid w:val="00E61E3E"/>
    <w:rsid w:val="00E61EB3"/>
    <w:rsid w:val="00E621CF"/>
    <w:rsid w:val="00E62416"/>
    <w:rsid w:val="00E625C8"/>
    <w:rsid w:val="00E62653"/>
    <w:rsid w:val="00E62887"/>
    <w:rsid w:val="00E628E2"/>
    <w:rsid w:val="00E629E6"/>
    <w:rsid w:val="00E62BD0"/>
    <w:rsid w:val="00E62CD1"/>
    <w:rsid w:val="00E62DFF"/>
    <w:rsid w:val="00E63004"/>
    <w:rsid w:val="00E63016"/>
    <w:rsid w:val="00E63111"/>
    <w:rsid w:val="00E63122"/>
    <w:rsid w:val="00E63137"/>
    <w:rsid w:val="00E6313A"/>
    <w:rsid w:val="00E63451"/>
    <w:rsid w:val="00E6372A"/>
    <w:rsid w:val="00E63735"/>
    <w:rsid w:val="00E63A63"/>
    <w:rsid w:val="00E63B8D"/>
    <w:rsid w:val="00E63B92"/>
    <w:rsid w:val="00E63C88"/>
    <w:rsid w:val="00E63CEA"/>
    <w:rsid w:val="00E63F88"/>
    <w:rsid w:val="00E63FB6"/>
    <w:rsid w:val="00E6403E"/>
    <w:rsid w:val="00E641CA"/>
    <w:rsid w:val="00E641D6"/>
    <w:rsid w:val="00E6422A"/>
    <w:rsid w:val="00E6424D"/>
    <w:rsid w:val="00E6426C"/>
    <w:rsid w:val="00E64272"/>
    <w:rsid w:val="00E64395"/>
    <w:rsid w:val="00E643D6"/>
    <w:rsid w:val="00E644E6"/>
    <w:rsid w:val="00E64526"/>
    <w:rsid w:val="00E64531"/>
    <w:rsid w:val="00E645D4"/>
    <w:rsid w:val="00E646C2"/>
    <w:rsid w:val="00E64774"/>
    <w:rsid w:val="00E6485A"/>
    <w:rsid w:val="00E6496D"/>
    <w:rsid w:val="00E64B5F"/>
    <w:rsid w:val="00E64F7B"/>
    <w:rsid w:val="00E64FBA"/>
    <w:rsid w:val="00E653AF"/>
    <w:rsid w:val="00E654AB"/>
    <w:rsid w:val="00E65533"/>
    <w:rsid w:val="00E656F0"/>
    <w:rsid w:val="00E65A61"/>
    <w:rsid w:val="00E65BD4"/>
    <w:rsid w:val="00E65C6C"/>
    <w:rsid w:val="00E65E1B"/>
    <w:rsid w:val="00E66030"/>
    <w:rsid w:val="00E6614B"/>
    <w:rsid w:val="00E661B7"/>
    <w:rsid w:val="00E66304"/>
    <w:rsid w:val="00E663F9"/>
    <w:rsid w:val="00E6654E"/>
    <w:rsid w:val="00E6671B"/>
    <w:rsid w:val="00E6682D"/>
    <w:rsid w:val="00E6697F"/>
    <w:rsid w:val="00E66A26"/>
    <w:rsid w:val="00E66C18"/>
    <w:rsid w:val="00E66CF3"/>
    <w:rsid w:val="00E66D62"/>
    <w:rsid w:val="00E66D68"/>
    <w:rsid w:val="00E66DC3"/>
    <w:rsid w:val="00E6704C"/>
    <w:rsid w:val="00E670D5"/>
    <w:rsid w:val="00E6740A"/>
    <w:rsid w:val="00E676E1"/>
    <w:rsid w:val="00E677BF"/>
    <w:rsid w:val="00E67855"/>
    <w:rsid w:val="00E6794E"/>
    <w:rsid w:val="00E6797F"/>
    <w:rsid w:val="00E679B8"/>
    <w:rsid w:val="00E679D9"/>
    <w:rsid w:val="00E67A25"/>
    <w:rsid w:val="00E67C69"/>
    <w:rsid w:val="00E70072"/>
    <w:rsid w:val="00E70075"/>
    <w:rsid w:val="00E7018F"/>
    <w:rsid w:val="00E7049D"/>
    <w:rsid w:val="00E705D4"/>
    <w:rsid w:val="00E706C9"/>
    <w:rsid w:val="00E708CD"/>
    <w:rsid w:val="00E709B3"/>
    <w:rsid w:val="00E70C75"/>
    <w:rsid w:val="00E70D15"/>
    <w:rsid w:val="00E70D61"/>
    <w:rsid w:val="00E70E0D"/>
    <w:rsid w:val="00E70E88"/>
    <w:rsid w:val="00E70EFC"/>
    <w:rsid w:val="00E713CC"/>
    <w:rsid w:val="00E71452"/>
    <w:rsid w:val="00E715B7"/>
    <w:rsid w:val="00E7175B"/>
    <w:rsid w:val="00E718B7"/>
    <w:rsid w:val="00E71BE0"/>
    <w:rsid w:val="00E71C3E"/>
    <w:rsid w:val="00E71DF0"/>
    <w:rsid w:val="00E71FC4"/>
    <w:rsid w:val="00E720E2"/>
    <w:rsid w:val="00E7217B"/>
    <w:rsid w:val="00E722A8"/>
    <w:rsid w:val="00E722BB"/>
    <w:rsid w:val="00E72367"/>
    <w:rsid w:val="00E72552"/>
    <w:rsid w:val="00E7256B"/>
    <w:rsid w:val="00E725B4"/>
    <w:rsid w:val="00E72631"/>
    <w:rsid w:val="00E72850"/>
    <w:rsid w:val="00E728CF"/>
    <w:rsid w:val="00E72928"/>
    <w:rsid w:val="00E729D2"/>
    <w:rsid w:val="00E72AAF"/>
    <w:rsid w:val="00E72C6A"/>
    <w:rsid w:val="00E72D6D"/>
    <w:rsid w:val="00E72E25"/>
    <w:rsid w:val="00E72EFE"/>
    <w:rsid w:val="00E731E3"/>
    <w:rsid w:val="00E732F4"/>
    <w:rsid w:val="00E736B9"/>
    <w:rsid w:val="00E736DD"/>
    <w:rsid w:val="00E738EE"/>
    <w:rsid w:val="00E7399A"/>
    <w:rsid w:val="00E73A09"/>
    <w:rsid w:val="00E73A2A"/>
    <w:rsid w:val="00E73ABA"/>
    <w:rsid w:val="00E73AC7"/>
    <w:rsid w:val="00E73CDD"/>
    <w:rsid w:val="00E73E06"/>
    <w:rsid w:val="00E73E7C"/>
    <w:rsid w:val="00E73ED1"/>
    <w:rsid w:val="00E73F2D"/>
    <w:rsid w:val="00E73F49"/>
    <w:rsid w:val="00E74142"/>
    <w:rsid w:val="00E74238"/>
    <w:rsid w:val="00E74340"/>
    <w:rsid w:val="00E74344"/>
    <w:rsid w:val="00E74356"/>
    <w:rsid w:val="00E74481"/>
    <w:rsid w:val="00E74529"/>
    <w:rsid w:val="00E7468D"/>
    <w:rsid w:val="00E74814"/>
    <w:rsid w:val="00E748EF"/>
    <w:rsid w:val="00E74976"/>
    <w:rsid w:val="00E74A3C"/>
    <w:rsid w:val="00E74A3D"/>
    <w:rsid w:val="00E74A65"/>
    <w:rsid w:val="00E74B7D"/>
    <w:rsid w:val="00E74C67"/>
    <w:rsid w:val="00E74C7B"/>
    <w:rsid w:val="00E74CFD"/>
    <w:rsid w:val="00E74D5C"/>
    <w:rsid w:val="00E74DFE"/>
    <w:rsid w:val="00E74E76"/>
    <w:rsid w:val="00E74FBA"/>
    <w:rsid w:val="00E75091"/>
    <w:rsid w:val="00E7514C"/>
    <w:rsid w:val="00E7515F"/>
    <w:rsid w:val="00E751D7"/>
    <w:rsid w:val="00E75774"/>
    <w:rsid w:val="00E75B95"/>
    <w:rsid w:val="00E75BD3"/>
    <w:rsid w:val="00E75C37"/>
    <w:rsid w:val="00E75C6D"/>
    <w:rsid w:val="00E75D1A"/>
    <w:rsid w:val="00E75DED"/>
    <w:rsid w:val="00E75FE3"/>
    <w:rsid w:val="00E76045"/>
    <w:rsid w:val="00E76369"/>
    <w:rsid w:val="00E7667B"/>
    <w:rsid w:val="00E7684E"/>
    <w:rsid w:val="00E768FA"/>
    <w:rsid w:val="00E76C2A"/>
    <w:rsid w:val="00E76C94"/>
    <w:rsid w:val="00E76DE9"/>
    <w:rsid w:val="00E76F46"/>
    <w:rsid w:val="00E772BD"/>
    <w:rsid w:val="00E773C3"/>
    <w:rsid w:val="00E77817"/>
    <w:rsid w:val="00E77ACF"/>
    <w:rsid w:val="00E77B59"/>
    <w:rsid w:val="00E77E28"/>
    <w:rsid w:val="00E801C6"/>
    <w:rsid w:val="00E80267"/>
    <w:rsid w:val="00E80415"/>
    <w:rsid w:val="00E805F9"/>
    <w:rsid w:val="00E806D1"/>
    <w:rsid w:val="00E80759"/>
    <w:rsid w:val="00E8082B"/>
    <w:rsid w:val="00E80921"/>
    <w:rsid w:val="00E80930"/>
    <w:rsid w:val="00E80974"/>
    <w:rsid w:val="00E80A05"/>
    <w:rsid w:val="00E80A51"/>
    <w:rsid w:val="00E80B2B"/>
    <w:rsid w:val="00E80BB5"/>
    <w:rsid w:val="00E80CBC"/>
    <w:rsid w:val="00E80CF8"/>
    <w:rsid w:val="00E81041"/>
    <w:rsid w:val="00E810BB"/>
    <w:rsid w:val="00E81161"/>
    <w:rsid w:val="00E81374"/>
    <w:rsid w:val="00E81558"/>
    <w:rsid w:val="00E815FE"/>
    <w:rsid w:val="00E8186A"/>
    <w:rsid w:val="00E81964"/>
    <w:rsid w:val="00E81B06"/>
    <w:rsid w:val="00E81B0E"/>
    <w:rsid w:val="00E81B61"/>
    <w:rsid w:val="00E81C47"/>
    <w:rsid w:val="00E81CCE"/>
    <w:rsid w:val="00E81DCF"/>
    <w:rsid w:val="00E81E09"/>
    <w:rsid w:val="00E81E35"/>
    <w:rsid w:val="00E81E59"/>
    <w:rsid w:val="00E81FBA"/>
    <w:rsid w:val="00E823F3"/>
    <w:rsid w:val="00E824C0"/>
    <w:rsid w:val="00E828D7"/>
    <w:rsid w:val="00E8294B"/>
    <w:rsid w:val="00E829BB"/>
    <w:rsid w:val="00E82A34"/>
    <w:rsid w:val="00E82D69"/>
    <w:rsid w:val="00E82DDD"/>
    <w:rsid w:val="00E82E5F"/>
    <w:rsid w:val="00E82F15"/>
    <w:rsid w:val="00E82F4E"/>
    <w:rsid w:val="00E82FE3"/>
    <w:rsid w:val="00E830B6"/>
    <w:rsid w:val="00E831D0"/>
    <w:rsid w:val="00E8323B"/>
    <w:rsid w:val="00E8338E"/>
    <w:rsid w:val="00E8353A"/>
    <w:rsid w:val="00E83576"/>
    <w:rsid w:val="00E8375D"/>
    <w:rsid w:val="00E83827"/>
    <w:rsid w:val="00E838DE"/>
    <w:rsid w:val="00E839B6"/>
    <w:rsid w:val="00E83AA9"/>
    <w:rsid w:val="00E83BD0"/>
    <w:rsid w:val="00E83C14"/>
    <w:rsid w:val="00E83CFA"/>
    <w:rsid w:val="00E83D25"/>
    <w:rsid w:val="00E83E77"/>
    <w:rsid w:val="00E83FB5"/>
    <w:rsid w:val="00E8402F"/>
    <w:rsid w:val="00E840BD"/>
    <w:rsid w:val="00E841A1"/>
    <w:rsid w:val="00E841D0"/>
    <w:rsid w:val="00E841D5"/>
    <w:rsid w:val="00E842CE"/>
    <w:rsid w:val="00E842E7"/>
    <w:rsid w:val="00E8431F"/>
    <w:rsid w:val="00E84326"/>
    <w:rsid w:val="00E84337"/>
    <w:rsid w:val="00E843C9"/>
    <w:rsid w:val="00E84507"/>
    <w:rsid w:val="00E84539"/>
    <w:rsid w:val="00E845E0"/>
    <w:rsid w:val="00E846A0"/>
    <w:rsid w:val="00E84737"/>
    <w:rsid w:val="00E8484F"/>
    <w:rsid w:val="00E84DA9"/>
    <w:rsid w:val="00E84DD1"/>
    <w:rsid w:val="00E850CE"/>
    <w:rsid w:val="00E850F5"/>
    <w:rsid w:val="00E85146"/>
    <w:rsid w:val="00E8525D"/>
    <w:rsid w:val="00E8532B"/>
    <w:rsid w:val="00E85333"/>
    <w:rsid w:val="00E853CF"/>
    <w:rsid w:val="00E8541E"/>
    <w:rsid w:val="00E856B7"/>
    <w:rsid w:val="00E85A4A"/>
    <w:rsid w:val="00E85A70"/>
    <w:rsid w:val="00E85ADD"/>
    <w:rsid w:val="00E85C47"/>
    <w:rsid w:val="00E85C77"/>
    <w:rsid w:val="00E85F92"/>
    <w:rsid w:val="00E85FB0"/>
    <w:rsid w:val="00E86363"/>
    <w:rsid w:val="00E86498"/>
    <w:rsid w:val="00E86822"/>
    <w:rsid w:val="00E86879"/>
    <w:rsid w:val="00E869AF"/>
    <w:rsid w:val="00E86C1A"/>
    <w:rsid w:val="00E86C99"/>
    <w:rsid w:val="00E86D0E"/>
    <w:rsid w:val="00E86DE8"/>
    <w:rsid w:val="00E86E51"/>
    <w:rsid w:val="00E87147"/>
    <w:rsid w:val="00E8714F"/>
    <w:rsid w:val="00E87214"/>
    <w:rsid w:val="00E8733D"/>
    <w:rsid w:val="00E873C0"/>
    <w:rsid w:val="00E8748B"/>
    <w:rsid w:val="00E87515"/>
    <w:rsid w:val="00E87549"/>
    <w:rsid w:val="00E8769E"/>
    <w:rsid w:val="00E87821"/>
    <w:rsid w:val="00E879EE"/>
    <w:rsid w:val="00E87AD2"/>
    <w:rsid w:val="00E87CAD"/>
    <w:rsid w:val="00E87E90"/>
    <w:rsid w:val="00E87EF3"/>
    <w:rsid w:val="00E90136"/>
    <w:rsid w:val="00E902C3"/>
    <w:rsid w:val="00E902F8"/>
    <w:rsid w:val="00E90439"/>
    <w:rsid w:val="00E90452"/>
    <w:rsid w:val="00E90509"/>
    <w:rsid w:val="00E9066B"/>
    <w:rsid w:val="00E908E4"/>
    <w:rsid w:val="00E90C18"/>
    <w:rsid w:val="00E90D41"/>
    <w:rsid w:val="00E90E5D"/>
    <w:rsid w:val="00E90E77"/>
    <w:rsid w:val="00E90F20"/>
    <w:rsid w:val="00E91097"/>
    <w:rsid w:val="00E911EA"/>
    <w:rsid w:val="00E911F4"/>
    <w:rsid w:val="00E9129D"/>
    <w:rsid w:val="00E91313"/>
    <w:rsid w:val="00E91480"/>
    <w:rsid w:val="00E914F3"/>
    <w:rsid w:val="00E915CB"/>
    <w:rsid w:val="00E917C2"/>
    <w:rsid w:val="00E917CE"/>
    <w:rsid w:val="00E919D1"/>
    <w:rsid w:val="00E91BF6"/>
    <w:rsid w:val="00E91CA0"/>
    <w:rsid w:val="00E91D44"/>
    <w:rsid w:val="00E91DAB"/>
    <w:rsid w:val="00E91E1F"/>
    <w:rsid w:val="00E91E36"/>
    <w:rsid w:val="00E91EC4"/>
    <w:rsid w:val="00E91F7C"/>
    <w:rsid w:val="00E91F81"/>
    <w:rsid w:val="00E921AA"/>
    <w:rsid w:val="00E922D1"/>
    <w:rsid w:val="00E92374"/>
    <w:rsid w:val="00E923B0"/>
    <w:rsid w:val="00E924AA"/>
    <w:rsid w:val="00E926C0"/>
    <w:rsid w:val="00E92757"/>
    <w:rsid w:val="00E928CE"/>
    <w:rsid w:val="00E92A09"/>
    <w:rsid w:val="00E92AF9"/>
    <w:rsid w:val="00E92BBD"/>
    <w:rsid w:val="00E92CAF"/>
    <w:rsid w:val="00E92DCD"/>
    <w:rsid w:val="00E92E2D"/>
    <w:rsid w:val="00E92F6E"/>
    <w:rsid w:val="00E930B2"/>
    <w:rsid w:val="00E930D5"/>
    <w:rsid w:val="00E931BB"/>
    <w:rsid w:val="00E93254"/>
    <w:rsid w:val="00E9348A"/>
    <w:rsid w:val="00E934B6"/>
    <w:rsid w:val="00E934BE"/>
    <w:rsid w:val="00E935D0"/>
    <w:rsid w:val="00E9389F"/>
    <w:rsid w:val="00E93A46"/>
    <w:rsid w:val="00E93BE4"/>
    <w:rsid w:val="00E93BF0"/>
    <w:rsid w:val="00E93BF6"/>
    <w:rsid w:val="00E93DDA"/>
    <w:rsid w:val="00E94052"/>
    <w:rsid w:val="00E94064"/>
    <w:rsid w:val="00E9407A"/>
    <w:rsid w:val="00E940C8"/>
    <w:rsid w:val="00E9411B"/>
    <w:rsid w:val="00E941C1"/>
    <w:rsid w:val="00E94483"/>
    <w:rsid w:val="00E945A1"/>
    <w:rsid w:val="00E94640"/>
    <w:rsid w:val="00E94643"/>
    <w:rsid w:val="00E946AB"/>
    <w:rsid w:val="00E94841"/>
    <w:rsid w:val="00E94911"/>
    <w:rsid w:val="00E949B3"/>
    <w:rsid w:val="00E949D0"/>
    <w:rsid w:val="00E94AE1"/>
    <w:rsid w:val="00E94C38"/>
    <w:rsid w:val="00E94EE1"/>
    <w:rsid w:val="00E9530E"/>
    <w:rsid w:val="00E953DF"/>
    <w:rsid w:val="00E953F1"/>
    <w:rsid w:val="00E95405"/>
    <w:rsid w:val="00E954C1"/>
    <w:rsid w:val="00E95571"/>
    <w:rsid w:val="00E95685"/>
    <w:rsid w:val="00E9588D"/>
    <w:rsid w:val="00E95905"/>
    <w:rsid w:val="00E95BC8"/>
    <w:rsid w:val="00E95DEC"/>
    <w:rsid w:val="00E960D6"/>
    <w:rsid w:val="00E9611B"/>
    <w:rsid w:val="00E96120"/>
    <w:rsid w:val="00E9614D"/>
    <w:rsid w:val="00E961BE"/>
    <w:rsid w:val="00E963B4"/>
    <w:rsid w:val="00E96420"/>
    <w:rsid w:val="00E96602"/>
    <w:rsid w:val="00E96695"/>
    <w:rsid w:val="00E96880"/>
    <w:rsid w:val="00E96919"/>
    <w:rsid w:val="00E96929"/>
    <w:rsid w:val="00E96AF0"/>
    <w:rsid w:val="00E96E0E"/>
    <w:rsid w:val="00E96F0D"/>
    <w:rsid w:val="00E97049"/>
    <w:rsid w:val="00E972DA"/>
    <w:rsid w:val="00E97388"/>
    <w:rsid w:val="00E9775E"/>
    <w:rsid w:val="00E9783B"/>
    <w:rsid w:val="00E978B7"/>
    <w:rsid w:val="00E979A7"/>
    <w:rsid w:val="00E97C41"/>
    <w:rsid w:val="00E97C72"/>
    <w:rsid w:val="00EA00B1"/>
    <w:rsid w:val="00EA00FB"/>
    <w:rsid w:val="00EA024F"/>
    <w:rsid w:val="00EA0320"/>
    <w:rsid w:val="00EA03B1"/>
    <w:rsid w:val="00EA044E"/>
    <w:rsid w:val="00EA046A"/>
    <w:rsid w:val="00EA04F4"/>
    <w:rsid w:val="00EA0553"/>
    <w:rsid w:val="00EA05EF"/>
    <w:rsid w:val="00EA0649"/>
    <w:rsid w:val="00EA072B"/>
    <w:rsid w:val="00EA0835"/>
    <w:rsid w:val="00EA0A4A"/>
    <w:rsid w:val="00EA0C3D"/>
    <w:rsid w:val="00EA0DF4"/>
    <w:rsid w:val="00EA0EA9"/>
    <w:rsid w:val="00EA0F41"/>
    <w:rsid w:val="00EA1017"/>
    <w:rsid w:val="00EA101E"/>
    <w:rsid w:val="00EA1051"/>
    <w:rsid w:val="00EA1193"/>
    <w:rsid w:val="00EA12F1"/>
    <w:rsid w:val="00EA12FA"/>
    <w:rsid w:val="00EA14D6"/>
    <w:rsid w:val="00EA1696"/>
    <w:rsid w:val="00EA1699"/>
    <w:rsid w:val="00EA1917"/>
    <w:rsid w:val="00EA1A12"/>
    <w:rsid w:val="00EA1A83"/>
    <w:rsid w:val="00EA1B1A"/>
    <w:rsid w:val="00EA1B64"/>
    <w:rsid w:val="00EA1C2E"/>
    <w:rsid w:val="00EA1C33"/>
    <w:rsid w:val="00EA1C39"/>
    <w:rsid w:val="00EA1C50"/>
    <w:rsid w:val="00EA1E2D"/>
    <w:rsid w:val="00EA2057"/>
    <w:rsid w:val="00EA22D1"/>
    <w:rsid w:val="00EA22D4"/>
    <w:rsid w:val="00EA233D"/>
    <w:rsid w:val="00EA2559"/>
    <w:rsid w:val="00EA2668"/>
    <w:rsid w:val="00EA2683"/>
    <w:rsid w:val="00EA2729"/>
    <w:rsid w:val="00EA2734"/>
    <w:rsid w:val="00EA27E4"/>
    <w:rsid w:val="00EA283A"/>
    <w:rsid w:val="00EA2860"/>
    <w:rsid w:val="00EA2882"/>
    <w:rsid w:val="00EA2D30"/>
    <w:rsid w:val="00EA2D48"/>
    <w:rsid w:val="00EA2E7F"/>
    <w:rsid w:val="00EA2EDF"/>
    <w:rsid w:val="00EA2FD5"/>
    <w:rsid w:val="00EA3104"/>
    <w:rsid w:val="00EA3213"/>
    <w:rsid w:val="00EA3259"/>
    <w:rsid w:val="00EA33D1"/>
    <w:rsid w:val="00EA34DF"/>
    <w:rsid w:val="00EA355D"/>
    <w:rsid w:val="00EA368A"/>
    <w:rsid w:val="00EA3A62"/>
    <w:rsid w:val="00EA3C21"/>
    <w:rsid w:val="00EA3DDC"/>
    <w:rsid w:val="00EA40DC"/>
    <w:rsid w:val="00EA4148"/>
    <w:rsid w:val="00EA420E"/>
    <w:rsid w:val="00EA4248"/>
    <w:rsid w:val="00EA4333"/>
    <w:rsid w:val="00EA4641"/>
    <w:rsid w:val="00EA4662"/>
    <w:rsid w:val="00EA4A8F"/>
    <w:rsid w:val="00EA4B7A"/>
    <w:rsid w:val="00EA4CA1"/>
    <w:rsid w:val="00EA4EC4"/>
    <w:rsid w:val="00EA4FC4"/>
    <w:rsid w:val="00EA5097"/>
    <w:rsid w:val="00EA5179"/>
    <w:rsid w:val="00EA5488"/>
    <w:rsid w:val="00EA5642"/>
    <w:rsid w:val="00EA56DA"/>
    <w:rsid w:val="00EA5A2D"/>
    <w:rsid w:val="00EA5A2F"/>
    <w:rsid w:val="00EA5A55"/>
    <w:rsid w:val="00EA5B05"/>
    <w:rsid w:val="00EA5B0F"/>
    <w:rsid w:val="00EA5BD9"/>
    <w:rsid w:val="00EA5C33"/>
    <w:rsid w:val="00EA5E32"/>
    <w:rsid w:val="00EA5EE4"/>
    <w:rsid w:val="00EA5F60"/>
    <w:rsid w:val="00EA5FFE"/>
    <w:rsid w:val="00EA6040"/>
    <w:rsid w:val="00EA6214"/>
    <w:rsid w:val="00EA62BC"/>
    <w:rsid w:val="00EA6369"/>
    <w:rsid w:val="00EA65A6"/>
    <w:rsid w:val="00EA6840"/>
    <w:rsid w:val="00EA68CC"/>
    <w:rsid w:val="00EA6904"/>
    <w:rsid w:val="00EA6A5E"/>
    <w:rsid w:val="00EA6BAE"/>
    <w:rsid w:val="00EA6CD3"/>
    <w:rsid w:val="00EA6D0E"/>
    <w:rsid w:val="00EA6D98"/>
    <w:rsid w:val="00EA6DD3"/>
    <w:rsid w:val="00EA6F18"/>
    <w:rsid w:val="00EA7050"/>
    <w:rsid w:val="00EA706A"/>
    <w:rsid w:val="00EA70F9"/>
    <w:rsid w:val="00EA7110"/>
    <w:rsid w:val="00EA71D8"/>
    <w:rsid w:val="00EA72BB"/>
    <w:rsid w:val="00EA745A"/>
    <w:rsid w:val="00EA76E4"/>
    <w:rsid w:val="00EA79D7"/>
    <w:rsid w:val="00EA7BB7"/>
    <w:rsid w:val="00EA7BC5"/>
    <w:rsid w:val="00EA7C97"/>
    <w:rsid w:val="00EA7CC8"/>
    <w:rsid w:val="00EA7DDD"/>
    <w:rsid w:val="00EA7EB6"/>
    <w:rsid w:val="00EA7EE4"/>
    <w:rsid w:val="00EB0500"/>
    <w:rsid w:val="00EB0798"/>
    <w:rsid w:val="00EB07FA"/>
    <w:rsid w:val="00EB08D2"/>
    <w:rsid w:val="00EB09D3"/>
    <w:rsid w:val="00EB0B26"/>
    <w:rsid w:val="00EB0B6B"/>
    <w:rsid w:val="00EB0C82"/>
    <w:rsid w:val="00EB0DB0"/>
    <w:rsid w:val="00EB0EA3"/>
    <w:rsid w:val="00EB0ECA"/>
    <w:rsid w:val="00EB0F60"/>
    <w:rsid w:val="00EB101A"/>
    <w:rsid w:val="00EB106A"/>
    <w:rsid w:val="00EB112E"/>
    <w:rsid w:val="00EB11BD"/>
    <w:rsid w:val="00EB1393"/>
    <w:rsid w:val="00EB1BAF"/>
    <w:rsid w:val="00EB1BFD"/>
    <w:rsid w:val="00EB1C00"/>
    <w:rsid w:val="00EB1C94"/>
    <w:rsid w:val="00EB20D2"/>
    <w:rsid w:val="00EB20EC"/>
    <w:rsid w:val="00EB21FE"/>
    <w:rsid w:val="00EB22F8"/>
    <w:rsid w:val="00EB2380"/>
    <w:rsid w:val="00EB240B"/>
    <w:rsid w:val="00EB245F"/>
    <w:rsid w:val="00EB2536"/>
    <w:rsid w:val="00EB256E"/>
    <w:rsid w:val="00EB267C"/>
    <w:rsid w:val="00EB2700"/>
    <w:rsid w:val="00EB28D3"/>
    <w:rsid w:val="00EB297D"/>
    <w:rsid w:val="00EB2A2E"/>
    <w:rsid w:val="00EB2B3F"/>
    <w:rsid w:val="00EB2B7D"/>
    <w:rsid w:val="00EB2CEE"/>
    <w:rsid w:val="00EB2D6E"/>
    <w:rsid w:val="00EB2F03"/>
    <w:rsid w:val="00EB2F7B"/>
    <w:rsid w:val="00EB309E"/>
    <w:rsid w:val="00EB319A"/>
    <w:rsid w:val="00EB3375"/>
    <w:rsid w:val="00EB3765"/>
    <w:rsid w:val="00EB3951"/>
    <w:rsid w:val="00EB3B16"/>
    <w:rsid w:val="00EB3C63"/>
    <w:rsid w:val="00EB3CFA"/>
    <w:rsid w:val="00EB3D90"/>
    <w:rsid w:val="00EB3FD3"/>
    <w:rsid w:val="00EB4219"/>
    <w:rsid w:val="00EB42DF"/>
    <w:rsid w:val="00EB42E3"/>
    <w:rsid w:val="00EB4312"/>
    <w:rsid w:val="00EB43D3"/>
    <w:rsid w:val="00EB43F8"/>
    <w:rsid w:val="00EB45D8"/>
    <w:rsid w:val="00EB48F5"/>
    <w:rsid w:val="00EB490F"/>
    <w:rsid w:val="00EB4985"/>
    <w:rsid w:val="00EB4A07"/>
    <w:rsid w:val="00EB4BDA"/>
    <w:rsid w:val="00EB4BEB"/>
    <w:rsid w:val="00EB4C10"/>
    <w:rsid w:val="00EB4E2C"/>
    <w:rsid w:val="00EB4FF1"/>
    <w:rsid w:val="00EB4FF9"/>
    <w:rsid w:val="00EB5251"/>
    <w:rsid w:val="00EB52FA"/>
    <w:rsid w:val="00EB5353"/>
    <w:rsid w:val="00EB5488"/>
    <w:rsid w:val="00EB55C5"/>
    <w:rsid w:val="00EB5896"/>
    <w:rsid w:val="00EB5A41"/>
    <w:rsid w:val="00EB5D8B"/>
    <w:rsid w:val="00EB5F57"/>
    <w:rsid w:val="00EB5F75"/>
    <w:rsid w:val="00EB6015"/>
    <w:rsid w:val="00EB6194"/>
    <w:rsid w:val="00EB6265"/>
    <w:rsid w:val="00EB62F8"/>
    <w:rsid w:val="00EB6390"/>
    <w:rsid w:val="00EB63BA"/>
    <w:rsid w:val="00EB67F7"/>
    <w:rsid w:val="00EB6A73"/>
    <w:rsid w:val="00EB6B0A"/>
    <w:rsid w:val="00EB6B23"/>
    <w:rsid w:val="00EB6B41"/>
    <w:rsid w:val="00EB6B71"/>
    <w:rsid w:val="00EB6B90"/>
    <w:rsid w:val="00EB6C41"/>
    <w:rsid w:val="00EB6C74"/>
    <w:rsid w:val="00EB6D51"/>
    <w:rsid w:val="00EB6DAA"/>
    <w:rsid w:val="00EB6E24"/>
    <w:rsid w:val="00EB6F07"/>
    <w:rsid w:val="00EB70FD"/>
    <w:rsid w:val="00EB7416"/>
    <w:rsid w:val="00EB7478"/>
    <w:rsid w:val="00EB7505"/>
    <w:rsid w:val="00EB7711"/>
    <w:rsid w:val="00EB7744"/>
    <w:rsid w:val="00EB7843"/>
    <w:rsid w:val="00EB79A7"/>
    <w:rsid w:val="00EB79EB"/>
    <w:rsid w:val="00EB7B58"/>
    <w:rsid w:val="00EB7B94"/>
    <w:rsid w:val="00EB7C7B"/>
    <w:rsid w:val="00EB7D64"/>
    <w:rsid w:val="00EB7DD3"/>
    <w:rsid w:val="00EB7E65"/>
    <w:rsid w:val="00EB7ECD"/>
    <w:rsid w:val="00EB7F93"/>
    <w:rsid w:val="00EC01E1"/>
    <w:rsid w:val="00EC04A1"/>
    <w:rsid w:val="00EC0670"/>
    <w:rsid w:val="00EC06CC"/>
    <w:rsid w:val="00EC07B5"/>
    <w:rsid w:val="00EC0B16"/>
    <w:rsid w:val="00EC0B17"/>
    <w:rsid w:val="00EC0BD6"/>
    <w:rsid w:val="00EC0DB5"/>
    <w:rsid w:val="00EC0E35"/>
    <w:rsid w:val="00EC0E71"/>
    <w:rsid w:val="00EC1000"/>
    <w:rsid w:val="00EC138F"/>
    <w:rsid w:val="00EC13B9"/>
    <w:rsid w:val="00EC16F2"/>
    <w:rsid w:val="00EC189B"/>
    <w:rsid w:val="00EC1B2E"/>
    <w:rsid w:val="00EC1BB6"/>
    <w:rsid w:val="00EC1BEA"/>
    <w:rsid w:val="00EC1D29"/>
    <w:rsid w:val="00EC1D7D"/>
    <w:rsid w:val="00EC1E2A"/>
    <w:rsid w:val="00EC1F31"/>
    <w:rsid w:val="00EC1FA6"/>
    <w:rsid w:val="00EC1FCB"/>
    <w:rsid w:val="00EC2627"/>
    <w:rsid w:val="00EC2950"/>
    <w:rsid w:val="00EC2B31"/>
    <w:rsid w:val="00EC2C13"/>
    <w:rsid w:val="00EC2D83"/>
    <w:rsid w:val="00EC2ED3"/>
    <w:rsid w:val="00EC2F57"/>
    <w:rsid w:val="00EC321E"/>
    <w:rsid w:val="00EC3288"/>
    <w:rsid w:val="00EC3631"/>
    <w:rsid w:val="00EC36AF"/>
    <w:rsid w:val="00EC3903"/>
    <w:rsid w:val="00EC3AEA"/>
    <w:rsid w:val="00EC3B16"/>
    <w:rsid w:val="00EC3B42"/>
    <w:rsid w:val="00EC3C08"/>
    <w:rsid w:val="00EC3C96"/>
    <w:rsid w:val="00EC4044"/>
    <w:rsid w:val="00EC4103"/>
    <w:rsid w:val="00EC41B3"/>
    <w:rsid w:val="00EC4210"/>
    <w:rsid w:val="00EC428C"/>
    <w:rsid w:val="00EC42C6"/>
    <w:rsid w:val="00EC43A2"/>
    <w:rsid w:val="00EC44E7"/>
    <w:rsid w:val="00EC45A3"/>
    <w:rsid w:val="00EC45E1"/>
    <w:rsid w:val="00EC47A0"/>
    <w:rsid w:val="00EC47CE"/>
    <w:rsid w:val="00EC49AF"/>
    <w:rsid w:val="00EC4AEF"/>
    <w:rsid w:val="00EC4CA8"/>
    <w:rsid w:val="00EC500F"/>
    <w:rsid w:val="00EC5786"/>
    <w:rsid w:val="00EC5929"/>
    <w:rsid w:val="00EC59AE"/>
    <w:rsid w:val="00EC5E48"/>
    <w:rsid w:val="00EC5E91"/>
    <w:rsid w:val="00EC6087"/>
    <w:rsid w:val="00EC62DF"/>
    <w:rsid w:val="00EC6312"/>
    <w:rsid w:val="00EC637F"/>
    <w:rsid w:val="00EC6497"/>
    <w:rsid w:val="00EC6610"/>
    <w:rsid w:val="00EC66D0"/>
    <w:rsid w:val="00EC66E8"/>
    <w:rsid w:val="00EC6953"/>
    <w:rsid w:val="00EC6A03"/>
    <w:rsid w:val="00EC6B57"/>
    <w:rsid w:val="00EC6B63"/>
    <w:rsid w:val="00EC6F47"/>
    <w:rsid w:val="00EC6F60"/>
    <w:rsid w:val="00EC706E"/>
    <w:rsid w:val="00EC7138"/>
    <w:rsid w:val="00EC7149"/>
    <w:rsid w:val="00EC715A"/>
    <w:rsid w:val="00EC74F1"/>
    <w:rsid w:val="00EC756D"/>
    <w:rsid w:val="00EC7638"/>
    <w:rsid w:val="00EC7698"/>
    <w:rsid w:val="00EC771F"/>
    <w:rsid w:val="00EC7760"/>
    <w:rsid w:val="00EC7A3E"/>
    <w:rsid w:val="00EC7A42"/>
    <w:rsid w:val="00ED00A6"/>
    <w:rsid w:val="00ED018E"/>
    <w:rsid w:val="00ED01BE"/>
    <w:rsid w:val="00ED01EE"/>
    <w:rsid w:val="00ED02A8"/>
    <w:rsid w:val="00ED02E0"/>
    <w:rsid w:val="00ED02ED"/>
    <w:rsid w:val="00ED0349"/>
    <w:rsid w:val="00ED04EC"/>
    <w:rsid w:val="00ED0513"/>
    <w:rsid w:val="00ED0809"/>
    <w:rsid w:val="00ED089A"/>
    <w:rsid w:val="00ED0971"/>
    <w:rsid w:val="00ED09F8"/>
    <w:rsid w:val="00ED0A06"/>
    <w:rsid w:val="00ED0A0D"/>
    <w:rsid w:val="00ED0B23"/>
    <w:rsid w:val="00ED0C49"/>
    <w:rsid w:val="00ED0DC3"/>
    <w:rsid w:val="00ED0E80"/>
    <w:rsid w:val="00ED1226"/>
    <w:rsid w:val="00ED1606"/>
    <w:rsid w:val="00ED16C6"/>
    <w:rsid w:val="00ED1841"/>
    <w:rsid w:val="00ED19DB"/>
    <w:rsid w:val="00ED1E28"/>
    <w:rsid w:val="00ED1E7C"/>
    <w:rsid w:val="00ED2034"/>
    <w:rsid w:val="00ED2046"/>
    <w:rsid w:val="00ED205E"/>
    <w:rsid w:val="00ED20BB"/>
    <w:rsid w:val="00ED21D3"/>
    <w:rsid w:val="00ED246D"/>
    <w:rsid w:val="00ED24E5"/>
    <w:rsid w:val="00ED250C"/>
    <w:rsid w:val="00ED26CF"/>
    <w:rsid w:val="00ED2862"/>
    <w:rsid w:val="00ED29EC"/>
    <w:rsid w:val="00ED305C"/>
    <w:rsid w:val="00ED324C"/>
    <w:rsid w:val="00ED347C"/>
    <w:rsid w:val="00ED347E"/>
    <w:rsid w:val="00ED363B"/>
    <w:rsid w:val="00ED372F"/>
    <w:rsid w:val="00ED3798"/>
    <w:rsid w:val="00ED37C0"/>
    <w:rsid w:val="00ED3908"/>
    <w:rsid w:val="00ED3959"/>
    <w:rsid w:val="00ED3A1A"/>
    <w:rsid w:val="00ED3AB2"/>
    <w:rsid w:val="00ED3D60"/>
    <w:rsid w:val="00ED3F8D"/>
    <w:rsid w:val="00ED41DA"/>
    <w:rsid w:val="00ED43EF"/>
    <w:rsid w:val="00ED4493"/>
    <w:rsid w:val="00ED45FA"/>
    <w:rsid w:val="00ED4669"/>
    <w:rsid w:val="00ED4AA1"/>
    <w:rsid w:val="00ED4B04"/>
    <w:rsid w:val="00ED4DFA"/>
    <w:rsid w:val="00ED4F0E"/>
    <w:rsid w:val="00ED4F6C"/>
    <w:rsid w:val="00ED4F9D"/>
    <w:rsid w:val="00ED504C"/>
    <w:rsid w:val="00ED5748"/>
    <w:rsid w:val="00ED5958"/>
    <w:rsid w:val="00ED5A15"/>
    <w:rsid w:val="00ED5A32"/>
    <w:rsid w:val="00ED5BF8"/>
    <w:rsid w:val="00ED5CD5"/>
    <w:rsid w:val="00ED5D13"/>
    <w:rsid w:val="00ED5DC8"/>
    <w:rsid w:val="00ED5FC6"/>
    <w:rsid w:val="00ED621C"/>
    <w:rsid w:val="00ED63C7"/>
    <w:rsid w:val="00ED64F4"/>
    <w:rsid w:val="00ED65B9"/>
    <w:rsid w:val="00ED65CE"/>
    <w:rsid w:val="00ED6689"/>
    <w:rsid w:val="00ED67C6"/>
    <w:rsid w:val="00ED69AC"/>
    <w:rsid w:val="00ED6A17"/>
    <w:rsid w:val="00ED6CDA"/>
    <w:rsid w:val="00ED6D35"/>
    <w:rsid w:val="00ED6D4B"/>
    <w:rsid w:val="00ED6DD9"/>
    <w:rsid w:val="00ED6E48"/>
    <w:rsid w:val="00ED6FDB"/>
    <w:rsid w:val="00ED70C7"/>
    <w:rsid w:val="00ED71E8"/>
    <w:rsid w:val="00ED72C7"/>
    <w:rsid w:val="00ED732E"/>
    <w:rsid w:val="00ED732F"/>
    <w:rsid w:val="00ED7347"/>
    <w:rsid w:val="00ED7387"/>
    <w:rsid w:val="00ED7578"/>
    <w:rsid w:val="00ED78BB"/>
    <w:rsid w:val="00ED78D8"/>
    <w:rsid w:val="00ED7A00"/>
    <w:rsid w:val="00ED7B70"/>
    <w:rsid w:val="00EE00F7"/>
    <w:rsid w:val="00EE0196"/>
    <w:rsid w:val="00EE022D"/>
    <w:rsid w:val="00EE02D7"/>
    <w:rsid w:val="00EE03C7"/>
    <w:rsid w:val="00EE04CA"/>
    <w:rsid w:val="00EE050D"/>
    <w:rsid w:val="00EE05F1"/>
    <w:rsid w:val="00EE05F8"/>
    <w:rsid w:val="00EE0780"/>
    <w:rsid w:val="00EE08F9"/>
    <w:rsid w:val="00EE09D3"/>
    <w:rsid w:val="00EE0A4E"/>
    <w:rsid w:val="00EE0B7D"/>
    <w:rsid w:val="00EE0D34"/>
    <w:rsid w:val="00EE0D95"/>
    <w:rsid w:val="00EE0F35"/>
    <w:rsid w:val="00EE0F4A"/>
    <w:rsid w:val="00EE1094"/>
    <w:rsid w:val="00EE10C7"/>
    <w:rsid w:val="00EE10D5"/>
    <w:rsid w:val="00EE1264"/>
    <w:rsid w:val="00EE1438"/>
    <w:rsid w:val="00EE15E6"/>
    <w:rsid w:val="00EE1690"/>
    <w:rsid w:val="00EE1850"/>
    <w:rsid w:val="00EE1923"/>
    <w:rsid w:val="00EE1ACA"/>
    <w:rsid w:val="00EE1AD1"/>
    <w:rsid w:val="00EE1B5F"/>
    <w:rsid w:val="00EE1D68"/>
    <w:rsid w:val="00EE1F0C"/>
    <w:rsid w:val="00EE2370"/>
    <w:rsid w:val="00EE2395"/>
    <w:rsid w:val="00EE2458"/>
    <w:rsid w:val="00EE24D5"/>
    <w:rsid w:val="00EE2791"/>
    <w:rsid w:val="00EE29F2"/>
    <w:rsid w:val="00EE2C6D"/>
    <w:rsid w:val="00EE2CD0"/>
    <w:rsid w:val="00EE2D61"/>
    <w:rsid w:val="00EE2F0B"/>
    <w:rsid w:val="00EE2F30"/>
    <w:rsid w:val="00EE306F"/>
    <w:rsid w:val="00EE31B3"/>
    <w:rsid w:val="00EE3447"/>
    <w:rsid w:val="00EE356C"/>
    <w:rsid w:val="00EE3B5C"/>
    <w:rsid w:val="00EE3C1D"/>
    <w:rsid w:val="00EE3CAB"/>
    <w:rsid w:val="00EE3E7B"/>
    <w:rsid w:val="00EE3E87"/>
    <w:rsid w:val="00EE3ECB"/>
    <w:rsid w:val="00EE3F74"/>
    <w:rsid w:val="00EE41BD"/>
    <w:rsid w:val="00EE438E"/>
    <w:rsid w:val="00EE45F0"/>
    <w:rsid w:val="00EE4665"/>
    <w:rsid w:val="00EE46AA"/>
    <w:rsid w:val="00EE47FB"/>
    <w:rsid w:val="00EE49C2"/>
    <w:rsid w:val="00EE500A"/>
    <w:rsid w:val="00EE5405"/>
    <w:rsid w:val="00EE5562"/>
    <w:rsid w:val="00EE56CF"/>
    <w:rsid w:val="00EE57B7"/>
    <w:rsid w:val="00EE5921"/>
    <w:rsid w:val="00EE5AF8"/>
    <w:rsid w:val="00EE5B00"/>
    <w:rsid w:val="00EE5DE6"/>
    <w:rsid w:val="00EE5DF1"/>
    <w:rsid w:val="00EE60C4"/>
    <w:rsid w:val="00EE63A1"/>
    <w:rsid w:val="00EE662E"/>
    <w:rsid w:val="00EE67BE"/>
    <w:rsid w:val="00EE68D7"/>
    <w:rsid w:val="00EE699C"/>
    <w:rsid w:val="00EE6A55"/>
    <w:rsid w:val="00EE6B41"/>
    <w:rsid w:val="00EE6DEE"/>
    <w:rsid w:val="00EE7011"/>
    <w:rsid w:val="00EE7360"/>
    <w:rsid w:val="00EE7624"/>
    <w:rsid w:val="00EE76FD"/>
    <w:rsid w:val="00EE7723"/>
    <w:rsid w:val="00EE782E"/>
    <w:rsid w:val="00EE78AC"/>
    <w:rsid w:val="00EE78CB"/>
    <w:rsid w:val="00EE79CC"/>
    <w:rsid w:val="00EE7C47"/>
    <w:rsid w:val="00EE7D68"/>
    <w:rsid w:val="00EE7DC4"/>
    <w:rsid w:val="00EF015B"/>
    <w:rsid w:val="00EF03FB"/>
    <w:rsid w:val="00EF0506"/>
    <w:rsid w:val="00EF0652"/>
    <w:rsid w:val="00EF096C"/>
    <w:rsid w:val="00EF0CF2"/>
    <w:rsid w:val="00EF0E1C"/>
    <w:rsid w:val="00EF0E8A"/>
    <w:rsid w:val="00EF0EAA"/>
    <w:rsid w:val="00EF0ECF"/>
    <w:rsid w:val="00EF1033"/>
    <w:rsid w:val="00EF1143"/>
    <w:rsid w:val="00EF129F"/>
    <w:rsid w:val="00EF1392"/>
    <w:rsid w:val="00EF196A"/>
    <w:rsid w:val="00EF19C7"/>
    <w:rsid w:val="00EF1AA8"/>
    <w:rsid w:val="00EF1B30"/>
    <w:rsid w:val="00EF1C99"/>
    <w:rsid w:val="00EF1DC8"/>
    <w:rsid w:val="00EF200B"/>
    <w:rsid w:val="00EF2039"/>
    <w:rsid w:val="00EF2073"/>
    <w:rsid w:val="00EF2172"/>
    <w:rsid w:val="00EF228D"/>
    <w:rsid w:val="00EF241F"/>
    <w:rsid w:val="00EF254D"/>
    <w:rsid w:val="00EF26A9"/>
    <w:rsid w:val="00EF28F4"/>
    <w:rsid w:val="00EF296A"/>
    <w:rsid w:val="00EF2CDF"/>
    <w:rsid w:val="00EF2FC2"/>
    <w:rsid w:val="00EF3024"/>
    <w:rsid w:val="00EF31D3"/>
    <w:rsid w:val="00EF35F2"/>
    <w:rsid w:val="00EF3945"/>
    <w:rsid w:val="00EF396B"/>
    <w:rsid w:val="00EF3B78"/>
    <w:rsid w:val="00EF3BF0"/>
    <w:rsid w:val="00EF3C09"/>
    <w:rsid w:val="00EF3C45"/>
    <w:rsid w:val="00EF3C47"/>
    <w:rsid w:val="00EF3E14"/>
    <w:rsid w:val="00EF3F02"/>
    <w:rsid w:val="00EF41E5"/>
    <w:rsid w:val="00EF4798"/>
    <w:rsid w:val="00EF49DC"/>
    <w:rsid w:val="00EF4B17"/>
    <w:rsid w:val="00EF4C0F"/>
    <w:rsid w:val="00EF4CA0"/>
    <w:rsid w:val="00EF4E55"/>
    <w:rsid w:val="00EF4F70"/>
    <w:rsid w:val="00EF4FE3"/>
    <w:rsid w:val="00EF515E"/>
    <w:rsid w:val="00EF51D8"/>
    <w:rsid w:val="00EF5297"/>
    <w:rsid w:val="00EF54D6"/>
    <w:rsid w:val="00EF54EA"/>
    <w:rsid w:val="00EF5500"/>
    <w:rsid w:val="00EF5516"/>
    <w:rsid w:val="00EF552F"/>
    <w:rsid w:val="00EF57C2"/>
    <w:rsid w:val="00EF5C23"/>
    <w:rsid w:val="00EF5CDD"/>
    <w:rsid w:val="00EF5D44"/>
    <w:rsid w:val="00EF60EC"/>
    <w:rsid w:val="00EF6148"/>
    <w:rsid w:val="00EF6178"/>
    <w:rsid w:val="00EF617E"/>
    <w:rsid w:val="00EF6228"/>
    <w:rsid w:val="00EF6284"/>
    <w:rsid w:val="00EF634C"/>
    <w:rsid w:val="00EF64B7"/>
    <w:rsid w:val="00EF66F4"/>
    <w:rsid w:val="00EF6A28"/>
    <w:rsid w:val="00EF6AC8"/>
    <w:rsid w:val="00EF6C8A"/>
    <w:rsid w:val="00EF6CCF"/>
    <w:rsid w:val="00EF6E7A"/>
    <w:rsid w:val="00EF6F4C"/>
    <w:rsid w:val="00EF6FBD"/>
    <w:rsid w:val="00EF72B8"/>
    <w:rsid w:val="00EF73CC"/>
    <w:rsid w:val="00EF7427"/>
    <w:rsid w:val="00EF7476"/>
    <w:rsid w:val="00EF74C4"/>
    <w:rsid w:val="00EF74C6"/>
    <w:rsid w:val="00EF758A"/>
    <w:rsid w:val="00EF7630"/>
    <w:rsid w:val="00EF7834"/>
    <w:rsid w:val="00EF7D96"/>
    <w:rsid w:val="00EF7FF2"/>
    <w:rsid w:val="00F00020"/>
    <w:rsid w:val="00F00193"/>
    <w:rsid w:val="00F00264"/>
    <w:rsid w:val="00F003EB"/>
    <w:rsid w:val="00F00539"/>
    <w:rsid w:val="00F00640"/>
    <w:rsid w:val="00F00763"/>
    <w:rsid w:val="00F0080C"/>
    <w:rsid w:val="00F008AD"/>
    <w:rsid w:val="00F0096D"/>
    <w:rsid w:val="00F009CE"/>
    <w:rsid w:val="00F00B45"/>
    <w:rsid w:val="00F00D74"/>
    <w:rsid w:val="00F00DB4"/>
    <w:rsid w:val="00F00DFC"/>
    <w:rsid w:val="00F014AC"/>
    <w:rsid w:val="00F015D6"/>
    <w:rsid w:val="00F01667"/>
    <w:rsid w:val="00F0169A"/>
    <w:rsid w:val="00F017BE"/>
    <w:rsid w:val="00F0185C"/>
    <w:rsid w:val="00F01939"/>
    <w:rsid w:val="00F01A90"/>
    <w:rsid w:val="00F01B39"/>
    <w:rsid w:val="00F01BBD"/>
    <w:rsid w:val="00F01EDC"/>
    <w:rsid w:val="00F0206E"/>
    <w:rsid w:val="00F0208A"/>
    <w:rsid w:val="00F020A0"/>
    <w:rsid w:val="00F0214F"/>
    <w:rsid w:val="00F02223"/>
    <w:rsid w:val="00F022F9"/>
    <w:rsid w:val="00F02369"/>
    <w:rsid w:val="00F023BB"/>
    <w:rsid w:val="00F02436"/>
    <w:rsid w:val="00F02467"/>
    <w:rsid w:val="00F025EB"/>
    <w:rsid w:val="00F026E2"/>
    <w:rsid w:val="00F02841"/>
    <w:rsid w:val="00F02AB3"/>
    <w:rsid w:val="00F02B4A"/>
    <w:rsid w:val="00F02B8B"/>
    <w:rsid w:val="00F02BA7"/>
    <w:rsid w:val="00F02BEB"/>
    <w:rsid w:val="00F02C4B"/>
    <w:rsid w:val="00F02D7A"/>
    <w:rsid w:val="00F02E38"/>
    <w:rsid w:val="00F02E4F"/>
    <w:rsid w:val="00F02F35"/>
    <w:rsid w:val="00F02F98"/>
    <w:rsid w:val="00F0309B"/>
    <w:rsid w:val="00F030DB"/>
    <w:rsid w:val="00F03237"/>
    <w:rsid w:val="00F032F1"/>
    <w:rsid w:val="00F03338"/>
    <w:rsid w:val="00F03611"/>
    <w:rsid w:val="00F036D5"/>
    <w:rsid w:val="00F03DBA"/>
    <w:rsid w:val="00F03E3E"/>
    <w:rsid w:val="00F03F2D"/>
    <w:rsid w:val="00F0402F"/>
    <w:rsid w:val="00F040AF"/>
    <w:rsid w:val="00F040DC"/>
    <w:rsid w:val="00F041EE"/>
    <w:rsid w:val="00F0434E"/>
    <w:rsid w:val="00F043A5"/>
    <w:rsid w:val="00F043FD"/>
    <w:rsid w:val="00F04487"/>
    <w:rsid w:val="00F04F2E"/>
    <w:rsid w:val="00F0500D"/>
    <w:rsid w:val="00F05025"/>
    <w:rsid w:val="00F05032"/>
    <w:rsid w:val="00F0512E"/>
    <w:rsid w:val="00F0522A"/>
    <w:rsid w:val="00F054E2"/>
    <w:rsid w:val="00F05682"/>
    <w:rsid w:val="00F05707"/>
    <w:rsid w:val="00F0589E"/>
    <w:rsid w:val="00F05CDD"/>
    <w:rsid w:val="00F05FA9"/>
    <w:rsid w:val="00F06060"/>
    <w:rsid w:val="00F060B1"/>
    <w:rsid w:val="00F064CA"/>
    <w:rsid w:val="00F065D4"/>
    <w:rsid w:val="00F06764"/>
    <w:rsid w:val="00F069AB"/>
    <w:rsid w:val="00F06B46"/>
    <w:rsid w:val="00F06BBF"/>
    <w:rsid w:val="00F06C84"/>
    <w:rsid w:val="00F06D99"/>
    <w:rsid w:val="00F06E67"/>
    <w:rsid w:val="00F06E73"/>
    <w:rsid w:val="00F06F02"/>
    <w:rsid w:val="00F071AF"/>
    <w:rsid w:val="00F072EF"/>
    <w:rsid w:val="00F07336"/>
    <w:rsid w:val="00F073D7"/>
    <w:rsid w:val="00F074E8"/>
    <w:rsid w:val="00F07788"/>
    <w:rsid w:val="00F07876"/>
    <w:rsid w:val="00F07C67"/>
    <w:rsid w:val="00F07F56"/>
    <w:rsid w:val="00F07F75"/>
    <w:rsid w:val="00F07F7E"/>
    <w:rsid w:val="00F1005F"/>
    <w:rsid w:val="00F1014B"/>
    <w:rsid w:val="00F1018A"/>
    <w:rsid w:val="00F102D2"/>
    <w:rsid w:val="00F102D3"/>
    <w:rsid w:val="00F10341"/>
    <w:rsid w:val="00F1053C"/>
    <w:rsid w:val="00F10881"/>
    <w:rsid w:val="00F10B33"/>
    <w:rsid w:val="00F10C8D"/>
    <w:rsid w:val="00F10D82"/>
    <w:rsid w:val="00F10E28"/>
    <w:rsid w:val="00F11059"/>
    <w:rsid w:val="00F11092"/>
    <w:rsid w:val="00F11167"/>
    <w:rsid w:val="00F115A2"/>
    <w:rsid w:val="00F11688"/>
    <w:rsid w:val="00F11909"/>
    <w:rsid w:val="00F11B0E"/>
    <w:rsid w:val="00F12012"/>
    <w:rsid w:val="00F1203A"/>
    <w:rsid w:val="00F120C3"/>
    <w:rsid w:val="00F12234"/>
    <w:rsid w:val="00F12361"/>
    <w:rsid w:val="00F125D1"/>
    <w:rsid w:val="00F12603"/>
    <w:rsid w:val="00F1299C"/>
    <w:rsid w:val="00F129BD"/>
    <w:rsid w:val="00F12A5E"/>
    <w:rsid w:val="00F12E56"/>
    <w:rsid w:val="00F13049"/>
    <w:rsid w:val="00F13322"/>
    <w:rsid w:val="00F134D8"/>
    <w:rsid w:val="00F135EE"/>
    <w:rsid w:val="00F13622"/>
    <w:rsid w:val="00F1371D"/>
    <w:rsid w:val="00F13761"/>
    <w:rsid w:val="00F1397B"/>
    <w:rsid w:val="00F139E8"/>
    <w:rsid w:val="00F13B2A"/>
    <w:rsid w:val="00F13D8A"/>
    <w:rsid w:val="00F13DC8"/>
    <w:rsid w:val="00F13ED4"/>
    <w:rsid w:val="00F13FE5"/>
    <w:rsid w:val="00F1402F"/>
    <w:rsid w:val="00F140A1"/>
    <w:rsid w:val="00F14337"/>
    <w:rsid w:val="00F1438B"/>
    <w:rsid w:val="00F14548"/>
    <w:rsid w:val="00F14832"/>
    <w:rsid w:val="00F14895"/>
    <w:rsid w:val="00F149CB"/>
    <w:rsid w:val="00F149EE"/>
    <w:rsid w:val="00F14F59"/>
    <w:rsid w:val="00F15028"/>
    <w:rsid w:val="00F1518D"/>
    <w:rsid w:val="00F151E0"/>
    <w:rsid w:val="00F151E4"/>
    <w:rsid w:val="00F15443"/>
    <w:rsid w:val="00F15475"/>
    <w:rsid w:val="00F156E2"/>
    <w:rsid w:val="00F158AC"/>
    <w:rsid w:val="00F15B39"/>
    <w:rsid w:val="00F15C65"/>
    <w:rsid w:val="00F15D42"/>
    <w:rsid w:val="00F160AA"/>
    <w:rsid w:val="00F16184"/>
    <w:rsid w:val="00F16220"/>
    <w:rsid w:val="00F16359"/>
    <w:rsid w:val="00F163FD"/>
    <w:rsid w:val="00F166A0"/>
    <w:rsid w:val="00F1674F"/>
    <w:rsid w:val="00F168F1"/>
    <w:rsid w:val="00F16970"/>
    <w:rsid w:val="00F16F42"/>
    <w:rsid w:val="00F17041"/>
    <w:rsid w:val="00F1707C"/>
    <w:rsid w:val="00F1719E"/>
    <w:rsid w:val="00F17226"/>
    <w:rsid w:val="00F173B8"/>
    <w:rsid w:val="00F174FB"/>
    <w:rsid w:val="00F17625"/>
    <w:rsid w:val="00F1771D"/>
    <w:rsid w:val="00F17830"/>
    <w:rsid w:val="00F17839"/>
    <w:rsid w:val="00F17864"/>
    <w:rsid w:val="00F178A3"/>
    <w:rsid w:val="00F178FA"/>
    <w:rsid w:val="00F17C05"/>
    <w:rsid w:val="00F17C38"/>
    <w:rsid w:val="00F17C4E"/>
    <w:rsid w:val="00F17CF2"/>
    <w:rsid w:val="00F17D49"/>
    <w:rsid w:val="00F17E7E"/>
    <w:rsid w:val="00F20008"/>
    <w:rsid w:val="00F20064"/>
    <w:rsid w:val="00F200CE"/>
    <w:rsid w:val="00F202D4"/>
    <w:rsid w:val="00F206E9"/>
    <w:rsid w:val="00F206F7"/>
    <w:rsid w:val="00F2074A"/>
    <w:rsid w:val="00F2087B"/>
    <w:rsid w:val="00F209AE"/>
    <w:rsid w:val="00F20C88"/>
    <w:rsid w:val="00F20DAD"/>
    <w:rsid w:val="00F20FC8"/>
    <w:rsid w:val="00F210E2"/>
    <w:rsid w:val="00F21189"/>
    <w:rsid w:val="00F21293"/>
    <w:rsid w:val="00F2146E"/>
    <w:rsid w:val="00F214FA"/>
    <w:rsid w:val="00F2178E"/>
    <w:rsid w:val="00F21834"/>
    <w:rsid w:val="00F219E9"/>
    <w:rsid w:val="00F21BD2"/>
    <w:rsid w:val="00F21BF3"/>
    <w:rsid w:val="00F21DA7"/>
    <w:rsid w:val="00F21F57"/>
    <w:rsid w:val="00F22138"/>
    <w:rsid w:val="00F2218F"/>
    <w:rsid w:val="00F22297"/>
    <w:rsid w:val="00F22396"/>
    <w:rsid w:val="00F22571"/>
    <w:rsid w:val="00F225E5"/>
    <w:rsid w:val="00F22650"/>
    <w:rsid w:val="00F2268F"/>
    <w:rsid w:val="00F229B6"/>
    <w:rsid w:val="00F22B02"/>
    <w:rsid w:val="00F22C8B"/>
    <w:rsid w:val="00F22CF8"/>
    <w:rsid w:val="00F22D32"/>
    <w:rsid w:val="00F22DC7"/>
    <w:rsid w:val="00F22E6F"/>
    <w:rsid w:val="00F22F8C"/>
    <w:rsid w:val="00F23058"/>
    <w:rsid w:val="00F23068"/>
    <w:rsid w:val="00F2314C"/>
    <w:rsid w:val="00F231A5"/>
    <w:rsid w:val="00F2354F"/>
    <w:rsid w:val="00F2363F"/>
    <w:rsid w:val="00F238DB"/>
    <w:rsid w:val="00F23A04"/>
    <w:rsid w:val="00F23B03"/>
    <w:rsid w:val="00F23B70"/>
    <w:rsid w:val="00F23E04"/>
    <w:rsid w:val="00F23E84"/>
    <w:rsid w:val="00F23E87"/>
    <w:rsid w:val="00F23EAB"/>
    <w:rsid w:val="00F24060"/>
    <w:rsid w:val="00F2410F"/>
    <w:rsid w:val="00F242A7"/>
    <w:rsid w:val="00F242B0"/>
    <w:rsid w:val="00F24389"/>
    <w:rsid w:val="00F243BD"/>
    <w:rsid w:val="00F244B1"/>
    <w:rsid w:val="00F24541"/>
    <w:rsid w:val="00F2462C"/>
    <w:rsid w:val="00F24638"/>
    <w:rsid w:val="00F2465C"/>
    <w:rsid w:val="00F246DB"/>
    <w:rsid w:val="00F2474F"/>
    <w:rsid w:val="00F2494D"/>
    <w:rsid w:val="00F24A4B"/>
    <w:rsid w:val="00F24A75"/>
    <w:rsid w:val="00F24A96"/>
    <w:rsid w:val="00F24B54"/>
    <w:rsid w:val="00F24B5D"/>
    <w:rsid w:val="00F24C22"/>
    <w:rsid w:val="00F24CA6"/>
    <w:rsid w:val="00F24D06"/>
    <w:rsid w:val="00F24DE8"/>
    <w:rsid w:val="00F24DFC"/>
    <w:rsid w:val="00F24EEE"/>
    <w:rsid w:val="00F24EF7"/>
    <w:rsid w:val="00F25008"/>
    <w:rsid w:val="00F25157"/>
    <w:rsid w:val="00F25212"/>
    <w:rsid w:val="00F2528A"/>
    <w:rsid w:val="00F25310"/>
    <w:rsid w:val="00F25311"/>
    <w:rsid w:val="00F25377"/>
    <w:rsid w:val="00F253EB"/>
    <w:rsid w:val="00F25489"/>
    <w:rsid w:val="00F2567F"/>
    <w:rsid w:val="00F259EA"/>
    <w:rsid w:val="00F25A2B"/>
    <w:rsid w:val="00F25B2F"/>
    <w:rsid w:val="00F25CEF"/>
    <w:rsid w:val="00F26114"/>
    <w:rsid w:val="00F2619E"/>
    <w:rsid w:val="00F262F2"/>
    <w:rsid w:val="00F262FA"/>
    <w:rsid w:val="00F26303"/>
    <w:rsid w:val="00F265D1"/>
    <w:rsid w:val="00F26653"/>
    <w:rsid w:val="00F26654"/>
    <w:rsid w:val="00F2667C"/>
    <w:rsid w:val="00F266DA"/>
    <w:rsid w:val="00F26A4C"/>
    <w:rsid w:val="00F26A85"/>
    <w:rsid w:val="00F26ACB"/>
    <w:rsid w:val="00F26B76"/>
    <w:rsid w:val="00F26BF5"/>
    <w:rsid w:val="00F26E58"/>
    <w:rsid w:val="00F26EF6"/>
    <w:rsid w:val="00F26F1A"/>
    <w:rsid w:val="00F26FC0"/>
    <w:rsid w:val="00F270D8"/>
    <w:rsid w:val="00F27142"/>
    <w:rsid w:val="00F27244"/>
    <w:rsid w:val="00F27599"/>
    <w:rsid w:val="00F276DB"/>
    <w:rsid w:val="00F27974"/>
    <w:rsid w:val="00F27AFF"/>
    <w:rsid w:val="00F27CD7"/>
    <w:rsid w:val="00F27FA0"/>
    <w:rsid w:val="00F3000B"/>
    <w:rsid w:val="00F30276"/>
    <w:rsid w:val="00F30288"/>
    <w:rsid w:val="00F3028C"/>
    <w:rsid w:val="00F3095A"/>
    <w:rsid w:val="00F30BDC"/>
    <w:rsid w:val="00F30DD2"/>
    <w:rsid w:val="00F30DF8"/>
    <w:rsid w:val="00F30E90"/>
    <w:rsid w:val="00F30EAE"/>
    <w:rsid w:val="00F311EC"/>
    <w:rsid w:val="00F3123B"/>
    <w:rsid w:val="00F312F1"/>
    <w:rsid w:val="00F313A9"/>
    <w:rsid w:val="00F31451"/>
    <w:rsid w:val="00F314B5"/>
    <w:rsid w:val="00F316BB"/>
    <w:rsid w:val="00F31BA8"/>
    <w:rsid w:val="00F31C25"/>
    <w:rsid w:val="00F31C66"/>
    <w:rsid w:val="00F31C81"/>
    <w:rsid w:val="00F31F9B"/>
    <w:rsid w:val="00F320F6"/>
    <w:rsid w:val="00F321C4"/>
    <w:rsid w:val="00F3232F"/>
    <w:rsid w:val="00F323C3"/>
    <w:rsid w:val="00F326A9"/>
    <w:rsid w:val="00F326B1"/>
    <w:rsid w:val="00F3271D"/>
    <w:rsid w:val="00F3279D"/>
    <w:rsid w:val="00F327D4"/>
    <w:rsid w:val="00F32B2C"/>
    <w:rsid w:val="00F32B6F"/>
    <w:rsid w:val="00F32B8B"/>
    <w:rsid w:val="00F32C3F"/>
    <w:rsid w:val="00F32CA2"/>
    <w:rsid w:val="00F330CD"/>
    <w:rsid w:val="00F33180"/>
    <w:rsid w:val="00F33275"/>
    <w:rsid w:val="00F33315"/>
    <w:rsid w:val="00F335B6"/>
    <w:rsid w:val="00F3362D"/>
    <w:rsid w:val="00F338C1"/>
    <w:rsid w:val="00F33913"/>
    <w:rsid w:val="00F33CF1"/>
    <w:rsid w:val="00F33D2D"/>
    <w:rsid w:val="00F33DB0"/>
    <w:rsid w:val="00F33E13"/>
    <w:rsid w:val="00F33ECA"/>
    <w:rsid w:val="00F3411B"/>
    <w:rsid w:val="00F3416B"/>
    <w:rsid w:val="00F34363"/>
    <w:rsid w:val="00F34491"/>
    <w:rsid w:val="00F34533"/>
    <w:rsid w:val="00F346D7"/>
    <w:rsid w:val="00F346EC"/>
    <w:rsid w:val="00F34865"/>
    <w:rsid w:val="00F3491B"/>
    <w:rsid w:val="00F34B9A"/>
    <w:rsid w:val="00F34CD1"/>
    <w:rsid w:val="00F34D9B"/>
    <w:rsid w:val="00F34E34"/>
    <w:rsid w:val="00F350F3"/>
    <w:rsid w:val="00F35188"/>
    <w:rsid w:val="00F35239"/>
    <w:rsid w:val="00F354A3"/>
    <w:rsid w:val="00F354FF"/>
    <w:rsid w:val="00F355B1"/>
    <w:rsid w:val="00F35761"/>
    <w:rsid w:val="00F357BF"/>
    <w:rsid w:val="00F358EE"/>
    <w:rsid w:val="00F358F6"/>
    <w:rsid w:val="00F35C38"/>
    <w:rsid w:val="00F35C67"/>
    <w:rsid w:val="00F35F47"/>
    <w:rsid w:val="00F3606D"/>
    <w:rsid w:val="00F3608A"/>
    <w:rsid w:val="00F362AD"/>
    <w:rsid w:val="00F3643D"/>
    <w:rsid w:val="00F36481"/>
    <w:rsid w:val="00F3667E"/>
    <w:rsid w:val="00F366F8"/>
    <w:rsid w:val="00F36ADD"/>
    <w:rsid w:val="00F36AF8"/>
    <w:rsid w:val="00F36BCA"/>
    <w:rsid w:val="00F36CBA"/>
    <w:rsid w:val="00F36E45"/>
    <w:rsid w:val="00F36F46"/>
    <w:rsid w:val="00F36FC5"/>
    <w:rsid w:val="00F371F3"/>
    <w:rsid w:val="00F3724B"/>
    <w:rsid w:val="00F3726C"/>
    <w:rsid w:val="00F373D2"/>
    <w:rsid w:val="00F37441"/>
    <w:rsid w:val="00F37492"/>
    <w:rsid w:val="00F37584"/>
    <w:rsid w:val="00F3762D"/>
    <w:rsid w:val="00F377E2"/>
    <w:rsid w:val="00F37B48"/>
    <w:rsid w:val="00F37BF4"/>
    <w:rsid w:val="00F37D89"/>
    <w:rsid w:val="00F37EF9"/>
    <w:rsid w:val="00F40106"/>
    <w:rsid w:val="00F40179"/>
    <w:rsid w:val="00F401C1"/>
    <w:rsid w:val="00F403FC"/>
    <w:rsid w:val="00F4044C"/>
    <w:rsid w:val="00F404AB"/>
    <w:rsid w:val="00F4053C"/>
    <w:rsid w:val="00F405FD"/>
    <w:rsid w:val="00F406E4"/>
    <w:rsid w:val="00F4072A"/>
    <w:rsid w:val="00F40888"/>
    <w:rsid w:val="00F409C0"/>
    <w:rsid w:val="00F40D78"/>
    <w:rsid w:val="00F40E59"/>
    <w:rsid w:val="00F40E87"/>
    <w:rsid w:val="00F41061"/>
    <w:rsid w:val="00F41117"/>
    <w:rsid w:val="00F41428"/>
    <w:rsid w:val="00F41A31"/>
    <w:rsid w:val="00F41C77"/>
    <w:rsid w:val="00F41E15"/>
    <w:rsid w:val="00F41FF6"/>
    <w:rsid w:val="00F421D9"/>
    <w:rsid w:val="00F42610"/>
    <w:rsid w:val="00F42715"/>
    <w:rsid w:val="00F429ED"/>
    <w:rsid w:val="00F42A6C"/>
    <w:rsid w:val="00F42A83"/>
    <w:rsid w:val="00F42AF0"/>
    <w:rsid w:val="00F42B03"/>
    <w:rsid w:val="00F42BA2"/>
    <w:rsid w:val="00F42BF1"/>
    <w:rsid w:val="00F42CD6"/>
    <w:rsid w:val="00F42D22"/>
    <w:rsid w:val="00F42EA8"/>
    <w:rsid w:val="00F42F02"/>
    <w:rsid w:val="00F430CE"/>
    <w:rsid w:val="00F43168"/>
    <w:rsid w:val="00F43213"/>
    <w:rsid w:val="00F43398"/>
    <w:rsid w:val="00F433B3"/>
    <w:rsid w:val="00F43427"/>
    <w:rsid w:val="00F435EF"/>
    <w:rsid w:val="00F439F2"/>
    <w:rsid w:val="00F439F8"/>
    <w:rsid w:val="00F43D69"/>
    <w:rsid w:val="00F43F12"/>
    <w:rsid w:val="00F43F89"/>
    <w:rsid w:val="00F43FD5"/>
    <w:rsid w:val="00F4402E"/>
    <w:rsid w:val="00F44381"/>
    <w:rsid w:val="00F44582"/>
    <w:rsid w:val="00F445BC"/>
    <w:rsid w:val="00F4465B"/>
    <w:rsid w:val="00F44A09"/>
    <w:rsid w:val="00F44C97"/>
    <w:rsid w:val="00F44D1C"/>
    <w:rsid w:val="00F44D40"/>
    <w:rsid w:val="00F44DEA"/>
    <w:rsid w:val="00F44EA6"/>
    <w:rsid w:val="00F45000"/>
    <w:rsid w:val="00F45082"/>
    <w:rsid w:val="00F450BB"/>
    <w:rsid w:val="00F450E2"/>
    <w:rsid w:val="00F452CC"/>
    <w:rsid w:val="00F45400"/>
    <w:rsid w:val="00F454AC"/>
    <w:rsid w:val="00F454C3"/>
    <w:rsid w:val="00F455CC"/>
    <w:rsid w:val="00F45704"/>
    <w:rsid w:val="00F4587E"/>
    <w:rsid w:val="00F458A2"/>
    <w:rsid w:val="00F45A6F"/>
    <w:rsid w:val="00F45ACA"/>
    <w:rsid w:val="00F45BB3"/>
    <w:rsid w:val="00F45C53"/>
    <w:rsid w:val="00F45DF1"/>
    <w:rsid w:val="00F45E06"/>
    <w:rsid w:val="00F45F64"/>
    <w:rsid w:val="00F46041"/>
    <w:rsid w:val="00F46103"/>
    <w:rsid w:val="00F46116"/>
    <w:rsid w:val="00F46276"/>
    <w:rsid w:val="00F463AE"/>
    <w:rsid w:val="00F46566"/>
    <w:rsid w:val="00F466D4"/>
    <w:rsid w:val="00F467BA"/>
    <w:rsid w:val="00F46934"/>
    <w:rsid w:val="00F46D2F"/>
    <w:rsid w:val="00F46D73"/>
    <w:rsid w:val="00F46EA7"/>
    <w:rsid w:val="00F46F8F"/>
    <w:rsid w:val="00F46FB6"/>
    <w:rsid w:val="00F46FBE"/>
    <w:rsid w:val="00F46FEC"/>
    <w:rsid w:val="00F470F6"/>
    <w:rsid w:val="00F471B9"/>
    <w:rsid w:val="00F4724E"/>
    <w:rsid w:val="00F473E6"/>
    <w:rsid w:val="00F47481"/>
    <w:rsid w:val="00F474C1"/>
    <w:rsid w:val="00F475FF"/>
    <w:rsid w:val="00F47612"/>
    <w:rsid w:val="00F47668"/>
    <w:rsid w:val="00F476C8"/>
    <w:rsid w:val="00F47800"/>
    <w:rsid w:val="00F47878"/>
    <w:rsid w:val="00F47B40"/>
    <w:rsid w:val="00F47D7D"/>
    <w:rsid w:val="00F47DC4"/>
    <w:rsid w:val="00F47E28"/>
    <w:rsid w:val="00F47F22"/>
    <w:rsid w:val="00F4EFC4"/>
    <w:rsid w:val="00F50086"/>
    <w:rsid w:val="00F50088"/>
    <w:rsid w:val="00F5017B"/>
    <w:rsid w:val="00F503DB"/>
    <w:rsid w:val="00F50538"/>
    <w:rsid w:val="00F5059D"/>
    <w:rsid w:val="00F50682"/>
    <w:rsid w:val="00F506B2"/>
    <w:rsid w:val="00F50721"/>
    <w:rsid w:val="00F50807"/>
    <w:rsid w:val="00F508BF"/>
    <w:rsid w:val="00F50B09"/>
    <w:rsid w:val="00F50D26"/>
    <w:rsid w:val="00F50E6D"/>
    <w:rsid w:val="00F50F7F"/>
    <w:rsid w:val="00F510E6"/>
    <w:rsid w:val="00F511A8"/>
    <w:rsid w:val="00F5133B"/>
    <w:rsid w:val="00F516EE"/>
    <w:rsid w:val="00F5197D"/>
    <w:rsid w:val="00F5199E"/>
    <w:rsid w:val="00F51C3A"/>
    <w:rsid w:val="00F51E80"/>
    <w:rsid w:val="00F51E9A"/>
    <w:rsid w:val="00F51F72"/>
    <w:rsid w:val="00F520DD"/>
    <w:rsid w:val="00F52157"/>
    <w:rsid w:val="00F521C3"/>
    <w:rsid w:val="00F522AE"/>
    <w:rsid w:val="00F52340"/>
    <w:rsid w:val="00F52393"/>
    <w:rsid w:val="00F528AB"/>
    <w:rsid w:val="00F5299D"/>
    <w:rsid w:val="00F52A18"/>
    <w:rsid w:val="00F52F1F"/>
    <w:rsid w:val="00F52FA4"/>
    <w:rsid w:val="00F53017"/>
    <w:rsid w:val="00F53123"/>
    <w:rsid w:val="00F53224"/>
    <w:rsid w:val="00F5324C"/>
    <w:rsid w:val="00F53268"/>
    <w:rsid w:val="00F53288"/>
    <w:rsid w:val="00F53591"/>
    <w:rsid w:val="00F53611"/>
    <w:rsid w:val="00F53653"/>
    <w:rsid w:val="00F53719"/>
    <w:rsid w:val="00F539FF"/>
    <w:rsid w:val="00F53A41"/>
    <w:rsid w:val="00F53A47"/>
    <w:rsid w:val="00F53ACE"/>
    <w:rsid w:val="00F53C02"/>
    <w:rsid w:val="00F53EE1"/>
    <w:rsid w:val="00F54001"/>
    <w:rsid w:val="00F542CC"/>
    <w:rsid w:val="00F54411"/>
    <w:rsid w:val="00F5459C"/>
    <w:rsid w:val="00F54724"/>
    <w:rsid w:val="00F5489F"/>
    <w:rsid w:val="00F548A7"/>
    <w:rsid w:val="00F549C5"/>
    <w:rsid w:val="00F54A24"/>
    <w:rsid w:val="00F54B82"/>
    <w:rsid w:val="00F54B90"/>
    <w:rsid w:val="00F54C0B"/>
    <w:rsid w:val="00F54C60"/>
    <w:rsid w:val="00F54DA9"/>
    <w:rsid w:val="00F54E9D"/>
    <w:rsid w:val="00F54EBA"/>
    <w:rsid w:val="00F54F68"/>
    <w:rsid w:val="00F550F0"/>
    <w:rsid w:val="00F5512B"/>
    <w:rsid w:val="00F551B7"/>
    <w:rsid w:val="00F55271"/>
    <w:rsid w:val="00F552A8"/>
    <w:rsid w:val="00F5538C"/>
    <w:rsid w:val="00F555D6"/>
    <w:rsid w:val="00F55680"/>
    <w:rsid w:val="00F55730"/>
    <w:rsid w:val="00F55781"/>
    <w:rsid w:val="00F55A5F"/>
    <w:rsid w:val="00F55D0D"/>
    <w:rsid w:val="00F55EFF"/>
    <w:rsid w:val="00F55F5A"/>
    <w:rsid w:val="00F560C1"/>
    <w:rsid w:val="00F560EE"/>
    <w:rsid w:val="00F5614B"/>
    <w:rsid w:val="00F561B5"/>
    <w:rsid w:val="00F562D8"/>
    <w:rsid w:val="00F5662D"/>
    <w:rsid w:val="00F566E9"/>
    <w:rsid w:val="00F569DF"/>
    <w:rsid w:val="00F569E5"/>
    <w:rsid w:val="00F56EDB"/>
    <w:rsid w:val="00F56F09"/>
    <w:rsid w:val="00F56F4A"/>
    <w:rsid w:val="00F57037"/>
    <w:rsid w:val="00F5705F"/>
    <w:rsid w:val="00F57097"/>
    <w:rsid w:val="00F5731D"/>
    <w:rsid w:val="00F5752B"/>
    <w:rsid w:val="00F57558"/>
    <w:rsid w:val="00F576AE"/>
    <w:rsid w:val="00F578F3"/>
    <w:rsid w:val="00F57ABE"/>
    <w:rsid w:val="00F57B42"/>
    <w:rsid w:val="00F57B4D"/>
    <w:rsid w:val="00F57CCC"/>
    <w:rsid w:val="00F57CFE"/>
    <w:rsid w:val="00F57F91"/>
    <w:rsid w:val="00F60090"/>
    <w:rsid w:val="00F60414"/>
    <w:rsid w:val="00F6043F"/>
    <w:rsid w:val="00F604C4"/>
    <w:rsid w:val="00F604EC"/>
    <w:rsid w:val="00F60D25"/>
    <w:rsid w:val="00F60D67"/>
    <w:rsid w:val="00F60DF2"/>
    <w:rsid w:val="00F60E8D"/>
    <w:rsid w:val="00F60F36"/>
    <w:rsid w:val="00F61112"/>
    <w:rsid w:val="00F6125E"/>
    <w:rsid w:val="00F6138E"/>
    <w:rsid w:val="00F615E2"/>
    <w:rsid w:val="00F616F8"/>
    <w:rsid w:val="00F61706"/>
    <w:rsid w:val="00F61723"/>
    <w:rsid w:val="00F617D3"/>
    <w:rsid w:val="00F618F0"/>
    <w:rsid w:val="00F618FE"/>
    <w:rsid w:val="00F619FE"/>
    <w:rsid w:val="00F61B96"/>
    <w:rsid w:val="00F61BB8"/>
    <w:rsid w:val="00F61C09"/>
    <w:rsid w:val="00F62092"/>
    <w:rsid w:val="00F62282"/>
    <w:rsid w:val="00F6250D"/>
    <w:rsid w:val="00F6267F"/>
    <w:rsid w:val="00F6268C"/>
    <w:rsid w:val="00F627BF"/>
    <w:rsid w:val="00F62B6B"/>
    <w:rsid w:val="00F62C29"/>
    <w:rsid w:val="00F62C57"/>
    <w:rsid w:val="00F62C68"/>
    <w:rsid w:val="00F62C93"/>
    <w:rsid w:val="00F62F04"/>
    <w:rsid w:val="00F62F8B"/>
    <w:rsid w:val="00F6305E"/>
    <w:rsid w:val="00F630F5"/>
    <w:rsid w:val="00F634EA"/>
    <w:rsid w:val="00F63528"/>
    <w:rsid w:val="00F6352B"/>
    <w:rsid w:val="00F63569"/>
    <w:rsid w:val="00F635E8"/>
    <w:rsid w:val="00F6385D"/>
    <w:rsid w:val="00F6396C"/>
    <w:rsid w:val="00F63A2E"/>
    <w:rsid w:val="00F63BE0"/>
    <w:rsid w:val="00F640FF"/>
    <w:rsid w:val="00F641AE"/>
    <w:rsid w:val="00F641E5"/>
    <w:rsid w:val="00F641F9"/>
    <w:rsid w:val="00F643CE"/>
    <w:rsid w:val="00F643E2"/>
    <w:rsid w:val="00F643F0"/>
    <w:rsid w:val="00F6471B"/>
    <w:rsid w:val="00F64728"/>
    <w:rsid w:val="00F647BA"/>
    <w:rsid w:val="00F6485F"/>
    <w:rsid w:val="00F649E6"/>
    <w:rsid w:val="00F64B86"/>
    <w:rsid w:val="00F64CA5"/>
    <w:rsid w:val="00F64CF0"/>
    <w:rsid w:val="00F64D00"/>
    <w:rsid w:val="00F64DF8"/>
    <w:rsid w:val="00F64FC7"/>
    <w:rsid w:val="00F64FE7"/>
    <w:rsid w:val="00F6510F"/>
    <w:rsid w:val="00F65313"/>
    <w:rsid w:val="00F654B1"/>
    <w:rsid w:val="00F65722"/>
    <w:rsid w:val="00F6576B"/>
    <w:rsid w:val="00F6581F"/>
    <w:rsid w:val="00F6593D"/>
    <w:rsid w:val="00F65B54"/>
    <w:rsid w:val="00F65B8F"/>
    <w:rsid w:val="00F65BE9"/>
    <w:rsid w:val="00F65F4D"/>
    <w:rsid w:val="00F6600F"/>
    <w:rsid w:val="00F66215"/>
    <w:rsid w:val="00F6625B"/>
    <w:rsid w:val="00F66264"/>
    <w:rsid w:val="00F662FD"/>
    <w:rsid w:val="00F66329"/>
    <w:rsid w:val="00F6636C"/>
    <w:rsid w:val="00F663E7"/>
    <w:rsid w:val="00F66464"/>
    <w:rsid w:val="00F66744"/>
    <w:rsid w:val="00F6680C"/>
    <w:rsid w:val="00F6685C"/>
    <w:rsid w:val="00F66880"/>
    <w:rsid w:val="00F669A5"/>
    <w:rsid w:val="00F66B55"/>
    <w:rsid w:val="00F6724F"/>
    <w:rsid w:val="00F6736F"/>
    <w:rsid w:val="00F677AB"/>
    <w:rsid w:val="00F6791F"/>
    <w:rsid w:val="00F6797E"/>
    <w:rsid w:val="00F67C2A"/>
    <w:rsid w:val="00F67CDD"/>
    <w:rsid w:val="00F67D9B"/>
    <w:rsid w:val="00F67DA1"/>
    <w:rsid w:val="00F701AC"/>
    <w:rsid w:val="00F701DC"/>
    <w:rsid w:val="00F7041A"/>
    <w:rsid w:val="00F70449"/>
    <w:rsid w:val="00F7065D"/>
    <w:rsid w:val="00F70915"/>
    <w:rsid w:val="00F709FF"/>
    <w:rsid w:val="00F70A31"/>
    <w:rsid w:val="00F70AC3"/>
    <w:rsid w:val="00F70B5E"/>
    <w:rsid w:val="00F70BE5"/>
    <w:rsid w:val="00F70C86"/>
    <w:rsid w:val="00F70C9B"/>
    <w:rsid w:val="00F70D20"/>
    <w:rsid w:val="00F70EBA"/>
    <w:rsid w:val="00F71044"/>
    <w:rsid w:val="00F71173"/>
    <w:rsid w:val="00F7136A"/>
    <w:rsid w:val="00F71432"/>
    <w:rsid w:val="00F7150F"/>
    <w:rsid w:val="00F7156D"/>
    <w:rsid w:val="00F717A5"/>
    <w:rsid w:val="00F718CA"/>
    <w:rsid w:val="00F71B50"/>
    <w:rsid w:val="00F71EF2"/>
    <w:rsid w:val="00F71F13"/>
    <w:rsid w:val="00F72042"/>
    <w:rsid w:val="00F72312"/>
    <w:rsid w:val="00F7233E"/>
    <w:rsid w:val="00F72430"/>
    <w:rsid w:val="00F72593"/>
    <w:rsid w:val="00F725D6"/>
    <w:rsid w:val="00F72661"/>
    <w:rsid w:val="00F72667"/>
    <w:rsid w:val="00F72719"/>
    <w:rsid w:val="00F72851"/>
    <w:rsid w:val="00F72A80"/>
    <w:rsid w:val="00F72B35"/>
    <w:rsid w:val="00F72BFF"/>
    <w:rsid w:val="00F72C0E"/>
    <w:rsid w:val="00F72C2A"/>
    <w:rsid w:val="00F72F4F"/>
    <w:rsid w:val="00F7328F"/>
    <w:rsid w:val="00F7338E"/>
    <w:rsid w:val="00F73459"/>
    <w:rsid w:val="00F734D1"/>
    <w:rsid w:val="00F734F0"/>
    <w:rsid w:val="00F73520"/>
    <w:rsid w:val="00F735E7"/>
    <w:rsid w:val="00F7364C"/>
    <w:rsid w:val="00F73781"/>
    <w:rsid w:val="00F73787"/>
    <w:rsid w:val="00F7379A"/>
    <w:rsid w:val="00F738DC"/>
    <w:rsid w:val="00F73B9A"/>
    <w:rsid w:val="00F73D87"/>
    <w:rsid w:val="00F73F62"/>
    <w:rsid w:val="00F74058"/>
    <w:rsid w:val="00F741C6"/>
    <w:rsid w:val="00F74331"/>
    <w:rsid w:val="00F743CE"/>
    <w:rsid w:val="00F74413"/>
    <w:rsid w:val="00F744C3"/>
    <w:rsid w:val="00F745A2"/>
    <w:rsid w:val="00F74623"/>
    <w:rsid w:val="00F74717"/>
    <w:rsid w:val="00F74C04"/>
    <w:rsid w:val="00F74C18"/>
    <w:rsid w:val="00F74C3C"/>
    <w:rsid w:val="00F74D6E"/>
    <w:rsid w:val="00F74EF5"/>
    <w:rsid w:val="00F74F7D"/>
    <w:rsid w:val="00F75035"/>
    <w:rsid w:val="00F753C5"/>
    <w:rsid w:val="00F754BF"/>
    <w:rsid w:val="00F75663"/>
    <w:rsid w:val="00F75799"/>
    <w:rsid w:val="00F759FE"/>
    <w:rsid w:val="00F76147"/>
    <w:rsid w:val="00F76282"/>
    <w:rsid w:val="00F762C8"/>
    <w:rsid w:val="00F76496"/>
    <w:rsid w:val="00F76A2B"/>
    <w:rsid w:val="00F76A75"/>
    <w:rsid w:val="00F76B25"/>
    <w:rsid w:val="00F76CB0"/>
    <w:rsid w:val="00F76CCB"/>
    <w:rsid w:val="00F76D36"/>
    <w:rsid w:val="00F76D47"/>
    <w:rsid w:val="00F76D77"/>
    <w:rsid w:val="00F76EAD"/>
    <w:rsid w:val="00F76FD6"/>
    <w:rsid w:val="00F76FF6"/>
    <w:rsid w:val="00F7712D"/>
    <w:rsid w:val="00F77184"/>
    <w:rsid w:val="00F77274"/>
    <w:rsid w:val="00F773EC"/>
    <w:rsid w:val="00F77569"/>
    <w:rsid w:val="00F775E2"/>
    <w:rsid w:val="00F777CB"/>
    <w:rsid w:val="00F77C4A"/>
    <w:rsid w:val="00F77C4C"/>
    <w:rsid w:val="00F77C9C"/>
    <w:rsid w:val="00F77CD7"/>
    <w:rsid w:val="00F77E0E"/>
    <w:rsid w:val="00F77E42"/>
    <w:rsid w:val="00F77E67"/>
    <w:rsid w:val="00F77F4C"/>
    <w:rsid w:val="00F800B3"/>
    <w:rsid w:val="00F80324"/>
    <w:rsid w:val="00F803DF"/>
    <w:rsid w:val="00F80445"/>
    <w:rsid w:val="00F8045C"/>
    <w:rsid w:val="00F80468"/>
    <w:rsid w:val="00F80502"/>
    <w:rsid w:val="00F80533"/>
    <w:rsid w:val="00F806A4"/>
    <w:rsid w:val="00F807A7"/>
    <w:rsid w:val="00F80879"/>
    <w:rsid w:val="00F8095A"/>
    <w:rsid w:val="00F80ADE"/>
    <w:rsid w:val="00F80F01"/>
    <w:rsid w:val="00F80FD2"/>
    <w:rsid w:val="00F810F0"/>
    <w:rsid w:val="00F811FD"/>
    <w:rsid w:val="00F814F1"/>
    <w:rsid w:val="00F8173D"/>
    <w:rsid w:val="00F81B4D"/>
    <w:rsid w:val="00F81E26"/>
    <w:rsid w:val="00F81E6C"/>
    <w:rsid w:val="00F81F83"/>
    <w:rsid w:val="00F81FB7"/>
    <w:rsid w:val="00F822D8"/>
    <w:rsid w:val="00F826C2"/>
    <w:rsid w:val="00F829FE"/>
    <w:rsid w:val="00F82ADC"/>
    <w:rsid w:val="00F82B5C"/>
    <w:rsid w:val="00F82C60"/>
    <w:rsid w:val="00F82CC1"/>
    <w:rsid w:val="00F82D5E"/>
    <w:rsid w:val="00F82D79"/>
    <w:rsid w:val="00F82F18"/>
    <w:rsid w:val="00F83062"/>
    <w:rsid w:val="00F83121"/>
    <w:rsid w:val="00F8312B"/>
    <w:rsid w:val="00F83134"/>
    <w:rsid w:val="00F83161"/>
    <w:rsid w:val="00F832FD"/>
    <w:rsid w:val="00F83362"/>
    <w:rsid w:val="00F8352D"/>
    <w:rsid w:val="00F836D0"/>
    <w:rsid w:val="00F8388B"/>
    <w:rsid w:val="00F83945"/>
    <w:rsid w:val="00F8406B"/>
    <w:rsid w:val="00F840BA"/>
    <w:rsid w:val="00F845B9"/>
    <w:rsid w:val="00F84717"/>
    <w:rsid w:val="00F8471C"/>
    <w:rsid w:val="00F84A52"/>
    <w:rsid w:val="00F84B0E"/>
    <w:rsid w:val="00F84C66"/>
    <w:rsid w:val="00F85033"/>
    <w:rsid w:val="00F851B9"/>
    <w:rsid w:val="00F85261"/>
    <w:rsid w:val="00F852DC"/>
    <w:rsid w:val="00F8538C"/>
    <w:rsid w:val="00F854FB"/>
    <w:rsid w:val="00F8550D"/>
    <w:rsid w:val="00F85556"/>
    <w:rsid w:val="00F85557"/>
    <w:rsid w:val="00F85855"/>
    <w:rsid w:val="00F858D2"/>
    <w:rsid w:val="00F859D9"/>
    <w:rsid w:val="00F85B27"/>
    <w:rsid w:val="00F85B4F"/>
    <w:rsid w:val="00F85B9D"/>
    <w:rsid w:val="00F85BB0"/>
    <w:rsid w:val="00F85BFA"/>
    <w:rsid w:val="00F85D2C"/>
    <w:rsid w:val="00F85FAF"/>
    <w:rsid w:val="00F85FB4"/>
    <w:rsid w:val="00F86172"/>
    <w:rsid w:val="00F8619D"/>
    <w:rsid w:val="00F861C9"/>
    <w:rsid w:val="00F8621D"/>
    <w:rsid w:val="00F8622F"/>
    <w:rsid w:val="00F8630B"/>
    <w:rsid w:val="00F86357"/>
    <w:rsid w:val="00F86489"/>
    <w:rsid w:val="00F866B9"/>
    <w:rsid w:val="00F86AD0"/>
    <w:rsid w:val="00F86B13"/>
    <w:rsid w:val="00F86BD4"/>
    <w:rsid w:val="00F86BD5"/>
    <w:rsid w:val="00F86D2B"/>
    <w:rsid w:val="00F86DC0"/>
    <w:rsid w:val="00F86DED"/>
    <w:rsid w:val="00F86F1C"/>
    <w:rsid w:val="00F86FE0"/>
    <w:rsid w:val="00F87089"/>
    <w:rsid w:val="00F870B6"/>
    <w:rsid w:val="00F87188"/>
    <w:rsid w:val="00F872B0"/>
    <w:rsid w:val="00F87B2D"/>
    <w:rsid w:val="00F87B65"/>
    <w:rsid w:val="00F90014"/>
    <w:rsid w:val="00F90053"/>
    <w:rsid w:val="00F9007C"/>
    <w:rsid w:val="00F900D2"/>
    <w:rsid w:val="00F90248"/>
    <w:rsid w:val="00F9047F"/>
    <w:rsid w:val="00F904D9"/>
    <w:rsid w:val="00F90755"/>
    <w:rsid w:val="00F90A4C"/>
    <w:rsid w:val="00F90DD2"/>
    <w:rsid w:val="00F90E50"/>
    <w:rsid w:val="00F9129E"/>
    <w:rsid w:val="00F913D5"/>
    <w:rsid w:val="00F9141E"/>
    <w:rsid w:val="00F91620"/>
    <w:rsid w:val="00F9179A"/>
    <w:rsid w:val="00F917B4"/>
    <w:rsid w:val="00F9195A"/>
    <w:rsid w:val="00F919FA"/>
    <w:rsid w:val="00F91ABC"/>
    <w:rsid w:val="00F91BB4"/>
    <w:rsid w:val="00F91D0A"/>
    <w:rsid w:val="00F91E16"/>
    <w:rsid w:val="00F91F1A"/>
    <w:rsid w:val="00F91F47"/>
    <w:rsid w:val="00F91F97"/>
    <w:rsid w:val="00F9200B"/>
    <w:rsid w:val="00F92267"/>
    <w:rsid w:val="00F92645"/>
    <w:rsid w:val="00F92657"/>
    <w:rsid w:val="00F926AC"/>
    <w:rsid w:val="00F926FE"/>
    <w:rsid w:val="00F92824"/>
    <w:rsid w:val="00F92884"/>
    <w:rsid w:val="00F92A0E"/>
    <w:rsid w:val="00F92ABC"/>
    <w:rsid w:val="00F92CC2"/>
    <w:rsid w:val="00F92D59"/>
    <w:rsid w:val="00F92EFA"/>
    <w:rsid w:val="00F92EFF"/>
    <w:rsid w:val="00F92FAE"/>
    <w:rsid w:val="00F931E4"/>
    <w:rsid w:val="00F931FF"/>
    <w:rsid w:val="00F9328C"/>
    <w:rsid w:val="00F93425"/>
    <w:rsid w:val="00F93442"/>
    <w:rsid w:val="00F93742"/>
    <w:rsid w:val="00F93773"/>
    <w:rsid w:val="00F9377D"/>
    <w:rsid w:val="00F93844"/>
    <w:rsid w:val="00F9388F"/>
    <w:rsid w:val="00F938A7"/>
    <w:rsid w:val="00F93B10"/>
    <w:rsid w:val="00F93E71"/>
    <w:rsid w:val="00F93F05"/>
    <w:rsid w:val="00F94360"/>
    <w:rsid w:val="00F9453E"/>
    <w:rsid w:val="00F94799"/>
    <w:rsid w:val="00F94935"/>
    <w:rsid w:val="00F94C3D"/>
    <w:rsid w:val="00F94D18"/>
    <w:rsid w:val="00F94E18"/>
    <w:rsid w:val="00F950CE"/>
    <w:rsid w:val="00F9513C"/>
    <w:rsid w:val="00F9528B"/>
    <w:rsid w:val="00F9528C"/>
    <w:rsid w:val="00F952ED"/>
    <w:rsid w:val="00F9543B"/>
    <w:rsid w:val="00F954F8"/>
    <w:rsid w:val="00F95941"/>
    <w:rsid w:val="00F95B5A"/>
    <w:rsid w:val="00F95B78"/>
    <w:rsid w:val="00F95C27"/>
    <w:rsid w:val="00F95C6D"/>
    <w:rsid w:val="00F95DAE"/>
    <w:rsid w:val="00F95FDF"/>
    <w:rsid w:val="00F9615F"/>
    <w:rsid w:val="00F96203"/>
    <w:rsid w:val="00F9637C"/>
    <w:rsid w:val="00F9657E"/>
    <w:rsid w:val="00F965A9"/>
    <w:rsid w:val="00F9685A"/>
    <w:rsid w:val="00F968EA"/>
    <w:rsid w:val="00F969F1"/>
    <w:rsid w:val="00F96B35"/>
    <w:rsid w:val="00F96C0A"/>
    <w:rsid w:val="00F97122"/>
    <w:rsid w:val="00F97128"/>
    <w:rsid w:val="00F97137"/>
    <w:rsid w:val="00F9719A"/>
    <w:rsid w:val="00F9727E"/>
    <w:rsid w:val="00F972D5"/>
    <w:rsid w:val="00F972EA"/>
    <w:rsid w:val="00F97456"/>
    <w:rsid w:val="00F9759B"/>
    <w:rsid w:val="00F9766A"/>
    <w:rsid w:val="00F97733"/>
    <w:rsid w:val="00F977CA"/>
    <w:rsid w:val="00F978BE"/>
    <w:rsid w:val="00F97B25"/>
    <w:rsid w:val="00F97B50"/>
    <w:rsid w:val="00F97BFC"/>
    <w:rsid w:val="00F97C17"/>
    <w:rsid w:val="00F97C4F"/>
    <w:rsid w:val="00F97E1C"/>
    <w:rsid w:val="00F98EC6"/>
    <w:rsid w:val="00FA008F"/>
    <w:rsid w:val="00FA00A8"/>
    <w:rsid w:val="00FA0182"/>
    <w:rsid w:val="00FA019F"/>
    <w:rsid w:val="00FA03D6"/>
    <w:rsid w:val="00FA08CA"/>
    <w:rsid w:val="00FA0AAB"/>
    <w:rsid w:val="00FA0DE4"/>
    <w:rsid w:val="00FA0E40"/>
    <w:rsid w:val="00FA0FBE"/>
    <w:rsid w:val="00FA10B9"/>
    <w:rsid w:val="00FA10EC"/>
    <w:rsid w:val="00FA1141"/>
    <w:rsid w:val="00FA1A15"/>
    <w:rsid w:val="00FA1A56"/>
    <w:rsid w:val="00FA1D79"/>
    <w:rsid w:val="00FA1E6F"/>
    <w:rsid w:val="00FA1E76"/>
    <w:rsid w:val="00FA1EEA"/>
    <w:rsid w:val="00FA220C"/>
    <w:rsid w:val="00FA221A"/>
    <w:rsid w:val="00FA22B2"/>
    <w:rsid w:val="00FA2330"/>
    <w:rsid w:val="00FA2441"/>
    <w:rsid w:val="00FA2454"/>
    <w:rsid w:val="00FA24C6"/>
    <w:rsid w:val="00FA254E"/>
    <w:rsid w:val="00FA2957"/>
    <w:rsid w:val="00FA2B01"/>
    <w:rsid w:val="00FA2BAF"/>
    <w:rsid w:val="00FA2BEB"/>
    <w:rsid w:val="00FA2BEC"/>
    <w:rsid w:val="00FA2C6D"/>
    <w:rsid w:val="00FA2D34"/>
    <w:rsid w:val="00FA2EB3"/>
    <w:rsid w:val="00FA2F36"/>
    <w:rsid w:val="00FA2FCF"/>
    <w:rsid w:val="00FA3215"/>
    <w:rsid w:val="00FA3313"/>
    <w:rsid w:val="00FA3451"/>
    <w:rsid w:val="00FA3750"/>
    <w:rsid w:val="00FA3857"/>
    <w:rsid w:val="00FA38C9"/>
    <w:rsid w:val="00FA38F2"/>
    <w:rsid w:val="00FA39E9"/>
    <w:rsid w:val="00FA39F9"/>
    <w:rsid w:val="00FA3D08"/>
    <w:rsid w:val="00FA3EC5"/>
    <w:rsid w:val="00FA4290"/>
    <w:rsid w:val="00FA4336"/>
    <w:rsid w:val="00FA4349"/>
    <w:rsid w:val="00FA43EA"/>
    <w:rsid w:val="00FA4425"/>
    <w:rsid w:val="00FA4430"/>
    <w:rsid w:val="00FA448B"/>
    <w:rsid w:val="00FA45EA"/>
    <w:rsid w:val="00FA462F"/>
    <w:rsid w:val="00FA4646"/>
    <w:rsid w:val="00FA48C3"/>
    <w:rsid w:val="00FA4B1C"/>
    <w:rsid w:val="00FA4D86"/>
    <w:rsid w:val="00FA508E"/>
    <w:rsid w:val="00FA50C9"/>
    <w:rsid w:val="00FA5462"/>
    <w:rsid w:val="00FA54B4"/>
    <w:rsid w:val="00FA55F9"/>
    <w:rsid w:val="00FA5737"/>
    <w:rsid w:val="00FA578E"/>
    <w:rsid w:val="00FA5B36"/>
    <w:rsid w:val="00FA5C1F"/>
    <w:rsid w:val="00FA5C49"/>
    <w:rsid w:val="00FA5DD6"/>
    <w:rsid w:val="00FA5EF1"/>
    <w:rsid w:val="00FA5FB9"/>
    <w:rsid w:val="00FA611B"/>
    <w:rsid w:val="00FA62A6"/>
    <w:rsid w:val="00FA6604"/>
    <w:rsid w:val="00FA6629"/>
    <w:rsid w:val="00FA66F1"/>
    <w:rsid w:val="00FA66F9"/>
    <w:rsid w:val="00FA69EF"/>
    <w:rsid w:val="00FA6BE4"/>
    <w:rsid w:val="00FA6D56"/>
    <w:rsid w:val="00FA6FC0"/>
    <w:rsid w:val="00FA6FE3"/>
    <w:rsid w:val="00FA7128"/>
    <w:rsid w:val="00FA71C1"/>
    <w:rsid w:val="00FA7254"/>
    <w:rsid w:val="00FA751D"/>
    <w:rsid w:val="00FA775B"/>
    <w:rsid w:val="00FA7841"/>
    <w:rsid w:val="00FA7852"/>
    <w:rsid w:val="00FA786A"/>
    <w:rsid w:val="00FA7AC1"/>
    <w:rsid w:val="00FA7BAF"/>
    <w:rsid w:val="00FA7BCE"/>
    <w:rsid w:val="00FA7C25"/>
    <w:rsid w:val="00FA7CC0"/>
    <w:rsid w:val="00FA7DEB"/>
    <w:rsid w:val="00FB026B"/>
    <w:rsid w:val="00FB027D"/>
    <w:rsid w:val="00FB047A"/>
    <w:rsid w:val="00FB05A5"/>
    <w:rsid w:val="00FB07FC"/>
    <w:rsid w:val="00FB09EA"/>
    <w:rsid w:val="00FB0AAA"/>
    <w:rsid w:val="00FB0B14"/>
    <w:rsid w:val="00FB0DF2"/>
    <w:rsid w:val="00FB0E04"/>
    <w:rsid w:val="00FB0E6C"/>
    <w:rsid w:val="00FB0EEE"/>
    <w:rsid w:val="00FB0F29"/>
    <w:rsid w:val="00FB110C"/>
    <w:rsid w:val="00FB1134"/>
    <w:rsid w:val="00FB114C"/>
    <w:rsid w:val="00FB1278"/>
    <w:rsid w:val="00FB12EA"/>
    <w:rsid w:val="00FB140A"/>
    <w:rsid w:val="00FB1451"/>
    <w:rsid w:val="00FB14A3"/>
    <w:rsid w:val="00FB14D1"/>
    <w:rsid w:val="00FB15B2"/>
    <w:rsid w:val="00FB1841"/>
    <w:rsid w:val="00FB1F1E"/>
    <w:rsid w:val="00FB224C"/>
    <w:rsid w:val="00FB2276"/>
    <w:rsid w:val="00FB2367"/>
    <w:rsid w:val="00FB23C9"/>
    <w:rsid w:val="00FB26A1"/>
    <w:rsid w:val="00FB27BF"/>
    <w:rsid w:val="00FB2803"/>
    <w:rsid w:val="00FB28C4"/>
    <w:rsid w:val="00FB295A"/>
    <w:rsid w:val="00FB29E0"/>
    <w:rsid w:val="00FB2B45"/>
    <w:rsid w:val="00FB2C2B"/>
    <w:rsid w:val="00FB2CE5"/>
    <w:rsid w:val="00FB2D0E"/>
    <w:rsid w:val="00FB2D7E"/>
    <w:rsid w:val="00FB2D8A"/>
    <w:rsid w:val="00FB2E4E"/>
    <w:rsid w:val="00FB2E6B"/>
    <w:rsid w:val="00FB30C3"/>
    <w:rsid w:val="00FB3132"/>
    <w:rsid w:val="00FB320E"/>
    <w:rsid w:val="00FB3484"/>
    <w:rsid w:val="00FB34DC"/>
    <w:rsid w:val="00FB3D27"/>
    <w:rsid w:val="00FB3D82"/>
    <w:rsid w:val="00FB3F83"/>
    <w:rsid w:val="00FB4079"/>
    <w:rsid w:val="00FB4269"/>
    <w:rsid w:val="00FB43D1"/>
    <w:rsid w:val="00FB4487"/>
    <w:rsid w:val="00FB44DA"/>
    <w:rsid w:val="00FB465F"/>
    <w:rsid w:val="00FB4671"/>
    <w:rsid w:val="00FB4945"/>
    <w:rsid w:val="00FB4A96"/>
    <w:rsid w:val="00FB4B61"/>
    <w:rsid w:val="00FB4BC4"/>
    <w:rsid w:val="00FB4CAB"/>
    <w:rsid w:val="00FB4CCD"/>
    <w:rsid w:val="00FB4E07"/>
    <w:rsid w:val="00FB4E6D"/>
    <w:rsid w:val="00FB5020"/>
    <w:rsid w:val="00FB50D7"/>
    <w:rsid w:val="00FB52DD"/>
    <w:rsid w:val="00FB53C3"/>
    <w:rsid w:val="00FB5694"/>
    <w:rsid w:val="00FB57C4"/>
    <w:rsid w:val="00FB584C"/>
    <w:rsid w:val="00FB58B9"/>
    <w:rsid w:val="00FB5915"/>
    <w:rsid w:val="00FB596E"/>
    <w:rsid w:val="00FB5B9C"/>
    <w:rsid w:val="00FB5BE0"/>
    <w:rsid w:val="00FB5FF3"/>
    <w:rsid w:val="00FB6071"/>
    <w:rsid w:val="00FB61CD"/>
    <w:rsid w:val="00FB6428"/>
    <w:rsid w:val="00FB6645"/>
    <w:rsid w:val="00FB66D5"/>
    <w:rsid w:val="00FB6740"/>
    <w:rsid w:val="00FB6742"/>
    <w:rsid w:val="00FB699C"/>
    <w:rsid w:val="00FB69AF"/>
    <w:rsid w:val="00FB69BD"/>
    <w:rsid w:val="00FB69BE"/>
    <w:rsid w:val="00FB6A94"/>
    <w:rsid w:val="00FB6AD3"/>
    <w:rsid w:val="00FB6B81"/>
    <w:rsid w:val="00FB6BA4"/>
    <w:rsid w:val="00FB6DB8"/>
    <w:rsid w:val="00FB6E3A"/>
    <w:rsid w:val="00FB6EF4"/>
    <w:rsid w:val="00FB6FD1"/>
    <w:rsid w:val="00FB70AA"/>
    <w:rsid w:val="00FB725A"/>
    <w:rsid w:val="00FB72C1"/>
    <w:rsid w:val="00FB7334"/>
    <w:rsid w:val="00FB7356"/>
    <w:rsid w:val="00FB7379"/>
    <w:rsid w:val="00FB7429"/>
    <w:rsid w:val="00FB7542"/>
    <w:rsid w:val="00FB776E"/>
    <w:rsid w:val="00FB7864"/>
    <w:rsid w:val="00FB7993"/>
    <w:rsid w:val="00FB7B53"/>
    <w:rsid w:val="00FB7BC2"/>
    <w:rsid w:val="00FB7D32"/>
    <w:rsid w:val="00FB7DDE"/>
    <w:rsid w:val="00FB7E34"/>
    <w:rsid w:val="00FB7E55"/>
    <w:rsid w:val="00FC00A9"/>
    <w:rsid w:val="00FC01A1"/>
    <w:rsid w:val="00FC02E9"/>
    <w:rsid w:val="00FC0369"/>
    <w:rsid w:val="00FC05B7"/>
    <w:rsid w:val="00FC07DB"/>
    <w:rsid w:val="00FC07FC"/>
    <w:rsid w:val="00FC0941"/>
    <w:rsid w:val="00FC09E2"/>
    <w:rsid w:val="00FC0A25"/>
    <w:rsid w:val="00FC0AD2"/>
    <w:rsid w:val="00FC0BE3"/>
    <w:rsid w:val="00FC0BE6"/>
    <w:rsid w:val="00FC0C34"/>
    <w:rsid w:val="00FC0C62"/>
    <w:rsid w:val="00FC0FEB"/>
    <w:rsid w:val="00FC10C7"/>
    <w:rsid w:val="00FC1153"/>
    <w:rsid w:val="00FC1175"/>
    <w:rsid w:val="00FC118F"/>
    <w:rsid w:val="00FC1454"/>
    <w:rsid w:val="00FC14DF"/>
    <w:rsid w:val="00FC1504"/>
    <w:rsid w:val="00FC156D"/>
    <w:rsid w:val="00FC1812"/>
    <w:rsid w:val="00FC1940"/>
    <w:rsid w:val="00FC1B69"/>
    <w:rsid w:val="00FC1C00"/>
    <w:rsid w:val="00FC1C7A"/>
    <w:rsid w:val="00FC1FDA"/>
    <w:rsid w:val="00FC20AA"/>
    <w:rsid w:val="00FC221B"/>
    <w:rsid w:val="00FC2572"/>
    <w:rsid w:val="00FC2612"/>
    <w:rsid w:val="00FC27A8"/>
    <w:rsid w:val="00FC27FE"/>
    <w:rsid w:val="00FC28A5"/>
    <w:rsid w:val="00FC28D0"/>
    <w:rsid w:val="00FC2BAB"/>
    <w:rsid w:val="00FC2C70"/>
    <w:rsid w:val="00FC2CED"/>
    <w:rsid w:val="00FC2D8C"/>
    <w:rsid w:val="00FC2D91"/>
    <w:rsid w:val="00FC2EB4"/>
    <w:rsid w:val="00FC30BC"/>
    <w:rsid w:val="00FC3107"/>
    <w:rsid w:val="00FC32C6"/>
    <w:rsid w:val="00FC3712"/>
    <w:rsid w:val="00FC3DB4"/>
    <w:rsid w:val="00FC3E32"/>
    <w:rsid w:val="00FC426D"/>
    <w:rsid w:val="00FC440A"/>
    <w:rsid w:val="00FC457D"/>
    <w:rsid w:val="00FC4595"/>
    <w:rsid w:val="00FC46EE"/>
    <w:rsid w:val="00FC47C7"/>
    <w:rsid w:val="00FC4BB1"/>
    <w:rsid w:val="00FC4C0B"/>
    <w:rsid w:val="00FC4EB2"/>
    <w:rsid w:val="00FC50C1"/>
    <w:rsid w:val="00FC5158"/>
    <w:rsid w:val="00FC5203"/>
    <w:rsid w:val="00FC5221"/>
    <w:rsid w:val="00FC5226"/>
    <w:rsid w:val="00FC530E"/>
    <w:rsid w:val="00FC5352"/>
    <w:rsid w:val="00FC5384"/>
    <w:rsid w:val="00FC548B"/>
    <w:rsid w:val="00FC5573"/>
    <w:rsid w:val="00FC5659"/>
    <w:rsid w:val="00FC5757"/>
    <w:rsid w:val="00FC5865"/>
    <w:rsid w:val="00FC5A53"/>
    <w:rsid w:val="00FC5AD1"/>
    <w:rsid w:val="00FC5B46"/>
    <w:rsid w:val="00FC5DFB"/>
    <w:rsid w:val="00FC5E06"/>
    <w:rsid w:val="00FC5E1B"/>
    <w:rsid w:val="00FC5EF4"/>
    <w:rsid w:val="00FC5FE7"/>
    <w:rsid w:val="00FC6030"/>
    <w:rsid w:val="00FC62D7"/>
    <w:rsid w:val="00FC63E9"/>
    <w:rsid w:val="00FC64D5"/>
    <w:rsid w:val="00FC65E2"/>
    <w:rsid w:val="00FC65E7"/>
    <w:rsid w:val="00FC67C4"/>
    <w:rsid w:val="00FC67F7"/>
    <w:rsid w:val="00FC692D"/>
    <w:rsid w:val="00FC69B5"/>
    <w:rsid w:val="00FC6A3F"/>
    <w:rsid w:val="00FC6B48"/>
    <w:rsid w:val="00FC6B5E"/>
    <w:rsid w:val="00FC6C38"/>
    <w:rsid w:val="00FC6CFD"/>
    <w:rsid w:val="00FC6DCD"/>
    <w:rsid w:val="00FC6DFE"/>
    <w:rsid w:val="00FC6EBB"/>
    <w:rsid w:val="00FC6FBB"/>
    <w:rsid w:val="00FC6FEF"/>
    <w:rsid w:val="00FC712E"/>
    <w:rsid w:val="00FC7226"/>
    <w:rsid w:val="00FC72FA"/>
    <w:rsid w:val="00FC73CE"/>
    <w:rsid w:val="00FC7603"/>
    <w:rsid w:val="00FC76D9"/>
    <w:rsid w:val="00FC770C"/>
    <w:rsid w:val="00FC7BA9"/>
    <w:rsid w:val="00FC7BDF"/>
    <w:rsid w:val="00FC7C1E"/>
    <w:rsid w:val="00FC7CBE"/>
    <w:rsid w:val="00FC7D01"/>
    <w:rsid w:val="00FC7D15"/>
    <w:rsid w:val="00FD020B"/>
    <w:rsid w:val="00FD020F"/>
    <w:rsid w:val="00FD0420"/>
    <w:rsid w:val="00FD053F"/>
    <w:rsid w:val="00FD05F2"/>
    <w:rsid w:val="00FD08B6"/>
    <w:rsid w:val="00FD098E"/>
    <w:rsid w:val="00FD09D8"/>
    <w:rsid w:val="00FD0A86"/>
    <w:rsid w:val="00FD0B1E"/>
    <w:rsid w:val="00FD0B89"/>
    <w:rsid w:val="00FD0F90"/>
    <w:rsid w:val="00FD0FBF"/>
    <w:rsid w:val="00FD1046"/>
    <w:rsid w:val="00FD1066"/>
    <w:rsid w:val="00FD11B4"/>
    <w:rsid w:val="00FD1288"/>
    <w:rsid w:val="00FD13FA"/>
    <w:rsid w:val="00FD1411"/>
    <w:rsid w:val="00FD15AA"/>
    <w:rsid w:val="00FD167E"/>
    <w:rsid w:val="00FD16C3"/>
    <w:rsid w:val="00FD16C8"/>
    <w:rsid w:val="00FD1748"/>
    <w:rsid w:val="00FD1822"/>
    <w:rsid w:val="00FD1DC8"/>
    <w:rsid w:val="00FD1E06"/>
    <w:rsid w:val="00FD1FB2"/>
    <w:rsid w:val="00FD22D6"/>
    <w:rsid w:val="00FD24AC"/>
    <w:rsid w:val="00FD2506"/>
    <w:rsid w:val="00FD267A"/>
    <w:rsid w:val="00FD2916"/>
    <w:rsid w:val="00FD2977"/>
    <w:rsid w:val="00FD29CE"/>
    <w:rsid w:val="00FD2A42"/>
    <w:rsid w:val="00FD2A55"/>
    <w:rsid w:val="00FD2ADD"/>
    <w:rsid w:val="00FD2B9B"/>
    <w:rsid w:val="00FD2C11"/>
    <w:rsid w:val="00FD2D54"/>
    <w:rsid w:val="00FD2D75"/>
    <w:rsid w:val="00FD2E90"/>
    <w:rsid w:val="00FD2F5D"/>
    <w:rsid w:val="00FD30B9"/>
    <w:rsid w:val="00FD30DC"/>
    <w:rsid w:val="00FD31E1"/>
    <w:rsid w:val="00FD31F4"/>
    <w:rsid w:val="00FD3293"/>
    <w:rsid w:val="00FD3335"/>
    <w:rsid w:val="00FD337F"/>
    <w:rsid w:val="00FD343E"/>
    <w:rsid w:val="00FD362F"/>
    <w:rsid w:val="00FD3692"/>
    <w:rsid w:val="00FD36FB"/>
    <w:rsid w:val="00FD3811"/>
    <w:rsid w:val="00FD3813"/>
    <w:rsid w:val="00FD385D"/>
    <w:rsid w:val="00FD3861"/>
    <w:rsid w:val="00FD3873"/>
    <w:rsid w:val="00FD38EA"/>
    <w:rsid w:val="00FD3B6E"/>
    <w:rsid w:val="00FD3E14"/>
    <w:rsid w:val="00FD3E9D"/>
    <w:rsid w:val="00FD3F1D"/>
    <w:rsid w:val="00FD3FA5"/>
    <w:rsid w:val="00FD418E"/>
    <w:rsid w:val="00FD41F6"/>
    <w:rsid w:val="00FD42A4"/>
    <w:rsid w:val="00FD44E5"/>
    <w:rsid w:val="00FD45CC"/>
    <w:rsid w:val="00FD4814"/>
    <w:rsid w:val="00FD48D4"/>
    <w:rsid w:val="00FD4950"/>
    <w:rsid w:val="00FD49B4"/>
    <w:rsid w:val="00FD4AB6"/>
    <w:rsid w:val="00FD4AEF"/>
    <w:rsid w:val="00FD4B64"/>
    <w:rsid w:val="00FD4B9D"/>
    <w:rsid w:val="00FD4CD1"/>
    <w:rsid w:val="00FD4CFD"/>
    <w:rsid w:val="00FD4D77"/>
    <w:rsid w:val="00FD509A"/>
    <w:rsid w:val="00FD50FD"/>
    <w:rsid w:val="00FD5118"/>
    <w:rsid w:val="00FD5243"/>
    <w:rsid w:val="00FD5473"/>
    <w:rsid w:val="00FD54B0"/>
    <w:rsid w:val="00FD5C46"/>
    <w:rsid w:val="00FD5F30"/>
    <w:rsid w:val="00FD5F7A"/>
    <w:rsid w:val="00FD6117"/>
    <w:rsid w:val="00FD6123"/>
    <w:rsid w:val="00FD6194"/>
    <w:rsid w:val="00FD62E9"/>
    <w:rsid w:val="00FD62EF"/>
    <w:rsid w:val="00FD6349"/>
    <w:rsid w:val="00FD6355"/>
    <w:rsid w:val="00FD646D"/>
    <w:rsid w:val="00FD6551"/>
    <w:rsid w:val="00FD6602"/>
    <w:rsid w:val="00FD6606"/>
    <w:rsid w:val="00FD686D"/>
    <w:rsid w:val="00FD68A9"/>
    <w:rsid w:val="00FD68C3"/>
    <w:rsid w:val="00FD68FC"/>
    <w:rsid w:val="00FD6A22"/>
    <w:rsid w:val="00FD6BAA"/>
    <w:rsid w:val="00FD6C42"/>
    <w:rsid w:val="00FD6CCF"/>
    <w:rsid w:val="00FD6D91"/>
    <w:rsid w:val="00FD7093"/>
    <w:rsid w:val="00FD71A5"/>
    <w:rsid w:val="00FD722C"/>
    <w:rsid w:val="00FD72AD"/>
    <w:rsid w:val="00FD732A"/>
    <w:rsid w:val="00FD73E4"/>
    <w:rsid w:val="00FD7770"/>
    <w:rsid w:val="00FD7772"/>
    <w:rsid w:val="00FD7879"/>
    <w:rsid w:val="00FD7A3D"/>
    <w:rsid w:val="00FD7E5A"/>
    <w:rsid w:val="00FD7F0F"/>
    <w:rsid w:val="00FE0009"/>
    <w:rsid w:val="00FE027B"/>
    <w:rsid w:val="00FE03F3"/>
    <w:rsid w:val="00FE05C3"/>
    <w:rsid w:val="00FE05E0"/>
    <w:rsid w:val="00FE07A1"/>
    <w:rsid w:val="00FE07B3"/>
    <w:rsid w:val="00FE07E7"/>
    <w:rsid w:val="00FE088A"/>
    <w:rsid w:val="00FE091B"/>
    <w:rsid w:val="00FE0A4C"/>
    <w:rsid w:val="00FE0B22"/>
    <w:rsid w:val="00FE0D75"/>
    <w:rsid w:val="00FE0EA6"/>
    <w:rsid w:val="00FE0F4C"/>
    <w:rsid w:val="00FE1097"/>
    <w:rsid w:val="00FE10F5"/>
    <w:rsid w:val="00FE11C3"/>
    <w:rsid w:val="00FE135B"/>
    <w:rsid w:val="00FE13B3"/>
    <w:rsid w:val="00FE15E3"/>
    <w:rsid w:val="00FE164B"/>
    <w:rsid w:val="00FE1768"/>
    <w:rsid w:val="00FE18AF"/>
    <w:rsid w:val="00FE18E2"/>
    <w:rsid w:val="00FE18E7"/>
    <w:rsid w:val="00FE18F2"/>
    <w:rsid w:val="00FE18F3"/>
    <w:rsid w:val="00FE1A84"/>
    <w:rsid w:val="00FE1B39"/>
    <w:rsid w:val="00FE1C56"/>
    <w:rsid w:val="00FE1CDA"/>
    <w:rsid w:val="00FE1D19"/>
    <w:rsid w:val="00FE2030"/>
    <w:rsid w:val="00FE225C"/>
    <w:rsid w:val="00FE2732"/>
    <w:rsid w:val="00FE2A6E"/>
    <w:rsid w:val="00FE2D2E"/>
    <w:rsid w:val="00FE2DA7"/>
    <w:rsid w:val="00FE2DFE"/>
    <w:rsid w:val="00FE2E3B"/>
    <w:rsid w:val="00FE2EDA"/>
    <w:rsid w:val="00FE2F29"/>
    <w:rsid w:val="00FE30F4"/>
    <w:rsid w:val="00FE315B"/>
    <w:rsid w:val="00FE324B"/>
    <w:rsid w:val="00FE3473"/>
    <w:rsid w:val="00FE36DD"/>
    <w:rsid w:val="00FE3DC8"/>
    <w:rsid w:val="00FE3ED8"/>
    <w:rsid w:val="00FE3F81"/>
    <w:rsid w:val="00FE4026"/>
    <w:rsid w:val="00FE437D"/>
    <w:rsid w:val="00FE44B4"/>
    <w:rsid w:val="00FE456F"/>
    <w:rsid w:val="00FE46E6"/>
    <w:rsid w:val="00FE473B"/>
    <w:rsid w:val="00FE4769"/>
    <w:rsid w:val="00FE47F3"/>
    <w:rsid w:val="00FE4A3D"/>
    <w:rsid w:val="00FE4C50"/>
    <w:rsid w:val="00FE4C59"/>
    <w:rsid w:val="00FE4C8D"/>
    <w:rsid w:val="00FE4D4A"/>
    <w:rsid w:val="00FE4E47"/>
    <w:rsid w:val="00FE4EBE"/>
    <w:rsid w:val="00FE5137"/>
    <w:rsid w:val="00FE534E"/>
    <w:rsid w:val="00FE53A0"/>
    <w:rsid w:val="00FE540E"/>
    <w:rsid w:val="00FE56DA"/>
    <w:rsid w:val="00FE5775"/>
    <w:rsid w:val="00FE5A29"/>
    <w:rsid w:val="00FE5AA4"/>
    <w:rsid w:val="00FE5F5A"/>
    <w:rsid w:val="00FE611A"/>
    <w:rsid w:val="00FE63F3"/>
    <w:rsid w:val="00FE64B1"/>
    <w:rsid w:val="00FE6A19"/>
    <w:rsid w:val="00FE6B14"/>
    <w:rsid w:val="00FE6CA4"/>
    <w:rsid w:val="00FE6D8F"/>
    <w:rsid w:val="00FE6E40"/>
    <w:rsid w:val="00FE6FA3"/>
    <w:rsid w:val="00FE6FA7"/>
    <w:rsid w:val="00FE6FA8"/>
    <w:rsid w:val="00FE700E"/>
    <w:rsid w:val="00FE7484"/>
    <w:rsid w:val="00FE74E4"/>
    <w:rsid w:val="00FE7786"/>
    <w:rsid w:val="00FE79C7"/>
    <w:rsid w:val="00FE7DFD"/>
    <w:rsid w:val="00FE7F17"/>
    <w:rsid w:val="00FE7F27"/>
    <w:rsid w:val="00FF00DA"/>
    <w:rsid w:val="00FF00F2"/>
    <w:rsid w:val="00FF0124"/>
    <w:rsid w:val="00FF0503"/>
    <w:rsid w:val="00FF0737"/>
    <w:rsid w:val="00FF0A65"/>
    <w:rsid w:val="00FF0B17"/>
    <w:rsid w:val="00FF0D5E"/>
    <w:rsid w:val="00FF0DAE"/>
    <w:rsid w:val="00FF0E30"/>
    <w:rsid w:val="00FF144F"/>
    <w:rsid w:val="00FF1610"/>
    <w:rsid w:val="00FF16D1"/>
    <w:rsid w:val="00FF18A9"/>
    <w:rsid w:val="00FF18DC"/>
    <w:rsid w:val="00FF1BC3"/>
    <w:rsid w:val="00FF1C16"/>
    <w:rsid w:val="00FF1CD2"/>
    <w:rsid w:val="00FF1D5C"/>
    <w:rsid w:val="00FF1E3E"/>
    <w:rsid w:val="00FF1EB9"/>
    <w:rsid w:val="00FF20BA"/>
    <w:rsid w:val="00FF2219"/>
    <w:rsid w:val="00FF2292"/>
    <w:rsid w:val="00FF2305"/>
    <w:rsid w:val="00FF2494"/>
    <w:rsid w:val="00FF2779"/>
    <w:rsid w:val="00FF278F"/>
    <w:rsid w:val="00FF2860"/>
    <w:rsid w:val="00FF289B"/>
    <w:rsid w:val="00FF28CF"/>
    <w:rsid w:val="00FF2AF0"/>
    <w:rsid w:val="00FF2B42"/>
    <w:rsid w:val="00FF2EE0"/>
    <w:rsid w:val="00FF2FCD"/>
    <w:rsid w:val="00FF3085"/>
    <w:rsid w:val="00FF30EC"/>
    <w:rsid w:val="00FF30F4"/>
    <w:rsid w:val="00FF30F9"/>
    <w:rsid w:val="00FF330B"/>
    <w:rsid w:val="00FF33A8"/>
    <w:rsid w:val="00FF346A"/>
    <w:rsid w:val="00FF3676"/>
    <w:rsid w:val="00FF3740"/>
    <w:rsid w:val="00FF3764"/>
    <w:rsid w:val="00FF381C"/>
    <w:rsid w:val="00FF3820"/>
    <w:rsid w:val="00FF39CE"/>
    <w:rsid w:val="00FF3AEC"/>
    <w:rsid w:val="00FF3B69"/>
    <w:rsid w:val="00FF3C75"/>
    <w:rsid w:val="00FF3EBA"/>
    <w:rsid w:val="00FF3ECB"/>
    <w:rsid w:val="00FF4060"/>
    <w:rsid w:val="00FF42C2"/>
    <w:rsid w:val="00FF444B"/>
    <w:rsid w:val="00FF45B5"/>
    <w:rsid w:val="00FF46FA"/>
    <w:rsid w:val="00FF473F"/>
    <w:rsid w:val="00FF478E"/>
    <w:rsid w:val="00FF49E5"/>
    <w:rsid w:val="00FF4B3F"/>
    <w:rsid w:val="00FF4C1D"/>
    <w:rsid w:val="00FF4CB2"/>
    <w:rsid w:val="00FF4E66"/>
    <w:rsid w:val="00FF4E7B"/>
    <w:rsid w:val="00FF4F0B"/>
    <w:rsid w:val="00FF5173"/>
    <w:rsid w:val="00FF5272"/>
    <w:rsid w:val="00FF52F0"/>
    <w:rsid w:val="00FF5399"/>
    <w:rsid w:val="00FF5552"/>
    <w:rsid w:val="00FF5667"/>
    <w:rsid w:val="00FF572A"/>
    <w:rsid w:val="00FF58F7"/>
    <w:rsid w:val="00FF59CD"/>
    <w:rsid w:val="00FF5D17"/>
    <w:rsid w:val="00FF5D59"/>
    <w:rsid w:val="00FF5F5B"/>
    <w:rsid w:val="00FF6191"/>
    <w:rsid w:val="00FF6197"/>
    <w:rsid w:val="00FF61A6"/>
    <w:rsid w:val="00FF6236"/>
    <w:rsid w:val="00FF6240"/>
    <w:rsid w:val="00FF638F"/>
    <w:rsid w:val="00FF6440"/>
    <w:rsid w:val="00FF64FD"/>
    <w:rsid w:val="00FF688F"/>
    <w:rsid w:val="00FF690A"/>
    <w:rsid w:val="00FF6953"/>
    <w:rsid w:val="00FF6A1F"/>
    <w:rsid w:val="00FF6AC9"/>
    <w:rsid w:val="00FF6ADD"/>
    <w:rsid w:val="00FF6BF4"/>
    <w:rsid w:val="00FF6C68"/>
    <w:rsid w:val="00FF6D8F"/>
    <w:rsid w:val="00FF6E6A"/>
    <w:rsid w:val="00FF6F17"/>
    <w:rsid w:val="00FF70AA"/>
    <w:rsid w:val="00FF723F"/>
    <w:rsid w:val="00FF72B7"/>
    <w:rsid w:val="00FF74C2"/>
    <w:rsid w:val="00FF762D"/>
    <w:rsid w:val="00FF7849"/>
    <w:rsid w:val="00FF78A2"/>
    <w:rsid w:val="00FF7CC7"/>
    <w:rsid w:val="00FF7D3E"/>
    <w:rsid w:val="00FF7E0F"/>
    <w:rsid w:val="01080ADF"/>
    <w:rsid w:val="01081589"/>
    <w:rsid w:val="010E1371"/>
    <w:rsid w:val="010FBB73"/>
    <w:rsid w:val="0112C805"/>
    <w:rsid w:val="0122397C"/>
    <w:rsid w:val="01340079"/>
    <w:rsid w:val="013FBBB8"/>
    <w:rsid w:val="01495962"/>
    <w:rsid w:val="0153428B"/>
    <w:rsid w:val="01589F79"/>
    <w:rsid w:val="0164126D"/>
    <w:rsid w:val="016E2C22"/>
    <w:rsid w:val="01759434"/>
    <w:rsid w:val="017E6139"/>
    <w:rsid w:val="017EE573"/>
    <w:rsid w:val="01931F55"/>
    <w:rsid w:val="01973A17"/>
    <w:rsid w:val="01A1D642"/>
    <w:rsid w:val="01A5B4DE"/>
    <w:rsid w:val="01A83A89"/>
    <w:rsid w:val="01AC8EB4"/>
    <w:rsid w:val="01B25B54"/>
    <w:rsid w:val="01B75383"/>
    <w:rsid w:val="01C51A56"/>
    <w:rsid w:val="01CF4B1B"/>
    <w:rsid w:val="01DEB858"/>
    <w:rsid w:val="01E26646"/>
    <w:rsid w:val="01E5C1C2"/>
    <w:rsid w:val="01EE9B26"/>
    <w:rsid w:val="01F7F3A1"/>
    <w:rsid w:val="0202C8CF"/>
    <w:rsid w:val="0206702A"/>
    <w:rsid w:val="020C0034"/>
    <w:rsid w:val="0210E594"/>
    <w:rsid w:val="021CFB66"/>
    <w:rsid w:val="021DACA1"/>
    <w:rsid w:val="0221F5F0"/>
    <w:rsid w:val="022CBB44"/>
    <w:rsid w:val="022D69DC"/>
    <w:rsid w:val="022EBB62"/>
    <w:rsid w:val="022EC3AC"/>
    <w:rsid w:val="023268FD"/>
    <w:rsid w:val="0234F8EC"/>
    <w:rsid w:val="02368D7D"/>
    <w:rsid w:val="023C7C88"/>
    <w:rsid w:val="023F3107"/>
    <w:rsid w:val="023F944C"/>
    <w:rsid w:val="02484D95"/>
    <w:rsid w:val="0253948C"/>
    <w:rsid w:val="0254D16F"/>
    <w:rsid w:val="0257D8D4"/>
    <w:rsid w:val="0259A545"/>
    <w:rsid w:val="0259FD02"/>
    <w:rsid w:val="025D0697"/>
    <w:rsid w:val="026256B2"/>
    <w:rsid w:val="0275CBDA"/>
    <w:rsid w:val="0276AA0E"/>
    <w:rsid w:val="02838A0B"/>
    <w:rsid w:val="028A4000"/>
    <w:rsid w:val="02900A97"/>
    <w:rsid w:val="029303B0"/>
    <w:rsid w:val="029FFA3B"/>
    <w:rsid w:val="02A403C6"/>
    <w:rsid w:val="02B5D4C6"/>
    <w:rsid w:val="02BDD122"/>
    <w:rsid w:val="02C06DC6"/>
    <w:rsid w:val="02C7F0D8"/>
    <w:rsid w:val="02CC2943"/>
    <w:rsid w:val="02CE80DD"/>
    <w:rsid w:val="02D5E9DF"/>
    <w:rsid w:val="02EC0509"/>
    <w:rsid w:val="02ECF444"/>
    <w:rsid w:val="02EF1454"/>
    <w:rsid w:val="02F0D46D"/>
    <w:rsid w:val="02F286E4"/>
    <w:rsid w:val="030ADF6E"/>
    <w:rsid w:val="03172072"/>
    <w:rsid w:val="032CF979"/>
    <w:rsid w:val="0337B6FB"/>
    <w:rsid w:val="033B8D9D"/>
    <w:rsid w:val="03415054"/>
    <w:rsid w:val="0349CD3E"/>
    <w:rsid w:val="034E3270"/>
    <w:rsid w:val="0367656C"/>
    <w:rsid w:val="037FE94C"/>
    <w:rsid w:val="038244FC"/>
    <w:rsid w:val="0394E088"/>
    <w:rsid w:val="03958695"/>
    <w:rsid w:val="0396C7B3"/>
    <w:rsid w:val="039814DC"/>
    <w:rsid w:val="039B537F"/>
    <w:rsid w:val="039BFD97"/>
    <w:rsid w:val="039CD8B1"/>
    <w:rsid w:val="039CEF01"/>
    <w:rsid w:val="039EC5C9"/>
    <w:rsid w:val="03ACD2BD"/>
    <w:rsid w:val="03C195F6"/>
    <w:rsid w:val="03C76A62"/>
    <w:rsid w:val="03CAA7ED"/>
    <w:rsid w:val="03D5123A"/>
    <w:rsid w:val="03E0FECB"/>
    <w:rsid w:val="03EBF024"/>
    <w:rsid w:val="03F8A9B3"/>
    <w:rsid w:val="04101095"/>
    <w:rsid w:val="04152EAC"/>
    <w:rsid w:val="0416C769"/>
    <w:rsid w:val="04260E49"/>
    <w:rsid w:val="042F64F5"/>
    <w:rsid w:val="04374E5E"/>
    <w:rsid w:val="04430914"/>
    <w:rsid w:val="0450E0EE"/>
    <w:rsid w:val="045BFBEB"/>
    <w:rsid w:val="045FD6D3"/>
    <w:rsid w:val="04616427"/>
    <w:rsid w:val="046BBA66"/>
    <w:rsid w:val="047350B8"/>
    <w:rsid w:val="0477F492"/>
    <w:rsid w:val="04AB0667"/>
    <w:rsid w:val="04AC426D"/>
    <w:rsid w:val="04AC4294"/>
    <w:rsid w:val="04AEBF7A"/>
    <w:rsid w:val="04B18D0D"/>
    <w:rsid w:val="04B2347E"/>
    <w:rsid w:val="04B49B82"/>
    <w:rsid w:val="04BFBCF8"/>
    <w:rsid w:val="04CF36E6"/>
    <w:rsid w:val="04D07B98"/>
    <w:rsid w:val="04DE766E"/>
    <w:rsid w:val="04E7B2F2"/>
    <w:rsid w:val="04F83876"/>
    <w:rsid w:val="04FA4770"/>
    <w:rsid w:val="050037F8"/>
    <w:rsid w:val="050996FA"/>
    <w:rsid w:val="051431A5"/>
    <w:rsid w:val="0515A087"/>
    <w:rsid w:val="052EF9FF"/>
    <w:rsid w:val="052F1E33"/>
    <w:rsid w:val="05316369"/>
    <w:rsid w:val="053337B8"/>
    <w:rsid w:val="05375A20"/>
    <w:rsid w:val="054198E7"/>
    <w:rsid w:val="055AD317"/>
    <w:rsid w:val="056425B3"/>
    <w:rsid w:val="056C0521"/>
    <w:rsid w:val="057ECDA4"/>
    <w:rsid w:val="0583F8F0"/>
    <w:rsid w:val="0599108C"/>
    <w:rsid w:val="059B7FE1"/>
    <w:rsid w:val="059BDE90"/>
    <w:rsid w:val="05A0F2E1"/>
    <w:rsid w:val="05A728AB"/>
    <w:rsid w:val="05B434FF"/>
    <w:rsid w:val="05B936BD"/>
    <w:rsid w:val="05B993A9"/>
    <w:rsid w:val="05BE13C4"/>
    <w:rsid w:val="05C0D58A"/>
    <w:rsid w:val="05C32FC3"/>
    <w:rsid w:val="05C5E0B1"/>
    <w:rsid w:val="05CB3CA5"/>
    <w:rsid w:val="05D1D99A"/>
    <w:rsid w:val="05D4A025"/>
    <w:rsid w:val="05D773A4"/>
    <w:rsid w:val="05DDED09"/>
    <w:rsid w:val="05E2D5A4"/>
    <w:rsid w:val="05E8F066"/>
    <w:rsid w:val="05E957D2"/>
    <w:rsid w:val="05ECD2C5"/>
    <w:rsid w:val="05ED87D9"/>
    <w:rsid w:val="05F4AAA1"/>
    <w:rsid w:val="05F92F23"/>
    <w:rsid w:val="061C95CB"/>
    <w:rsid w:val="062B6543"/>
    <w:rsid w:val="0647FE2B"/>
    <w:rsid w:val="0649A1EF"/>
    <w:rsid w:val="0653B430"/>
    <w:rsid w:val="06543E1F"/>
    <w:rsid w:val="0659F0C1"/>
    <w:rsid w:val="06687947"/>
    <w:rsid w:val="067072BD"/>
    <w:rsid w:val="0679DC74"/>
    <w:rsid w:val="067D35AE"/>
    <w:rsid w:val="0681CE4F"/>
    <w:rsid w:val="0688E9EE"/>
    <w:rsid w:val="0695ABE3"/>
    <w:rsid w:val="06985F8C"/>
    <w:rsid w:val="06AE8B3B"/>
    <w:rsid w:val="06AF047A"/>
    <w:rsid w:val="06AF6696"/>
    <w:rsid w:val="06B1C87D"/>
    <w:rsid w:val="06BBC149"/>
    <w:rsid w:val="06C837CE"/>
    <w:rsid w:val="06CA64E3"/>
    <w:rsid w:val="06E56879"/>
    <w:rsid w:val="06E983B8"/>
    <w:rsid w:val="06F3516B"/>
    <w:rsid w:val="06FC4CE6"/>
    <w:rsid w:val="0702C5D4"/>
    <w:rsid w:val="07068E3C"/>
    <w:rsid w:val="07096D79"/>
    <w:rsid w:val="070CC5E2"/>
    <w:rsid w:val="0728596E"/>
    <w:rsid w:val="072890E1"/>
    <w:rsid w:val="072F8C5D"/>
    <w:rsid w:val="0753EB7A"/>
    <w:rsid w:val="075AC3DE"/>
    <w:rsid w:val="07638790"/>
    <w:rsid w:val="076C1B1B"/>
    <w:rsid w:val="076CD686"/>
    <w:rsid w:val="077834E1"/>
    <w:rsid w:val="0778FC96"/>
    <w:rsid w:val="077BD216"/>
    <w:rsid w:val="07890094"/>
    <w:rsid w:val="078E1162"/>
    <w:rsid w:val="078EC6F3"/>
    <w:rsid w:val="07903BF0"/>
    <w:rsid w:val="07BE04AD"/>
    <w:rsid w:val="07C0A822"/>
    <w:rsid w:val="07C928B4"/>
    <w:rsid w:val="07E49A9E"/>
    <w:rsid w:val="07E9FDC4"/>
    <w:rsid w:val="07E9FF13"/>
    <w:rsid w:val="07F066A9"/>
    <w:rsid w:val="07F5F56C"/>
    <w:rsid w:val="080373B8"/>
    <w:rsid w:val="0813DA60"/>
    <w:rsid w:val="082528BB"/>
    <w:rsid w:val="082C6C7E"/>
    <w:rsid w:val="082EACCB"/>
    <w:rsid w:val="083595DC"/>
    <w:rsid w:val="08362C03"/>
    <w:rsid w:val="083AB543"/>
    <w:rsid w:val="083FFDA3"/>
    <w:rsid w:val="08423018"/>
    <w:rsid w:val="0842916E"/>
    <w:rsid w:val="08465D4A"/>
    <w:rsid w:val="085CF393"/>
    <w:rsid w:val="08602E22"/>
    <w:rsid w:val="08614F90"/>
    <w:rsid w:val="086E7890"/>
    <w:rsid w:val="087364B7"/>
    <w:rsid w:val="08808D94"/>
    <w:rsid w:val="088EA73F"/>
    <w:rsid w:val="0892CBC1"/>
    <w:rsid w:val="089364DC"/>
    <w:rsid w:val="08959AFA"/>
    <w:rsid w:val="08983748"/>
    <w:rsid w:val="08A48BA0"/>
    <w:rsid w:val="08A642FA"/>
    <w:rsid w:val="08AAA2DA"/>
    <w:rsid w:val="08C01982"/>
    <w:rsid w:val="08C4731E"/>
    <w:rsid w:val="08C535F8"/>
    <w:rsid w:val="08C86F23"/>
    <w:rsid w:val="08CA4260"/>
    <w:rsid w:val="08CC127F"/>
    <w:rsid w:val="08E41883"/>
    <w:rsid w:val="08F535C1"/>
    <w:rsid w:val="08FDCFA9"/>
    <w:rsid w:val="090DA995"/>
    <w:rsid w:val="090E95B7"/>
    <w:rsid w:val="0915B6F1"/>
    <w:rsid w:val="09170E0E"/>
    <w:rsid w:val="0921DD80"/>
    <w:rsid w:val="09286AEE"/>
    <w:rsid w:val="093582FB"/>
    <w:rsid w:val="0935FA4C"/>
    <w:rsid w:val="09487B3A"/>
    <w:rsid w:val="0956AC82"/>
    <w:rsid w:val="09571637"/>
    <w:rsid w:val="095909D3"/>
    <w:rsid w:val="09629198"/>
    <w:rsid w:val="0966A8D6"/>
    <w:rsid w:val="0966BEE1"/>
    <w:rsid w:val="096920CD"/>
    <w:rsid w:val="097AD2CD"/>
    <w:rsid w:val="097BD0A4"/>
    <w:rsid w:val="098087A8"/>
    <w:rsid w:val="0980E53A"/>
    <w:rsid w:val="0985BF3A"/>
    <w:rsid w:val="098D13FB"/>
    <w:rsid w:val="0994A5AC"/>
    <w:rsid w:val="0994F87C"/>
    <w:rsid w:val="099547BD"/>
    <w:rsid w:val="09AA0682"/>
    <w:rsid w:val="09B6289B"/>
    <w:rsid w:val="09B94CFE"/>
    <w:rsid w:val="09BD4B7D"/>
    <w:rsid w:val="09C6FC74"/>
    <w:rsid w:val="09E0D29D"/>
    <w:rsid w:val="09E5CE5C"/>
    <w:rsid w:val="09F8B167"/>
    <w:rsid w:val="09F96CAC"/>
    <w:rsid w:val="09F9D798"/>
    <w:rsid w:val="09FB53A5"/>
    <w:rsid w:val="0A0883DA"/>
    <w:rsid w:val="0A0F17EF"/>
    <w:rsid w:val="0A0F2B18"/>
    <w:rsid w:val="0A163B53"/>
    <w:rsid w:val="0A201FA2"/>
    <w:rsid w:val="0A25A851"/>
    <w:rsid w:val="0A29C337"/>
    <w:rsid w:val="0A2B3420"/>
    <w:rsid w:val="0A2C0914"/>
    <w:rsid w:val="0A2E9504"/>
    <w:rsid w:val="0A3E6735"/>
    <w:rsid w:val="0A43D021"/>
    <w:rsid w:val="0A46EA9E"/>
    <w:rsid w:val="0A5C79ED"/>
    <w:rsid w:val="0A5CEB7D"/>
    <w:rsid w:val="0A617A03"/>
    <w:rsid w:val="0A65A4FC"/>
    <w:rsid w:val="0A664558"/>
    <w:rsid w:val="0A698D9B"/>
    <w:rsid w:val="0A718663"/>
    <w:rsid w:val="0A7D8FAC"/>
    <w:rsid w:val="0AA8D4F3"/>
    <w:rsid w:val="0AA9DCAA"/>
    <w:rsid w:val="0AAB6C0E"/>
    <w:rsid w:val="0AB3C781"/>
    <w:rsid w:val="0AC970F0"/>
    <w:rsid w:val="0AD13097"/>
    <w:rsid w:val="0AD6C238"/>
    <w:rsid w:val="0ADD8E20"/>
    <w:rsid w:val="0AE311D4"/>
    <w:rsid w:val="0AE8F702"/>
    <w:rsid w:val="0AF03719"/>
    <w:rsid w:val="0AF77458"/>
    <w:rsid w:val="0B0A6389"/>
    <w:rsid w:val="0B0B5CCA"/>
    <w:rsid w:val="0B0CEFF3"/>
    <w:rsid w:val="0B148240"/>
    <w:rsid w:val="0B162C34"/>
    <w:rsid w:val="0B1E0C5A"/>
    <w:rsid w:val="0B2681F0"/>
    <w:rsid w:val="0B2B7D17"/>
    <w:rsid w:val="0B31AABE"/>
    <w:rsid w:val="0B369628"/>
    <w:rsid w:val="0B3EC04C"/>
    <w:rsid w:val="0B4007F5"/>
    <w:rsid w:val="0B48BFFA"/>
    <w:rsid w:val="0B49E0E4"/>
    <w:rsid w:val="0B4B12A6"/>
    <w:rsid w:val="0B532458"/>
    <w:rsid w:val="0B569C4E"/>
    <w:rsid w:val="0B61DDEC"/>
    <w:rsid w:val="0B684C14"/>
    <w:rsid w:val="0B7F4689"/>
    <w:rsid w:val="0B894755"/>
    <w:rsid w:val="0B93FC14"/>
    <w:rsid w:val="0B967629"/>
    <w:rsid w:val="0BA69838"/>
    <w:rsid w:val="0BAA818B"/>
    <w:rsid w:val="0BAC2444"/>
    <w:rsid w:val="0BBB1AEE"/>
    <w:rsid w:val="0BBE3E3F"/>
    <w:rsid w:val="0BBE6131"/>
    <w:rsid w:val="0BBF7458"/>
    <w:rsid w:val="0BCCAB89"/>
    <w:rsid w:val="0BCE3FD1"/>
    <w:rsid w:val="0BD462EC"/>
    <w:rsid w:val="0BDDEC27"/>
    <w:rsid w:val="0BED5364"/>
    <w:rsid w:val="0BF06132"/>
    <w:rsid w:val="0BF1FEE9"/>
    <w:rsid w:val="0BF4B95C"/>
    <w:rsid w:val="0BF7586A"/>
    <w:rsid w:val="0C013BB5"/>
    <w:rsid w:val="0C01B1C1"/>
    <w:rsid w:val="0C06915C"/>
    <w:rsid w:val="0C152113"/>
    <w:rsid w:val="0C16532A"/>
    <w:rsid w:val="0C1AA97E"/>
    <w:rsid w:val="0C205753"/>
    <w:rsid w:val="0C386EC6"/>
    <w:rsid w:val="0C3B33D6"/>
    <w:rsid w:val="0C526932"/>
    <w:rsid w:val="0C53730F"/>
    <w:rsid w:val="0C549AAD"/>
    <w:rsid w:val="0C5D3258"/>
    <w:rsid w:val="0C5D7DEF"/>
    <w:rsid w:val="0C66B371"/>
    <w:rsid w:val="0C6F98E5"/>
    <w:rsid w:val="0C956036"/>
    <w:rsid w:val="0C98EE4B"/>
    <w:rsid w:val="0CB1F11B"/>
    <w:rsid w:val="0CB2EA59"/>
    <w:rsid w:val="0CB6B564"/>
    <w:rsid w:val="0CBA9B58"/>
    <w:rsid w:val="0CC7552D"/>
    <w:rsid w:val="0CCE7AF6"/>
    <w:rsid w:val="0CD01A87"/>
    <w:rsid w:val="0CD44566"/>
    <w:rsid w:val="0CD67774"/>
    <w:rsid w:val="0CE5F3B9"/>
    <w:rsid w:val="0D051A3F"/>
    <w:rsid w:val="0D05BA2A"/>
    <w:rsid w:val="0D081841"/>
    <w:rsid w:val="0D10EBFB"/>
    <w:rsid w:val="0D1242DB"/>
    <w:rsid w:val="0D13D617"/>
    <w:rsid w:val="0D226DFC"/>
    <w:rsid w:val="0D22B74C"/>
    <w:rsid w:val="0D27AB87"/>
    <w:rsid w:val="0D35BDC8"/>
    <w:rsid w:val="0D3A89E7"/>
    <w:rsid w:val="0D3E6354"/>
    <w:rsid w:val="0D41D1CF"/>
    <w:rsid w:val="0D46FF73"/>
    <w:rsid w:val="0D47493B"/>
    <w:rsid w:val="0D5F8F62"/>
    <w:rsid w:val="0D71D4F3"/>
    <w:rsid w:val="0D74B15E"/>
    <w:rsid w:val="0D844579"/>
    <w:rsid w:val="0D8AB1FF"/>
    <w:rsid w:val="0D8BD81F"/>
    <w:rsid w:val="0D8C35E0"/>
    <w:rsid w:val="0D8E5368"/>
    <w:rsid w:val="0D961C64"/>
    <w:rsid w:val="0DA71314"/>
    <w:rsid w:val="0DA96E3F"/>
    <w:rsid w:val="0DB6D325"/>
    <w:rsid w:val="0DB719CA"/>
    <w:rsid w:val="0DBD00F5"/>
    <w:rsid w:val="0DC0ABF6"/>
    <w:rsid w:val="0DC7B4B4"/>
    <w:rsid w:val="0DC84A0B"/>
    <w:rsid w:val="0DC8BC29"/>
    <w:rsid w:val="0DC985C3"/>
    <w:rsid w:val="0DE31F25"/>
    <w:rsid w:val="0DE8950C"/>
    <w:rsid w:val="0DF711EE"/>
    <w:rsid w:val="0DFBAC3A"/>
    <w:rsid w:val="0E041F8B"/>
    <w:rsid w:val="0E04FBAE"/>
    <w:rsid w:val="0E099734"/>
    <w:rsid w:val="0E1A4797"/>
    <w:rsid w:val="0E1BD29A"/>
    <w:rsid w:val="0E2F7D58"/>
    <w:rsid w:val="0E304138"/>
    <w:rsid w:val="0E374C09"/>
    <w:rsid w:val="0E384197"/>
    <w:rsid w:val="0E3EA502"/>
    <w:rsid w:val="0E459207"/>
    <w:rsid w:val="0E499E67"/>
    <w:rsid w:val="0E5019AD"/>
    <w:rsid w:val="0E5E9DE6"/>
    <w:rsid w:val="0E621766"/>
    <w:rsid w:val="0E786521"/>
    <w:rsid w:val="0E7CF3A1"/>
    <w:rsid w:val="0E7DDCF8"/>
    <w:rsid w:val="0E80E845"/>
    <w:rsid w:val="0E8620C7"/>
    <w:rsid w:val="0E864783"/>
    <w:rsid w:val="0E9567A6"/>
    <w:rsid w:val="0E97C48B"/>
    <w:rsid w:val="0EA3EF1D"/>
    <w:rsid w:val="0EAA82CA"/>
    <w:rsid w:val="0EACC912"/>
    <w:rsid w:val="0EADCA98"/>
    <w:rsid w:val="0EAEA889"/>
    <w:rsid w:val="0EBC7240"/>
    <w:rsid w:val="0EBD3474"/>
    <w:rsid w:val="0EC630B3"/>
    <w:rsid w:val="0EE1D10E"/>
    <w:rsid w:val="0EF1400A"/>
    <w:rsid w:val="0EF3D194"/>
    <w:rsid w:val="0EF76BC6"/>
    <w:rsid w:val="0EFA3E7C"/>
    <w:rsid w:val="0EFBA427"/>
    <w:rsid w:val="0EFBB2A2"/>
    <w:rsid w:val="0F005301"/>
    <w:rsid w:val="0F0B9FDE"/>
    <w:rsid w:val="0F1383C9"/>
    <w:rsid w:val="0F13B48C"/>
    <w:rsid w:val="0F148DC4"/>
    <w:rsid w:val="0F1E642D"/>
    <w:rsid w:val="0F222FD7"/>
    <w:rsid w:val="0F25CC5E"/>
    <w:rsid w:val="0F2AACE2"/>
    <w:rsid w:val="0F2B8444"/>
    <w:rsid w:val="0F2FFB85"/>
    <w:rsid w:val="0F4164F3"/>
    <w:rsid w:val="0F46F394"/>
    <w:rsid w:val="0F49ACFE"/>
    <w:rsid w:val="0F4F9A41"/>
    <w:rsid w:val="0F5669C6"/>
    <w:rsid w:val="0F56EE02"/>
    <w:rsid w:val="0F5E8721"/>
    <w:rsid w:val="0F688E75"/>
    <w:rsid w:val="0F6FE05A"/>
    <w:rsid w:val="0F7B9A92"/>
    <w:rsid w:val="0F871741"/>
    <w:rsid w:val="0F8FD46E"/>
    <w:rsid w:val="0F93104D"/>
    <w:rsid w:val="0F97D220"/>
    <w:rsid w:val="0F9B345D"/>
    <w:rsid w:val="0F9FB6C8"/>
    <w:rsid w:val="0FA3451D"/>
    <w:rsid w:val="0FA7CF76"/>
    <w:rsid w:val="0FAFBA68"/>
    <w:rsid w:val="0FB69DF4"/>
    <w:rsid w:val="0FBE9AAF"/>
    <w:rsid w:val="0FBF1D82"/>
    <w:rsid w:val="0FC5BBE1"/>
    <w:rsid w:val="0FCFACBA"/>
    <w:rsid w:val="0FD2A504"/>
    <w:rsid w:val="0FDAC29D"/>
    <w:rsid w:val="0FEB73D3"/>
    <w:rsid w:val="0FF9A3AE"/>
    <w:rsid w:val="0FFFD421"/>
    <w:rsid w:val="1002E972"/>
    <w:rsid w:val="10107FCF"/>
    <w:rsid w:val="1014BC2A"/>
    <w:rsid w:val="101A8777"/>
    <w:rsid w:val="101AA85D"/>
    <w:rsid w:val="1021DE8D"/>
    <w:rsid w:val="10296F2D"/>
    <w:rsid w:val="102F4B31"/>
    <w:rsid w:val="1037B910"/>
    <w:rsid w:val="103FF0E2"/>
    <w:rsid w:val="104262F7"/>
    <w:rsid w:val="104527A0"/>
    <w:rsid w:val="1046BC00"/>
    <w:rsid w:val="1047BB74"/>
    <w:rsid w:val="104B4867"/>
    <w:rsid w:val="105744AD"/>
    <w:rsid w:val="1058CB4B"/>
    <w:rsid w:val="1059458E"/>
    <w:rsid w:val="105E07DE"/>
    <w:rsid w:val="1063D865"/>
    <w:rsid w:val="10787864"/>
    <w:rsid w:val="1079CC04"/>
    <w:rsid w:val="10814F14"/>
    <w:rsid w:val="10878A4A"/>
    <w:rsid w:val="1088B800"/>
    <w:rsid w:val="109C414B"/>
    <w:rsid w:val="109FA1FE"/>
    <w:rsid w:val="10A4FC46"/>
    <w:rsid w:val="10A62EF1"/>
    <w:rsid w:val="10ACA0C8"/>
    <w:rsid w:val="10CC9C1D"/>
    <w:rsid w:val="10DE9DE1"/>
    <w:rsid w:val="10DF31AE"/>
    <w:rsid w:val="10E9C3C8"/>
    <w:rsid w:val="10EED91E"/>
    <w:rsid w:val="10F5FFE5"/>
    <w:rsid w:val="110116E3"/>
    <w:rsid w:val="1109E45A"/>
    <w:rsid w:val="110ACE87"/>
    <w:rsid w:val="110E462E"/>
    <w:rsid w:val="111347D0"/>
    <w:rsid w:val="111D1AD7"/>
    <w:rsid w:val="11266F3B"/>
    <w:rsid w:val="112B063A"/>
    <w:rsid w:val="112B5609"/>
    <w:rsid w:val="112BC27B"/>
    <w:rsid w:val="112BF2C6"/>
    <w:rsid w:val="113323FB"/>
    <w:rsid w:val="11368638"/>
    <w:rsid w:val="113E89E2"/>
    <w:rsid w:val="11402213"/>
    <w:rsid w:val="11485FD1"/>
    <w:rsid w:val="11492F53"/>
    <w:rsid w:val="114995AA"/>
    <w:rsid w:val="117073A1"/>
    <w:rsid w:val="1171966E"/>
    <w:rsid w:val="1173E39C"/>
    <w:rsid w:val="11751D54"/>
    <w:rsid w:val="11842B68"/>
    <w:rsid w:val="118936B1"/>
    <w:rsid w:val="119E0853"/>
    <w:rsid w:val="11B22D9F"/>
    <w:rsid w:val="11B9B4B9"/>
    <w:rsid w:val="11D74FA4"/>
    <w:rsid w:val="11DB6342"/>
    <w:rsid w:val="11DE4772"/>
    <w:rsid w:val="11E0E1BA"/>
    <w:rsid w:val="11E6A969"/>
    <w:rsid w:val="11F52E13"/>
    <w:rsid w:val="11FDFF50"/>
    <w:rsid w:val="11FFC2D6"/>
    <w:rsid w:val="120B34BD"/>
    <w:rsid w:val="120C0A22"/>
    <w:rsid w:val="12124A0C"/>
    <w:rsid w:val="12254EB8"/>
    <w:rsid w:val="122C39D5"/>
    <w:rsid w:val="123DF7C8"/>
    <w:rsid w:val="123FBCC7"/>
    <w:rsid w:val="1242B0CA"/>
    <w:rsid w:val="1243E16C"/>
    <w:rsid w:val="12483078"/>
    <w:rsid w:val="1253D28D"/>
    <w:rsid w:val="12563426"/>
    <w:rsid w:val="1259CF8F"/>
    <w:rsid w:val="125ECB5E"/>
    <w:rsid w:val="126E78ED"/>
    <w:rsid w:val="1271B215"/>
    <w:rsid w:val="1272DE43"/>
    <w:rsid w:val="12769B65"/>
    <w:rsid w:val="12888E72"/>
    <w:rsid w:val="12ABF391"/>
    <w:rsid w:val="12B465FB"/>
    <w:rsid w:val="12B67549"/>
    <w:rsid w:val="12C0D9C8"/>
    <w:rsid w:val="12C2D33B"/>
    <w:rsid w:val="12C3F59C"/>
    <w:rsid w:val="12C5C6BE"/>
    <w:rsid w:val="12C6683A"/>
    <w:rsid w:val="12CA3472"/>
    <w:rsid w:val="12CB9C37"/>
    <w:rsid w:val="12D155BB"/>
    <w:rsid w:val="12D5453A"/>
    <w:rsid w:val="12E064E7"/>
    <w:rsid w:val="12E1D0BE"/>
    <w:rsid w:val="12EF2609"/>
    <w:rsid w:val="12EF4E35"/>
    <w:rsid w:val="12F05B8F"/>
    <w:rsid w:val="12FD99FC"/>
    <w:rsid w:val="130F5137"/>
    <w:rsid w:val="1312E469"/>
    <w:rsid w:val="131FF396"/>
    <w:rsid w:val="1320B7A5"/>
    <w:rsid w:val="132EAD3C"/>
    <w:rsid w:val="1333EFB5"/>
    <w:rsid w:val="133BB1BA"/>
    <w:rsid w:val="134D012B"/>
    <w:rsid w:val="1367CF2B"/>
    <w:rsid w:val="1374904E"/>
    <w:rsid w:val="137579EE"/>
    <w:rsid w:val="13781FF9"/>
    <w:rsid w:val="13788332"/>
    <w:rsid w:val="138E6605"/>
    <w:rsid w:val="13914E66"/>
    <w:rsid w:val="13948ACB"/>
    <w:rsid w:val="1394EB2B"/>
    <w:rsid w:val="139AD97E"/>
    <w:rsid w:val="13A29956"/>
    <w:rsid w:val="13ABD4F2"/>
    <w:rsid w:val="13ACADB7"/>
    <w:rsid w:val="13B8264C"/>
    <w:rsid w:val="13CC8F1A"/>
    <w:rsid w:val="13CF25B3"/>
    <w:rsid w:val="13D5713F"/>
    <w:rsid w:val="13DF09F2"/>
    <w:rsid w:val="13E80818"/>
    <w:rsid w:val="13F4CBF1"/>
    <w:rsid w:val="13FB0FB5"/>
    <w:rsid w:val="14048CE1"/>
    <w:rsid w:val="140878C6"/>
    <w:rsid w:val="141A6A9F"/>
    <w:rsid w:val="141AFD37"/>
    <w:rsid w:val="141F3A00"/>
    <w:rsid w:val="142299F4"/>
    <w:rsid w:val="14248C20"/>
    <w:rsid w:val="142E61CB"/>
    <w:rsid w:val="1430E8A0"/>
    <w:rsid w:val="143EE86F"/>
    <w:rsid w:val="1448B187"/>
    <w:rsid w:val="1457C166"/>
    <w:rsid w:val="1458C850"/>
    <w:rsid w:val="145ECDA2"/>
    <w:rsid w:val="147478DF"/>
    <w:rsid w:val="1477810D"/>
    <w:rsid w:val="14851306"/>
    <w:rsid w:val="14883273"/>
    <w:rsid w:val="14937104"/>
    <w:rsid w:val="14982313"/>
    <w:rsid w:val="149DAA3B"/>
    <w:rsid w:val="14A30B55"/>
    <w:rsid w:val="14A41E68"/>
    <w:rsid w:val="14A4600A"/>
    <w:rsid w:val="14A78C8A"/>
    <w:rsid w:val="14B1526D"/>
    <w:rsid w:val="14B8BF6F"/>
    <w:rsid w:val="14BCDBE2"/>
    <w:rsid w:val="14C717DD"/>
    <w:rsid w:val="14C744F1"/>
    <w:rsid w:val="14D53350"/>
    <w:rsid w:val="14DA699A"/>
    <w:rsid w:val="14F26EC4"/>
    <w:rsid w:val="14F4E3AC"/>
    <w:rsid w:val="14FC12FD"/>
    <w:rsid w:val="15075B35"/>
    <w:rsid w:val="152E7632"/>
    <w:rsid w:val="152F4236"/>
    <w:rsid w:val="15312F52"/>
    <w:rsid w:val="1536C608"/>
    <w:rsid w:val="1541192F"/>
    <w:rsid w:val="1552AE82"/>
    <w:rsid w:val="15558437"/>
    <w:rsid w:val="1556E14B"/>
    <w:rsid w:val="156D3234"/>
    <w:rsid w:val="157056F3"/>
    <w:rsid w:val="157B353F"/>
    <w:rsid w:val="157ECDAC"/>
    <w:rsid w:val="1582713C"/>
    <w:rsid w:val="1589B6AB"/>
    <w:rsid w:val="159A5D66"/>
    <w:rsid w:val="15B793BD"/>
    <w:rsid w:val="15B7E302"/>
    <w:rsid w:val="15B7F37A"/>
    <w:rsid w:val="15BD6B89"/>
    <w:rsid w:val="15C5FDA2"/>
    <w:rsid w:val="15CCDE7E"/>
    <w:rsid w:val="15CFAC07"/>
    <w:rsid w:val="15D9EF81"/>
    <w:rsid w:val="15E0C5FB"/>
    <w:rsid w:val="15FDC558"/>
    <w:rsid w:val="1603AFDB"/>
    <w:rsid w:val="160D48DB"/>
    <w:rsid w:val="160E9DBF"/>
    <w:rsid w:val="161250CD"/>
    <w:rsid w:val="1618CB34"/>
    <w:rsid w:val="16254279"/>
    <w:rsid w:val="162992DC"/>
    <w:rsid w:val="162BD808"/>
    <w:rsid w:val="163118A9"/>
    <w:rsid w:val="16327396"/>
    <w:rsid w:val="1633E045"/>
    <w:rsid w:val="163A5987"/>
    <w:rsid w:val="163B707D"/>
    <w:rsid w:val="163CE11D"/>
    <w:rsid w:val="163FB00C"/>
    <w:rsid w:val="164A5602"/>
    <w:rsid w:val="164B3DD3"/>
    <w:rsid w:val="164E734E"/>
    <w:rsid w:val="1655DF2C"/>
    <w:rsid w:val="1658EF09"/>
    <w:rsid w:val="165F5459"/>
    <w:rsid w:val="16607277"/>
    <w:rsid w:val="166855B9"/>
    <w:rsid w:val="166D7929"/>
    <w:rsid w:val="167C9A8E"/>
    <w:rsid w:val="16910F02"/>
    <w:rsid w:val="1691F3FC"/>
    <w:rsid w:val="1693F9EE"/>
    <w:rsid w:val="16974400"/>
    <w:rsid w:val="169DB1C1"/>
    <w:rsid w:val="16B24948"/>
    <w:rsid w:val="16C4B167"/>
    <w:rsid w:val="16C4B294"/>
    <w:rsid w:val="16C663F0"/>
    <w:rsid w:val="16CB0681"/>
    <w:rsid w:val="16CDA930"/>
    <w:rsid w:val="16D3D929"/>
    <w:rsid w:val="16DC3DC5"/>
    <w:rsid w:val="16DC5C7E"/>
    <w:rsid w:val="16ECC052"/>
    <w:rsid w:val="16EF57F7"/>
    <w:rsid w:val="16F3B3E9"/>
    <w:rsid w:val="17105E5A"/>
    <w:rsid w:val="17144FFB"/>
    <w:rsid w:val="17192C00"/>
    <w:rsid w:val="17245ACB"/>
    <w:rsid w:val="172DD146"/>
    <w:rsid w:val="173298E4"/>
    <w:rsid w:val="1735431F"/>
    <w:rsid w:val="174DB0D0"/>
    <w:rsid w:val="17644CA9"/>
    <w:rsid w:val="17690D15"/>
    <w:rsid w:val="176F79EF"/>
    <w:rsid w:val="17702042"/>
    <w:rsid w:val="17772FB2"/>
    <w:rsid w:val="1777DBC9"/>
    <w:rsid w:val="177FDAE3"/>
    <w:rsid w:val="1792CC24"/>
    <w:rsid w:val="17945517"/>
    <w:rsid w:val="179DB525"/>
    <w:rsid w:val="179F3E76"/>
    <w:rsid w:val="17AB9CBF"/>
    <w:rsid w:val="17B0AAAF"/>
    <w:rsid w:val="17B17E80"/>
    <w:rsid w:val="17BC0BB3"/>
    <w:rsid w:val="17BCE922"/>
    <w:rsid w:val="17C16EB5"/>
    <w:rsid w:val="17C70503"/>
    <w:rsid w:val="17D1AD2F"/>
    <w:rsid w:val="17D7B15B"/>
    <w:rsid w:val="17F2825C"/>
    <w:rsid w:val="17F39A06"/>
    <w:rsid w:val="17F5045E"/>
    <w:rsid w:val="17F6F62D"/>
    <w:rsid w:val="17FE103B"/>
    <w:rsid w:val="1810AC90"/>
    <w:rsid w:val="18185030"/>
    <w:rsid w:val="1818D43D"/>
    <w:rsid w:val="1827DE85"/>
    <w:rsid w:val="18283286"/>
    <w:rsid w:val="182D5194"/>
    <w:rsid w:val="18304A5B"/>
    <w:rsid w:val="183B67E1"/>
    <w:rsid w:val="1840488A"/>
    <w:rsid w:val="184549B4"/>
    <w:rsid w:val="1849616E"/>
    <w:rsid w:val="185510CD"/>
    <w:rsid w:val="18566E09"/>
    <w:rsid w:val="185F3F39"/>
    <w:rsid w:val="18614345"/>
    <w:rsid w:val="18624FBA"/>
    <w:rsid w:val="186C2DC5"/>
    <w:rsid w:val="186F1316"/>
    <w:rsid w:val="1873CE2D"/>
    <w:rsid w:val="1876557A"/>
    <w:rsid w:val="1876B96E"/>
    <w:rsid w:val="1888D62F"/>
    <w:rsid w:val="188E643A"/>
    <w:rsid w:val="1892D6E6"/>
    <w:rsid w:val="1894F0DA"/>
    <w:rsid w:val="18967968"/>
    <w:rsid w:val="189C8501"/>
    <w:rsid w:val="189ED7D4"/>
    <w:rsid w:val="18A2200B"/>
    <w:rsid w:val="18A32559"/>
    <w:rsid w:val="18B1AC3A"/>
    <w:rsid w:val="18B2C2A0"/>
    <w:rsid w:val="18B3205C"/>
    <w:rsid w:val="18B38280"/>
    <w:rsid w:val="18B7890F"/>
    <w:rsid w:val="18BA7600"/>
    <w:rsid w:val="18C00391"/>
    <w:rsid w:val="18C2207A"/>
    <w:rsid w:val="18D0E3F5"/>
    <w:rsid w:val="18D3834F"/>
    <w:rsid w:val="18E0166C"/>
    <w:rsid w:val="18F60D9F"/>
    <w:rsid w:val="18FAF917"/>
    <w:rsid w:val="18FC36D0"/>
    <w:rsid w:val="191BB656"/>
    <w:rsid w:val="191E3E0B"/>
    <w:rsid w:val="191F49DE"/>
    <w:rsid w:val="1927EDE9"/>
    <w:rsid w:val="1928C6C8"/>
    <w:rsid w:val="19297D80"/>
    <w:rsid w:val="1929BEE6"/>
    <w:rsid w:val="192BF440"/>
    <w:rsid w:val="1935425A"/>
    <w:rsid w:val="1935CD51"/>
    <w:rsid w:val="19406B28"/>
    <w:rsid w:val="1942AE36"/>
    <w:rsid w:val="1942EB94"/>
    <w:rsid w:val="1950AF0C"/>
    <w:rsid w:val="19684565"/>
    <w:rsid w:val="1968BB9C"/>
    <w:rsid w:val="1969F4ED"/>
    <w:rsid w:val="1971A63E"/>
    <w:rsid w:val="1977906C"/>
    <w:rsid w:val="197A4347"/>
    <w:rsid w:val="197E1BE3"/>
    <w:rsid w:val="1988D04C"/>
    <w:rsid w:val="1989A3BF"/>
    <w:rsid w:val="198F8C8F"/>
    <w:rsid w:val="19AEBB39"/>
    <w:rsid w:val="19B9D493"/>
    <w:rsid w:val="19C6472B"/>
    <w:rsid w:val="19CA27A3"/>
    <w:rsid w:val="19CC34FA"/>
    <w:rsid w:val="19CC6CD1"/>
    <w:rsid w:val="19DA6EBC"/>
    <w:rsid w:val="19E17C3C"/>
    <w:rsid w:val="19EBA727"/>
    <w:rsid w:val="19F661A5"/>
    <w:rsid w:val="19F703A0"/>
    <w:rsid w:val="1A086787"/>
    <w:rsid w:val="1A0953CE"/>
    <w:rsid w:val="1A0DA33F"/>
    <w:rsid w:val="1A1B739B"/>
    <w:rsid w:val="1A1BAAE1"/>
    <w:rsid w:val="1A233374"/>
    <w:rsid w:val="1A26CA54"/>
    <w:rsid w:val="1A278B2A"/>
    <w:rsid w:val="1A2B1EAA"/>
    <w:rsid w:val="1A328FDE"/>
    <w:rsid w:val="1A32D347"/>
    <w:rsid w:val="1A3BCCBA"/>
    <w:rsid w:val="1A3C9F56"/>
    <w:rsid w:val="1A3D3ECB"/>
    <w:rsid w:val="1A46655E"/>
    <w:rsid w:val="1A476FDB"/>
    <w:rsid w:val="1A820CC5"/>
    <w:rsid w:val="1A9461A8"/>
    <w:rsid w:val="1A9D13CB"/>
    <w:rsid w:val="1AA2B0DC"/>
    <w:rsid w:val="1AA71D7C"/>
    <w:rsid w:val="1AA8A744"/>
    <w:rsid w:val="1AB434C3"/>
    <w:rsid w:val="1AB9131C"/>
    <w:rsid w:val="1AC62292"/>
    <w:rsid w:val="1ACB99BB"/>
    <w:rsid w:val="1ACFB522"/>
    <w:rsid w:val="1AD0BDEA"/>
    <w:rsid w:val="1AD5C594"/>
    <w:rsid w:val="1ADB8E57"/>
    <w:rsid w:val="1ADBA219"/>
    <w:rsid w:val="1AE52B30"/>
    <w:rsid w:val="1AE701AB"/>
    <w:rsid w:val="1AE858C1"/>
    <w:rsid w:val="1AEE87EA"/>
    <w:rsid w:val="1AF01C26"/>
    <w:rsid w:val="1AF1173A"/>
    <w:rsid w:val="1AFC7E42"/>
    <w:rsid w:val="1AFD83EF"/>
    <w:rsid w:val="1AFDDE1A"/>
    <w:rsid w:val="1AFEB413"/>
    <w:rsid w:val="1AFF768D"/>
    <w:rsid w:val="1B094DF1"/>
    <w:rsid w:val="1B1A2C33"/>
    <w:rsid w:val="1B21F4D5"/>
    <w:rsid w:val="1B252302"/>
    <w:rsid w:val="1B3314B3"/>
    <w:rsid w:val="1B3BC494"/>
    <w:rsid w:val="1B404762"/>
    <w:rsid w:val="1B4ABDB5"/>
    <w:rsid w:val="1B4AEF0A"/>
    <w:rsid w:val="1B4C7473"/>
    <w:rsid w:val="1B4DF971"/>
    <w:rsid w:val="1B4E4718"/>
    <w:rsid w:val="1B4E8EE5"/>
    <w:rsid w:val="1B57D50C"/>
    <w:rsid w:val="1B601452"/>
    <w:rsid w:val="1B611361"/>
    <w:rsid w:val="1B6487F1"/>
    <w:rsid w:val="1B6E383C"/>
    <w:rsid w:val="1B7DA042"/>
    <w:rsid w:val="1B7E5B2E"/>
    <w:rsid w:val="1B7F7705"/>
    <w:rsid w:val="1B835EC2"/>
    <w:rsid w:val="1B868C53"/>
    <w:rsid w:val="1B944929"/>
    <w:rsid w:val="1B9CB7A7"/>
    <w:rsid w:val="1BA5B17D"/>
    <w:rsid w:val="1BA9DA95"/>
    <w:rsid w:val="1BAB5B32"/>
    <w:rsid w:val="1BB22A50"/>
    <w:rsid w:val="1BBED147"/>
    <w:rsid w:val="1BBFFAE7"/>
    <w:rsid w:val="1BC83964"/>
    <w:rsid w:val="1BC91CA2"/>
    <w:rsid w:val="1BCB6212"/>
    <w:rsid w:val="1BCDACB8"/>
    <w:rsid w:val="1BD1BCAC"/>
    <w:rsid w:val="1BD452F7"/>
    <w:rsid w:val="1BD54B73"/>
    <w:rsid w:val="1BDDF072"/>
    <w:rsid w:val="1BEA79F1"/>
    <w:rsid w:val="1BEB6091"/>
    <w:rsid w:val="1BED52E3"/>
    <w:rsid w:val="1BEEC296"/>
    <w:rsid w:val="1BF45211"/>
    <w:rsid w:val="1C007B86"/>
    <w:rsid w:val="1C150CF9"/>
    <w:rsid w:val="1C19AACB"/>
    <w:rsid w:val="1C1DD301"/>
    <w:rsid w:val="1C23EA26"/>
    <w:rsid w:val="1C24BC83"/>
    <w:rsid w:val="1C39201E"/>
    <w:rsid w:val="1C3F356C"/>
    <w:rsid w:val="1C413C8B"/>
    <w:rsid w:val="1C480982"/>
    <w:rsid w:val="1C4A1FFE"/>
    <w:rsid w:val="1C54A687"/>
    <w:rsid w:val="1C63499D"/>
    <w:rsid w:val="1C69C41A"/>
    <w:rsid w:val="1C6D3215"/>
    <w:rsid w:val="1C6D567D"/>
    <w:rsid w:val="1C769628"/>
    <w:rsid w:val="1C77C858"/>
    <w:rsid w:val="1C7CCACB"/>
    <w:rsid w:val="1C8A0824"/>
    <w:rsid w:val="1C8CA2AE"/>
    <w:rsid w:val="1C919611"/>
    <w:rsid w:val="1C922B87"/>
    <w:rsid w:val="1C949DA4"/>
    <w:rsid w:val="1C9792F6"/>
    <w:rsid w:val="1C987B1F"/>
    <w:rsid w:val="1C9D502B"/>
    <w:rsid w:val="1CA96F87"/>
    <w:rsid w:val="1CAE4B1C"/>
    <w:rsid w:val="1CAEB68A"/>
    <w:rsid w:val="1CB21CFC"/>
    <w:rsid w:val="1CC183A8"/>
    <w:rsid w:val="1CC23BF1"/>
    <w:rsid w:val="1CCE2A7B"/>
    <w:rsid w:val="1CCE2E11"/>
    <w:rsid w:val="1CCEA179"/>
    <w:rsid w:val="1CD28AD2"/>
    <w:rsid w:val="1CD942CE"/>
    <w:rsid w:val="1CDD4B80"/>
    <w:rsid w:val="1CE38373"/>
    <w:rsid w:val="1CE4D04A"/>
    <w:rsid w:val="1CEC6FF7"/>
    <w:rsid w:val="1CED0A90"/>
    <w:rsid w:val="1CFF5929"/>
    <w:rsid w:val="1D02DC76"/>
    <w:rsid w:val="1D093794"/>
    <w:rsid w:val="1D0A07BF"/>
    <w:rsid w:val="1D0D3564"/>
    <w:rsid w:val="1D0DBD5F"/>
    <w:rsid w:val="1D13A7F1"/>
    <w:rsid w:val="1D151F5F"/>
    <w:rsid w:val="1D179195"/>
    <w:rsid w:val="1D1E1367"/>
    <w:rsid w:val="1D1E5EA9"/>
    <w:rsid w:val="1D200DF7"/>
    <w:rsid w:val="1D20F77F"/>
    <w:rsid w:val="1D244343"/>
    <w:rsid w:val="1D2E35FA"/>
    <w:rsid w:val="1D321F2A"/>
    <w:rsid w:val="1D39754F"/>
    <w:rsid w:val="1D3AC516"/>
    <w:rsid w:val="1D514B1F"/>
    <w:rsid w:val="1D51C33F"/>
    <w:rsid w:val="1D529BAC"/>
    <w:rsid w:val="1D5B542B"/>
    <w:rsid w:val="1D71A053"/>
    <w:rsid w:val="1D7E6484"/>
    <w:rsid w:val="1D8D86EB"/>
    <w:rsid w:val="1D94BA5E"/>
    <w:rsid w:val="1D97F477"/>
    <w:rsid w:val="1D9D61BA"/>
    <w:rsid w:val="1D9F478A"/>
    <w:rsid w:val="1D9FC21C"/>
    <w:rsid w:val="1DA73C0F"/>
    <w:rsid w:val="1DAED178"/>
    <w:rsid w:val="1DB5857B"/>
    <w:rsid w:val="1DBD6559"/>
    <w:rsid w:val="1DC4BE8E"/>
    <w:rsid w:val="1DCE8D94"/>
    <w:rsid w:val="1DD57269"/>
    <w:rsid w:val="1DD5B6D3"/>
    <w:rsid w:val="1DD5C72D"/>
    <w:rsid w:val="1DDAAB1A"/>
    <w:rsid w:val="1DDE7B2C"/>
    <w:rsid w:val="1DFE6E9A"/>
    <w:rsid w:val="1E0EFF6B"/>
    <w:rsid w:val="1E26A970"/>
    <w:rsid w:val="1E2890DF"/>
    <w:rsid w:val="1E2D94E5"/>
    <w:rsid w:val="1E2E0C5A"/>
    <w:rsid w:val="1E406F77"/>
    <w:rsid w:val="1E4CF58E"/>
    <w:rsid w:val="1E4F9D81"/>
    <w:rsid w:val="1E5017A0"/>
    <w:rsid w:val="1E54A11C"/>
    <w:rsid w:val="1E5A5B78"/>
    <w:rsid w:val="1E61FAC7"/>
    <w:rsid w:val="1E673538"/>
    <w:rsid w:val="1E8850FE"/>
    <w:rsid w:val="1E8CC2FF"/>
    <w:rsid w:val="1E900166"/>
    <w:rsid w:val="1EA430CB"/>
    <w:rsid w:val="1EAD9F80"/>
    <w:rsid w:val="1EAE0414"/>
    <w:rsid w:val="1EB334E0"/>
    <w:rsid w:val="1EBCCA7A"/>
    <w:rsid w:val="1EBE7FF6"/>
    <w:rsid w:val="1EC4CBB1"/>
    <w:rsid w:val="1ECA474B"/>
    <w:rsid w:val="1ED20C0E"/>
    <w:rsid w:val="1ED39BFB"/>
    <w:rsid w:val="1ED4341F"/>
    <w:rsid w:val="1ED7289D"/>
    <w:rsid w:val="1ED7B9D3"/>
    <w:rsid w:val="1EF17A16"/>
    <w:rsid w:val="1EF6B163"/>
    <w:rsid w:val="1F00C8C8"/>
    <w:rsid w:val="1F032832"/>
    <w:rsid w:val="1F066488"/>
    <w:rsid w:val="1F0F6112"/>
    <w:rsid w:val="1F1308B2"/>
    <w:rsid w:val="1F1474DC"/>
    <w:rsid w:val="1F14ABFA"/>
    <w:rsid w:val="1F156B8D"/>
    <w:rsid w:val="1F15DEE3"/>
    <w:rsid w:val="1F216AD1"/>
    <w:rsid w:val="1F399B64"/>
    <w:rsid w:val="1F3CABA1"/>
    <w:rsid w:val="1F3EC7EF"/>
    <w:rsid w:val="1F46A14C"/>
    <w:rsid w:val="1F46C2AB"/>
    <w:rsid w:val="1F4CCDCA"/>
    <w:rsid w:val="1F5375BD"/>
    <w:rsid w:val="1F5EABF8"/>
    <w:rsid w:val="1F60F884"/>
    <w:rsid w:val="1F61D4E7"/>
    <w:rsid w:val="1F629A16"/>
    <w:rsid w:val="1F63A5F0"/>
    <w:rsid w:val="1F645732"/>
    <w:rsid w:val="1F64A648"/>
    <w:rsid w:val="1F671ED1"/>
    <w:rsid w:val="1F692C04"/>
    <w:rsid w:val="1F70B73C"/>
    <w:rsid w:val="1F7668E6"/>
    <w:rsid w:val="1F78487C"/>
    <w:rsid w:val="1F80FD33"/>
    <w:rsid w:val="1F84077C"/>
    <w:rsid w:val="1F89AFD1"/>
    <w:rsid w:val="1F8BF10E"/>
    <w:rsid w:val="1F8C6916"/>
    <w:rsid w:val="1F935443"/>
    <w:rsid w:val="1F9445EC"/>
    <w:rsid w:val="1FAD64D4"/>
    <w:rsid w:val="1FBCB82C"/>
    <w:rsid w:val="1FBED527"/>
    <w:rsid w:val="1FC194E6"/>
    <w:rsid w:val="1FC9CE4E"/>
    <w:rsid w:val="1FCBEC9A"/>
    <w:rsid w:val="1FD493CB"/>
    <w:rsid w:val="1FE1778B"/>
    <w:rsid w:val="1FE9AF76"/>
    <w:rsid w:val="1FEAFF99"/>
    <w:rsid w:val="1FF00C1A"/>
    <w:rsid w:val="2002D5D8"/>
    <w:rsid w:val="2022F5F2"/>
    <w:rsid w:val="202AD4E5"/>
    <w:rsid w:val="202FD45A"/>
    <w:rsid w:val="20342281"/>
    <w:rsid w:val="2036B32D"/>
    <w:rsid w:val="20386F1A"/>
    <w:rsid w:val="20394141"/>
    <w:rsid w:val="203CA684"/>
    <w:rsid w:val="203E6A36"/>
    <w:rsid w:val="2042E6E5"/>
    <w:rsid w:val="204ACC92"/>
    <w:rsid w:val="205BB72E"/>
    <w:rsid w:val="2074E4A9"/>
    <w:rsid w:val="2077C21D"/>
    <w:rsid w:val="207AB38F"/>
    <w:rsid w:val="20814F21"/>
    <w:rsid w:val="2096F265"/>
    <w:rsid w:val="20A0B196"/>
    <w:rsid w:val="20A0C3DD"/>
    <w:rsid w:val="20A16289"/>
    <w:rsid w:val="20A4C8E0"/>
    <w:rsid w:val="20A66A9A"/>
    <w:rsid w:val="20A8B100"/>
    <w:rsid w:val="20B33041"/>
    <w:rsid w:val="20B4CBE2"/>
    <w:rsid w:val="20C359A5"/>
    <w:rsid w:val="20C5B10A"/>
    <w:rsid w:val="20C91CD4"/>
    <w:rsid w:val="20CC55E2"/>
    <w:rsid w:val="20D000BA"/>
    <w:rsid w:val="20D0B36D"/>
    <w:rsid w:val="20D2F349"/>
    <w:rsid w:val="20D4D1EA"/>
    <w:rsid w:val="20DE2D77"/>
    <w:rsid w:val="20FFDB75"/>
    <w:rsid w:val="21066D1E"/>
    <w:rsid w:val="210B3AB5"/>
    <w:rsid w:val="210C42AA"/>
    <w:rsid w:val="211E2766"/>
    <w:rsid w:val="212409FF"/>
    <w:rsid w:val="21242E49"/>
    <w:rsid w:val="212C1B97"/>
    <w:rsid w:val="2135B047"/>
    <w:rsid w:val="213F3095"/>
    <w:rsid w:val="21408AAC"/>
    <w:rsid w:val="21472358"/>
    <w:rsid w:val="215F1DF4"/>
    <w:rsid w:val="2165F446"/>
    <w:rsid w:val="216AC16C"/>
    <w:rsid w:val="21707BA9"/>
    <w:rsid w:val="2173D493"/>
    <w:rsid w:val="2176F14F"/>
    <w:rsid w:val="2179F992"/>
    <w:rsid w:val="218DE8B0"/>
    <w:rsid w:val="2196E02A"/>
    <w:rsid w:val="219F1B23"/>
    <w:rsid w:val="21A285AC"/>
    <w:rsid w:val="21B2ACB8"/>
    <w:rsid w:val="21B6DD80"/>
    <w:rsid w:val="21D5B137"/>
    <w:rsid w:val="21DB387C"/>
    <w:rsid w:val="21E4BCE7"/>
    <w:rsid w:val="21EE40A1"/>
    <w:rsid w:val="21EFBD6D"/>
    <w:rsid w:val="21FC81D5"/>
    <w:rsid w:val="220D6087"/>
    <w:rsid w:val="2219AB33"/>
    <w:rsid w:val="22285873"/>
    <w:rsid w:val="223AB0DE"/>
    <w:rsid w:val="224034FA"/>
    <w:rsid w:val="2246395E"/>
    <w:rsid w:val="224B3084"/>
    <w:rsid w:val="2251E066"/>
    <w:rsid w:val="2254A707"/>
    <w:rsid w:val="22559143"/>
    <w:rsid w:val="22566F49"/>
    <w:rsid w:val="225BC511"/>
    <w:rsid w:val="22600157"/>
    <w:rsid w:val="227381CC"/>
    <w:rsid w:val="2273F97D"/>
    <w:rsid w:val="22747A97"/>
    <w:rsid w:val="227E785F"/>
    <w:rsid w:val="227EE313"/>
    <w:rsid w:val="22808BFA"/>
    <w:rsid w:val="228102FC"/>
    <w:rsid w:val="2283BE15"/>
    <w:rsid w:val="2283F1DC"/>
    <w:rsid w:val="22A1AE8F"/>
    <w:rsid w:val="22A694FF"/>
    <w:rsid w:val="22B3AC81"/>
    <w:rsid w:val="22B3C736"/>
    <w:rsid w:val="22B7C913"/>
    <w:rsid w:val="22CDCEA8"/>
    <w:rsid w:val="22CE870D"/>
    <w:rsid w:val="22CFC6D3"/>
    <w:rsid w:val="22D2755A"/>
    <w:rsid w:val="22DA6035"/>
    <w:rsid w:val="22DADEB3"/>
    <w:rsid w:val="22DC95CF"/>
    <w:rsid w:val="22E4C148"/>
    <w:rsid w:val="22E98197"/>
    <w:rsid w:val="22EE5533"/>
    <w:rsid w:val="22EF99DD"/>
    <w:rsid w:val="22F0E23A"/>
    <w:rsid w:val="22F12187"/>
    <w:rsid w:val="2300037A"/>
    <w:rsid w:val="23008823"/>
    <w:rsid w:val="230F91EF"/>
    <w:rsid w:val="232334DC"/>
    <w:rsid w:val="2325383A"/>
    <w:rsid w:val="232642BD"/>
    <w:rsid w:val="232AE1C3"/>
    <w:rsid w:val="232FF548"/>
    <w:rsid w:val="23483580"/>
    <w:rsid w:val="235D0C4A"/>
    <w:rsid w:val="2367734C"/>
    <w:rsid w:val="236D1DFF"/>
    <w:rsid w:val="236E9B76"/>
    <w:rsid w:val="237059C6"/>
    <w:rsid w:val="2370C2B5"/>
    <w:rsid w:val="237AC54D"/>
    <w:rsid w:val="237BC61E"/>
    <w:rsid w:val="23808302"/>
    <w:rsid w:val="239A3ECD"/>
    <w:rsid w:val="239A6B46"/>
    <w:rsid w:val="239D3412"/>
    <w:rsid w:val="239DA6B8"/>
    <w:rsid w:val="23A7436A"/>
    <w:rsid w:val="23A93C1D"/>
    <w:rsid w:val="23AE5360"/>
    <w:rsid w:val="23B070E8"/>
    <w:rsid w:val="23E89090"/>
    <w:rsid w:val="23F6A8B2"/>
    <w:rsid w:val="23F830A0"/>
    <w:rsid w:val="23FF1502"/>
    <w:rsid w:val="2400E05B"/>
    <w:rsid w:val="2402BDC8"/>
    <w:rsid w:val="24060CCE"/>
    <w:rsid w:val="2411A9F8"/>
    <w:rsid w:val="241710B2"/>
    <w:rsid w:val="241A592A"/>
    <w:rsid w:val="241E3038"/>
    <w:rsid w:val="2427DBFB"/>
    <w:rsid w:val="242861EA"/>
    <w:rsid w:val="24334F27"/>
    <w:rsid w:val="24349003"/>
    <w:rsid w:val="244E91C8"/>
    <w:rsid w:val="244EDE3E"/>
    <w:rsid w:val="24528CCB"/>
    <w:rsid w:val="2456259C"/>
    <w:rsid w:val="2457203F"/>
    <w:rsid w:val="245C2470"/>
    <w:rsid w:val="246421B4"/>
    <w:rsid w:val="24694BFE"/>
    <w:rsid w:val="247F3FEA"/>
    <w:rsid w:val="248033A4"/>
    <w:rsid w:val="248ED734"/>
    <w:rsid w:val="24960ADE"/>
    <w:rsid w:val="249E9261"/>
    <w:rsid w:val="24B1E321"/>
    <w:rsid w:val="24B5AEAB"/>
    <w:rsid w:val="24B74D17"/>
    <w:rsid w:val="24C954BD"/>
    <w:rsid w:val="24D0014E"/>
    <w:rsid w:val="24DA78ED"/>
    <w:rsid w:val="24DD1FAC"/>
    <w:rsid w:val="24DE2CFC"/>
    <w:rsid w:val="24F8AE6E"/>
    <w:rsid w:val="2502B385"/>
    <w:rsid w:val="2502C4FC"/>
    <w:rsid w:val="25041112"/>
    <w:rsid w:val="250988C4"/>
    <w:rsid w:val="250D376B"/>
    <w:rsid w:val="250F8422"/>
    <w:rsid w:val="25177D33"/>
    <w:rsid w:val="2519762C"/>
    <w:rsid w:val="2522C5E0"/>
    <w:rsid w:val="25254C49"/>
    <w:rsid w:val="2532F84A"/>
    <w:rsid w:val="2533E55B"/>
    <w:rsid w:val="2534F875"/>
    <w:rsid w:val="253B4066"/>
    <w:rsid w:val="253C913B"/>
    <w:rsid w:val="25404C04"/>
    <w:rsid w:val="254FDF3A"/>
    <w:rsid w:val="2562469D"/>
    <w:rsid w:val="25636FC5"/>
    <w:rsid w:val="2571D319"/>
    <w:rsid w:val="257B2D35"/>
    <w:rsid w:val="257FF666"/>
    <w:rsid w:val="25821F2F"/>
    <w:rsid w:val="2584F24D"/>
    <w:rsid w:val="258FB6F5"/>
    <w:rsid w:val="2594D094"/>
    <w:rsid w:val="25950775"/>
    <w:rsid w:val="25A02F6A"/>
    <w:rsid w:val="25B9D051"/>
    <w:rsid w:val="25BCE840"/>
    <w:rsid w:val="25BF83FE"/>
    <w:rsid w:val="25CE1AE0"/>
    <w:rsid w:val="25D4D02B"/>
    <w:rsid w:val="25DA97B2"/>
    <w:rsid w:val="25DEC2CD"/>
    <w:rsid w:val="25E26100"/>
    <w:rsid w:val="25E30CA0"/>
    <w:rsid w:val="25E51E9F"/>
    <w:rsid w:val="2608ECCD"/>
    <w:rsid w:val="2616113F"/>
    <w:rsid w:val="261D5F5E"/>
    <w:rsid w:val="26235C34"/>
    <w:rsid w:val="262E2652"/>
    <w:rsid w:val="262ED8E3"/>
    <w:rsid w:val="2634158C"/>
    <w:rsid w:val="2638B405"/>
    <w:rsid w:val="26392ECB"/>
    <w:rsid w:val="263E182F"/>
    <w:rsid w:val="264AAFC9"/>
    <w:rsid w:val="264D1E83"/>
    <w:rsid w:val="2656BF80"/>
    <w:rsid w:val="265EA2B2"/>
    <w:rsid w:val="26662BA6"/>
    <w:rsid w:val="2668C332"/>
    <w:rsid w:val="26692D28"/>
    <w:rsid w:val="266CC61F"/>
    <w:rsid w:val="266D1EDF"/>
    <w:rsid w:val="26787678"/>
    <w:rsid w:val="267C26E9"/>
    <w:rsid w:val="2685D5C9"/>
    <w:rsid w:val="269C3D71"/>
    <w:rsid w:val="26AD502B"/>
    <w:rsid w:val="26B5170D"/>
    <w:rsid w:val="26B941BB"/>
    <w:rsid w:val="26BAC343"/>
    <w:rsid w:val="26C3A0E8"/>
    <w:rsid w:val="26C8CAA3"/>
    <w:rsid w:val="26DF25D8"/>
    <w:rsid w:val="26E3E5D8"/>
    <w:rsid w:val="26F12A8F"/>
    <w:rsid w:val="26F6EFB1"/>
    <w:rsid w:val="26FD10A1"/>
    <w:rsid w:val="27043F8A"/>
    <w:rsid w:val="270B41CC"/>
    <w:rsid w:val="271DEF4C"/>
    <w:rsid w:val="27223F79"/>
    <w:rsid w:val="27247D41"/>
    <w:rsid w:val="27292B35"/>
    <w:rsid w:val="273F4A4B"/>
    <w:rsid w:val="274204DF"/>
    <w:rsid w:val="27480460"/>
    <w:rsid w:val="27542907"/>
    <w:rsid w:val="2758E6D9"/>
    <w:rsid w:val="275BE155"/>
    <w:rsid w:val="275F2A45"/>
    <w:rsid w:val="276C5AE3"/>
    <w:rsid w:val="2770D51C"/>
    <w:rsid w:val="27742B6B"/>
    <w:rsid w:val="278CF742"/>
    <w:rsid w:val="278DC9F1"/>
    <w:rsid w:val="2795103B"/>
    <w:rsid w:val="2797B57E"/>
    <w:rsid w:val="27B93A08"/>
    <w:rsid w:val="27C1CB77"/>
    <w:rsid w:val="27DD769D"/>
    <w:rsid w:val="27E0693D"/>
    <w:rsid w:val="27E39E2B"/>
    <w:rsid w:val="27EE325D"/>
    <w:rsid w:val="27EF8B98"/>
    <w:rsid w:val="27F435B8"/>
    <w:rsid w:val="27F6977D"/>
    <w:rsid w:val="27FDB334"/>
    <w:rsid w:val="280AE4B0"/>
    <w:rsid w:val="280B703E"/>
    <w:rsid w:val="281C107F"/>
    <w:rsid w:val="28262678"/>
    <w:rsid w:val="2828ECAF"/>
    <w:rsid w:val="28290C8C"/>
    <w:rsid w:val="283449AC"/>
    <w:rsid w:val="283797A9"/>
    <w:rsid w:val="2837D1A4"/>
    <w:rsid w:val="28390E8C"/>
    <w:rsid w:val="28467935"/>
    <w:rsid w:val="28470F99"/>
    <w:rsid w:val="2851F6D9"/>
    <w:rsid w:val="2853DDEB"/>
    <w:rsid w:val="285B16E0"/>
    <w:rsid w:val="285B57E6"/>
    <w:rsid w:val="286CF3BD"/>
    <w:rsid w:val="287CF6A8"/>
    <w:rsid w:val="287D714F"/>
    <w:rsid w:val="28812532"/>
    <w:rsid w:val="288BA495"/>
    <w:rsid w:val="2892D76C"/>
    <w:rsid w:val="289542E2"/>
    <w:rsid w:val="2899360F"/>
    <w:rsid w:val="28B4B318"/>
    <w:rsid w:val="28B8041E"/>
    <w:rsid w:val="28BDD7BC"/>
    <w:rsid w:val="28C28A63"/>
    <w:rsid w:val="28C41AA0"/>
    <w:rsid w:val="28C7DD69"/>
    <w:rsid w:val="28C7FCF6"/>
    <w:rsid w:val="28C868CB"/>
    <w:rsid w:val="28C955BC"/>
    <w:rsid w:val="28D2B97B"/>
    <w:rsid w:val="28D922DF"/>
    <w:rsid w:val="28DF7C47"/>
    <w:rsid w:val="28E660D2"/>
    <w:rsid w:val="28EAE133"/>
    <w:rsid w:val="28F11699"/>
    <w:rsid w:val="28F93B41"/>
    <w:rsid w:val="29007FA5"/>
    <w:rsid w:val="2904816A"/>
    <w:rsid w:val="290672FC"/>
    <w:rsid w:val="29148CDC"/>
    <w:rsid w:val="29272BE8"/>
    <w:rsid w:val="2929419F"/>
    <w:rsid w:val="292ACC2F"/>
    <w:rsid w:val="2939A6F1"/>
    <w:rsid w:val="2950DB57"/>
    <w:rsid w:val="2951A079"/>
    <w:rsid w:val="29526143"/>
    <w:rsid w:val="29576FB3"/>
    <w:rsid w:val="295BE835"/>
    <w:rsid w:val="29632769"/>
    <w:rsid w:val="29911A52"/>
    <w:rsid w:val="299BE449"/>
    <w:rsid w:val="299DC48C"/>
    <w:rsid w:val="29A5155F"/>
    <w:rsid w:val="29AE909A"/>
    <w:rsid w:val="29B1320B"/>
    <w:rsid w:val="29B35314"/>
    <w:rsid w:val="29B664B7"/>
    <w:rsid w:val="29B6B1FD"/>
    <w:rsid w:val="29BE9477"/>
    <w:rsid w:val="29BF53EB"/>
    <w:rsid w:val="29C4CFFE"/>
    <w:rsid w:val="29E4857F"/>
    <w:rsid w:val="29F1C55C"/>
    <w:rsid w:val="29FBD5DF"/>
    <w:rsid w:val="29FE7645"/>
    <w:rsid w:val="2A0290AF"/>
    <w:rsid w:val="2A14D85E"/>
    <w:rsid w:val="2A16F1F4"/>
    <w:rsid w:val="2A1F008D"/>
    <w:rsid w:val="2A206035"/>
    <w:rsid w:val="2A2B715B"/>
    <w:rsid w:val="2A311E52"/>
    <w:rsid w:val="2A328389"/>
    <w:rsid w:val="2A3F39EC"/>
    <w:rsid w:val="2A482300"/>
    <w:rsid w:val="2A4FDD1C"/>
    <w:rsid w:val="2A537C2C"/>
    <w:rsid w:val="2A5773B7"/>
    <w:rsid w:val="2A5C3D93"/>
    <w:rsid w:val="2A5E9468"/>
    <w:rsid w:val="2A66CB01"/>
    <w:rsid w:val="2A6E13FC"/>
    <w:rsid w:val="2A6F1CCD"/>
    <w:rsid w:val="2A71A8CB"/>
    <w:rsid w:val="2A770185"/>
    <w:rsid w:val="2A7D2A9F"/>
    <w:rsid w:val="2A8A73A3"/>
    <w:rsid w:val="2A92731D"/>
    <w:rsid w:val="2A9DBA6E"/>
    <w:rsid w:val="2AA33B1E"/>
    <w:rsid w:val="2AA5A31E"/>
    <w:rsid w:val="2AAB3ACF"/>
    <w:rsid w:val="2AB0201A"/>
    <w:rsid w:val="2AB10A11"/>
    <w:rsid w:val="2ABF8891"/>
    <w:rsid w:val="2AC65BD3"/>
    <w:rsid w:val="2AC670B9"/>
    <w:rsid w:val="2ACE71CB"/>
    <w:rsid w:val="2ACEED06"/>
    <w:rsid w:val="2AD688FA"/>
    <w:rsid w:val="2AD81F3A"/>
    <w:rsid w:val="2AE05695"/>
    <w:rsid w:val="2AEB1016"/>
    <w:rsid w:val="2AEFA579"/>
    <w:rsid w:val="2B058385"/>
    <w:rsid w:val="2B08BF0E"/>
    <w:rsid w:val="2B0F426D"/>
    <w:rsid w:val="2B128C65"/>
    <w:rsid w:val="2B203F12"/>
    <w:rsid w:val="2B27DAD6"/>
    <w:rsid w:val="2B2AE406"/>
    <w:rsid w:val="2B2BD6A3"/>
    <w:rsid w:val="2B2CA8CA"/>
    <w:rsid w:val="2B34E6D3"/>
    <w:rsid w:val="2B44374D"/>
    <w:rsid w:val="2B4BF562"/>
    <w:rsid w:val="2B4F66AD"/>
    <w:rsid w:val="2B573A30"/>
    <w:rsid w:val="2B5DE402"/>
    <w:rsid w:val="2B643C70"/>
    <w:rsid w:val="2B73D179"/>
    <w:rsid w:val="2B7FAB11"/>
    <w:rsid w:val="2B84B7AB"/>
    <w:rsid w:val="2B883B5A"/>
    <w:rsid w:val="2B911545"/>
    <w:rsid w:val="2B98E6C4"/>
    <w:rsid w:val="2B9A0C70"/>
    <w:rsid w:val="2BA26470"/>
    <w:rsid w:val="2BB35C55"/>
    <w:rsid w:val="2BB458F0"/>
    <w:rsid w:val="2BB94B8E"/>
    <w:rsid w:val="2BB9F5F2"/>
    <w:rsid w:val="2BBB1B68"/>
    <w:rsid w:val="2BC1728C"/>
    <w:rsid w:val="2BD8B86D"/>
    <w:rsid w:val="2BD95D33"/>
    <w:rsid w:val="2BEE59E9"/>
    <w:rsid w:val="2BFA2638"/>
    <w:rsid w:val="2C0E71D9"/>
    <w:rsid w:val="2C0EE37A"/>
    <w:rsid w:val="2C12EB49"/>
    <w:rsid w:val="2C1F6420"/>
    <w:rsid w:val="2C24B2FD"/>
    <w:rsid w:val="2C268FAD"/>
    <w:rsid w:val="2C284D6A"/>
    <w:rsid w:val="2C2B8012"/>
    <w:rsid w:val="2C348C59"/>
    <w:rsid w:val="2C3A4BE2"/>
    <w:rsid w:val="2C3C7811"/>
    <w:rsid w:val="2C3CEFF2"/>
    <w:rsid w:val="2C3F0DEE"/>
    <w:rsid w:val="2C45AA9F"/>
    <w:rsid w:val="2C4BF51E"/>
    <w:rsid w:val="2C4C7469"/>
    <w:rsid w:val="2C52EF3A"/>
    <w:rsid w:val="2C5CED9B"/>
    <w:rsid w:val="2C5F87A4"/>
    <w:rsid w:val="2C6200EC"/>
    <w:rsid w:val="2C68030A"/>
    <w:rsid w:val="2C68B8D8"/>
    <w:rsid w:val="2C7847E6"/>
    <w:rsid w:val="2C84501E"/>
    <w:rsid w:val="2C870CF3"/>
    <w:rsid w:val="2C8B281A"/>
    <w:rsid w:val="2C8E61C3"/>
    <w:rsid w:val="2C8F6595"/>
    <w:rsid w:val="2C968923"/>
    <w:rsid w:val="2C96FD2F"/>
    <w:rsid w:val="2C9A6961"/>
    <w:rsid w:val="2CA215A3"/>
    <w:rsid w:val="2CA2613D"/>
    <w:rsid w:val="2CAC8ED9"/>
    <w:rsid w:val="2CAE7ABE"/>
    <w:rsid w:val="2CB14F4E"/>
    <w:rsid w:val="2CB47BAE"/>
    <w:rsid w:val="2CB602CC"/>
    <w:rsid w:val="2CB67426"/>
    <w:rsid w:val="2CBF3617"/>
    <w:rsid w:val="2CBF5E9D"/>
    <w:rsid w:val="2CCCF793"/>
    <w:rsid w:val="2CD2D22C"/>
    <w:rsid w:val="2CD46008"/>
    <w:rsid w:val="2CE2F74C"/>
    <w:rsid w:val="2CE84C75"/>
    <w:rsid w:val="2CFF88DD"/>
    <w:rsid w:val="2D0764DE"/>
    <w:rsid w:val="2D0F6BE9"/>
    <w:rsid w:val="2D12CB6E"/>
    <w:rsid w:val="2D16062D"/>
    <w:rsid w:val="2D28249A"/>
    <w:rsid w:val="2D2F0651"/>
    <w:rsid w:val="2D3956B1"/>
    <w:rsid w:val="2D3C6294"/>
    <w:rsid w:val="2D450375"/>
    <w:rsid w:val="2D4BCDB1"/>
    <w:rsid w:val="2D5805C3"/>
    <w:rsid w:val="2D61D0DC"/>
    <w:rsid w:val="2D67116D"/>
    <w:rsid w:val="2D6753A5"/>
    <w:rsid w:val="2D6F2650"/>
    <w:rsid w:val="2D7D5692"/>
    <w:rsid w:val="2D8D60B3"/>
    <w:rsid w:val="2DA3755C"/>
    <w:rsid w:val="2DA66665"/>
    <w:rsid w:val="2DA6A66B"/>
    <w:rsid w:val="2DB0EDF2"/>
    <w:rsid w:val="2DB8C8E1"/>
    <w:rsid w:val="2DC5044B"/>
    <w:rsid w:val="2DCED398"/>
    <w:rsid w:val="2DD0212E"/>
    <w:rsid w:val="2DD12E57"/>
    <w:rsid w:val="2DD7B6C5"/>
    <w:rsid w:val="2DD92E59"/>
    <w:rsid w:val="2DDA8557"/>
    <w:rsid w:val="2DDD4A5B"/>
    <w:rsid w:val="2DDDA327"/>
    <w:rsid w:val="2DDF01D0"/>
    <w:rsid w:val="2DE010DD"/>
    <w:rsid w:val="2DE0EF88"/>
    <w:rsid w:val="2DF7158E"/>
    <w:rsid w:val="2DFB8B9E"/>
    <w:rsid w:val="2E1544CE"/>
    <w:rsid w:val="2E170C21"/>
    <w:rsid w:val="2E1A55D8"/>
    <w:rsid w:val="2E1C5961"/>
    <w:rsid w:val="2E1E5F32"/>
    <w:rsid w:val="2E218E9C"/>
    <w:rsid w:val="2E21B6A1"/>
    <w:rsid w:val="2E2262A5"/>
    <w:rsid w:val="2E41931C"/>
    <w:rsid w:val="2E53C28E"/>
    <w:rsid w:val="2E54F0FC"/>
    <w:rsid w:val="2E596470"/>
    <w:rsid w:val="2E5C8133"/>
    <w:rsid w:val="2E691480"/>
    <w:rsid w:val="2E6FF8E2"/>
    <w:rsid w:val="2E702D02"/>
    <w:rsid w:val="2E879586"/>
    <w:rsid w:val="2E885A34"/>
    <w:rsid w:val="2E8D4F93"/>
    <w:rsid w:val="2E8DE5AF"/>
    <w:rsid w:val="2E8FE028"/>
    <w:rsid w:val="2E902EFA"/>
    <w:rsid w:val="2EC1AEB1"/>
    <w:rsid w:val="2EC243E4"/>
    <w:rsid w:val="2EC5B8E5"/>
    <w:rsid w:val="2EC660A0"/>
    <w:rsid w:val="2ED69FD8"/>
    <w:rsid w:val="2EE080FB"/>
    <w:rsid w:val="2EEF1C43"/>
    <w:rsid w:val="2EFA0B80"/>
    <w:rsid w:val="2EFAD74E"/>
    <w:rsid w:val="2EFB12DF"/>
    <w:rsid w:val="2EFEC932"/>
    <w:rsid w:val="2F06895D"/>
    <w:rsid w:val="2F08BACB"/>
    <w:rsid w:val="2F1391D3"/>
    <w:rsid w:val="2F160459"/>
    <w:rsid w:val="2F1EFEB2"/>
    <w:rsid w:val="2F26C63B"/>
    <w:rsid w:val="2F2C6C7E"/>
    <w:rsid w:val="2F3DC5C9"/>
    <w:rsid w:val="2F3E1C28"/>
    <w:rsid w:val="2F4F8936"/>
    <w:rsid w:val="2F5BDE27"/>
    <w:rsid w:val="2F7B9DB0"/>
    <w:rsid w:val="2F7DBBCD"/>
    <w:rsid w:val="2F8082E0"/>
    <w:rsid w:val="2F815545"/>
    <w:rsid w:val="2F895E65"/>
    <w:rsid w:val="2F9B2AA3"/>
    <w:rsid w:val="2FA1F15A"/>
    <w:rsid w:val="2FA5677C"/>
    <w:rsid w:val="2FABBAC6"/>
    <w:rsid w:val="2FAFF21C"/>
    <w:rsid w:val="2FB26417"/>
    <w:rsid w:val="2FB5FEF6"/>
    <w:rsid w:val="2FB93A0F"/>
    <w:rsid w:val="2FBB2C85"/>
    <w:rsid w:val="2FBD8BCA"/>
    <w:rsid w:val="2FC61A62"/>
    <w:rsid w:val="2FCEFD84"/>
    <w:rsid w:val="2FD80D37"/>
    <w:rsid w:val="2FD8BD1E"/>
    <w:rsid w:val="2FD98B62"/>
    <w:rsid w:val="2FDDE809"/>
    <w:rsid w:val="2FDEF71E"/>
    <w:rsid w:val="2FE5706B"/>
    <w:rsid w:val="2FF2B3F8"/>
    <w:rsid w:val="2FFBBE10"/>
    <w:rsid w:val="301313C1"/>
    <w:rsid w:val="3026A0E8"/>
    <w:rsid w:val="3038999C"/>
    <w:rsid w:val="303AE85E"/>
    <w:rsid w:val="303C84BF"/>
    <w:rsid w:val="30414437"/>
    <w:rsid w:val="30450A4D"/>
    <w:rsid w:val="3049EAA9"/>
    <w:rsid w:val="304D93AF"/>
    <w:rsid w:val="3052AE65"/>
    <w:rsid w:val="30575B7B"/>
    <w:rsid w:val="305950D1"/>
    <w:rsid w:val="305CFCF9"/>
    <w:rsid w:val="30649D37"/>
    <w:rsid w:val="30760C40"/>
    <w:rsid w:val="30762F10"/>
    <w:rsid w:val="308F4EA6"/>
    <w:rsid w:val="3090CE77"/>
    <w:rsid w:val="30A80333"/>
    <w:rsid w:val="30AD4653"/>
    <w:rsid w:val="30B3CDA4"/>
    <w:rsid w:val="30BA75A6"/>
    <w:rsid w:val="30CB5172"/>
    <w:rsid w:val="30D9E516"/>
    <w:rsid w:val="30E1C880"/>
    <w:rsid w:val="30E30021"/>
    <w:rsid w:val="30FD056C"/>
    <w:rsid w:val="30FFB2F4"/>
    <w:rsid w:val="310DBACE"/>
    <w:rsid w:val="3112AC76"/>
    <w:rsid w:val="311DF62F"/>
    <w:rsid w:val="312014AA"/>
    <w:rsid w:val="312318A1"/>
    <w:rsid w:val="312BFD38"/>
    <w:rsid w:val="312D7992"/>
    <w:rsid w:val="312E1C14"/>
    <w:rsid w:val="312E890C"/>
    <w:rsid w:val="312F6F63"/>
    <w:rsid w:val="31638A3F"/>
    <w:rsid w:val="3167AA64"/>
    <w:rsid w:val="31701E68"/>
    <w:rsid w:val="31735193"/>
    <w:rsid w:val="31814473"/>
    <w:rsid w:val="3186C6B4"/>
    <w:rsid w:val="31898D55"/>
    <w:rsid w:val="318EE610"/>
    <w:rsid w:val="3197E3F1"/>
    <w:rsid w:val="31A554A3"/>
    <w:rsid w:val="31B17D17"/>
    <w:rsid w:val="31B1E7D5"/>
    <w:rsid w:val="31B6ECCC"/>
    <w:rsid w:val="31BED3FA"/>
    <w:rsid w:val="31C30CAA"/>
    <w:rsid w:val="31D3B0DA"/>
    <w:rsid w:val="31D7E2CD"/>
    <w:rsid w:val="31DCE64F"/>
    <w:rsid w:val="31E9F948"/>
    <w:rsid w:val="31F17EE0"/>
    <w:rsid w:val="31F3892F"/>
    <w:rsid w:val="31F46449"/>
    <w:rsid w:val="3200A93D"/>
    <w:rsid w:val="320332D1"/>
    <w:rsid w:val="32096543"/>
    <w:rsid w:val="3214AC1A"/>
    <w:rsid w:val="32189925"/>
    <w:rsid w:val="322915EB"/>
    <w:rsid w:val="32294E34"/>
    <w:rsid w:val="322BA866"/>
    <w:rsid w:val="322CFC60"/>
    <w:rsid w:val="3233FEEC"/>
    <w:rsid w:val="32423B8E"/>
    <w:rsid w:val="324353A2"/>
    <w:rsid w:val="3244CC5F"/>
    <w:rsid w:val="324C9A80"/>
    <w:rsid w:val="32620FD1"/>
    <w:rsid w:val="32718E8C"/>
    <w:rsid w:val="3275594B"/>
    <w:rsid w:val="32759593"/>
    <w:rsid w:val="327C4D6B"/>
    <w:rsid w:val="32806D0A"/>
    <w:rsid w:val="32907A44"/>
    <w:rsid w:val="329083A0"/>
    <w:rsid w:val="3296279E"/>
    <w:rsid w:val="32991664"/>
    <w:rsid w:val="329AC092"/>
    <w:rsid w:val="329D3E80"/>
    <w:rsid w:val="329F3D52"/>
    <w:rsid w:val="32A59328"/>
    <w:rsid w:val="32A624C0"/>
    <w:rsid w:val="32AE4A13"/>
    <w:rsid w:val="32B2036A"/>
    <w:rsid w:val="32BA663A"/>
    <w:rsid w:val="32BD0675"/>
    <w:rsid w:val="32C4C390"/>
    <w:rsid w:val="32D6C827"/>
    <w:rsid w:val="32EE07AA"/>
    <w:rsid w:val="32F46F1C"/>
    <w:rsid w:val="33059622"/>
    <w:rsid w:val="330B7415"/>
    <w:rsid w:val="331539B3"/>
    <w:rsid w:val="3318555A"/>
    <w:rsid w:val="331D8BB3"/>
    <w:rsid w:val="33306C00"/>
    <w:rsid w:val="3334B17B"/>
    <w:rsid w:val="3339C7CB"/>
    <w:rsid w:val="333C47A7"/>
    <w:rsid w:val="3348DF94"/>
    <w:rsid w:val="334A2AF3"/>
    <w:rsid w:val="335BB5E6"/>
    <w:rsid w:val="337D9026"/>
    <w:rsid w:val="33910DF4"/>
    <w:rsid w:val="3395A759"/>
    <w:rsid w:val="33A6FB58"/>
    <w:rsid w:val="33AEF36D"/>
    <w:rsid w:val="33D6573A"/>
    <w:rsid w:val="33DAD976"/>
    <w:rsid w:val="33E0DBD0"/>
    <w:rsid w:val="33E233E5"/>
    <w:rsid w:val="33EBC5A2"/>
    <w:rsid w:val="33F62E4A"/>
    <w:rsid w:val="33F79C64"/>
    <w:rsid w:val="33F8619A"/>
    <w:rsid w:val="3403CBE5"/>
    <w:rsid w:val="3405C1E0"/>
    <w:rsid w:val="34126F62"/>
    <w:rsid w:val="341B2245"/>
    <w:rsid w:val="341D90BE"/>
    <w:rsid w:val="341EA524"/>
    <w:rsid w:val="34201C0A"/>
    <w:rsid w:val="342C14B2"/>
    <w:rsid w:val="34423B15"/>
    <w:rsid w:val="344478D9"/>
    <w:rsid w:val="344F2B7A"/>
    <w:rsid w:val="345054F4"/>
    <w:rsid w:val="346A3FAB"/>
    <w:rsid w:val="347AF094"/>
    <w:rsid w:val="3489090F"/>
    <w:rsid w:val="348A7FBE"/>
    <w:rsid w:val="349C3995"/>
    <w:rsid w:val="34A36DEF"/>
    <w:rsid w:val="34A397DA"/>
    <w:rsid w:val="34A54F04"/>
    <w:rsid w:val="34B54D36"/>
    <w:rsid w:val="34B9D33A"/>
    <w:rsid w:val="34C878D5"/>
    <w:rsid w:val="34CB72E4"/>
    <w:rsid w:val="34D536AE"/>
    <w:rsid w:val="34E02536"/>
    <w:rsid w:val="34EBC1A3"/>
    <w:rsid w:val="34EF6B9F"/>
    <w:rsid w:val="34F02E5E"/>
    <w:rsid w:val="350B6271"/>
    <w:rsid w:val="350E1BD5"/>
    <w:rsid w:val="35153D5F"/>
    <w:rsid w:val="3524A4D8"/>
    <w:rsid w:val="35321516"/>
    <w:rsid w:val="353DC821"/>
    <w:rsid w:val="353F1093"/>
    <w:rsid w:val="35491F2D"/>
    <w:rsid w:val="354AEB6C"/>
    <w:rsid w:val="355463AE"/>
    <w:rsid w:val="356C5714"/>
    <w:rsid w:val="356F3799"/>
    <w:rsid w:val="3579CA52"/>
    <w:rsid w:val="357AA909"/>
    <w:rsid w:val="357DFB45"/>
    <w:rsid w:val="35813F64"/>
    <w:rsid w:val="3583BD88"/>
    <w:rsid w:val="3586E2CF"/>
    <w:rsid w:val="358DA02A"/>
    <w:rsid w:val="359B16A5"/>
    <w:rsid w:val="359DA689"/>
    <w:rsid w:val="35AA01F1"/>
    <w:rsid w:val="35AE10D3"/>
    <w:rsid w:val="35C5A149"/>
    <w:rsid w:val="35EFB5C3"/>
    <w:rsid w:val="35F37BB6"/>
    <w:rsid w:val="35F6C706"/>
    <w:rsid w:val="35F75714"/>
    <w:rsid w:val="35F83519"/>
    <w:rsid w:val="35FB0144"/>
    <w:rsid w:val="3602A015"/>
    <w:rsid w:val="3602AE4B"/>
    <w:rsid w:val="36082058"/>
    <w:rsid w:val="3612BE5D"/>
    <w:rsid w:val="36212780"/>
    <w:rsid w:val="362739DD"/>
    <w:rsid w:val="3628BE92"/>
    <w:rsid w:val="362B3654"/>
    <w:rsid w:val="36306A6A"/>
    <w:rsid w:val="36311CA0"/>
    <w:rsid w:val="36387F74"/>
    <w:rsid w:val="36392A39"/>
    <w:rsid w:val="363CAD1B"/>
    <w:rsid w:val="36416CF0"/>
    <w:rsid w:val="3643895C"/>
    <w:rsid w:val="3646A597"/>
    <w:rsid w:val="3665CB7B"/>
    <w:rsid w:val="366E65BD"/>
    <w:rsid w:val="36743138"/>
    <w:rsid w:val="36804BF0"/>
    <w:rsid w:val="368C14A7"/>
    <w:rsid w:val="368F03C0"/>
    <w:rsid w:val="369A940E"/>
    <w:rsid w:val="36B419FB"/>
    <w:rsid w:val="36D24D2B"/>
    <w:rsid w:val="36F52D47"/>
    <w:rsid w:val="36FBE064"/>
    <w:rsid w:val="3701E5C3"/>
    <w:rsid w:val="370B5451"/>
    <w:rsid w:val="3716DE78"/>
    <w:rsid w:val="3724D99B"/>
    <w:rsid w:val="3729E8C1"/>
    <w:rsid w:val="373BA6E4"/>
    <w:rsid w:val="373CCAA1"/>
    <w:rsid w:val="3740947A"/>
    <w:rsid w:val="3741F501"/>
    <w:rsid w:val="3758BB8B"/>
    <w:rsid w:val="3769633D"/>
    <w:rsid w:val="37793AD3"/>
    <w:rsid w:val="37881C16"/>
    <w:rsid w:val="37887C7C"/>
    <w:rsid w:val="378F0AF9"/>
    <w:rsid w:val="37932F6B"/>
    <w:rsid w:val="379566E9"/>
    <w:rsid w:val="379B4080"/>
    <w:rsid w:val="37A43BB5"/>
    <w:rsid w:val="37B014E9"/>
    <w:rsid w:val="37B3519E"/>
    <w:rsid w:val="37B7ECCF"/>
    <w:rsid w:val="37C5CEEF"/>
    <w:rsid w:val="37C61DBE"/>
    <w:rsid w:val="37C962B4"/>
    <w:rsid w:val="37CD2E28"/>
    <w:rsid w:val="37DA1993"/>
    <w:rsid w:val="37DAAFB9"/>
    <w:rsid w:val="37DD1E03"/>
    <w:rsid w:val="37DF1127"/>
    <w:rsid w:val="37E3A91F"/>
    <w:rsid w:val="37EF2E6C"/>
    <w:rsid w:val="37F4AE9B"/>
    <w:rsid w:val="37FC62BE"/>
    <w:rsid w:val="38033A01"/>
    <w:rsid w:val="381357A2"/>
    <w:rsid w:val="3815C135"/>
    <w:rsid w:val="3820B2F7"/>
    <w:rsid w:val="38228314"/>
    <w:rsid w:val="3828C295"/>
    <w:rsid w:val="382C34DD"/>
    <w:rsid w:val="3831CF94"/>
    <w:rsid w:val="383D60EC"/>
    <w:rsid w:val="3852E4C2"/>
    <w:rsid w:val="38610050"/>
    <w:rsid w:val="3867F7A7"/>
    <w:rsid w:val="386AD325"/>
    <w:rsid w:val="3878A508"/>
    <w:rsid w:val="387FEFDB"/>
    <w:rsid w:val="38812763"/>
    <w:rsid w:val="388E7726"/>
    <w:rsid w:val="388F884A"/>
    <w:rsid w:val="389DEEAC"/>
    <w:rsid w:val="38AEEF3D"/>
    <w:rsid w:val="38BEFB3A"/>
    <w:rsid w:val="38BF2A8E"/>
    <w:rsid w:val="38C1129A"/>
    <w:rsid w:val="38C37F57"/>
    <w:rsid w:val="38CDFC16"/>
    <w:rsid w:val="38E11252"/>
    <w:rsid w:val="38E1F947"/>
    <w:rsid w:val="38E7403D"/>
    <w:rsid w:val="38E841C6"/>
    <w:rsid w:val="38EA73B5"/>
    <w:rsid w:val="38EE0A09"/>
    <w:rsid w:val="3900B67A"/>
    <w:rsid w:val="39035B85"/>
    <w:rsid w:val="390DD20F"/>
    <w:rsid w:val="39149865"/>
    <w:rsid w:val="392226CE"/>
    <w:rsid w:val="392743EC"/>
    <w:rsid w:val="3928D15D"/>
    <w:rsid w:val="392B50F1"/>
    <w:rsid w:val="392E9211"/>
    <w:rsid w:val="393377C4"/>
    <w:rsid w:val="393F5FC2"/>
    <w:rsid w:val="39416857"/>
    <w:rsid w:val="39466225"/>
    <w:rsid w:val="394AA83D"/>
    <w:rsid w:val="394C6F4D"/>
    <w:rsid w:val="394E6D32"/>
    <w:rsid w:val="3951EE62"/>
    <w:rsid w:val="3966EA2D"/>
    <w:rsid w:val="396ED0EF"/>
    <w:rsid w:val="39746AB8"/>
    <w:rsid w:val="397AF321"/>
    <w:rsid w:val="397D2123"/>
    <w:rsid w:val="398E80B9"/>
    <w:rsid w:val="39952D50"/>
    <w:rsid w:val="399A8741"/>
    <w:rsid w:val="399E7A8F"/>
    <w:rsid w:val="39A1192D"/>
    <w:rsid w:val="39A65095"/>
    <w:rsid w:val="39A8425F"/>
    <w:rsid w:val="39B3375A"/>
    <w:rsid w:val="39BB6D23"/>
    <w:rsid w:val="39C69B76"/>
    <w:rsid w:val="39C84DBD"/>
    <w:rsid w:val="39DB9FDA"/>
    <w:rsid w:val="39DE47E0"/>
    <w:rsid w:val="39E9D117"/>
    <w:rsid w:val="39EA0093"/>
    <w:rsid w:val="39EB03F0"/>
    <w:rsid w:val="39EED102"/>
    <w:rsid w:val="39F03AFD"/>
    <w:rsid w:val="39F63800"/>
    <w:rsid w:val="39FAFBA5"/>
    <w:rsid w:val="39FD0FC6"/>
    <w:rsid w:val="3A192E95"/>
    <w:rsid w:val="3A24A07F"/>
    <w:rsid w:val="3A288361"/>
    <w:rsid w:val="3A2CFB13"/>
    <w:rsid w:val="3A3953B0"/>
    <w:rsid w:val="3A3AFBB6"/>
    <w:rsid w:val="3A481E01"/>
    <w:rsid w:val="3A4C15A2"/>
    <w:rsid w:val="3A674F67"/>
    <w:rsid w:val="3A6753C3"/>
    <w:rsid w:val="3A6A80B8"/>
    <w:rsid w:val="3A702AE8"/>
    <w:rsid w:val="3A7ECC01"/>
    <w:rsid w:val="3A809771"/>
    <w:rsid w:val="3A8B61EE"/>
    <w:rsid w:val="3A8DCE49"/>
    <w:rsid w:val="3A916E47"/>
    <w:rsid w:val="3A92F78B"/>
    <w:rsid w:val="3A9EE81F"/>
    <w:rsid w:val="3A9EEE23"/>
    <w:rsid w:val="3AA49A95"/>
    <w:rsid w:val="3AA97B8C"/>
    <w:rsid w:val="3AAEE41D"/>
    <w:rsid w:val="3AB3F223"/>
    <w:rsid w:val="3AB69FC8"/>
    <w:rsid w:val="3AB6D9F4"/>
    <w:rsid w:val="3ABA49A5"/>
    <w:rsid w:val="3AC2F519"/>
    <w:rsid w:val="3AC8C424"/>
    <w:rsid w:val="3AD68365"/>
    <w:rsid w:val="3AD6E9EB"/>
    <w:rsid w:val="3ADA15AC"/>
    <w:rsid w:val="3AEE3191"/>
    <w:rsid w:val="3AF109CD"/>
    <w:rsid w:val="3AF9E0F1"/>
    <w:rsid w:val="3B0C2B08"/>
    <w:rsid w:val="3B0D5E5B"/>
    <w:rsid w:val="3B188CA6"/>
    <w:rsid w:val="3B288DDB"/>
    <w:rsid w:val="3B28F8F5"/>
    <w:rsid w:val="3B2A1449"/>
    <w:rsid w:val="3B2AE4F4"/>
    <w:rsid w:val="3B3A74D3"/>
    <w:rsid w:val="3B3B6FF7"/>
    <w:rsid w:val="3B46E214"/>
    <w:rsid w:val="3B4EED28"/>
    <w:rsid w:val="3B594D56"/>
    <w:rsid w:val="3B617059"/>
    <w:rsid w:val="3B6911DA"/>
    <w:rsid w:val="3B6A6B24"/>
    <w:rsid w:val="3B6FB897"/>
    <w:rsid w:val="3B8B994F"/>
    <w:rsid w:val="3B8F7912"/>
    <w:rsid w:val="3B8FA1C8"/>
    <w:rsid w:val="3B951177"/>
    <w:rsid w:val="3B97EFA5"/>
    <w:rsid w:val="3BA92E06"/>
    <w:rsid w:val="3BB446E4"/>
    <w:rsid w:val="3BB622C5"/>
    <w:rsid w:val="3BCF084B"/>
    <w:rsid w:val="3BCF32D6"/>
    <w:rsid w:val="3BD40974"/>
    <w:rsid w:val="3BD7B6B1"/>
    <w:rsid w:val="3BE8E5C0"/>
    <w:rsid w:val="3BF5B2A1"/>
    <w:rsid w:val="3BFAFB66"/>
    <w:rsid w:val="3BFF367F"/>
    <w:rsid w:val="3C0137F6"/>
    <w:rsid w:val="3C023E64"/>
    <w:rsid w:val="3C08E301"/>
    <w:rsid w:val="3C21B726"/>
    <w:rsid w:val="3C23F2D2"/>
    <w:rsid w:val="3C3293C6"/>
    <w:rsid w:val="3C369565"/>
    <w:rsid w:val="3C3AE6E6"/>
    <w:rsid w:val="3C42CC50"/>
    <w:rsid w:val="3C439A5C"/>
    <w:rsid w:val="3C472F46"/>
    <w:rsid w:val="3C54F316"/>
    <w:rsid w:val="3C5A923D"/>
    <w:rsid w:val="3C67501D"/>
    <w:rsid w:val="3C7363A0"/>
    <w:rsid w:val="3C74FC54"/>
    <w:rsid w:val="3C8A45EA"/>
    <w:rsid w:val="3C8AE925"/>
    <w:rsid w:val="3C8C0BE2"/>
    <w:rsid w:val="3C8DA058"/>
    <w:rsid w:val="3C9400EB"/>
    <w:rsid w:val="3C958C6D"/>
    <w:rsid w:val="3C988702"/>
    <w:rsid w:val="3C98A3F4"/>
    <w:rsid w:val="3C9DF3BD"/>
    <w:rsid w:val="3CA49799"/>
    <w:rsid w:val="3CA88910"/>
    <w:rsid w:val="3CADC87D"/>
    <w:rsid w:val="3CC04F95"/>
    <w:rsid w:val="3CC438A3"/>
    <w:rsid w:val="3CC8439A"/>
    <w:rsid w:val="3CCC4BF6"/>
    <w:rsid w:val="3CCD654A"/>
    <w:rsid w:val="3CCE0BC6"/>
    <w:rsid w:val="3CD2D956"/>
    <w:rsid w:val="3CD2E657"/>
    <w:rsid w:val="3CD3F1CD"/>
    <w:rsid w:val="3CD47E35"/>
    <w:rsid w:val="3CD5E02E"/>
    <w:rsid w:val="3CDB099B"/>
    <w:rsid w:val="3CDF07A0"/>
    <w:rsid w:val="3CEF5F3B"/>
    <w:rsid w:val="3CF2A199"/>
    <w:rsid w:val="3CFB3C7F"/>
    <w:rsid w:val="3CFFAD8E"/>
    <w:rsid w:val="3D044CED"/>
    <w:rsid w:val="3D07D71D"/>
    <w:rsid w:val="3D0C8AE4"/>
    <w:rsid w:val="3D1D9E92"/>
    <w:rsid w:val="3D2A3FD7"/>
    <w:rsid w:val="3D31D314"/>
    <w:rsid w:val="3D3D5256"/>
    <w:rsid w:val="3D3E998F"/>
    <w:rsid w:val="3D3EB468"/>
    <w:rsid w:val="3D41F6CF"/>
    <w:rsid w:val="3D4EB481"/>
    <w:rsid w:val="3D56FDA6"/>
    <w:rsid w:val="3D58BF25"/>
    <w:rsid w:val="3D723110"/>
    <w:rsid w:val="3D79D5CC"/>
    <w:rsid w:val="3D87FBC1"/>
    <w:rsid w:val="3D8A13A8"/>
    <w:rsid w:val="3D932250"/>
    <w:rsid w:val="3D945CA1"/>
    <w:rsid w:val="3D9672DD"/>
    <w:rsid w:val="3D993A47"/>
    <w:rsid w:val="3D9D6559"/>
    <w:rsid w:val="3DAEBAAD"/>
    <w:rsid w:val="3DB0ABC9"/>
    <w:rsid w:val="3DB25485"/>
    <w:rsid w:val="3DB9A659"/>
    <w:rsid w:val="3DBB9232"/>
    <w:rsid w:val="3DBCC279"/>
    <w:rsid w:val="3DC1CEED"/>
    <w:rsid w:val="3DC2CFBC"/>
    <w:rsid w:val="3DCAD2EE"/>
    <w:rsid w:val="3DD8AC58"/>
    <w:rsid w:val="3DDE5D08"/>
    <w:rsid w:val="3DDF53CE"/>
    <w:rsid w:val="3DDF6F32"/>
    <w:rsid w:val="3DEA9C09"/>
    <w:rsid w:val="3DF1FBFB"/>
    <w:rsid w:val="3DFFAA11"/>
    <w:rsid w:val="3E0B684C"/>
    <w:rsid w:val="3E1355E6"/>
    <w:rsid w:val="3E169E7A"/>
    <w:rsid w:val="3E1CD4CD"/>
    <w:rsid w:val="3E1EDCA2"/>
    <w:rsid w:val="3E249A78"/>
    <w:rsid w:val="3E392D5B"/>
    <w:rsid w:val="3E45781D"/>
    <w:rsid w:val="3E45B587"/>
    <w:rsid w:val="3E498D02"/>
    <w:rsid w:val="3E5CF4FE"/>
    <w:rsid w:val="3E6205E8"/>
    <w:rsid w:val="3E77EFA1"/>
    <w:rsid w:val="3E80D58F"/>
    <w:rsid w:val="3E8B2C4F"/>
    <w:rsid w:val="3E97DAF9"/>
    <w:rsid w:val="3E97FB73"/>
    <w:rsid w:val="3E9A89D4"/>
    <w:rsid w:val="3EA1E291"/>
    <w:rsid w:val="3EA1E854"/>
    <w:rsid w:val="3EA8384D"/>
    <w:rsid w:val="3EB024A6"/>
    <w:rsid w:val="3EB15E0F"/>
    <w:rsid w:val="3EB1FD1C"/>
    <w:rsid w:val="3EBEAA0D"/>
    <w:rsid w:val="3EC2CA5A"/>
    <w:rsid w:val="3EC6B0F6"/>
    <w:rsid w:val="3ED6B78A"/>
    <w:rsid w:val="3EDB9A80"/>
    <w:rsid w:val="3EE388AF"/>
    <w:rsid w:val="3EF05E2E"/>
    <w:rsid w:val="3EF6E4D6"/>
    <w:rsid w:val="3EFA6771"/>
    <w:rsid w:val="3EFE3418"/>
    <w:rsid w:val="3F0944AF"/>
    <w:rsid w:val="3F0BC746"/>
    <w:rsid w:val="3F10B9BC"/>
    <w:rsid w:val="3F11E476"/>
    <w:rsid w:val="3F159749"/>
    <w:rsid w:val="3F18A2A3"/>
    <w:rsid w:val="3F1C2C74"/>
    <w:rsid w:val="3F1E8AD0"/>
    <w:rsid w:val="3F2AC1A7"/>
    <w:rsid w:val="3F2B4132"/>
    <w:rsid w:val="3F3A8291"/>
    <w:rsid w:val="3F3C94CE"/>
    <w:rsid w:val="3F3CE8FB"/>
    <w:rsid w:val="3F44A3D7"/>
    <w:rsid w:val="3F4916F7"/>
    <w:rsid w:val="3F4C1571"/>
    <w:rsid w:val="3F55E859"/>
    <w:rsid w:val="3F57532D"/>
    <w:rsid w:val="3F610C1B"/>
    <w:rsid w:val="3F6178DA"/>
    <w:rsid w:val="3F64FF9E"/>
    <w:rsid w:val="3F71D060"/>
    <w:rsid w:val="3F7CDF4E"/>
    <w:rsid w:val="3F7F37D6"/>
    <w:rsid w:val="3F8686EA"/>
    <w:rsid w:val="3F91CAA8"/>
    <w:rsid w:val="3FA03AC2"/>
    <w:rsid w:val="3FA8B912"/>
    <w:rsid w:val="3FBBEA22"/>
    <w:rsid w:val="3FC9DF82"/>
    <w:rsid w:val="3FCF10FB"/>
    <w:rsid w:val="3FCF28CA"/>
    <w:rsid w:val="3FD41809"/>
    <w:rsid w:val="3FD7F2CB"/>
    <w:rsid w:val="3FF5BB81"/>
    <w:rsid w:val="3FF8A1D5"/>
    <w:rsid w:val="4003E36A"/>
    <w:rsid w:val="401BC44D"/>
    <w:rsid w:val="401EBC26"/>
    <w:rsid w:val="401FF935"/>
    <w:rsid w:val="40247E3E"/>
    <w:rsid w:val="40291FD6"/>
    <w:rsid w:val="402BA639"/>
    <w:rsid w:val="4035C58C"/>
    <w:rsid w:val="403AA0B3"/>
    <w:rsid w:val="40443BEC"/>
    <w:rsid w:val="404646EB"/>
    <w:rsid w:val="4049D804"/>
    <w:rsid w:val="404EA9FE"/>
    <w:rsid w:val="4053418C"/>
    <w:rsid w:val="405A03A0"/>
    <w:rsid w:val="405AD24F"/>
    <w:rsid w:val="405DA926"/>
    <w:rsid w:val="406DC6CC"/>
    <w:rsid w:val="407835C4"/>
    <w:rsid w:val="40787105"/>
    <w:rsid w:val="4079B711"/>
    <w:rsid w:val="408314A9"/>
    <w:rsid w:val="408D61BD"/>
    <w:rsid w:val="4093D5A7"/>
    <w:rsid w:val="409DDD4C"/>
    <w:rsid w:val="409EE2AB"/>
    <w:rsid w:val="40A3F956"/>
    <w:rsid w:val="40AA8C72"/>
    <w:rsid w:val="40B90318"/>
    <w:rsid w:val="40B91F37"/>
    <w:rsid w:val="40BF350F"/>
    <w:rsid w:val="40CC0B6E"/>
    <w:rsid w:val="40CD7977"/>
    <w:rsid w:val="40D0F416"/>
    <w:rsid w:val="40DDB097"/>
    <w:rsid w:val="40E0381A"/>
    <w:rsid w:val="40E67F65"/>
    <w:rsid w:val="40EE4714"/>
    <w:rsid w:val="40F65C0E"/>
    <w:rsid w:val="40F88003"/>
    <w:rsid w:val="4100B7DA"/>
    <w:rsid w:val="4113F073"/>
    <w:rsid w:val="411C3D0D"/>
    <w:rsid w:val="411D13CA"/>
    <w:rsid w:val="4120490D"/>
    <w:rsid w:val="41259DCC"/>
    <w:rsid w:val="4130A83B"/>
    <w:rsid w:val="4132D3CA"/>
    <w:rsid w:val="4137C4AE"/>
    <w:rsid w:val="413B7D8F"/>
    <w:rsid w:val="413C63C2"/>
    <w:rsid w:val="414F334C"/>
    <w:rsid w:val="415EF674"/>
    <w:rsid w:val="416438EF"/>
    <w:rsid w:val="4168BDD2"/>
    <w:rsid w:val="417079A8"/>
    <w:rsid w:val="4170F14A"/>
    <w:rsid w:val="417393B6"/>
    <w:rsid w:val="41744964"/>
    <w:rsid w:val="417C0365"/>
    <w:rsid w:val="417F9899"/>
    <w:rsid w:val="4196785F"/>
    <w:rsid w:val="41A0BC5B"/>
    <w:rsid w:val="41A13A0B"/>
    <w:rsid w:val="41A5324A"/>
    <w:rsid w:val="41AD28AB"/>
    <w:rsid w:val="41B13368"/>
    <w:rsid w:val="41BB0006"/>
    <w:rsid w:val="41BC00ED"/>
    <w:rsid w:val="41C97B2D"/>
    <w:rsid w:val="41DA4844"/>
    <w:rsid w:val="41DA6AA4"/>
    <w:rsid w:val="41E688BF"/>
    <w:rsid w:val="41E8E804"/>
    <w:rsid w:val="41FE69F9"/>
    <w:rsid w:val="42056626"/>
    <w:rsid w:val="4208BFD2"/>
    <w:rsid w:val="4216C1C5"/>
    <w:rsid w:val="42179DB8"/>
    <w:rsid w:val="4231CBEF"/>
    <w:rsid w:val="423B81D3"/>
    <w:rsid w:val="4246F572"/>
    <w:rsid w:val="425F43FB"/>
    <w:rsid w:val="4269AC63"/>
    <w:rsid w:val="426C58B6"/>
    <w:rsid w:val="427084A2"/>
    <w:rsid w:val="4280E8AD"/>
    <w:rsid w:val="4287AEEB"/>
    <w:rsid w:val="42952681"/>
    <w:rsid w:val="42B36DC1"/>
    <w:rsid w:val="42B7CED8"/>
    <w:rsid w:val="42B8EEA6"/>
    <w:rsid w:val="42C7E47F"/>
    <w:rsid w:val="42C81E01"/>
    <w:rsid w:val="42D47F35"/>
    <w:rsid w:val="42DD2CE9"/>
    <w:rsid w:val="42F3F853"/>
    <w:rsid w:val="42FDBB44"/>
    <w:rsid w:val="430C1024"/>
    <w:rsid w:val="430F6666"/>
    <w:rsid w:val="431F33EB"/>
    <w:rsid w:val="431F99B8"/>
    <w:rsid w:val="4333E38A"/>
    <w:rsid w:val="4353C189"/>
    <w:rsid w:val="435DF3D3"/>
    <w:rsid w:val="43606E42"/>
    <w:rsid w:val="43613229"/>
    <w:rsid w:val="4367E16F"/>
    <w:rsid w:val="436BB40B"/>
    <w:rsid w:val="436D9BE6"/>
    <w:rsid w:val="4374F856"/>
    <w:rsid w:val="43842564"/>
    <w:rsid w:val="438A87CF"/>
    <w:rsid w:val="438EC185"/>
    <w:rsid w:val="4396DD2E"/>
    <w:rsid w:val="4397E619"/>
    <w:rsid w:val="439F838D"/>
    <w:rsid w:val="43BB9D21"/>
    <w:rsid w:val="43C2A067"/>
    <w:rsid w:val="43C44F4F"/>
    <w:rsid w:val="43DD6EE8"/>
    <w:rsid w:val="43E69242"/>
    <w:rsid w:val="43EFB0ED"/>
    <w:rsid w:val="43FBDC2C"/>
    <w:rsid w:val="43FFAC8D"/>
    <w:rsid w:val="440D5A3D"/>
    <w:rsid w:val="4410CF5B"/>
    <w:rsid w:val="4412693C"/>
    <w:rsid w:val="442B019C"/>
    <w:rsid w:val="44302525"/>
    <w:rsid w:val="443A12E2"/>
    <w:rsid w:val="443BF7C6"/>
    <w:rsid w:val="4445B79A"/>
    <w:rsid w:val="44490232"/>
    <w:rsid w:val="444F49DF"/>
    <w:rsid w:val="44525145"/>
    <w:rsid w:val="44542965"/>
    <w:rsid w:val="44594ABD"/>
    <w:rsid w:val="445D9785"/>
    <w:rsid w:val="44673504"/>
    <w:rsid w:val="44690A9C"/>
    <w:rsid w:val="446F2DB6"/>
    <w:rsid w:val="4484BD1C"/>
    <w:rsid w:val="448BB37C"/>
    <w:rsid w:val="449328B9"/>
    <w:rsid w:val="4496FAC3"/>
    <w:rsid w:val="449C7437"/>
    <w:rsid w:val="449CC5AF"/>
    <w:rsid w:val="44B06785"/>
    <w:rsid w:val="44B1C1A2"/>
    <w:rsid w:val="44B2A4DE"/>
    <w:rsid w:val="44B2E58C"/>
    <w:rsid w:val="44BC4DE3"/>
    <w:rsid w:val="44D39089"/>
    <w:rsid w:val="44DD1C87"/>
    <w:rsid w:val="44E57EB4"/>
    <w:rsid w:val="44EC54EA"/>
    <w:rsid w:val="44F49C20"/>
    <w:rsid w:val="44F4FEC8"/>
    <w:rsid w:val="44FCCC59"/>
    <w:rsid w:val="44FECB7D"/>
    <w:rsid w:val="44FFAB02"/>
    <w:rsid w:val="4501DE4C"/>
    <w:rsid w:val="452514A2"/>
    <w:rsid w:val="45285351"/>
    <w:rsid w:val="452C910A"/>
    <w:rsid w:val="4543D48A"/>
    <w:rsid w:val="45446CF7"/>
    <w:rsid w:val="454FFE2F"/>
    <w:rsid w:val="455108EB"/>
    <w:rsid w:val="457FE068"/>
    <w:rsid w:val="458362A2"/>
    <w:rsid w:val="45888070"/>
    <w:rsid w:val="458D2392"/>
    <w:rsid w:val="4599413B"/>
    <w:rsid w:val="459CC409"/>
    <w:rsid w:val="45AB6353"/>
    <w:rsid w:val="45ADA98C"/>
    <w:rsid w:val="45BC55FC"/>
    <w:rsid w:val="45C4B59B"/>
    <w:rsid w:val="45D7F590"/>
    <w:rsid w:val="45D98934"/>
    <w:rsid w:val="45DC8F44"/>
    <w:rsid w:val="45DD10A6"/>
    <w:rsid w:val="45E5F8E3"/>
    <w:rsid w:val="45FB9737"/>
    <w:rsid w:val="4608662D"/>
    <w:rsid w:val="4608CB90"/>
    <w:rsid w:val="4609DEE2"/>
    <w:rsid w:val="460A3660"/>
    <w:rsid w:val="460BB68B"/>
    <w:rsid w:val="460BB69C"/>
    <w:rsid w:val="460D74E0"/>
    <w:rsid w:val="46115E55"/>
    <w:rsid w:val="4611E2F4"/>
    <w:rsid w:val="461634CA"/>
    <w:rsid w:val="461AE7C2"/>
    <w:rsid w:val="461DA10A"/>
    <w:rsid w:val="461EDCA7"/>
    <w:rsid w:val="461FEB6A"/>
    <w:rsid w:val="462146DD"/>
    <w:rsid w:val="462507B7"/>
    <w:rsid w:val="46254286"/>
    <w:rsid w:val="462D0E74"/>
    <w:rsid w:val="463253D7"/>
    <w:rsid w:val="463520C5"/>
    <w:rsid w:val="463AE09D"/>
    <w:rsid w:val="463CD91D"/>
    <w:rsid w:val="4658F5AD"/>
    <w:rsid w:val="465AEF26"/>
    <w:rsid w:val="4661A83B"/>
    <w:rsid w:val="46671A13"/>
    <w:rsid w:val="46757BAC"/>
    <w:rsid w:val="467A1931"/>
    <w:rsid w:val="467D8BC1"/>
    <w:rsid w:val="468C1E4C"/>
    <w:rsid w:val="469666A7"/>
    <w:rsid w:val="46968650"/>
    <w:rsid w:val="46ACDBE3"/>
    <w:rsid w:val="46BE6A4A"/>
    <w:rsid w:val="46C497F1"/>
    <w:rsid w:val="46C4A7B5"/>
    <w:rsid w:val="46C89F9A"/>
    <w:rsid w:val="46C8B0D3"/>
    <w:rsid w:val="46CD3236"/>
    <w:rsid w:val="46D4975C"/>
    <w:rsid w:val="46E002C9"/>
    <w:rsid w:val="46EE4A88"/>
    <w:rsid w:val="46F5690B"/>
    <w:rsid w:val="46FC0DAF"/>
    <w:rsid w:val="470F027F"/>
    <w:rsid w:val="4711408D"/>
    <w:rsid w:val="4711576F"/>
    <w:rsid w:val="47157D91"/>
    <w:rsid w:val="4715DF95"/>
    <w:rsid w:val="471FF45A"/>
    <w:rsid w:val="47288B37"/>
    <w:rsid w:val="472CDB31"/>
    <w:rsid w:val="4734D889"/>
    <w:rsid w:val="473AB189"/>
    <w:rsid w:val="473F5F72"/>
    <w:rsid w:val="47439306"/>
    <w:rsid w:val="4744616C"/>
    <w:rsid w:val="4748462B"/>
    <w:rsid w:val="475A212F"/>
    <w:rsid w:val="475A7894"/>
    <w:rsid w:val="475BD7EC"/>
    <w:rsid w:val="47640165"/>
    <w:rsid w:val="47690D1C"/>
    <w:rsid w:val="476CC0C1"/>
    <w:rsid w:val="476E4B74"/>
    <w:rsid w:val="477A7A31"/>
    <w:rsid w:val="4787B977"/>
    <w:rsid w:val="478E4FEA"/>
    <w:rsid w:val="47904C74"/>
    <w:rsid w:val="47951298"/>
    <w:rsid w:val="4798C474"/>
    <w:rsid w:val="47A51312"/>
    <w:rsid w:val="47B33404"/>
    <w:rsid w:val="47BB2637"/>
    <w:rsid w:val="47C566FE"/>
    <w:rsid w:val="47C82CAE"/>
    <w:rsid w:val="47CABF8D"/>
    <w:rsid w:val="47E834D7"/>
    <w:rsid w:val="47ED5FC2"/>
    <w:rsid w:val="47EFC0BB"/>
    <w:rsid w:val="47FDAB5C"/>
    <w:rsid w:val="4800D69B"/>
    <w:rsid w:val="4809D33D"/>
    <w:rsid w:val="4826A6DD"/>
    <w:rsid w:val="482BC379"/>
    <w:rsid w:val="482FE698"/>
    <w:rsid w:val="48336936"/>
    <w:rsid w:val="483B4C56"/>
    <w:rsid w:val="483D5B59"/>
    <w:rsid w:val="483F22AF"/>
    <w:rsid w:val="4849AB20"/>
    <w:rsid w:val="485AD592"/>
    <w:rsid w:val="485ED27B"/>
    <w:rsid w:val="486504B0"/>
    <w:rsid w:val="48659120"/>
    <w:rsid w:val="486B910C"/>
    <w:rsid w:val="48704E60"/>
    <w:rsid w:val="487D96FA"/>
    <w:rsid w:val="487EA785"/>
    <w:rsid w:val="487F5770"/>
    <w:rsid w:val="4883E107"/>
    <w:rsid w:val="4895DDEF"/>
    <w:rsid w:val="489DC552"/>
    <w:rsid w:val="48A02128"/>
    <w:rsid w:val="48A2F67F"/>
    <w:rsid w:val="48A7B22D"/>
    <w:rsid w:val="48ABF584"/>
    <w:rsid w:val="48B32EA1"/>
    <w:rsid w:val="48B3490B"/>
    <w:rsid w:val="48B511FA"/>
    <w:rsid w:val="48B9EA4D"/>
    <w:rsid w:val="48C2BCB2"/>
    <w:rsid w:val="48C4E506"/>
    <w:rsid w:val="48CE5C92"/>
    <w:rsid w:val="48D0CCA0"/>
    <w:rsid w:val="48E0CFBD"/>
    <w:rsid w:val="48F33C12"/>
    <w:rsid w:val="48F57713"/>
    <w:rsid w:val="48F97241"/>
    <w:rsid w:val="490405F7"/>
    <w:rsid w:val="4916A05C"/>
    <w:rsid w:val="4929537A"/>
    <w:rsid w:val="492F2F4F"/>
    <w:rsid w:val="4932472E"/>
    <w:rsid w:val="4932881B"/>
    <w:rsid w:val="493297DE"/>
    <w:rsid w:val="4933965E"/>
    <w:rsid w:val="4935D8CE"/>
    <w:rsid w:val="493AE9C5"/>
    <w:rsid w:val="493C0A8F"/>
    <w:rsid w:val="493F023A"/>
    <w:rsid w:val="49463080"/>
    <w:rsid w:val="49470920"/>
    <w:rsid w:val="49481D01"/>
    <w:rsid w:val="494A1571"/>
    <w:rsid w:val="495017D5"/>
    <w:rsid w:val="497163E4"/>
    <w:rsid w:val="4975606D"/>
    <w:rsid w:val="49773A6A"/>
    <w:rsid w:val="497D19E8"/>
    <w:rsid w:val="49894B54"/>
    <w:rsid w:val="498E9873"/>
    <w:rsid w:val="49926679"/>
    <w:rsid w:val="4992F11A"/>
    <w:rsid w:val="49957505"/>
    <w:rsid w:val="4997F8B0"/>
    <w:rsid w:val="4999F721"/>
    <w:rsid w:val="499D0D4D"/>
    <w:rsid w:val="49A2FBB5"/>
    <w:rsid w:val="49AD9F60"/>
    <w:rsid w:val="49B759D9"/>
    <w:rsid w:val="49BBDF98"/>
    <w:rsid w:val="49C32E8F"/>
    <w:rsid w:val="49CDF8F7"/>
    <w:rsid w:val="49D05816"/>
    <w:rsid w:val="49DC980F"/>
    <w:rsid w:val="49E47AC9"/>
    <w:rsid w:val="49E54B11"/>
    <w:rsid w:val="49E7FC31"/>
    <w:rsid w:val="49EF209B"/>
    <w:rsid w:val="49F28338"/>
    <w:rsid w:val="49F3BE11"/>
    <w:rsid w:val="49F566F9"/>
    <w:rsid w:val="49F6D169"/>
    <w:rsid w:val="49FAD6BF"/>
    <w:rsid w:val="49FE735A"/>
    <w:rsid w:val="49FFFDED"/>
    <w:rsid w:val="4A0648EA"/>
    <w:rsid w:val="4A0E72E4"/>
    <w:rsid w:val="4A113B97"/>
    <w:rsid w:val="4A123615"/>
    <w:rsid w:val="4A12FA24"/>
    <w:rsid w:val="4A14952B"/>
    <w:rsid w:val="4A1F6834"/>
    <w:rsid w:val="4A2133C0"/>
    <w:rsid w:val="4A258974"/>
    <w:rsid w:val="4A323F51"/>
    <w:rsid w:val="4A328801"/>
    <w:rsid w:val="4A38E033"/>
    <w:rsid w:val="4A43DD10"/>
    <w:rsid w:val="4A48ED75"/>
    <w:rsid w:val="4A4989CD"/>
    <w:rsid w:val="4A4AD291"/>
    <w:rsid w:val="4A519D68"/>
    <w:rsid w:val="4A66D8A8"/>
    <w:rsid w:val="4A6B413D"/>
    <w:rsid w:val="4A6FC9A3"/>
    <w:rsid w:val="4A7486DB"/>
    <w:rsid w:val="4A777208"/>
    <w:rsid w:val="4A7F64E2"/>
    <w:rsid w:val="4A96111B"/>
    <w:rsid w:val="4A97CEFE"/>
    <w:rsid w:val="4A9E7784"/>
    <w:rsid w:val="4AA1F35E"/>
    <w:rsid w:val="4AA639CE"/>
    <w:rsid w:val="4AA6A2D4"/>
    <w:rsid w:val="4AB0E82D"/>
    <w:rsid w:val="4AB8BADD"/>
    <w:rsid w:val="4ABD8C58"/>
    <w:rsid w:val="4AC47C51"/>
    <w:rsid w:val="4AC8C2B8"/>
    <w:rsid w:val="4AD2CC1C"/>
    <w:rsid w:val="4ADE9E01"/>
    <w:rsid w:val="4AF8007A"/>
    <w:rsid w:val="4AFAEB5C"/>
    <w:rsid w:val="4B1274AC"/>
    <w:rsid w:val="4B1B9363"/>
    <w:rsid w:val="4B281605"/>
    <w:rsid w:val="4B28F416"/>
    <w:rsid w:val="4B2958EA"/>
    <w:rsid w:val="4B2C94DE"/>
    <w:rsid w:val="4B34A916"/>
    <w:rsid w:val="4B48ADDA"/>
    <w:rsid w:val="4B4BED3C"/>
    <w:rsid w:val="4B50092D"/>
    <w:rsid w:val="4B5CDBF9"/>
    <w:rsid w:val="4B5D538D"/>
    <w:rsid w:val="4B6B69FD"/>
    <w:rsid w:val="4B72D285"/>
    <w:rsid w:val="4B742AB3"/>
    <w:rsid w:val="4B765278"/>
    <w:rsid w:val="4B773AB5"/>
    <w:rsid w:val="4B7CCBD6"/>
    <w:rsid w:val="4B7D9807"/>
    <w:rsid w:val="4B970F13"/>
    <w:rsid w:val="4B9836E6"/>
    <w:rsid w:val="4B99C078"/>
    <w:rsid w:val="4B9A9AB4"/>
    <w:rsid w:val="4B9E0C8B"/>
    <w:rsid w:val="4BAAB615"/>
    <w:rsid w:val="4BACD184"/>
    <w:rsid w:val="4BBA1B46"/>
    <w:rsid w:val="4BC31CB6"/>
    <w:rsid w:val="4BEC56EC"/>
    <w:rsid w:val="4BFCA215"/>
    <w:rsid w:val="4BFDC1A4"/>
    <w:rsid w:val="4C1A5F62"/>
    <w:rsid w:val="4C27C6A4"/>
    <w:rsid w:val="4C3385D3"/>
    <w:rsid w:val="4C33E2CA"/>
    <w:rsid w:val="4C348238"/>
    <w:rsid w:val="4C3628F3"/>
    <w:rsid w:val="4C461A10"/>
    <w:rsid w:val="4C49192C"/>
    <w:rsid w:val="4C49765A"/>
    <w:rsid w:val="4C4CC69D"/>
    <w:rsid w:val="4C4CE80F"/>
    <w:rsid w:val="4C67825F"/>
    <w:rsid w:val="4C68A1DF"/>
    <w:rsid w:val="4C68A780"/>
    <w:rsid w:val="4C75DD56"/>
    <w:rsid w:val="4C773FDA"/>
    <w:rsid w:val="4C7EBFE8"/>
    <w:rsid w:val="4C83C654"/>
    <w:rsid w:val="4C876206"/>
    <w:rsid w:val="4C8D4D39"/>
    <w:rsid w:val="4C90CC18"/>
    <w:rsid w:val="4C98E06C"/>
    <w:rsid w:val="4CA5160E"/>
    <w:rsid w:val="4CA6C131"/>
    <w:rsid w:val="4CABB66D"/>
    <w:rsid w:val="4CAD062E"/>
    <w:rsid w:val="4CAD87AD"/>
    <w:rsid w:val="4CAE5433"/>
    <w:rsid w:val="4CAFF347"/>
    <w:rsid w:val="4CC079F8"/>
    <w:rsid w:val="4CC88CF9"/>
    <w:rsid w:val="4CCFF630"/>
    <w:rsid w:val="4CE0ABFF"/>
    <w:rsid w:val="4CE27A98"/>
    <w:rsid w:val="4CE486A9"/>
    <w:rsid w:val="4CE6CA3B"/>
    <w:rsid w:val="4CEAB6BF"/>
    <w:rsid w:val="4CF1040E"/>
    <w:rsid w:val="4CF289F8"/>
    <w:rsid w:val="4CF34074"/>
    <w:rsid w:val="4CF5EE31"/>
    <w:rsid w:val="4CF6CE5C"/>
    <w:rsid w:val="4CFE60C2"/>
    <w:rsid w:val="4CFF9BFF"/>
    <w:rsid w:val="4D025B1C"/>
    <w:rsid w:val="4D157063"/>
    <w:rsid w:val="4D1ED604"/>
    <w:rsid w:val="4D230089"/>
    <w:rsid w:val="4D285FBA"/>
    <w:rsid w:val="4D29A360"/>
    <w:rsid w:val="4D2E0DA3"/>
    <w:rsid w:val="4D380386"/>
    <w:rsid w:val="4D3AF6EC"/>
    <w:rsid w:val="4D3D7507"/>
    <w:rsid w:val="4D5390D4"/>
    <w:rsid w:val="4D61E55E"/>
    <w:rsid w:val="4D757D13"/>
    <w:rsid w:val="4D768F70"/>
    <w:rsid w:val="4D795319"/>
    <w:rsid w:val="4D7B8320"/>
    <w:rsid w:val="4D7BD8F1"/>
    <w:rsid w:val="4D7CC409"/>
    <w:rsid w:val="4D7E72D4"/>
    <w:rsid w:val="4D85B14B"/>
    <w:rsid w:val="4D88B2B2"/>
    <w:rsid w:val="4D8A8118"/>
    <w:rsid w:val="4D919808"/>
    <w:rsid w:val="4DA2BFB0"/>
    <w:rsid w:val="4DA4A9BA"/>
    <w:rsid w:val="4DA819BB"/>
    <w:rsid w:val="4DB1D62F"/>
    <w:rsid w:val="4DB219F1"/>
    <w:rsid w:val="4DBD6ECB"/>
    <w:rsid w:val="4DC36D8B"/>
    <w:rsid w:val="4DC70C83"/>
    <w:rsid w:val="4DC7C3B6"/>
    <w:rsid w:val="4DC83148"/>
    <w:rsid w:val="4DD384CD"/>
    <w:rsid w:val="4DD39E8A"/>
    <w:rsid w:val="4DDDB564"/>
    <w:rsid w:val="4DE3723E"/>
    <w:rsid w:val="4DF5E408"/>
    <w:rsid w:val="4DFE8B1B"/>
    <w:rsid w:val="4E0B644D"/>
    <w:rsid w:val="4E0C20C9"/>
    <w:rsid w:val="4E0F8050"/>
    <w:rsid w:val="4E11AB16"/>
    <w:rsid w:val="4E166EF8"/>
    <w:rsid w:val="4E19E8F5"/>
    <w:rsid w:val="4E20EAF7"/>
    <w:rsid w:val="4E2260D5"/>
    <w:rsid w:val="4E246E3C"/>
    <w:rsid w:val="4E35FD16"/>
    <w:rsid w:val="4E397251"/>
    <w:rsid w:val="4E3E0D8C"/>
    <w:rsid w:val="4E533ED4"/>
    <w:rsid w:val="4E573243"/>
    <w:rsid w:val="4E5EDC05"/>
    <w:rsid w:val="4E6775D7"/>
    <w:rsid w:val="4E6DFD62"/>
    <w:rsid w:val="4E726FCA"/>
    <w:rsid w:val="4E796D15"/>
    <w:rsid w:val="4E7E170F"/>
    <w:rsid w:val="4E86BD5F"/>
    <w:rsid w:val="4E96283A"/>
    <w:rsid w:val="4E9D39F4"/>
    <w:rsid w:val="4E9FFF1F"/>
    <w:rsid w:val="4EB05648"/>
    <w:rsid w:val="4EB43AC2"/>
    <w:rsid w:val="4EB5EFEC"/>
    <w:rsid w:val="4EB661DB"/>
    <w:rsid w:val="4EB75BF7"/>
    <w:rsid w:val="4EBA474C"/>
    <w:rsid w:val="4EC9DDC1"/>
    <w:rsid w:val="4ED1C7DE"/>
    <w:rsid w:val="4ED303D1"/>
    <w:rsid w:val="4ED40AA2"/>
    <w:rsid w:val="4EF051AE"/>
    <w:rsid w:val="4EF58303"/>
    <w:rsid w:val="4EFFF470"/>
    <w:rsid w:val="4F07D8B7"/>
    <w:rsid w:val="4F0D05A2"/>
    <w:rsid w:val="4F18A551"/>
    <w:rsid w:val="4F1B9DA4"/>
    <w:rsid w:val="4F27E925"/>
    <w:rsid w:val="4F2D6906"/>
    <w:rsid w:val="4F33A902"/>
    <w:rsid w:val="4F440D32"/>
    <w:rsid w:val="4F4E7D94"/>
    <w:rsid w:val="4F63A98C"/>
    <w:rsid w:val="4F69B1E3"/>
    <w:rsid w:val="4F725BD1"/>
    <w:rsid w:val="4F791E68"/>
    <w:rsid w:val="4F7933FC"/>
    <w:rsid w:val="4F7FD835"/>
    <w:rsid w:val="4F8645A7"/>
    <w:rsid w:val="4F880A0C"/>
    <w:rsid w:val="4F8B0ADE"/>
    <w:rsid w:val="4F9E943C"/>
    <w:rsid w:val="4FA2CE10"/>
    <w:rsid w:val="4FA5A466"/>
    <w:rsid w:val="4FA9E4D2"/>
    <w:rsid w:val="4FAB0CBC"/>
    <w:rsid w:val="4FAC6338"/>
    <w:rsid w:val="4FB15B52"/>
    <w:rsid w:val="4FBF1C76"/>
    <w:rsid w:val="4FC75869"/>
    <w:rsid w:val="4FD40F47"/>
    <w:rsid w:val="4FE13507"/>
    <w:rsid w:val="4FE8AEFF"/>
    <w:rsid w:val="4FF398E3"/>
    <w:rsid w:val="4FF88FB6"/>
    <w:rsid w:val="4FF92F45"/>
    <w:rsid w:val="4FFB23FB"/>
    <w:rsid w:val="5002FA24"/>
    <w:rsid w:val="50033B2E"/>
    <w:rsid w:val="50110206"/>
    <w:rsid w:val="501995EC"/>
    <w:rsid w:val="502B2181"/>
    <w:rsid w:val="502D6A43"/>
    <w:rsid w:val="503DA5B2"/>
    <w:rsid w:val="504E1D36"/>
    <w:rsid w:val="504F8650"/>
    <w:rsid w:val="5060402A"/>
    <w:rsid w:val="506E0F3D"/>
    <w:rsid w:val="506F6035"/>
    <w:rsid w:val="5072A198"/>
    <w:rsid w:val="50756F30"/>
    <w:rsid w:val="5083A794"/>
    <w:rsid w:val="5089CA34"/>
    <w:rsid w:val="508B7AA7"/>
    <w:rsid w:val="50916418"/>
    <w:rsid w:val="50986565"/>
    <w:rsid w:val="50A51ACD"/>
    <w:rsid w:val="50AAF03D"/>
    <w:rsid w:val="50B31840"/>
    <w:rsid w:val="50B3F481"/>
    <w:rsid w:val="50B50B98"/>
    <w:rsid w:val="50B67A8E"/>
    <w:rsid w:val="50C2C77E"/>
    <w:rsid w:val="50C2D162"/>
    <w:rsid w:val="50C4F5BC"/>
    <w:rsid w:val="50C7DDDD"/>
    <w:rsid w:val="50CA84BC"/>
    <w:rsid w:val="50CE1B5B"/>
    <w:rsid w:val="50D08F44"/>
    <w:rsid w:val="50DC4F29"/>
    <w:rsid w:val="50E490F3"/>
    <w:rsid w:val="50EB86EC"/>
    <w:rsid w:val="50F1D79B"/>
    <w:rsid w:val="50F64F74"/>
    <w:rsid w:val="50FB9A8B"/>
    <w:rsid w:val="50FEA25B"/>
    <w:rsid w:val="51018F62"/>
    <w:rsid w:val="5106EDC7"/>
    <w:rsid w:val="510DFB1D"/>
    <w:rsid w:val="511D4D5C"/>
    <w:rsid w:val="511E9E76"/>
    <w:rsid w:val="511F9245"/>
    <w:rsid w:val="51220FD0"/>
    <w:rsid w:val="513B9323"/>
    <w:rsid w:val="515532E4"/>
    <w:rsid w:val="515AF806"/>
    <w:rsid w:val="516609B1"/>
    <w:rsid w:val="518AD8BB"/>
    <w:rsid w:val="519EEA44"/>
    <w:rsid w:val="51A1E841"/>
    <w:rsid w:val="51A96549"/>
    <w:rsid w:val="51A9F0F4"/>
    <w:rsid w:val="51AC8C82"/>
    <w:rsid w:val="51B78EF5"/>
    <w:rsid w:val="51BE4188"/>
    <w:rsid w:val="51C7470A"/>
    <w:rsid w:val="51C8AD82"/>
    <w:rsid w:val="51CB5C52"/>
    <w:rsid w:val="51CFE258"/>
    <w:rsid w:val="51D5C7ED"/>
    <w:rsid w:val="51E0C151"/>
    <w:rsid w:val="51E2CA3E"/>
    <w:rsid w:val="51E8ED19"/>
    <w:rsid w:val="51EE3AC4"/>
    <w:rsid w:val="51F00377"/>
    <w:rsid w:val="51F37385"/>
    <w:rsid w:val="51FBF70F"/>
    <w:rsid w:val="5209316A"/>
    <w:rsid w:val="520AA646"/>
    <w:rsid w:val="521DEF6F"/>
    <w:rsid w:val="521FCAFB"/>
    <w:rsid w:val="52213D55"/>
    <w:rsid w:val="523E2FA2"/>
    <w:rsid w:val="524718FF"/>
    <w:rsid w:val="52563048"/>
    <w:rsid w:val="525970F2"/>
    <w:rsid w:val="525E0ED9"/>
    <w:rsid w:val="526F4FB0"/>
    <w:rsid w:val="52705217"/>
    <w:rsid w:val="52885E10"/>
    <w:rsid w:val="5288F8E1"/>
    <w:rsid w:val="528CBF3A"/>
    <w:rsid w:val="52989A2A"/>
    <w:rsid w:val="529A2994"/>
    <w:rsid w:val="52A14105"/>
    <w:rsid w:val="52A2BE55"/>
    <w:rsid w:val="52AA3367"/>
    <w:rsid w:val="52AC4BA9"/>
    <w:rsid w:val="52AC961E"/>
    <w:rsid w:val="52AE430A"/>
    <w:rsid w:val="52B28896"/>
    <w:rsid w:val="52B8DFAA"/>
    <w:rsid w:val="52C748A7"/>
    <w:rsid w:val="52CDC0EE"/>
    <w:rsid w:val="52D91FA5"/>
    <w:rsid w:val="52D9DB34"/>
    <w:rsid w:val="52E43C83"/>
    <w:rsid w:val="52E464A5"/>
    <w:rsid w:val="52E7AD6F"/>
    <w:rsid w:val="52EC84D5"/>
    <w:rsid w:val="52F2231A"/>
    <w:rsid w:val="52FDD015"/>
    <w:rsid w:val="5305D83E"/>
    <w:rsid w:val="530670E8"/>
    <w:rsid w:val="530D1DF0"/>
    <w:rsid w:val="5335A4D6"/>
    <w:rsid w:val="53380A09"/>
    <w:rsid w:val="5345AB3B"/>
    <w:rsid w:val="5357FB89"/>
    <w:rsid w:val="5358C9FA"/>
    <w:rsid w:val="535FA632"/>
    <w:rsid w:val="5362D74A"/>
    <w:rsid w:val="536CEC1A"/>
    <w:rsid w:val="5370FA82"/>
    <w:rsid w:val="537EA8CC"/>
    <w:rsid w:val="53815BA9"/>
    <w:rsid w:val="538ACFBF"/>
    <w:rsid w:val="538F64F5"/>
    <w:rsid w:val="53902582"/>
    <w:rsid w:val="5394C16B"/>
    <w:rsid w:val="539A6CF1"/>
    <w:rsid w:val="53A073A2"/>
    <w:rsid w:val="53B1955B"/>
    <w:rsid w:val="53BA93C7"/>
    <w:rsid w:val="53D0490E"/>
    <w:rsid w:val="53D2B02B"/>
    <w:rsid w:val="53D96949"/>
    <w:rsid w:val="53DEA31F"/>
    <w:rsid w:val="53E724F5"/>
    <w:rsid w:val="53EE4187"/>
    <w:rsid w:val="53F7E836"/>
    <w:rsid w:val="53F8D7C0"/>
    <w:rsid w:val="53FE39F9"/>
    <w:rsid w:val="54182B04"/>
    <w:rsid w:val="541DCA1C"/>
    <w:rsid w:val="54200E5E"/>
    <w:rsid w:val="542F3FD6"/>
    <w:rsid w:val="5437DE77"/>
    <w:rsid w:val="543E58E7"/>
    <w:rsid w:val="5446C9CF"/>
    <w:rsid w:val="544BCA82"/>
    <w:rsid w:val="5457C604"/>
    <w:rsid w:val="54611F03"/>
    <w:rsid w:val="546511C8"/>
    <w:rsid w:val="546CA415"/>
    <w:rsid w:val="546E8232"/>
    <w:rsid w:val="5472790F"/>
    <w:rsid w:val="5473992D"/>
    <w:rsid w:val="547A03C4"/>
    <w:rsid w:val="54829B36"/>
    <w:rsid w:val="5496F335"/>
    <w:rsid w:val="549DAA82"/>
    <w:rsid w:val="54A9664C"/>
    <w:rsid w:val="54B29746"/>
    <w:rsid w:val="54B53A96"/>
    <w:rsid w:val="54B58B33"/>
    <w:rsid w:val="54BF8F0E"/>
    <w:rsid w:val="54C6326A"/>
    <w:rsid w:val="54CFC17C"/>
    <w:rsid w:val="54D1E113"/>
    <w:rsid w:val="54DF35F1"/>
    <w:rsid w:val="54F24D19"/>
    <w:rsid w:val="54FAB5F4"/>
    <w:rsid w:val="54FE6CF5"/>
    <w:rsid w:val="55018673"/>
    <w:rsid w:val="5503BE61"/>
    <w:rsid w:val="55043EE6"/>
    <w:rsid w:val="550F51B5"/>
    <w:rsid w:val="551A88DC"/>
    <w:rsid w:val="551EFFF6"/>
    <w:rsid w:val="55218D08"/>
    <w:rsid w:val="55224B0E"/>
    <w:rsid w:val="552323A5"/>
    <w:rsid w:val="5529FCA6"/>
    <w:rsid w:val="552A2DDF"/>
    <w:rsid w:val="552B0BDC"/>
    <w:rsid w:val="552C3F05"/>
    <w:rsid w:val="552D291C"/>
    <w:rsid w:val="552EDA07"/>
    <w:rsid w:val="552FA469"/>
    <w:rsid w:val="5545EF6C"/>
    <w:rsid w:val="5546E0CB"/>
    <w:rsid w:val="554B6E29"/>
    <w:rsid w:val="554C3114"/>
    <w:rsid w:val="554DDBCA"/>
    <w:rsid w:val="5551AABA"/>
    <w:rsid w:val="555D01E7"/>
    <w:rsid w:val="555D7B66"/>
    <w:rsid w:val="55647EF3"/>
    <w:rsid w:val="5566CEDF"/>
    <w:rsid w:val="5567B314"/>
    <w:rsid w:val="556D596A"/>
    <w:rsid w:val="556FC77C"/>
    <w:rsid w:val="5580AA4C"/>
    <w:rsid w:val="5588FF0E"/>
    <w:rsid w:val="558E5DC1"/>
    <w:rsid w:val="559D541A"/>
    <w:rsid w:val="559ECE7B"/>
    <w:rsid w:val="55A176AA"/>
    <w:rsid w:val="55AB403C"/>
    <w:rsid w:val="55C5A923"/>
    <w:rsid w:val="55CBA5DE"/>
    <w:rsid w:val="55E547C5"/>
    <w:rsid w:val="55EB557A"/>
    <w:rsid w:val="55F898C2"/>
    <w:rsid w:val="55FF4EB4"/>
    <w:rsid w:val="5601109A"/>
    <w:rsid w:val="560B4BB8"/>
    <w:rsid w:val="5619DDB0"/>
    <w:rsid w:val="561A4F6D"/>
    <w:rsid w:val="561FDCF3"/>
    <w:rsid w:val="5629BB44"/>
    <w:rsid w:val="56483B29"/>
    <w:rsid w:val="564D18AF"/>
    <w:rsid w:val="564D76A1"/>
    <w:rsid w:val="565550A0"/>
    <w:rsid w:val="5657C4E7"/>
    <w:rsid w:val="56648C40"/>
    <w:rsid w:val="566727EA"/>
    <w:rsid w:val="56673F7B"/>
    <w:rsid w:val="567AE2B7"/>
    <w:rsid w:val="56806FBE"/>
    <w:rsid w:val="56888236"/>
    <w:rsid w:val="568B9FB6"/>
    <w:rsid w:val="568D3754"/>
    <w:rsid w:val="569BCAA1"/>
    <w:rsid w:val="56A35C2A"/>
    <w:rsid w:val="56A3B897"/>
    <w:rsid w:val="56AF77E8"/>
    <w:rsid w:val="56B1820B"/>
    <w:rsid w:val="56B3481A"/>
    <w:rsid w:val="56B583F9"/>
    <w:rsid w:val="56D6D19D"/>
    <w:rsid w:val="56E144B8"/>
    <w:rsid w:val="56E22631"/>
    <w:rsid w:val="56E2D828"/>
    <w:rsid w:val="56E645CA"/>
    <w:rsid w:val="56F6F073"/>
    <w:rsid w:val="5705AD16"/>
    <w:rsid w:val="570F0EED"/>
    <w:rsid w:val="570F90DE"/>
    <w:rsid w:val="57253D07"/>
    <w:rsid w:val="57286C51"/>
    <w:rsid w:val="5738062D"/>
    <w:rsid w:val="573BBFDA"/>
    <w:rsid w:val="573C58BC"/>
    <w:rsid w:val="573D31BF"/>
    <w:rsid w:val="57434163"/>
    <w:rsid w:val="574ECEBA"/>
    <w:rsid w:val="5755A9EA"/>
    <w:rsid w:val="575AD937"/>
    <w:rsid w:val="575D3D8B"/>
    <w:rsid w:val="57647A30"/>
    <w:rsid w:val="576F7E99"/>
    <w:rsid w:val="577BA5C1"/>
    <w:rsid w:val="57A04E09"/>
    <w:rsid w:val="57AB3741"/>
    <w:rsid w:val="57D94F22"/>
    <w:rsid w:val="57DB0D3E"/>
    <w:rsid w:val="57DF7A87"/>
    <w:rsid w:val="57E06160"/>
    <w:rsid w:val="57EF3A59"/>
    <w:rsid w:val="57F584A9"/>
    <w:rsid w:val="57FE4815"/>
    <w:rsid w:val="5804DFD9"/>
    <w:rsid w:val="5806BB70"/>
    <w:rsid w:val="5806F916"/>
    <w:rsid w:val="580D2C6D"/>
    <w:rsid w:val="580DA7C5"/>
    <w:rsid w:val="58185916"/>
    <w:rsid w:val="58211BC9"/>
    <w:rsid w:val="582A3E94"/>
    <w:rsid w:val="582E51BE"/>
    <w:rsid w:val="583110B9"/>
    <w:rsid w:val="5832BE58"/>
    <w:rsid w:val="58343F76"/>
    <w:rsid w:val="5849DFDB"/>
    <w:rsid w:val="58537F74"/>
    <w:rsid w:val="585D29B1"/>
    <w:rsid w:val="586CC797"/>
    <w:rsid w:val="58753610"/>
    <w:rsid w:val="58763556"/>
    <w:rsid w:val="58783072"/>
    <w:rsid w:val="5883CA48"/>
    <w:rsid w:val="5888A57D"/>
    <w:rsid w:val="588CB6D1"/>
    <w:rsid w:val="5895A960"/>
    <w:rsid w:val="58A06AAC"/>
    <w:rsid w:val="58A7CF4F"/>
    <w:rsid w:val="58AC6AF3"/>
    <w:rsid w:val="58B36EDC"/>
    <w:rsid w:val="58BE8CFE"/>
    <w:rsid w:val="58C3A5EC"/>
    <w:rsid w:val="58DEF4FD"/>
    <w:rsid w:val="58ED435F"/>
    <w:rsid w:val="58EE580A"/>
    <w:rsid w:val="58F037D7"/>
    <w:rsid w:val="58FA3289"/>
    <w:rsid w:val="58FDD094"/>
    <w:rsid w:val="58FE7B6E"/>
    <w:rsid w:val="59003409"/>
    <w:rsid w:val="59085896"/>
    <w:rsid w:val="59254534"/>
    <w:rsid w:val="5928791C"/>
    <w:rsid w:val="5929ADD9"/>
    <w:rsid w:val="593D2952"/>
    <w:rsid w:val="593E4966"/>
    <w:rsid w:val="5943BD83"/>
    <w:rsid w:val="594EABEE"/>
    <w:rsid w:val="595BA15C"/>
    <w:rsid w:val="595C658A"/>
    <w:rsid w:val="5977D10E"/>
    <w:rsid w:val="597F446F"/>
    <w:rsid w:val="597FD5B7"/>
    <w:rsid w:val="5991D524"/>
    <w:rsid w:val="599F592C"/>
    <w:rsid w:val="59AABF0C"/>
    <w:rsid w:val="59AC0113"/>
    <w:rsid w:val="59B62B76"/>
    <w:rsid w:val="59C2EE9B"/>
    <w:rsid w:val="59C453F2"/>
    <w:rsid w:val="59C4F044"/>
    <w:rsid w:val="59CC6839"/>
    <w:rsid w:val="59D0EACA"/>
    <w:rsid w:val="59D578A5"/>
    <w:rsid w:val="59D581E8"/>
    <w:rsid w:val="59F1E4DB"/>
    <w:rsid w:val="59F82B24"/>
    <w:rsid w:val="5A05F6E0"/>
    <w:rsid w:val="5A115356"/>
    <w:rsid w:val="5A123787"/>
    <w:rsid w:val="5A1FF29F"/>
    <w:rsid w:val="5A224B51"/>
    <w:rsid w:val="5A2828E0"/>
    <w:rsid w:val="5A2A2D17"/>
    <w:rsid w:val="5A2A538F"/>
    <w:rsid w:val="5A33D4B3"/>
    <w:rsid w:val="5A345503"/>
    <w:rsid w:val="5A38687E"/>
    <w:rsid w:val="5A3C7168"/>
    <w:rsid w:val="5A420FBD"/>
    <w:rsid w:val="5A4D8CE6"/>
    <w:rsid w:val="5A55FA5B"/>
    <w:rsid w:val="5A657F04"/>
    <w:rsid w:val="5A7184C8"/>
    <w:rsid w:val="5A71E694"/>
    <w:rsid w:val="5A781F47"/>
    <w:rsid w:val="5A79D1C9"/>
    <w:rsid w:val="5A7CB07B"/>
    <w:rsid w:val="5A7F6116"/>
    <w:rsid w:val="5A80DE29"/>
    <w:rsid w:val="5A83FDCB"/>
    <w:rsid w:val="5A8B2E59"/>
    <w:rsid w:val="5A8E1131"/>
    <w:rsid w:val="5A90383C"/>
    <w:rsid w:val="5A9044F0"/>
    <w:rsid w:val="5A95A21D"/>
    <w:rsid w:val="5A9CC9EF"/>
    <w:rsid w:val="5AA37ED5"/>
    <w:rsid w:val="5AABEFC5"/>
    <w:rsid w:val="5AAE70F9"/>
    <w:rsid w:val="5ACA74F1"/>
    <w:rsid w:val="5AD73B09"/>
    <w:rsid w:val="5AE7020A"/>
    <w:rsid w:val="5AF68AAE"/>
    <w:rsid w:val="5AFBAD29"/>
    <w:rsid w:val="5B05B370"/>
    <w:rsid w:val="5B0E5E6F"/>
    <w:rsid w:val="5B122A38"/>
    <w:rsid w:val="5B15F173"/>
    <w:rsid w:val="5B169B42"/>
    <w:rsid w:val="5B22CFF3"/>
    <w:rsid w:val="5B24B941"/>
    <w:rsid w:val="5B25F0B5"/>
    <w:rsid w:val="5B2B2E81"/>
    <w:rsid w:val="5B2EAE4F"/>
    <w:rsid w:val="5B34132F"/>
    <w:rsid w:val="5B4A35AD"/>
    <w:rsid w:val="5B4D461B"/>
    <w:rsid w:val="5B53F6B9"/>
    <w:rsid w:val="5B6BF638"/>
    <w:rsid w:val="5B77D43F"/>
    <w:rsid w:val="5B8BD20B"/>
    <w:rsid w:val="5B8D94F4"/>
    <w:rsid w:val="5B8EF8D3"/>
    <w:rsid w:val="5B92BCD6"/>
    <w:rsid w:val="5B9D2EF3"/>
    <w:rsid w:val="5B9F650E"/>
    <w:rsid w:val="5BB8EABE"/>
    <w:rsid w:val="5BBAC50F"/>
    <w:rsid w:val="5BC40839"/>
    <w:rsid w:val="5BD1483E"/>
    <w:rsid w:val="5BE4E3A5"/>
    <w:rsid w:val="5BE80F54"/>
    <w:rsid w:val="5BE867C5"/>
    <w:rsid w:val="5BE8DEA7"/>
    <w:rsid w:val="5BF884FB"/>
    <w:rsid w:val="5BFA3864"/>
    <w:rsid w:val="5C0166BA"/>
    <w:rsid w:val="5C0235F1"/>
    <w:rsid w:val="5C037995"/>
    <w:rsid w:val="5C0382BA"/>
    <w:rsid w:val="5C066769"/>
    <w:rsid w:val="5C0793F0"/>
    <w:rsid w:val="5C1D350D"/>
    <w:rsid w:val="5C1F6B5C"/>
    <w:rsid w:val="5C29277E"/>
    <w:rsid w:val="5C2FAEE9"/>
    <w:rsid w:val="5C34D35A"/>
    <w:rsid w:val="5C3A063A"/>
    <w:rsid w:val="5C445866"/>
    <w:rsid w:val="5C60CA06"/>
    <w:rsid w:val="5C69FE9D"/>
    <w:rsid w:val="5C77F186"/>
    <w:rsid w:val="5C7A60CB"/>
    <w:rsid w:val="5C82AB04"/>
    <w:rsid w:val="5C8D9FD4"/>
    <w:rsid w:val="5C96CD66"/>
    <w:rsid w:val="5CA2D03F"/>
    <w:rsid w:val="5CA64A22"/>
    <w:rsid w:val="5CB322A0"/>
    <w:rsid w:val="5CC3C9EA"/>
    <w:rsid w:val="5CC52F85"/>
    <w:rsid w:val="5CC81BB3"/>
    <w:rsid w:val="5CCF624B"/>
    <w:rsid w:val="5CD9347D"/>
    <w:rsid w:val="5CE062F0"/>
    <w:rsid w:val="5CE6B521"/>
    <w:rsid w:val="5CE8897A"/>
    <w:rsid w:val="5D09A644"/>
    <w:rsid w:val="5D0B1DBE"/>
    <w:rsid w:val="5D138E0A"/>
    <w:rsid w:val="5D3F9107"/>
    <w:rsid w:val="5D4A0F06"/>
    <w:rsid w:val="5D568493"/>
    <w:rsid w:val="5D5FC761"/>
    <w:rsid w:val="5D6090E7"/>
    <w:rsid w:val="5D6357F4"/>
    <w:rsid w:val="5D6D62B8"/>
    <w:rsid w:val="5D6FC066"/>
    <w:rsid w:val="5D710BF9"/>
    <w:rsid w:val="5D759274"/>
    <w:rsid w:val="5D77A2C0"/>
    <w:rsid w:val="5D7E35C4"/>
    <w:rsid w:val="5D803E19"/>
    <w:rsid w:val="5D8243C2"/>
    <w:rsid w:val="5D8985ED"/>
    <w:rsid w:val="5D9CE0C3"/>
    <w:rsid w:val="5D9F5839"/>
    <w:rsid w:val="5DA3BB79"/>
    <w:rsid w:val="5DA6BED5"/>
    <w:rsid w:val="5DA880D6"/>
    <w:rsid w:val="5DA8A6E4"/>
    <w:rsid w:val="5DBAA259"/>
    <w:rsid w:val="5DC055E9"/>
    <w:rsid w:val="5DC6006E"/>
    <w:rsid w:val="5DC7272C"/>
    <w:rsid w:val="5DD80055"/>
    <w:rsid w:val="5DD8D857"/>
    <w:rsid w:val="5DDC0603"/>
    <w:rsid w:val="5DDEACA9"/>
    <w:rsid w:val="5DE72592"/>
    <w:rsid w:val="5DEA930B"/>
    <w:rsid w:val="5DED2928"/>
    <w:rsid w:val="5E115D1D"/>
    <w:rsid w:val="5E120A10"/>
    <w:rsid w:val="5E17BA32"/>
    <w:rsid w:val="5E19A0A0"/>
    <w:rsid w:val="5E1FD7C2"/>
    <w:rsid w:val="5E22FE0B"/>
    <w:rsid w:val="5E25F5DA"/>
    <w:rsid w:val="5E268445"/>
    <w:rsid w:val="5E380638"/>
    <w:rsid w:val="5E3B7B56"/>
    <w:rsid w:val="5E4408FE"/>
    <w:rsid w:val="5E5258C6"/>
    <w:rsid w:val="5E589AB5"/>
    <w:rsid w:val="5E5E93E3"/>
    <w:rsid w:val="5E633546"/>
    <w:rsid w:val="5E647234"/>
    <w:rsid w:val="5E6B07D3"/>
    <w:rsid w:val="5E799A32"/>
    <w:rsid w:val="5E7A9FC6"/>
    <w:rsid w:val="5E7D9266"/>
    <w:rsid w:val="5E80DAEF"/>
    <w:rsid w:val="5E814812"/>
    <w:rsid w:val="5E824318"/>
    <w:rsid w:val="5E8A5C92"/>
    <w:rsid w:val="5E9C9778"/>
    <w:rsid w:val="5EA3341F"/>
    <w:rsid w:val="5EC25D54"/>
    <w:rsid w:val="5EC55199"/>
    <w:rsid w:val="5ECB4EB7"/>
    <w:rsid w:val="5ED3CF26"/>
    <w:rsid w:val="5EE33B9D"/>
    <w:rsid w:val="5EE6FDE2"/>
    <w:rsid w:val="5EE94426"/>
    <w:rsid w:val="5EF07B0A"/>
    <w:rsid w:val="5EF0EAA4"/>
    <w:rsid w:val="5EFD29D0"/>
    <w:rsid w:val="5EFD303E"/>
    <w:rsid w:val="5F05951D"/>
    <w:rsid w:val="5F05BAF4"/>
    <w:rsid w:val="5F09DEF0"/>
    <w:rsid w:val="5F1E2CA5"/>
    <w:rsid w:val="5F24306B"/>
    <w:rsid w:val="5F29DFBE"/>
    <w:rsid w:val="5F3224C5"/>
    <w:rsid w:val="5F407BDE"/>
    <w:rsid w:val="5F4459C7"/>
    <w:rsid w:val="5F51810F"/>
    <w:rsid w:val="5F57EFD0"/>
    <w:rsid w:val="5F5FEB36"/>
    <w:rsid w:val="5F64F4D3"/>
    <w:rsid w:val="5F6884EC"/>
    <w:rsid w:val="5F6A6BAE"/>
    <w:rsid w:val="5F76FA41"/>
    <w:rsid w:val="5F7CFF84"/>
    <w:rsid w:val="5F7FDDD7"/>
    <w:rsid w:val="5F8447A8"/>
    <w:rsid w:val="5F887A1C"/>
    <w:rsid w:val="5F8C2A1C"/>
    <w:rsid w:val="5F97C2FD"/>
    <w:rsid w:val="5F9891D6"/>
    <w:rsid w:val="5F9A47F2"/>
    <w:rsid w:val="5F9E01D6"/>
    <w:rsid w:val="5FA334C8"/>
    <w:rsid w:val="5FABD3E2"/>
    <w:rsid w:val="5FACC3B1"/>
    <w:rsid w:val="5FB0950D"/>
    <w:rsid w:val="5FC24D03"/>
    <w:rsid w:val="5FC8D6D8"/>
    <w:rsid w:val="5FCAB5AA"/>
    <w:rsid w:val="5FCF825B"/>
    <w:rsid w:val="5FD0B9B2"/>
    <w:rsid w:val="5FD1A9C9"/>
    <w:rsid w:val="5FD27F4E"/>
    <w:rsid w:val="5FD29BA8"/>
    <w:rsid w:val="5FD39FEA"/>
    <w:rsid w:val="5FD47653"/>
    <w:rsid w:val="5FDCF7C5"/>
    <w:rsid w:val="5FDEBA00"/>
    <w:rsid w:val="5FE8C6E8"/>
    <w:rsid w:val="5FF68AAB"/>
    <w:rsid w:val="5FF6C5BD"/>
    <w:rsid w:val="5FFF14D2"/>
    <w:rsid w:val="6010BEE7"/>
    <w:rsid w:val="60111F4B"/>
    <w:rsid w:val="60194C56"/>
    <w:rsid w:val="601A61B8"/>
    <w:rsid w:val="601AE436"/>
    <w:rsid w:val="6024FC6E"/>
    <w:rsid w:val="602595B4"/>
    <w:rsid w:val="602BB174"/>
    <w:rsid w:val="6031A141"/>
    <w:rsid w:val="6036AA3F"/>
    <w:rsid w:val="60441CBD"/>
    <w:rsid w:val="6053E2DB"/>
    <w:rsid w:val="6053FF95"/>
    <w:rsid w:val="606ED21E"/>
    <w:rsid w:val="608034CE"/>
    <w:rsid w:val="60912A86"/>
    <w:rsid w:val="609BBEC8"/>
    <w:rsid w:val="60A2252F"/>
    <w:rsid w:val="60A8ADCA"/>
    <w:rsid w:val="60ABA91A"/>
    <w:rsid w:val="60B01744"/>
    <w:rsid w:val="60B736D9"/>
    <w:rsid w:val="60BCC7D6"/>
    <w:rsid w:val="60C5CE68"/>
    <w:rsid w:val="60CED042"/>
    <w:rsid w:val="60D03580"/>
    <w:rsid w:val="610153EF"/>
    <w:rsid w:val="61099A27"/>
    <w:rsid w:val="6110BF69"/>
    <w:rsid w:val="61172779"/>
    <w:rsid w:val="611E5043"/>
    <w:rsid w:val="611FA160"/>
    <w:rsid w:val="612DB2CD"/>
    <w:rsid w:val="6135BDBE"/>
    <w:rsid w:val="613CC0BE"/>
    <w:rsid w:val="6157EB17"/>
    <w:rsid w:val="6160650B"/>
    <w:rsid w:val="6160DB2E"/>
    <w:rsid w:val="616C1DDF"/>
    <w:rsid w:val="6175113A"/>
    <w:rsid w:val="6179CEB9"/>
    <w:rsid w:val="617B7D1E"/>
    <w:rsid w:val="6186DD4D"/>
    <w:rsid w:val="61901938"/>
    <w:rsid w:val="619571AD"/>
    <w:rsid w:val="619F304A"/>
    <w:rsid w:val="619FAC0F"/>
    <w:rsid w:val="61A1110E"/>
    <w:rsid w:val="61A27283"/>
    <w:rsid w:val="61AEB8EB"/>
    <w:rsid w:val="61B10144"/>
    <w:rsid w:val="61B5EB34"/>
    <w:rsid w:val="61BEFF0A"/>
    <w:rsid w:val="61CEA855"/>
    <w:rsid w:val="61D34FEE"/>
    <w:rsid w:val="61E0993E"/>
    <w:rsid w:val="61E2F173"/>
    <w:rsid w:val="61E68EBE"/>
    <w:rsid w:val="61EEDF80"/>
    <w:rsid w:val="61F5D622"/>
    <w:rsid w:val="61F9D74F"/>
    <w:rsid w:val="61FCA5AF"/>
    <w:rsid w:val="62013C93"/>
    <w:rsid w:val="62076A96"/>
    <w:rsid w:val="6208FA5F"/>
    <w:rsid w:val="620B0E6E"/>
    <w:rsid w:val="62108E3C"/>
    <w:rsid w:val="621B088A"/>
    <w:rsid w:val="622C6FE5"/>
    <w:rsid w:val="62378E0E"/>
    <w:rsid w:val="62596AC6"/>
    <w:rsid w:val="626393BB"/>
    <w:rsid w:val="62644D89"/>
    <w:rsid w:val="626A0044"/>
    <w:rsid w:val="626A6076"/>
    <w:rsid w:val="626D40EC"/>
    <w:rsid w:val="626F3257"/>
    <w:rsid w:val="6280A364"/>
    <w:rsid w:val="628BAFAC"/>
    <w:rsid w:val="629AAFBC"/>
    <w:rsid w:val="62A82723"/>
    <w:rsid w:val="62AD1997"/>
    <w:rsid w:val="62B8CD93"/>
    <w:rsid w:val="62CB0587"/>
    <w:rsid w:val="62CB90A9"/>
    <w:rsid w:val="62DA43AF"/>
    <w:rsid w:val="62E0A7A2"/>
    <w:rsid w:val="62EA3138"/>
    <w:rsid w:val="62EF2198"/>
    <w:rsid w:val="62F0DB17"/>
    <w:rsid w:val="62F53F64"/>
    <w:rsid w:val="630CCED8"/>
    <w:rsid w:val="6310B888"/>
    <w:rsid w:val="6310C8FE"/>
    <w:rsid w:val="6323A0BE"/>
    <w:rsid w:val="6333BBDC"/>
    <w:rsid w:val="6334D9DB"/>
    <w:rsid w:val="633B5909"/>
    <w:rsid w:val="6341F97D"/>
    <w:rsid w:val="63478FA1"/>
    <w:rsid w:val="634A86EA"/>
    <w:rsid w:val="635813B5"/>
    <w:rsid w:val="635B9D00"/>
    <w:rsid w:val="635D6A10"/>
    <w:rsid w:val="6367505E"/>
    <w:rsid w:val="63681B5C"/>
    <w:rsid w:val="636BF315"/>
    <w:rsid w:val="637DE3EC"/>
    <w:rsid w:val="6394EDD5"/>
    <w:rsid w:val="639ECBE2"/>
    <w:rsid w:val="639F1DCD"/>
    <w:rsid w:val="63A96E14"/>
    <w:rsid w:val="63C4DC78"/>
    <w:rsid w:val="63C7F01C"/>
    <w:rsid w:val="63C8C4BA"/>
    <w:rsid w:val="63C942D4"/>
    <w:rsid w:val="63ECC14C"/>
    <w:rsid w:val="63F57029"/>
    <w:rsid w:val="63F95CCD"/>
    <w:rsid w:val="63FADA7D"/>
    <w:rsid w:val="63FB1D4C"/>
    <w:rsid w:val="6401EF20"/>
    <w:rsid w:val="6409CEC7"/>
    <w:rsid w:val="641A7264"/>
    <w:rsid w:val="641A72CF"/>
    <w:rsid w:val="641D3209"/>
    <w:rsid w:val="641DA4F8"/>
    <w:rsid w:val="64298072"/>
    <w:rsid w:val="64310813"/>
    <w:rsid w:val="6433CC35"/>
    <w:rsid w:val="64364DFC"/>
    <w:rsid w:val="6439B8D3"/>
    <w:rsid w:val="643C0F6D"/>
    <w:rsid w:val="6442D2BF"/>
    <w:rsid w:val="6445EA10"/>
    <w:rsid w:val="64512342"/>
    <w:rsid w:val="645DEA3F"/>
    <w:rsid w:val="6479D225"/>
    <w:rsid w:val="64847EDB"/>
    <w:rsid w:val="649063CB"/>
    <w:rsid w:val="6494B112"/>
    <w:rsid w:val="64963237"/>
    <w:rsid w:val="649C80E4"/>
    <w:rsid w:val="64A8F6E6"/>
    <w:rsid w:val="64AD2161"/>
    <w:rsid w:val="64BBA8A4"/>
    <w:rsid w:val="64C4AB3D"/>
    <w:rsid w:val="64C9E2BD"/>
    <w:rsid w:val="64CB58C0"/>
    <w:rsid w:val="64D08BF6"/>
    <w:rsid w:val="64D6A8BA"/>
    <w:rsid w:val="64D93981"/>
    <w:rsid w:val="64ECF592"/>
    <w:rsid w:val="64EE55E5"/>
    <w:rsid w:val="64F1D525"/>
    <w:rsid w:val="64FCFBC7"/>
    <w:rsid w:val="65016154"/>
    <w:rsid w:val="6501D637"/>
    <w:rsid w:val="650D81FD"/>
    <w:rsid w:val="651E0A27"/>
    <w:rsid w:val="651F9A16"/>
    <w:rsid w:val="6524BD2F"/>
    <w:rsid w:val="6525DDCC"/>
    <w:rsid w:val="65263954"/>
    <w:rsid w:val="65292150"/>
    <w:rsid w:val="652B9EDF"/>
    <w:rsid w:val="652C610F"/>
    <w:rsid w:val="65333E11"/>
    <w:rsid w:val="6535A83D"/>
    <w:rsid w:val="65366A84"/>
    <w:rsid w:val="653A9B9D"/>
    <w:rsid w:val="653FB62C"/>
    <w:rsid w:val="6545A598"/>
    <w:rsid w:val="65473E26"/>
    <w:rsid w:val="656536C0"/>
    <w:rsid w:val="65858E19"/>
    <w:rsid w:val="658D8796"/>
    <w:rsid w:val="658F6D16"/>
    <w:rsid w:val="65908568"/>
    <w:rsid w:val="6591B2B0"/>
    <w:rsid w:val="6594E06E"/>
    <w:rsid w:val="6596E35E"/>
    <w:rsid w:val="659A2A6D"/>
    <w:rsid w:val="65A66CBE"/>
    <w:rsid w:val="65A8029E"/>
    <w:rsid w:val="65ACE6D7"/>
    <w:rsid w:val="65B08FB1"/>
    <w:rsid w:val="65B32958"/>
    <w:rsid w:val="65BBDEAB"/>
    <w:rsid w:val="65BD9400"/>
    <w:rsid w:val="65C0A0BC"/>
    <w:rsid w:val="65C14CA3"/>
    <w:rsid w:val="65C9D0B4"/>
    <w:rsid w:val="65CE3851"/>
    <w:rsid w:val="65DACB1D"/>
    <w:rsid w:val="65DC2B4B"/>
    <w:rsid w:val="65DDE023"/>
    <w:rsid w:val="65E467AD"/>
    <w:rsid w:val="65E4F51B"/>
    <w:rsid w:val="65F09DA2"/>
    <w:rsid w:val="65FA75E3"/>
    <w:rsid w:val="65FBEBEC"/>
    <w:rsid w:val="6600DF31"/>
    <w:rsid w:val="660A7208"/>
    <w:rsid w:val="660C47C7"/>
    <w:rsid w:val="6610EF96"/>
    <w:rsid w:val="6614E53B"/>
    <w:rsid w:val="66197643"/>
    <w:rsid w:val="661E9547"/>
    <w:rsid w:val="66265EB1"/>
    <w:rsid w:val="6636893E"/>
    <w:rsid w:val="66487B11"/>
    <w:rsid w:val="66487F68"/>
    <w:rsid w:val="664D54F7"/>
    <w:rsid w:val="66555EDF"/>
    <w:rsid w:val="66587CD5"/>
    <w:rsid w:val="665E6A14"/>
    <w:rsid w:val="66619CE2"/>
    <w:rsid w:val="667C2D65"/>
    <w:rsid w:val="668577E6"/>
    <w:rsid w:val="6685786E"/>
    <w:rsid w:val="6687E0FF"/>
    <w:rsid w:val="668A2CE8"/>
    <w:rsid w:val="6690814E"/>
    <w:rsid w:val="66912C88"/>
    <w:rsid w:val="6691650C"/>
    <w:rsid w:val="66A2AE00"/>
    <w:rsid w:val="66A2C4E9"/>
    <w:rsid w:val="66ABFA77"/>
    <w:rsid w:val="66AD05D3"/>
    <w:rsid w:val="66BA469F"/>
    <w:rsid w:val="66CD9E87"/>
    <w:rsid w:val="66CFEDBE"/>
    <w:rsid w:val="66D51A70"/>
    <w:rsid w:val="66D5C1D8"/>
    <w:rsid w:val="66DCE0FF"/>
    <w:rsid w:val="66DFD8BE"/>
    <w:rsid w:val="66E30F10"/>
    <w:rsid w:val="66E51BBD"/>
    <w:rsid w:val="66E67130"/>
    <w:rsid w:val="66E90F9C"/>
    <w:rsid w:val="66EAD84E"/>
    <w:rsid w:val="66ED6BB3"/>
    <w:rsid w:val="66F7FBF9"/>
    <w:rsid w:val="66FFDA3B"/>
    <w:rsid w:val="670B08C3"/>
    <w:rsid w:val="6712A426"/>
    <w:rsid w:val="6717BC7D"/>
    <w:rsid w:val="671AC0CA"/>
    <w:rsid w:val="671E2B49"/>
    <w:rsid w:val="6723D999"/>
    <w:rsid w:val="672A2D05"/>
    <w:rsid w:val="6734A16C"/>
    <w:rsid w:val="673B893B"/>
    <w:rsid w:val="6741EC73"/>
    <w:rsid w:val="674CD08C"/>
    <w:rsid w:val="6752C0F6"/>
    <w:rsid w:val="6763D7FB"/>
    <w:rsid w:val="677551C1"/>
    <w:rsid w:val="67797FB2"/>
    <w:rsid w:val="677BBCE8"/>
    <w:rsid w:val="677FE5FC"/>
    <w:rsid w:val="6787028F"/>
    <w:rsid w:val="679592E0"/>
    <w:rsid w:val="679B8AF9"/>
    <w:rsid w:val="67A334EC"/>
    <w:rsid w:val="67A90C3A"/>
    <w:rsid w:val="67AE14FE"/>
    <w:rsid w:val="67C50890"/>
    <w:rsid w:val="67C683F6"/>
    <w:rsid w:val="67C6D550"/>
    <w:rsid w:val="67D589BB"/>
    <w:rsid w:val="67E06F7B"/>
    <w:rsid w:val="67E48A4B"/>
    <w:rsid w:val="6804282E"/>
    <w:rsid w:val="6806280F"/>
    <w:rsid w:val="680C69B3"/>
    <w:rsid w:val="6816F886"/>
    <w:rsid w:val="68179EBF"/>
    <w:rsid w:val="681E1E37"/>
    <w:rsid w:val="681EB504"/>
    <w:rsid w:val="6822A36B"/>
    <w:rsid w:val="6823B35F"/>
    <w:rsid w:val="6829634F"/>
    <w:rsid w:val="683F2451"/>
    <w:rsid w:val="6841BC5A"/>
    <w:rsid w:val="685C7DB4"/>
    <w:rsid w:val="685CC819"/>
    <w:rsid w:val="6864E5BB"/>
    <w:rsid w:val="686EA519"/>
    <w:rsid w:val="68775056"/>
    <w:rsid w:val="687A147D"/>
    <w:rsid w:val="689D5170"/>
    <w:rsid w:val="689F9ED4"/>
    <w:rsid w:val="68B58508"/>
    <w:rsid w:val="68B8B4BE"/>
    <w:rsid w:val="68BC82B8"/>
    <w:rsid w:val="68C27217"/>
    <w:rsid w:val="68C8F076"/>
    <w:rsid w:val="68C9C70D"/>
    <w:rsid w:val="68CA2997"/>
    <w:rsid w:val="68CF4C6F"/>
    <w:rsid w:val="68D6FFA6"/>
    <w:rsid w:val="68D8CDB3"/>
    <w:rsid w:val="68D97F8F"/>
    <w:rsid w:val="68DFF47B"/>
    <w:rsid w:val="68E1F3DE"/>
    <w:rsid w:val="68E41A13"/>
    <w:rsid w:val="68E9E5BB"/>
    <w:rsid w:val="68EBFE4D"/>
    <w:rsid w:val="68FA846D"/>
    <w:rsid w:val="68FE9886"/>
    <w:rsid w:val="6908A8C7"/>
    <w:rsid w:val="69094524"/>
    <w:rsid w:val="691407AA"/>
    <w:rsid w:val="691B289F"/>
    <w:rsid w:val="69252828"/>
    <w:rsid w:val="69315A52"/>
    <w:rsid w:val="6932E8C0"/>
    <w:rsid w:val="69336EF6"/>
    <w:rsid w:val="693525C4"/>
    <w:rsid w:val="69434AC7"/>
    <w:rsid w:val="694DB475"/>
    <w:rsid w:val="695175BB"/>
    <w:rsid w:val="695ECB43"/>
    <w:rsid w:val="69672562"/>
    <w:rsid w:val="6968D77B"/>
    <w:rsid w:val="697142A5"/>
    <w:rsid w:val="69729C4F"/>
    <w:rsid w:val="697BB0FE"/>
    <w:rsid w:val="6983FFA7"/>
    <w:rsid w:val="698A095F"/>
    <w:rsid w:val="698E906D"/>
    <w:rsid w:val="699180FD"/>
    <w:rsid w:val="6992DD0D"/>
    <w:rsid w:val="699C3977"/>
    <w:rsid w:val="69A5158A"/>
    <w:rsid w:val="69A8FD18"/>
    <w:rsid w:val="69AA2A32"/>
    <w:rsid w:val="69AFBC5A"/>
    <w:rsid w:val="69B74414"/>
    <w:rsid w:val="69BF8FF0"/>
    <w:rsid w:val="69C0247D"/>
    <w:rsid w:val="69C0455D"/>
    <w:rsid w:val="69CD153C"/>
    <w:rsid w:val="69CFB0D3"/>
    <w:rsid w:val="69D5E66F"/>
    <w:rsid w:val="69D63315"/>
    <w:rsid w:val="69D73DAC"/>
    <w:rsid w:val="69D8CB91"/>
    <w:rsid w:val="69DA2152"/>
    <w:rsid w:val="69DF85DB"/>
    <w:rsid w:val="69E42870"/>
    <w:rsid w:val="69E5875D"/>
    <w:rsid w:val="69EA3A49"/>
    <w:rsid w:val="69F5BE87"/>
    <w:rsid w:val="69F9071E"/>
    <w:rsid w:val="6A0A6031"/>
    <w:rsid w:val="6A0BAF35"/>
    <w:rsid w:val="6A12DA8F"/>
    <w:rsid w:val="6A269BA4"/>
    <w:rsid w:val="6A281647"/>
    <w:rsid w:val="6A29EDD1"/>
    <w:rsid w:val="6A30E13A"/>
    <w:rsid w:val="6A37B48F"/>
    <w:rsid w:val="6A5BF9F7"/>
    <w:rsid w:val="6A676F35"/>
    <w:rsid w:val="6A80987C"/>
    <w:rsid w:val="6A820B2D"/>
    <w:rsid w:val="6A8A5404"/>
    <w:rsid w:val="6A917B4B"/>
    <w:rsid w:val="6A97816F"/>
    <w:rsid w:val="6A9C982C"/>
    <w:rsid w:val="6AB15004"/>
    <w:rsid w:val="6ACBEDEE"/>
    <w:rsid w:val="6AD1DEBA"/>
    <w:rsid w:val="6AD62A11"/>
    <w:rsid w:val="6ADB9AE5"/>
    <w:rsid w:val="6ADC1072"/>
    <w:rsid w:val="6ADF1724"/>
    <w:rsid w:val="6AE32B15"/>
    <w:rsid w:val="6B07C9E5"/>
    <w:rsid w:val="6B11D243"/>
    <w:rsid w:val="6B129329"/>
    <w:rsid w:val="6B12960D"/>
    <w:rsid w:val="6B19A109"/>
    <w:rsid w:val="6B1A59BF"/>
    <w:rsid w:val="6B255CCF"/>
    <w:rsid w:val="6B2950C6"/>
    <w:rsid w:val="6B2BC2F0"/>
    <w:rsid w:val="6B36D7C2"/>
    <w:rsid w:val="6B3DDA1C"/>
    <w:rsid w:val="6B435892"/>
    <w:rsid w:val="6B47DB7D"/>
    <w:rsid w:val="6B49284C"/>
    <w:rsid w:val="6B50F2B8"/>
    <w:rsid w:val="6B51C34E"/>
    <w:rsid w:val="6B5D3FAF"/>
    <w:rsid w:val="6B5E86B2"/>
    <w:rsid w:val="6B62BCFA"/>
    <w:rsid w:val="6B706563"/>
    <w:rsid w:val="6B82D745"/>
    <w:rsid w:val="6B8550D5"/>
    <w:rsid w:val="6B85FCC3"/>
    <w:rsid w:val="6B866A94"/>
    <w:rsid w:val="6B87DBD6"/>
    <w:rsid w:val="6B889644"/>
    <w:rsid w:val="6B8ABD2F"/>
    <w:rsid w:val="6B8F1DF8"/>
    <w:rsid w:val="6BA09BA4"/>
    <w:rsid w:val="6BA91691"/>
    <w:rsid w:val="6BB19AA5"/>
    <w:rsid w:val="6BB4FDAC"/>
    <w:rsid w:val="6BB83E9F"/>
    <w:rsid w:val="6BBEAB0C"/>
    <w:rsid w:val="6BBFF091"/>
    <w:rsid w:val="6BC4997C"/>
    <w:rsid w:val="6BC791D2"/>
    <w:rsid w:val="6BCF60A9"/>
    <w:rsid w:val="6BD33433"/>
    <w:rsid w:val="6BD65BC9"/>
    <w:rsid w:val="6BD66BF3"/>
    <w:rsid w:val="6BDB2A1C"/>
    <w:rsid w:val="6BDEF69F"/>
    <w:rsid w:val="6BF3010B"/>
    <w:rsid w:val="6C103AEA"/>
    <w:rsid w:val="6C13AADD"/>
    <w:rsid w:val="6C18630B"/>
    <w:rsid w:val="6C195D9C"/>
    <w:rsid w:val="6C1DA14C"/>
    <w:rsid w:val="6C1DD7A6"/>
    <w:rsid w:val="6C288798"/>
    <w:rsid w:val="6C35898E"/>
    <w:rsid w:val="6C3780D8"/>
    <w:rsid w:val="6C43892E"/>
    <w:rsid w:val="6C576051"/>
    <w:rsid w:val="6C5B2EBC"/>
    <w:rsid w:val="6C5BAA70"/>
    <w:rsid w:val="6C5D0C60"/>
    <w:rsid w:val="6C63208C"/>
    <w:rsid w:val="6C6AF232"/>
    <w:rsid w:val="6C6FB903"/>
    <w:rsid w:val="6C75FA04"/>
    <w:rsid w:val="6C784AFF"/>
    <w:rsid w:val="6C7F0DB1"/>
    <w:rsid w:val="6C812C38"/>
    <w:rsid w:val="6C88EC9F"/>
    <w:rsid w:val="6C8C4AA0"/>
    <w:rsid w:val="6CB7CA69"/>
    <w:rsid w:val="6CC89367"/>
    <w:rsid w:val="6CDF4C7E"/>
    <w:rsid w:val="6CE4258B"/>
    <w:rsid w:val="6D05B5C2"/>
    <w:rsid w:val="6D08063B"/>
    <w:rsid w:val="6D11BEBE"/>
    <w:rsid w:val="6D23D874"/>
    <w:rsid w:val="6D23EEDA"/>
    <w:rsid w:val="6D2A2160"/>
    <w:rsid w:val="6D312A93"/>
    <w:rsid w:val="6D338970"/>
    <w:rsid w:val="6D355683"/>
    <w:rsid w:val="6D3770A2"/>
    <w:rsid w:val="6D3972AC"/>
    <w:rsid w:val="6D3F3A4D"/>
    <w:rsid w:val="6D4303A5"/>
    <w:rsid w:val="6D48745F"/>
    <w:rsid w:val="6D4F340D"/>
    <w:rsid w:val="6D51FE1B"/>
    <w:rsid w:val="6D52AF00"/>
    <w:rsid w:val="6D5699D4"/>
    <w:rsid w:val="6D57274B"/>
    <w:rsid w:val="6D606BAE"/>
    <w:rsid w:val="6D6E9905"/>
    <w:rsid w:val="6D7086FF"/>
    <w:rsid w:val="6D71F48E"/>
    <w:rsid w:val="6D738BB2"/>
    <w:rsid w:val="6D84B4F8"/>
    <w:rsid w:val="6DB5D68E"/>
    <w:rsid w:val="6DBF1BD0"/>
    <w:rsid w:val="6DCAC609"/>
    <w:rsid w:val="6DDF10C8"/>
    <w:rsid w:val="6DDF6AE4"/>
    <w:rsid w:val="6DE678D3"/>
    <w:rsid w:val="6DEF7D6E"/>
    <w:rsid w:val="6DF9B337"/>
    <w:rsid w:val="6DFD3918"/>
    <w:rsid w:val="6E06A9EA"/>
    <w:rsid w:val="6E10DD93"/>
    <w:rsid w:val="6E11DE92"/>
    <w:rsid w:val="6E138A7B"/>
    <w:rsid w:val="6E143A3F"/>
    <w:rsid w:val="6E15DCB0"/>
    <w:rsid w:val="6E1742C6"/>
    <w:rsid w:val="6E1D06E5"/>
    <w:rsid w:val="6E1D3DFF"/>
    <w:rsid w:val="6E29E2A7"/>
    <w:rsid w:val="6E2ABD94"/>
    <w:rsid w:val="6E42A81C"/>
    <w:rsid w:val="6E4AF46E"/>
    <w:rsid w:val="6E562D29"/>
    <w:rsid w:val="6E5B8684"/>
    <w:rsid w:val="6E5C2D76"/>
    <w:rsid w:val="6E5EF6E6"/>
    <w:rsid w:val="6E671886"/>
    <w:rsid w:val="6E6D0056"/>
    <w:rsid w:val="6E70BB0B"/>
    <w:rsid w:val="6E766386"/>
    <w:rsid w:val="6E91674F"/>
    <w:rsid w:val="6E938451"/>
    <w:rsid w:val="6E982A54"/>
    <w:rsid w:val="6E9DF114"/>
    <w:rsid w:val="6EA06C90"/>
    <w:rsid w:val="6EA52795"/>
    <w:rsid w:val="6EB14ADD"/>
    <w:rsid w:val="6EB3A5E3"/>
    <w:rsid w:val="6EB57962"/>
    <w:rsid w:val="6EB6365F"/>
    <w:rsid w:val="6EC24E84"/>
    <w:rsid w:val="6ED17950"/>
    <w:rsid w:val="6EDB3169"/>
    <w:rsid w:val="6EDE29A2"/>
    <w:rsid w:val="6EE4FB9F"/>
    <w:rsid w:val="6EEC0E66"/>
    <w:rsid w:val="6EF72807"/>
    <w:rsid w:val="6EF787D4"/>
    <w:rsid w:val="6EF792BB"/>
    <w:rsid w:val="6EF93EA3"/>
    <w:rsid w:val="6EFF403B"/>
    <w:rsid w:val="6F05C3A7"/>
    <w:rsid w:val="6F1B7797"/>
    <w:rsid w:val="6F23F726"/>
    <w:rsid w:val="6F31D5BF"/>
    <w:rsid w:val="6F3C4DEA"/>
    <w:rsid w:val="6F4AA05A"/>
    <w:rsid w:val="6F4FCBE4"/>
    <w:rsid w:val="6F522BD8"/>
    <w:rsid w:val="6F541EAD"/>
    <w:rsid w:val="6F58CFE6"/>
    <w:rsid w:val="6F597868"/>
    <w:rsid w:val="6F5A9C15"/>
    <w:rsid w:val="6F68A93D"/>
    <w:rsid w:val="6F6A9082"/>
    <w:rsid w:val="6F6EC6A9"/>
    <w:rsid w:val="6F7EE584"/>
    <w:rsid w:val="6F8118B0"/>
    <w:rsid w:val="6F862070"/>
    <w:rsid w:val="6F89DB57"/>
    <w:rsid w:val="6F8D36DA"/>
    <w:rsid w:val="6F9B9AC6"/>
    <w:rsid w:val="6F9FCA2B"/>
    <w:rsid w:val="6FB0ECD9"/>
    <w:rsid w:val="6FB2DA3E"/>
    <w:rsid w:val="6FB38B63"/>
    <w:rsid w:val="6FB875FA"/>
    <w:rsid w:val="6FBF6F30"/>
    <w:rsid w:val="6FD17E24"/>
    <w:rsid w:val="6FD437B4"/>
    <w:rsid w:val="6FD6BF70"/>
    <w:rsid w:val="6FD90BBE"/>
    <w:rsid w:val="6FDBEA26"/>
    <w:rsid w:val="6FDD4159"/>
    <w:rsid w:val="6FE351DA"/>
    <w:rsid w:val="6FE7BFFC"/>
    <w:rsid w:val="6FED3A39"/>
    <w:rsid w:val="6FF066B8"/>
    <w:rsid w:val="6FFE3598"/>
    <w:rsid w:val="701CF76E"/>
    <w:rsid w:val="702AE077"/>
    <w:rsid w:val="702C87C6"/>
    <w:rsid w:val="70306B01"/>
    <w:rsid w:val="70407129"/>
    <w:rsid w:val="704E65EF"/>
    <w:rsid w:val="7051C46D"/>
    <w:rsid w:val="705E7AE9"/>
    <w:rsid w:val="7060FAD2"/>
    <w:rsid w:val="7064CE13"/>
    <w:rsid w:val="7069CB02"/>
    <w:rsid w:val="707992E5"/>
    <w:rsid w:val="707E50B1"/>
    <w:rsid w:val="7095117F"/>
    <w:rsid w:val="709AB70D"/>
    <w:rsid w:val="709D53F9"/>
    <w:rsid w:val="70A43811"/>
    <w:rsid w:val="70B08CA4"/>
    <w:rsid w:val="70B6A8DC"/>
    <w:rsid w:val="70B94B3C"/>
    <w:rsid w:val="70C24A68"/>
    <w:rsid w:val="70D20FC9"/>
    <w:rsid w:val="70D5B6CB"/>
    <w:rsid w:val="70D904F2"/>
    <w:rsid w:val="70DCD3C4"/>
    <w:rsid w:val="70DFB831"/>
    <w:rsid w:val="70EC29E1"/>
    <w:rsid w:val="70F1E293"/>
    <w:rsid w:val="70FC33B5"/>
    <w:rsid w:val="710060F6"/>
    <w:rsid w:val="7102AA77"/>
    <w:rsid w:val="7103D966"/>
    <w:rsid w:val="7103E418"/>
    <w:rsid w:val="7109BACC"/>
    <w:rsid w:val="7114C1FF"/>
    <w:rsid w:val="711ED816"/>
    <w:rsid w:val="71207A4B"/>
    <w:rsid w:val="7122E52B"/>
    <w:rsid w:val="7123B113"/>
    <w:rsid w:val="7123D8B5"/>
    <w:rsid w:val="7128C282"/>
    <w:rsid w:val="712B750D"/>
    <w:rsid w:val="7132E1D4"/>
    <w:rsid w:val="713E11DE"/>
    <w:rsid w:val="714D059D"/>
    <w:rsid w:val="715F50CD"/>
    <w:rsid w:val="7167BED7"/>
    <w:rsid w:val="716905DD"/>
    <w:rsid w:val="716B5336"/>
    <w:rsid w:val="7174FE80"/>
    <w:rsid w:val="71752A88"/>
    <w:rsid w:val="717AB81A"/>
    <w:rsid w:val="717F895C"/>
    <w:rsid w:val="71850E5E"/>
    <w:rsid w:val="7187B130"/>
    <w:rsid w:val="718DD442"/>
    <w:rsid w:val="719B0923"/>
    <w:rsid w:val="719BD04E"/>
    <w:rsid w:val="71A0E381"/>
    <w:rsid w:val="71AF3FA6"/>
    <w:rsid w:val="71AF6248"/>
    <w:rsid w:val="71B18765"/>
    <w:rsid w:val="71B74B7E"/>
    <w:rsid w:val="71B87916"/>
    <w:rsid w:val="71C99CC4"/>
    <w:rsid w:val="71C9CF43"/>
    <w:rsid w:val="71D5FC65"/>
    <w:rsid w:val="71D7FA23"/>
    <w:rsid w:val="71E27E86"/>
    <w:rsid w:val="71E6A662"/>
    <w:rsid w:val="71EA9140"/>
    <w:rsid w:val="71FBF3C5"/>
    <w:rsid w:val="7205EBC6"/>
    <w:rsid w:val="72091F61"/>
    <w:rsid w:val="72169A92"/>
    <w:rsid w:val="72188D3D"/>
    <w:rsid w:val="72202343"/>
    <w:rsid w:val="7220FC2C"/>
    <w:rsid w:val="72243E3E"/>
    <w:rsid w:val="7224D666"/>
    <w:rsid w:val="7228BA7C"/>
    <w:rsid w:val="722C9204"/>
    <w:rsid w:val="723C2A96"/>
    <w:rsid w:val="72409804"/>
    <w:rsid w:val="725CA1BD"/>
    <w:rsid w:val="725E94CA"/>
    <w:rsid w:val="72661DA8"/>
    <w:rsid w:val="727319FC"/>
    <w:rsid w:val="72764CBF"/>
    <w:rsid w:val="728E7978"/>
    <w:rsid w:val="72962AB0"/>
    <w:rsid w:val="72964503"/>
    <w:rsid w:val="729B0F37"/>
    <w:rsid w:val="729E25CF"/>
    <w:rsid w:val="72A08329"/>
    <w:rsid w:val="72A94EA2"/>
    <w:rsid w:val="72B5D638"/>
    <w:rsid w:val="72BD7493"/>
    <w:rsid w:val="72BD83E1"/>
    <w:rsid w:val="72BDFFBB"/>
    <w:rsid w:val="72BF64A2"/>
    <w:rsid w:val="72CD1B0C"/>
    <w:rsid w:val="72D20E39"/>
    <w:rsid w:val="72D6DE55"/>
    <w:rsid w:val="72E72480"/>
    <w:rsid w:val="72EFA968"/>
    <w:rsid w:val="72F378B4"/>
    <w:rsid w:val="72FDE77E"/>
    <w:rsid w:val="72FE34A7"/>
    <w:rsid w:val="730146D0"/>
    <w:rsid w:val="730776B4"/>
    <w:rsid w:val="73090E0C"/>
    <w:rsid w:val="731DCB0E"/>
    <w:rsid w:val="731DE758"/>
    <w:rsid w:val="7328521E"/>
    <w:rsid w:val="732A7100"/>
    <w:rsid w:val="733A7BDC"/>
    <w:rsid w:val="73417A35"/>
    <w:rsid w:val="73466ED8"/>
    <w:rsid w:val="7359ABE2"/>
    <w:rsid w:val="735A8E52"/>
    <w:rsid w:val="735B594D"/>
    <w:rsid w:val="735D331E"/>
    <w:rsid w:val="73605029"/>
    <w:rsid w:val="73620570"/>
    <w:rsid w:val="73630CA9"/>
    <w:rsid w:val="73636FE8"/>
    <w:rsid w:val="736B3AAC"/>
    <w:rsid w:val="7371B7C4"/>
    <w:rsid w:val="73743F9E"/>
    <w:rsid w:val="73894FF2"/>
    <w:rsid w:val="738AA147"/>
    <w:rsid w:val="738E7D9B"/>
    <w:rsid w:val="73935EE0"/>
    <w:rsid w:val="739AC7AD"/>
    <w:rsid w:val="73A689CD"/>
    <w:rsid w:val="73AD8F13"/>
    <w:rsid w:val="73ADBBFB"/>
    <w:rsid w:val="73BA9417"/>
    <w:rsid w:val="73C196B8"/>
    <w:rsid w:val="73C37B88"/>
    <w:rsid w:val="73CE4809"/>
    <w:rsid w:val="73CF5122"/>
    <w:rsid w:val="73D5A49C"/>
    <w:rsid w:val="73EB2D1E"/>
    <w:rsid w:val="73EDABEB"/>
    <w:rsid w:val="73F0543F"/>
    <w:rsid w:val="73FD0879"/>
    <w:rsid w:val="7400C2FE"/>
    <w:rsid w:val="74040955"/>
    <w:rsid w:val="740BBC6A"/>
    <w:rsid w:val="740D02E2"/>
    <w:rsid w:val="740D11F3"/>
    <w:rsid w:val="742390F7"/>
    <w:rsid w:val="7427AFC9"/>
    <w:rsid w:val="74331900"/>
    <w:rsid w:val="745080CA"/>
    <w:rsid w:val="74529BAF"/>
    <w:rsid w:val="74536E16"/>
    <w:rsid w:val="7474B53D"/>
    <w:rsid w:val="74805A08"/>
    <w:rsid w:val="7480DAD0"/>
    <w:rsid w:val="7492C900"/>
    <w:rsid w:val="74964B43"/>
    <w:rsid w:val="74ADED84"/>
    <w:rsid w:val="74B0EC7F"/>
    <w:rsid w:val="74B5EAC7"/>
    <w:rsid w:val="74C04AAB"/>
    <w:rsid w:val="74C8A763"/>
    <w:rsid w:val="74DBC16A"/>
    <w:rsid w:val="74F09954"/>
    <w:rsid w:val="74F34CD2"/>
    <w:rsid w:val="74F417A6"/>
    <w:rsid w:val="74F52D98"/>
    <w:rsid w:val="74F56175"/>
    <w:rsid w:val="75077252"/>
    <w:rsid w:val="750A1696"/>
    <w:rsid w:val="7519BB89"/>
    <w:rsid w:val="7527CD42"/>
    <w:rsid w:val="75309CA4"/>
    <w:rsid w:val="75368301"/>
    <w:rsid w:val="7536D440"/>
    <w:rsid w:val="7551AFA5"/>
    <w:rsid w:val="7569648F"/>
    <w:rsid w:val="756AA9D3"/>
    <w:rsid w:val="7575D7E0"/>
    <w:rsid w:val="757655D0"/>
    <w:rsid w:val="757E70AE"/>
    <w:rsid w:val="758027AC"/>
    <w:rsid w:val="75834F66"/>
    <w:rsid w:val="7589B916"/>
    <w:rsid w:val="7593F7A9"/>
    <w:rsid w:val="759B06C6"/>
    <w:rsid w:val="759EE9A0"/>
    <w:rsid w:val="75A1F683"/>
    <w:rsid w:val="75AB5943"/>
    <w:rsid w:val="75AD5044"/>
    <w:rsid w:val="75AFADA5"/>
    <w:rsid w:val="75B5DF2F"/>
    <w:rsid w:val="75B6369D"/>
    <w:rsid w:val="75B6B51D"/>
    <w:rsid w:val="75C08C26"/>
    <w:rsid w:val="75DDFDF4"/>
    <w:rsid w:val="75E18157"/>
    <w:rsid w:val="75E76D97"/>
    <w:rsid w:val="75EB0885"/>
    <w:rsid w:val="75EE57B7"/>
    <w:rsid w:val="760636AD"/>
    <w:rsid w:val="760E0DF3"/>
    <w:rsid w:val="76170CD1"/>
    <w:rsid w:val="7620B4E9"/>
    <w:rsid w:val="762B41B9"/>
    <w:rsid w:val="7634BD43"/>
    <w:rsid w:val="7636887F"/>
    <w:rsid w:val="7638238C"/>
    <w:rsid w:val="76418263"/>
    <w:rsid w:val="764D4011"/>
    <w:rsid w:val="76569AB1"/>
    <w:rsid w:val="76594877"/>
    <w:rsid w:val="765C371A"/>
    <w:rsid w:val="766D900C"/>
    <w:rsid w:val="7678A1EA"/>
    <w:rsid w:val="7679375D"/>
    <w:rsid w:val="767F2B58"/>
    <w:rsid w:val="7682A5B8"/>
    <w:rsid w:val="7684074B"/>
    <w:rsid w:val="76A4C3D8"/>
    <w:rsid w:val="76A679E1"/>
    <w:rsid w:val="76A67E1B"/>
    <w:rsid w:val="76BDA545"/>
    <w:rsid w:val="76BFA7F4"/>
    <w:rsid w:val="76C7A9D2"/>
    <w:rsid w:val="76CA6386"/>
    <w:rsid w:val="76D02EAD"/>
    <w:rsid w:val="76D301BC"/>
    <w:rsid w:val="76D549C1"/>
    <w:rsid w:val="76DC31B8"/>
    <w:rsid w:val="76DD0F4C"/>
    <w:rsid w:val="76E2A7CB"/>
    <w:rsid w:val="76E9FAAE"/>
    <w:rsid w:val="76EB3639"/>
    <w:rsid w:val="76EC9678"/>
    <w:rsid w:val="7701B32D"/>
    <w:rsid w:val="77111DE9"/>
    <w:rsid w:val="771A795E"/>
    <w:rsid w:val="7720855A"/>
    <w:rsid w:val="7722B186"/>
    <w:rsid w:val="7730B5B3"/>
    <w:rsid w:val="7731D291"/>
    <w:rsid w:val="773E3567"/>
    <w:rsid w:val="7745CCD5"/>
    <w:rsid w:val="774C99D7"/>
    <w:rsid w:val="774DB0F0"/>
    <w:rsid w:val="7751F5EF"/>
    <w:rsid w:val="7752DF46"/>
    <w:rsid w:val="7757183E"/>
    <w:rsid w:val="775C90DA"/>
    <w:rsid w:val="77600BF4"/>
    <w:rsid w:val="7760BD7C"/>
    <w:rsid w:val="7763B52F"/>
    <w:rsid w:val="7769C504"/>
    <w:rsid w:val="776AAC82"/>
    <w:rsid w:val="777AC098"/>
    <w:rsid w:val="77858026"/>
    <w:rsid w:val="7786DE63"/>
    <w:rsid w:val="778BBC6B"/>
    <w:rsid w:val="77A15D35"/>
    <w:rsid w:val="77A43636"/>
    <w:rsid w:val="77A92583"/>
    <w:rsid w:val="77B07E3E"/>
    <w:rsid w:val="77B48E19"/>
    <w:rsid w:val="77B9CF98"/>
    <w:rsid w:val="77BA1EAE"/>
    <w:rsid w:val="77D15DF7"/>
    <w:rsid w:val="77D35F0B"/>
    <w:rsid w:val="77D5D3F2"/>
    <w:rsid w:val="77DB162E"/>
    <w:rsid w:val="780006E2"/>
    <w:rsid w:val="7804C0C9"/>
    <w:rsid w:val="78060D43"/>
    <w:rsid w:val="7806E999"/>
    <w:rsid w:val="780E2589"/>
    <w:rsid w:val="780E7157"/>
    <w:rsid w:val="780EB978"/>
    <w:rsid w:val="7811C3F8"/>
    <w:rsid w:val="7811ED9F"/>
    <w:rsid w:val="7813451C"/>
    <w:rsid w:val="78136CBB"/>
    <w:rsid w:val="78153761"/>
    <w:rsid w:val="781CC60E"/>
    <w:rsid w:val="782030C2"/>
    <w:rsid w:val="78316E3F"/>
    <w:rsid w:val="7831BC03"/>
    <w:rsid w:val="7831C579"/>
    <w:rsid w:val="78356507"/>
    <w:rsid w:val="783E50D0"/>
    <w:rsid w:val="78409D90"/>
    <w:rsid w:val="7854B291"/>
    <w:rsid w:val="785F8686"/>
    <w:rsid w:val="78631CD3"/>
    <w:rsid w:val="786B7462"/>
    <w:rsid w:val="786E1F13"/>
    <w:rsid w:val="78754ADC"/>
    <w:rsid w:val="7879ED5E"/>
    <w:rsid w:val="787C9F89"/>
    <w:rsid w:val="7886BEDC"/>
    <w:rsid w:val="789ACA70"/>
    <w:rsid w:val="789CACCC"/>
    <w:rsid w:val="78B6BDCA"/>
    <w:rsid w:val="78B747BD"/>
    <w:rsid w:val="78C5BC3F"/>
    <w:rsid w:val="78D081CD"/>
    <w:rsid w:val="78D37F08"/>
    <w:rsid w:val="78D96B5B"/>
    <w:rsid w:val="78DCD997"/>
    <w:rsid w:val="78DE5FEF"/>
    <w:rsid w:val="78E0DE3A"/>
    <w:rsid w:val="78EBCC8E"/>
    <w:rsid w:val="78EC0893"/>
    <w:rsid w:val="78ED1A75"/>
    <w:rsid w:val="78F51AAB"/>
    <w:rsid w:val="78F89AFD"/>
    <w:rsid w:val="78FBBFB5"/>
    <w:rsid w:val="790273BF"/>
    <w:rsid w:val="790851F7"/>
    <w:rsid w:val="79085C22"/>
    <w:rsid w:val="790BE5B3"/>
    <w:rsid w:val="792CFC50"/>
    <w:rsid w:val="79307CE2"/>
    <w:rsid w:val="7933C0C9"/>
    <w:rsid w:val="793ED9C3"/>
    <w:rsid w:val="794189E6"/>
    <w:rsid w:val="794F41C3"/>
    <w:rsid w:val="795439D0"/>
    <w:rsid w:val="7961AD10"/>
    <w:rsid w:val="796603A8"/>
    <w:rsid w:val="7969CC8C"/>
    <w:rsid w:val="7972E789"/>
    <w:rsid w:val="7974CC51"/>
    <w:rsid w:val="797747E0"/>
    <w:rsid w:val="797D7E23"/>
    <w:rsid w:val="797EAB5C"/>
    <w:rsid w:val="797F70AF"/>
    <w:rsid w:val="7980A7BE"/>
    <w:rsid w:val="79860775"/>
    <w:rsid w:val="79860AA3"/>
    <w:rsid w:val="798B469A"/>
    <w:rsid w:val="798BB4DC"/>
    <w:rsid w:val="798ED374"/>
    <w:rsid w:val="799AB4F1"/>
    <w:rsid w:val="79A0AC24"/>
    <w:rsid w:val="79A2EABA"/>
    <w:rsid w:val="79B592FA"/>
    <w:rsid w:val="79B83DEB"/>
    <w:rsid w:val="79BF013D"/>
    <w:rsid w:val="79C56EE8"/>
    <w:rsid w:val="79CD52F4"/>
    <w:rsid w:val="79E0E5B3"/>
    <w:rsid w:val="79E5332B"/>
    <w:rsid w:val="79EADC47"/>
    <w:rsid w:val="79ED581A"/>
    <w:rsid w:val="79F10AB5"/>
    <w:rsid w:val="79F433B1"/>
    <w:rsid w:val="7A08BBFF"/>
    <w:rsid w:val="7A0B0B71"/>
    <w:rsid w:val="7A1245D7"/>
    <w:rsid w:val="7A15F735"/>
    <w:rsid w:val="7A1727B2"/>
    <w:rsid w:val="7A1AB0FA"/>
    <w:rsid w:val="7A1E67DE"/>
    <w:rsid w:val="7A292C15"/>
    <w:rsid w:val="7A392A29"/>
    <w:rsid w:val="7A3A0B11"/>
    <w:rsid w:val="7A3DB192"/>
    <w:rsid w:val="7A3DDD66"/>
    <w:rsid w:val="7A41C633"/>
    <w:rsid w:val="7A423473"/>
    <w:rsid w:val="7A434DC6"/>
    <w:rsid w:val="7A44049F"/>
    <w:rsid w:val="7A498789"/>
    <w:rsid w:val="7A511BF6"/>
    <w:rsid w:val="7A54FB6D"/>
    <w:rsid w:val="7A5E5C38"/>
    <w:rsid w:val="7A6D25AC"/>
    <w:rsid w:val="7A7519B0"/>
    <w:rsid w:val="7A75BC11"/>
    <w:rsid w:val="7A785472"/>
    <w:rsid w:val="7A786E38"/>
    <w:rsid w:val="7A7E98F2"/>
    <w:rsid w:val="7A8617FE"/>
    <w:rsid w:val="7A888121"/>
    <w:rsid w:val="7A900D96"/>
    <w:rsid w:val="7A9137DB"/>
    <w:rsid w:val="7A917A87"/>
    <w:rsid w:val="7A95FF1F"/>
    <w:rsid w:val="7A99CCD3"/>
    <w:rsid w:val="7AAD869D"/>
    <w:rsid w:val="7AB00872"/>
    <w:rsid w:val="7ABBC607"/>
    <w:rsid w:val="7AC27672"/>
    <w:rsid w:val="7AC5F286"/>
    <w:rsid w:val="7ACA3A29"/>
    <w:rsid w:val="7ACFC3C8"/>
    <w:rsid w:val="7ADA743E"/>
    <w:rsid w:val="7AE7B184"/>
    <w:rsid w:val="7AEB9DC9"/>
    <w:rsid w:val="7AF595DA"/>
    <w:rsid w:val="7B0425BC"/>
    <w:rsid w:val="7B058C68"/>
    <w:rsid w:val="7B08B091"/>
    <w:rsid w:val="7B152518"/>
    <w:rsid w:val="7B157447"/>
    <w:rsid w:val="7B15CC94"/>
    <w:rsid w:val="7B16BCCC"/>
    <w:rsid w:val="7B1A9986"/>
    <w:rsid w:val="7B3F72A5"/>
    <w:rsid w:val="7B45F33A"/>
    <w:rsid w:val="7B479BB5"/>
    <w:rsid w:val="7B54B9E9"/>
    <w:rsid w:val="7B55B998"/>
    <w:rsid w:val="7B56E57F"/>
    <w:rsid w:val="7B5DC965"/>
    <w:rsid w:val="7B5F9CC5"/>
    <w:rsid w:val="7B625048"/>
    <w:rsid w:val="7B692C60"/>
    <w:rsid w:val="7B69F1C4"/>
    <w:rsid w:val="7B69F977"/>
    <w:rsid w:val="7B6FE4A9"/>
    <w:rsid w:val="7B8DAD07"/>
    <w:rsid w:val="7B937A97"/>
    <w:rsid w:val="7B98C010"/>
    <w:rsid w:val="7BA46942"/>
    <w:rsid w:val="7BAC30F9"/>
    <w:rsid w:val="7BAC6155"/>
    <w:rsid w:val="7BB14E4C"/>
    <w:rsid w:val="7BB180EF"/>
    <w:rsid w:val="7BB2F1C2"/>
    <w:rsid w:val="7BB4954A"/>
    <w:rsid w:val="7BC2F50C"/>
    <w:rsid w:val="7BC54DDF"/>
    <w:rsid w:val="7BD79AE6"/>
    <w:rsid w:val="7BDEA0A2"/>
    <w:rsid w:val="7BEBF614"/>
    <w:rsid w:val="7BEC2DA0"/>
    <w:rsid w:val="7BEC63D7"/>
    <w:rsid w:val="7BF1D7E5"/>
    <w:rsid w:val="7BF22013"/>
    <w:rsid w:val="7BF7AB59"/>
    <w:rsid w:val="7C04327A"/>
    <w:rsid w:val="7C0CA91D"/>
    <w:rsid w:val="7C0D1391"/>
    <w:rsid w:val="7C0F33CE"/>
    <w:rsid w:val="7C1935FE"/>
    <w:rsid w:val="7C2DD7EF"/>
    <w:rsid w:val="7C30D7F6"/>
    <w:rsid w:val="7C3A67A5"/>
    <w:rsid w:val="7C41FDDA"/>
    <w:rsid w:val="7C56FEFB"/>
    <w:rsid w:val="7C5BF633"/>
    <w:rsid w:val="7C68A16D"/>
    <w:rsid w:val="7C694873"/>
    <w:rsid w:val="7C74B09B"/>
    <w:rsid w:val="7C825ADE"/>
    <w:rsid w:val="7C85FB9F"/>
    <w:rsid w:val="7C873C73"/>
    <w:rsid w:val="7CA0A355"/>
    <w:rsid w:val="7CA2B59D"/>
    <w:rsid w:val="7CAB9593"/>
    <w:rsid w:val="7CADECDA"/>
    <w:rsid w:val="7CB1A9D9"/>
    <w:rsid w:val="7CB9DF45"/>
    <w:rsid w:val="7CC4DE6D"/>
    <w:rsid w:val="7CC5E283"/>
    <w:rsid w:val="7CCC68AD"/>
    <w:rsid w:val="7CD99A38"/>
    <w:rsid w:val="7CDC9DC0"/>
    <w:rsid w:val="7CDE4F0C"/>
    <w:rsid w:val="7CE69436"/>
    <w:rsid w:val="7CFF84D0"/>
    <w:rsid w:val="7D04EEA0"/>
    <w:rsid w:val="7D1233C0"/>
    <w:rsid w:val="7D12ED1E"/>
    <w:rsid w:val="7D13171C"/>
    <w:rsid w:val="7D145306"/>
    <w:rsid w:val="7D2CB578"/>
    <w:rsid w:val="7D32D336"/>
    <w:rsid w:val="7D390E64"/>
    <w:rsid w:val="7D3C2E5E"/>
    <w:rsid w:val="7D3C6BFD"/>
    <w:rsid w:val="7D3DAB01"/>
    <w:rsid w:val="7D4EF1B4"/>
    <w:rsid w:val="7D55FC22"/>
    <w:rsid w:val="7D58A087"/>
    <w:rsid w:val="7D59F555"/>
    <w:rsid w:val="7D6744AF"/>
    <w:rsid w:val="7D78264C"/>
    <w:rsid w:val="7D84EA83"/>
    <w:rsid w:val="7D8575FD"/>
    <w:rsid w:val="7D86E460"/>
    <w:rsid w:val="7D893A46"/>
    <w:rsid w:val="7D89BCF9"/>
    <w:rsid w:val="7D9E8508"/>
    <w:rsid w:val="7D9EA196"/>
    <w:rsid w:val="7DABB275"/>
    <w:rsid w:val="7DB6D197"/>
    <w:rsid w:val="7DB7886A"/>
    <w:rsid w:val="7DB9D922"/>
    <w:rsid w:val="7DCA1C6C"/>
    <w:rsid w:val="7DD3D4B7"/>
    <w:rsid w:val="7DDEBA2A"/>
    <w:rsid w:val="7DE3F58D"/>
    <w:rsid w:val="7DEE5FF6"/>
    <w:rsid w:val="7DF1ACF5"/>
    <w:rsid w:val="7DF1CBE4"/>
    <w:rsid w:val="7DFF0539"/>
    <w:rsid w:val="7E00A90A"/>
    <w:rsid w:val="7E02F986"/>
    <w:rsid w:val="7E064626"/>
    <w:rsid w:val="7E0FF615"/>
    <w:rsid w:val="7E114EC7"/>
    <w:rsid w:val="7E133638"/>
    <w:rsid w:val="7E25D274"/>
    <w:rsid w:val="7E2620E1"/>
    <w:rsid w:val="7E29EA04"/>
    <w:rsid w:val="7E2DD11C"/>
    <w:rsid w:val="7E3FF100"/>
    <w:rsid w:val="7E4554FB"/>
    <w:rsid w:val="7E56EE53"/>
    <w:rsid w:val="7E5B5D6E"/>
    <w:rsid w:val="7E6CDA2A"/>
    <w:rsid w:val="7E707338"/>
    <w:rsid w:val="7E821CAB"/>
    <w:rsid w:val="7E82B99B"/>
    <w:rsid w:val="7E8E1600"/>
    <w:rsid w:val="7E98D19F"/>
    <w:rsid w:val="7E9EC7F5"/>
    <w:rsid w:val="7EA0F035"/>
    <w:rsid w:val="7EADAF6F"/>
    <w:rsid w:val="7EB1C648"/>
    <w:rsid w:val="7EBD86E2"/>
    <w:rsid w:val="7EC3B7A2"/>
    <w:rsid w:val="7EC6019C"/>
    <w:rsid w:val="7EC7C73B"/>
    <w:rsid w:val="7ED4DABF"/>
    <w:rsid w:val="7EE04AD0"/>
    <w:rsid w:val="7EE4C277"/>
    <w:rsid w:val="7EE51851"/>
    <w:rsid w:val="7EE718BF"/>
    <w:rsid w:val="7EEFE4BF"/>
    <w:rsid w:val="7EF8A819"/>
    <w:rsid w:val="7EF9811E"/>
    <w:rsid w:val="7EFA9B2B"/>
    <w:rsid w:val="7EFC1E49"/>
    <w:rsid w:val="7F08E20A"/>
    <w:rsid w:val="7F0F91BE"/>
    <w:rsid w:val="7F12C418"/>
    <w:rsid w:val="7F153627"/>
    <w:rsid w:val="7F174210"/>
    <w:rsid w:val="7F188F95"/>
    <w:rsid w:val="7F26ADBE"/>
    <w:rsid w:val="7F27C829"/>
    <w:rsid w:val="7F301D8C"/>
    <w:rsid w:val="7F31A106"/>
    <w:rsid w:val="7F3FCB42"/>
    <w:rsid w:val="7F40D58A"/>
    <w:rsid w:val="7F4E4A1C"/>
    <w:rsid w:val="7F50F0E0"/>
    <w:rsid w:val="7F549A68"/>
    <w:rsid w:val="7F579772"/>
    <w:rsid w:val="7F65A243"/>
    <w:rsid w:val="7F70BCB8"/>
    <w:rsid w:val="7F773E7B"/>
    <w:rsid w:val="7F782770"/>
    <w:rsid w:val="7F7D9B25"/>
    <w:rsid w:val="7F82EF75"/>
    <w:rsid w:val="7F854D0D"/>
    <w:rsid w:val="7F92BEB5"/>
    <w:rsid w:val="7FA8D75B"/>
    <w:rsid w:val="7FBC3140"/>
    <w:rsid w:val="7FC02F35"/>
    <w:rsid w:val="7FC7EC9C"/>
    <w:rsid w:val="7FCAD3A8"/>
    <w:rsid w:val="7FD3D958"/>
    <w:rsid w:val="7FD7F6F1"/>
    <w:rsid w:val="7FDFF47F"/>
    <w:rsid w:val="7FE06BE0"/>
    <w:rsid w:val="7FE1FE03"/>
    <w:rsid w:val="7FE23F19"/>
    <w:rsid w:val="7FE26494"/>
    <w:rsid w:val="7FE63D2D"/>
    <w:rsid w:val="7FEC6E05"/>
    <w:rsid w:val="7FEDFBBC"/>
    <w:rsid w:val="7FF1DE65"/>
    <w:rsid w:val="7FF9312E"/>
    <w:rsid w:val="7FFA6E71"/>
    <w:rsid w:val="7FFE7F1F"/>
    <w:rsid w:val="7FFFF08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D6256EE"/>
  <w15:docId w15:val="{2F353D8C-CDF6-4E08-A2DD-CCB0E199F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0" w:qFormat="1"/>
    <w:lsdException w:name="Emphasis" w:semiHidden="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144"/>
    <w:pPr>
      <w:spacing w:after="0" w:line="240" w:lineRule="auto"/>
    </w:pPr>
    <w:rPr>
      <w:rFonts w:ascii="Times New Roman" w:eastAsia="Times New Roman" w:hAnsi="Times New Roman" w:cs="Times New Roman"/>
      <w:sz w:val="20"/>
      <w:szCs w:val="20"/>
    </w:rPr>
  </w:style>
  <w:style w:type="paragraph" w:styleId="Heading1">
    <w:name w:val="heading 1"/>
    <w:basedOn w:val="Normal"/>
    <w:next w:val="BodyText"/>
    <w:link w:val="Heading1Char"/>
    <w:qFormat/>
    <w:rsid w:val="009E63D8"/>
    <w:pPr>
      <w:keepNext/>
      <w:numPr>
        <w:numId w:val="5"/>
      </w:numPr>
      <w:tabs>
        <w:tab w:val="left" w:pos="284"/>
      </w:tabs>
      <w:spacing w:after="720"/>
      <w:outlineLvl w:val="0"/>
    </w:pPr>
    <w:rPr>
      <w:rFonts w:ascii="Arial" w:hAnsi="Arial"/>
      <w:caps/>
      <w:color w:val="00426F"/>
      <w:kern w:val="28"/>
      <w:sz w:val="40"/>
      <w:szCs w:val="36"/>
    </w:rPr>
  </w:style>
  <w:style w:type="paragraph" w:styleId="Heading2">
    <w:name w:val="heading 2"/>
    <w:basedOn w:val="Normal"/>
    <w:next w:val="BodyText"/>
    <w:link w:val="Heading2Char"/>
    <w:qFormat/>
    <w:rsid w:val="006760AD"/>
    <w:pPr>
      <w:keepNext/>
      <w:widowControl w:val="0"/>
      <w:numPr>
        <w:numId w:val="8"/>
      </w:numPr>
      <w:pBdr>
        <w:bottom w:val="single" w:sz="4" w:space="4" w:color="008EBA"/>
      </w:pBdr>
      <w:spacing w:before="240" w:after="100"/>
      <w:ind w:left="680" w:hanging="680"/>
      <w:outlineLvl w:val="1"/>
    </w:pPr>
    <w:rPr>
      <w:rFonts w:ascii="Arial Bold" w:hAnsi="Arial Bold"/>
      <w:b/>
      <w:color w:val="008EBA"/>
      <w:kern w:val="28"/>
      <w:sz w:val="28"/>
      <w:szCs w:val="36"/>
    </w:rPr>
  </w:style>
  <w:style w:type="paragraph" w:styleId="Heading3">
    <w:name w:val="heading 3"/>
    <w:basedOn w:val="Heading2"/>
    <w:next w:val="BodyText"/>
    <w:link w:val="Heading3Char"/>
    <w:qFormat/>
    <w:rsid w:val="005B3EB8"/>
    <w:pPr>
      <w:pBdr>
        <w:bottom w:val="none" w:sz="0" w:space="0" w:color="auto"/>
      </w:pBdr>
      <w:spacing w:before="320" w:after="120" w:line="240" w:lineRule="atLeast"/>
      <w:outlineLvl w:val="2"/>
    </w:pPr>
    <w:rPr>
      <w:color w:val="auto"/>
      <w:sz w:val="26"/>
    </w:rPr>
  </w:style>
  <w:style w:type="paragraph" w:styleId="Heading4">
    <w:name w:val="heading 4"/>
    <w:basedOn w:val="Heading3"/>
    <w:next w:val="Normal"/>
    <w:link w:val="Heading4Char"/>
    <w:qFormat/>
    <w:rsid w:val="002E7EE8"/>
    <w:pPr>
      <w:numPr>
        <w:numId w:val="0"/>
      </w:numPr>
      <w:spacing w:before="240" w:after="100"/>
      <w:outlineLvl w:val="3"/>
    </w:pPr>
    <w:rPr>
      <w:rFonts w:ascii="Arial" w:hAnsi="Arial"/>
      <w:sz w:val="25"/>
    </w:rPr>
  </w:style>
  <w:style w:type="paragraph" w:styleId="Heading5">
    <w:name w:val="heading 5"/>
    <w:basedOn w:val="Heading4"/>
    <w:next w:val="BodyText"/>
    <w:link w:val="Heading5Char"/>
    <w:qFormat/>
    <w:rsid w:val="005D6D9F"/>
    <w:pPr>
      <w:spacing w:after="60"/>
      <w:outlineLvl w:val="4"/>
    </w:pPr>
    <w:rPr>
      <w:i/>
      <w:sz w:val="24"/>
    </w:rPr>
  </w:style>
  <w:style w:type="paragraph" w:styleId="Heading6">
    <w:name w:val="heading 6"/>
    <w:basedOn w:val="Heading1"/>
    <w:next w:val="Normal"/>
    <w:link w:val="Heading6Char"/>
    <w:qFormat/>
    <w:rsid w:val="00034310"/>
    <w:pPr>
      <w:numPr>
        <w:ilvl w:val="5"/>
      </w:numPr>
      <w:spacing w:before="120"/>
      <w:outlineLvl w:val="5"/>
    </w:pPr>
    <w:rPr>
      <w:rFonts w:ascii="Times New Roman" w:hAnsi="Times New Roman"/>
      <w:b/>
      <w:i/>
      <w:caps w:val="0"/>
      <w:kern w:val="0"/>
      <w:sz w:val="24"/>
    </w:rPr>
  </w:style>
  <w:style w:type="paragraph" w:styleId="Heading7">
    <w:name w:val="heading 7"/>
    <w:basedOn w:val="Heading5"/>
    <w:next w:val="Normal"/>
    <w:link w:val="Heading7Char"/>
    <w:qFormat/>
    <w:rsid w:val="00034310"/>
    <w:pPr>
      <w:spacing w:before="120"/>
      <w:jc w:val="both"/>
      <w:outlineLvl w:val="6"/>
    </w:pPr>
    <w:rPr>
      <w:i w:val="0"/>
      <w:sz w:val="23"/>
    </w:rPr>
  </w:style>
  <w:style w:type="paragraph" w:styleId="Heading8">
    <w:name w:val="heading 8"/>
    <w:basedOn w:val="Heading7"/>
    <w:next w:val="Normal"/>
    <w:link w:val="Heading8Char"/>
    <w:qFormat/>
    <w:rsid w:val="00034310"/>
    <w:pPr>
      <w:outlineLvl w:val="7"/>
    </w:pPr>
    <w:rPr>
      <w:i/>
    </w:rPr>
  </w:style>
  <w:style w:type="paragraph" w:styleId="Heading9">
    <w:name w:val="heading 9"/>
    <w:basedOn w:val="Heading8"/>
    <w:next w:val="Normal"/>
    <w:link w:val="Heading9Char"/>
    <w:qFormat/>
    <w:rsid w:val="00034310"/>
    <w:pPr>
      <w:outlineLvl w:val="8"/>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E63D8"/>
    <w:rPr>
      <w:rFonts w:ascii="Arial" w:eastAsia="Times New Roman" w:hAnsi="Arial" w:cs="Times New Roman"/>
      <w:caps/>
      <w:color w:val="00426F"/>
      <w:kern w:val="28"/>
      <w:sz w:val="40"/>
      <w:szCs w:val="36"/>
    </w:rPr>
  </w:style>
  <w:style w:type="paragraph" w:styleId="BalloonText">
    <w:name w:val="Balloon Text"/>
    <w:basedOn w:val="Normal"/>
    <w:link w:val="BalloonTextChar"/>
    <w:semiHidden/>
    <w:rsid w:val="002B4DA9"/>
    <w:rPr>
      <w:rFonts w:ascii="Arial" w:hAnsi="Arial" w:cs="Tahoma"/>
      <w:sz w:val="23"/>
      <w:szCs w:val="16"/>
    </w:rPr>
  </w:style>
  <w:style w:type="character" w:customStyle="1" w:styleId="BalloonTextChar">
    <w:name w:val="Balloon Text Char"/>
    <w:link w:val="BalloonText"/>
    <w:semiHidden/>
    <w:rsid w:val="00E029AC"/>
    <w:rPr>
      <w:rFonts w:ascii="Arial" w:eastAsia="Times New Roman" w:hAnsi="Arial" w:cs="Tahoma"/>
      <w:sz w:val="23"/>
      <w:szCs w:val="16"/>
    </w:rPr>
  </w:style>
  <w:style w:type="paragraph" w:styleId="BodyText">
    <w:name w:val="Body Text"/>
    <w:link w:val="BodyTextChar"/>
    <w:autoRedefine/>
    <w:rsid w:val="00CE19A1"/>
    <w:pPr>
      <w:tabs>
        <w:tab w:val="left" w:pos="8647"/>
      </w:tabs>
      <w:spacing w:before="120" w:after="120" w:line="240" w:lineRule="atLeast"/>
    </w:pPr>
    <w:rPr>
      <w:rFonts w:ascii="Arial" w:eastAsia="Times New Roman" w:hAnsi="Arial" w:cs="Arial"/>
      <w:sz w:val="23"/>
      <w:szCs w:val="16"/>
    </w:rPr>
  </w:style>
  <w:style w:type="character" w:customStyle="1" w:styleId="BodyTextChar">
    <w:name w:val="Body Text Char"/>
    <w:basedOn w:val="DefaultParagraphFont"/>
    <w:link w:val="BodyText"/>
    <w:rsid w:val="00CE19A1"/>
    <w:rPr>
      <w:rFonts w:ascii="Arial" w:eastAsia="Times New Roman" w:hAnsi="Arial" w:cs="Arial"/>
      <w:sz w:val="23"/>
      <w:szCs w:val="16"/>
    </w:rPr>
  </w:style>
  <w:style w:type="paragraph" w:customStyle="1" w:styleId="BodyText-Box">
    <w:name w:val="Body Text - Box"/>
    <w:basedOn w:val="BodyText"/>
    <w:autoRedefine/>
    <w:semiHidden/>
    <w:rsid w:val="00034310"/>
    <w:pPr>
      <w:tabs>
        <w:tab w:val="left" w:pos="567"/>
      </w:tabs>
      <w:ind w:right="-143"/>
    </w:pPr>
    <w:rPr>
      <w:rFonts w:ascii="Times New Roman" w:hAnsi="Times New Roman"/>
      <w:sz w:val="21"/>
      <w:szCs w:val="21"/>
      <w:lang w:eastAsia="en-AU"/>
    </w:rPr>
  </w:style>
  <w:style w:type="paragraph" w:customStyle="1" w:styleId="BodyTextBox">
    <w:name w:val="Body Text Box"/>
    <w:basedOn w:val="Normal"/>
    <w:link w:val="BodyTextBoxChar"/>
    <w:autoRedefine/>
    <w:rsid w:val="00CE19A1"/>
    <w:pPr>
      <w:framePr w:hSpace="180" w:wrap="around" w:vAnchor="text" w:hAnchor="text" w:y="18"/>
      <w:spacing w:before="120" w:after="80" w:line="240" w:lineRule="atLeast"/>
    </w:pPr>
    <w:rPr>
      <w:rFonts w:ascii="Arial" w:hAnsi="Arial" w:cs="Arial"/>
      <w:color w:val="008EBA"/>
      <w:sz w:val="23"/>
      <w:szCs w:val="18"/>
    </w:rPr>
  </w:style>
  <w:style w:type="paragraph" w:customStyle="1" w:styleId="ObjectHeading">
    <w:name w:val="Object Heading"/>
    <w:basedOn w:val="Heading3"/>
    <w:next w:val="Normal"/>
    <w:semiHidden/>
    <w:rsid w:val="00034310"/>
    <w:pPr>
      <w:tabs>
        <w:tab w:val="left" w:pos="1418"/>
      </w:tabs>
      <w:spacing w:before="240" w:after="100"/>
      <w:ind w:left="1418" w:hanging="1418"/>
    </w:pPr>
    <w:rPr>
      <w:rFonts w:ascii="Arial" w:eastAsiaTheme="majorEastAsia" w:hAnsi="Arial" w:cstheme="majorBidi"/>
      <w:kern w:val="0"/>
    </w:rPr>
  </w:style>
  <w:style w:type="paragraph" w:customStyle="1" w:styleId="Bullet1">
    <w:name w:val="Bullet 1"/>
    <w:basedOn w:val="BodyText"/>
    <w:link w:val="Bullet1Char"/>
    <w:autoRedefine/>
    <w:rsid w:val="001321A1"/>
    <w:pPr>
      <w:numPr>
        <w:numId w:val="15"/>
      </w:numPr>
      <w:tabs>
        <w:tab w:val="clear" w:pos="8647"/>
        <w:tab w:val="left" w:pos="1276"/>
      </w:tabs>
      <w:spacing w:after="80"/>
      <w:ind w:left="357" w:hanging="357"/>
    </w:pPr>
    <w:rPr>
      <w:iCs/>
      <w:szCs w:val="22"/>
    </w:rPr>
  </w:style>
  <w:style w:type="character" w:customStyle="1" w:styleId="Heading2Char">
    <w:name w:val="Heading 2 Char"/>
    <w:link w:val="Heading2"/>
    <w:rsid w:val="009F0C9A"/>
    <w:rPr>
      <w:rFonts w:ascii="Arial Bold" w:eastAsia="Times New Roman" w:hAnsi="Arial Bold" w:cs="Times New Roman"/>
      <w:b/>
      <w:color w:val="008EBA"/>
      <w:kern w:val="28"/>
      <w:sz w:val="28"/>
      <w:szCs w:val="36"/>
    </w:rPr>
  </w:style>
  <w:style w:type="character" w:customStyle="1" w:styleId="Bullet1Char">
    <w:name w:val="Bullet 1 Char"/>
    <w:link w:val="Bullet1"/>
    <w:rsid w:val="001321A1"/>
    <w:rPr>
      <w:rFonts w:ascii="Arial" w:eastAsia="Times New Roman" w:hAnsi="Arial" w:cs="Arial"/>
      <w:iCs/>
      <w:sz w:val="23"/>
    </w:rPr>
  </w:style>
  <w:style w:type="paragraph" w:customStyle="1" w:styleId="Bullet1inabox">
    <w:name w:val="Bullet 1 in a box"/>
    <w:basedOn w:val="Bullet1"/>
    <w:autoRedefine/>
    <w:rsid w:val="00CE19A1"/>
    <w:pPr>
      <w:numPr>
        <w:numId w:val="12"/>
      </w:numPr>
      <w:spacing w:before="100" w:after="60"/>
    </w:pPr>
    <w:rPr>
      <w:rFonts w:cs="Times New Roman"/>
      <w:iCs w:val="0"/>
      <w:color w:val="008EBA"/>
    </w:rPr>
  </w:style>
  <w:style w:type="paragraph" w:customStyle="1" w:styleId="Bullet1Paragraph">
    <w:name w:val="Bullet 1 Paragraph"/>
    <w:basedOn w:val="Normal"/>
    <w:semiHidden/>
    <w:rsid w:val="00034310"/>
    <w:pPr>
      <w:ind w:left="425"/>
    </w:pPr>
  </w:style>
  <w:style w:type="paragraph" w:customStyle="1" w:styleId="Bullet2">
    <w:name w:val="Bullet 2"/>
    <w:basedOn w:val="Bullet1"/>
    <w:rsid w:val="00CE19A1"/>
    <w:pPr>
      <w:numPr>
        <w:numId w:val="13"/>
      </w:numPr>
      <w:tabs>
        <w:tab w:val="left" w:pos="851"/>
      </w:tabs>
      <w:spacing w:before="80" w:after="40"/>
    </w:pPr>
    <w:rPr>
      <w:iCs w:val="0"/>
    </w:rPr>
  </w:style>
  <w:style w:type="paragraph" w:customStyle="1" w:styleId="Bullet2innumberedlist">
    <w:name w:val="Bullet 2 in numbered list"/>
    <w:basedOn w:val="Bullet2"/>
    <w:semiHidden/>
    <w:rsid w:val="00034310"/>
    <w:pPr>
      <w:numPr>
        <w:numId w:val="0"/>
      </w:numPr>
      <w:tabs>
        <w:tab w:val="num" w:pos="851"/>
      </w:tabs>
      <w:spacing w:after="0"/>
      <w:ind w:left="851" w:hanging="426"/>
    </w:pPr>
  </w:style>
  <w:style w:type="paragraph" w:customStyle="1" w:styleId="Bullet2Paragraph">
    <w:name w:val="Bullet 2 Paragraph"/>
    <w:basedOn w:val="Bullet1Paragraph"/>
    <w:semiHidden/>
    <w:rsid w:val="00034310"/>
    <w:pPr>
      <w:ind w:left="851"/>
    </w:pPr>
  </w:style>
  <w:style w:type="paragraph" w:customStyle="1" w:styleId="Bullet3">
    <w:name w:val="Bullet 3"/>
    <w:basedOn w:val="Bullet2"/>
    <w:rsid w:val="00590E5A"/>
    <w:pPr>
      <w:framePr w:wrap="around" w:hAnchor="text"/>
      <w:numPr>
        <w:numId w:val="11"/>
      </w:numPr>
    </w:pPr>
  </w:style>
  <w:style w:type="character" w:customStyle="1" w:styleId="Heading3Char">
    <w:name w:val="Heading 3 Char"/>
    <w:link w:val="Heading3"/>
    <w:rsid w:val="00E2606A"/>
    <w:rPr>
      <w:rFonts w:ascii="Arial Bold" w:eastAsia="Times New Roman" w:hAnsi="Arial Bold" w:cs="Times New Roman"/>
      <w:b/>
      <w:kern w:val="28"/>
      <w:sz w:val="26"/>
      <w:szCs w:val="36"/>
    </w:rPr>
  </w:style>
  <w:style w:type="character" w:customStyle="1" w:styleId="Heading4Char">
    <w:name w:val="Heading 4 Char"/>
    <w:link w:val="Heading4"/>
    <w:rsid w:val="00034310"/>
    <w:rPr>
      <w:rFonts w:ascii="Arial" w:eastAsia="Times New Roman" w:hAnsi="Arial" w:cs="Times New Roman"/>
      <w:b/>
      <w:kern w:val="28"/>
      <w:sz w:val="25"/>
      <w:szCs w:val="36"/>
    </w:rPr>
  </w:style>
  <w:style w:type="paragraph" w:customStyle="1" w:styleId="Bullet3Paragraph">
    <w:name w:val="Bullet 3 Paragraph"/>
    <w:basedOn w:val="Bullet2Paragraph"/>
    <w:semiHidden/>
    <w:rsid w:val="00034310"/>
    <w:pPr>
      <w:ind w:left="1276"/>
    </w:pPr>
  </w:style>
  <w:style w:type="paragraph" w:customStyle="1" w:styleId="Bullet4">
    <w:name w:val="Bullet 4"/>
    <w:basedOn w:val="Bullet3"/>
    <w:rsid w:val="00590E5A"/>
    <w:pPr>
      <w:framePr w:wrap="around"/>
      <w:numPr>
        <w:numId w:val="0"/>
      </w:numPr>
      <w:tabs>
        <w:tab w:val="num" w:pos="1701"/>
      </w:tabs>
      <w:ind w:left="1701" w:hanging="425"/>
    </w:pPr>
  </w:style>
  <w:style w:type="paragraph" w:customStyle="1" w:styleId="Bullet4Paragraph">
    <w:name w:val="Bullet 4 Paragraph"/>
    <w:basedOn w:val="Bullet3Paragraph"/>
    <w:semiHidden/>
    <w:rsid w:val="00034310"/>
    <w:pPr>
      <w:ind w:left="1701"/>
    </w:pPr>
  </w:style>
  <w:style w:type="paragraph" w:customStyle="1" w:styleId="ChapterHeadingStyle">
    <w:name w:val="Chapter Heading Style"/>
    <w:basedOn w:val="Normal"/>
    <w:semiHidden/>
    <w:rsid w:val="00034310"/>
    <w:pPr>
      <w:keepNext/>
      <w:keepLines/>
      <w:pBdr>
        <w:bottom w:val="threeDEmboss" w:sz="24" w:space="1" w:color="000000"/>
      </w:pBdr>
      <w:tabs>
        <w:tab w:val="left" w:pos="1134"/>
        <w:tab w:val="left" w:pos="2268"/>
      </w:tabs>
      <w:spacing w:after="120"/>
      <w:ind w:left="2268" w:hanging="2268"/>
      <w:outlineLvl w:val="0"/>
    </w:pPr>
    <w:rPr>
      <w:rFonts w:ascii="Tahoma" w:hAnsi="Tahoma"/>
      <w:b/>
      <w:caps/>
      <w:color w:val="000000"/>
      <w:kern w:val="28"/>
      <w:sz w:val="32"/>
    </w:rPr>
  </w:style>
  <w:style w:type="paragraph" w:customStyle="1" w:styleId="ChartHeading">
    <w:name w:val="Chart Heading"/>
    <w:basedOn w:val="Normal"/>
    <w:autoRedefine/>
    <w:semiHidden/>
    <w:rsid w:val="00034310"/>
    <w:pPr>
      <w:keepNext/>
      <w:widowControl w:val="0"/>
      <w:spacing w:before="240" w:after="120"/>
    </w:pPr>
    <w:rPr>
      <w:rFonts w:ascii="Arial" w:hAnsi="Arial"/>
      <w:b/>
      <w:sz w:val="24"/>
    </w:rPr>
  </w:style>
  <w:style w:type="character" w:styleId="EndnoteReference">
    <w:name w:val="endnote reference"/>
    <w:semiHidden/>
    <w:rsid w:val="00034310"/>
    <w:rPr>
      <w:i/>
      <w:sz w:val="16"/>
      <w:vertAlign w:val="superscript"/>
    </w:rPr>
  </w:style>
  <w:style w:type="paragraph" w:styleId="Footer">
    <w:name w:val="footer"/>
    <w:basedOn w:val="Normal"/>
    <w:link w:val="FooterChar"/>
    <w:semiHidden/>
    <w:rsid w:val="00034310"/>
    <w:pPr>
      <w:pBdr>
        <w:top w:val="single" w:sz="4" w:space="1" w:color="auto"/>
      </w:pBdr>
      <w:tabs>
        <w:tab w:val="right" w:pos="7655"/>
      </w:tabs>
    </w:pPr>
    <w:rPr>
      <w:rFonts w:ascii="Arial" w:hAnsi="Arial"/>
      <w:sz w:val="18"/>
    </w:rPr>
  </w:style>
  <w:style w:type="character" w:customStyle="1" w:styleId="FooterChar">
    <w:name w:val="Footer Char"/>
    <w:basedOn w:val="DefaultParagraphFont"/>
    <w:link w:val="Footer"/>
    <w:semiHidden/>
    <w:rsid w:val="00E029AC"/>
    <w:rPr>
      <w:rFonts w:ascii="Arial" w:eastAsia="Times New Roman" w:hAnsi="Arial" w:cs="Times New Roman"/>
      <w:sz w:val="18"/>
      <w:szCs w:val="20"/>
    </w:rPr>
  </w:style>
  <w:style w:type="character" w:styleId="FootnoteReference">
    <w:name w:val="footnote reference"/>
    <w:semiHidden/>
    <w:rsid w:val="00034310"/>
    <w:rPr>
      <w:vertAlign w:val="superscript"/>
    </w:rPr>
  </w:style>
  <w:style w:type="paragraph" w:styleId="FootnoteText">
    <w:name w:val="footnote text"/>
    <w:basedOn w:val="Normal"/>
    <w:link w:val="FootnoteTextChar"/>
    <w:semiHidden/>
    <w:rsid w:val="00034310"/>
    <w:pPr>
      <w:spacing w:before="80" w:after="80"/>
      <w:ind w:left="709" w:hanging="142"/>
    </w:pPr>
    <w:rPr>
      <w:i/>
      <w:sz w:val="16"/>
    </w:rPr>
  </w:style>
  <w:style w:type="character" w:customStyle="1" w:styleId="FootnoteTextChar">
    <w:name w:val="Footnote Text Char"/>
    <w:basedOn w:val="DefaultParagraphFont"/>
    <w:link w:val="FootnoteText"/>
    <w:semiHidden/>
    <w:rsid w:val="00034310"/>
    <w:rPr>
      <w:rFonts w:ascii="Times New Roman" w:eastAsia="Times New Roman" w:hAnsi="Times New Roman" w:cs="Times New Roman"/>
      <w:i/>
      <w:sz w:val="16"/>
      <w:szCs w:val="20"/>
      <w:lang w:val="en-US"/>
    </w:rPr>
  </w:style>
  <w:style w:type="paragraph" w:styleId="Header">
    <w:name w:val="header"/>
    <w:basedOn w:val="Normal"/>
    <w:link w:val="HeaderChar"/>
    <w:uiPriority w:val="99"/>
    <w:semiHidden/>
    <w:rsid w:val="00034310"/>
    <w:pPr>
      <w:tabs>
        <w:tab w:val="center" w:pos="4153"/>
        <w:tab w:val="right" w:pos="8306"/>
      </w:tabs>
    </w:pPr>
  </w:style>
  <w:style w:type="character" w:customStyle="1" w:styleId="HeaderChar">
    <w:name w:val="Header Char"/>
    <w:basedOn w:val="DefaultParagraphFont"/>
    <w:link w:val="Header"/>
    <w:uiPriority w:val="99"/>
    <w:semiHidden/>
    <w:rsid w:val="00E029AC"/>
    <w:rPr>
      <w:rFonts w:ascii="Times New Roman" w:eastAsia="Times New Roman" w:hAnsi="Times New Roman" w:cs="Times New Roman"/>
      <w:sz w:val="20"/>
      <w:szCs w:val="20"/>
    </w:rPr>
  </w:style>
  <w:style w:type="paragraph" w:customStyle="1" w:styleId="Heading1BP2">
    <w:name w:val="Heading 1 BP2"/>
    <w:semiHidden/>
    <w:rsid w:val="00034310"/>
    <w:pPr>
      <w:keepNext/>
      <w:tabs>
        <w:tab w:val="left" w:pos="284"/>
      </w:tabs>
      <w:spacing w:before="400" w:after="240" w:line="240" w:lineRule="auto"/>
    </w:pPr>
    <w:rPr>
      <w:rFonts w:ascii="Lucida Sans" w:eastAsia="Times New Roman" w:hAnsi="Lucida Sans" w:cs="Times New Roman"/>
      <w:kern w:val="28"/>
      <w:sz w:val="36"/>
      <w:szCs w:val="36"/>
    </w:rPr>
  </w:style>
  <w:style w:type="paragraph" w:customStyle="1" w:styleId="ListBullet1">
    <w:name w:val="List Bullet1"/>
    <w:basedOn w:val="Normal"/>
    <w:autoRedefine/>
    <w:semiHidden/>
    <w:rsid w:val="00034310"/>
    <w:pPr>
      <w:numPr>
        <w:numId w:val="1"/>
      </w:numPr>
      <w:spacing w:line="360" w:lineRule="auto"/>
    </w:pPr>
    <w:rPr>
      <w:rFonts w:ascii="Arial" w:hAnsi="Arial"/>
      <w:sz w:val="28"/>
    </w:rPr>
  </w:style>
  <w:style w:type="paragraph" w:styleId="NoSpacing">
    <w:name w:val="No Spacing"/>
    <w:basedOn w:val="Normal"/>
    <w:link w:val="NoSpacingChar"/>
    <w:semiHidden/>
    <w:qFormat/>
    <w:rsid w:val="00034310"/>
  </w:style>
  <w:style w:type="character" w:customStyle="1" w:styleId="NoSpacingChar">
    <w:name w:val="No Spacing Char"/>
    <w:link w:val="NoSpacing"/>
    <w:semiHidden/>
    <w:rsid w:val="00E029AC"/>
    <w:rPr>
      <w:rFonts w:ascii="Times New Roman" w:eastAsia="Times New Roman" w:hAnsi="Times New Roman" w:cs="Times New Roman"/>
      <w:sz w:val="20"/>
      <w:szCs w:val="20"/>
    </w:rPr>
  </w:style>
  <w:style w:type="paragraph" w:customStyle="1" w:styleId="Object">
    <w:name w:val="Object"/>
    <w:basedOn w:val="Normal"/>
    <w:next w:val="Normal"/>
    <w:semiHidden/>
    <w:rsid w:val="00034310"/>
    <w:pPr>
      <w:jc w:val="center"/>
    </w:pPr>
  </w:style>
  <w:style w:type="paragraph" w:customStyle="1" w:styleId="ObjectFootnote">
    <w:name w:val="Object Footnote"/>
    <w:basedOn w:val="Object"/>
    <w:next w:val="Normal"/>
    <w:semiHidden/>
    <w:rsid w:val="00034310"/>
    <w:pPr>
      <w:spacing w:after="60"/>
    </w:pPr>
    <w:rPr>
      <w:i/>
      <w:sz w:val="14"/>
    </w:rPr>
  </w:style>
  <w:style w:type="character" w:customStyle="1" w:styleId="Heading5Char">
    <w:name w:val="Heading 5 Char"/>
    <w:link w:val="Heading5"/>
    <w:rsid w:val="00257D1B"/>
    <w:rPr>
      <w:rFonts w:ascii="Arial" w:eastAsia="Times New Roman" w:hAnsi="Arial" w:cs="Times New Roman"/>
      <w:b/>
      <w:i/>
      <w:kern w:val="28"/>
      <w:sz w:val="24"/>
      <w:szCs w:val="36"/>
    </w:rPr>
  </w:style>
  <w:style w:type="character" w:customStyle="1" w:styleId="Heading6Char">
    <w:name w:val="Heading 6 Char"/>
    <w:link w:val="Heading6"/>
    <w:rsid w:val="00034310"/>
    <w:rPr>
      <w:rFonts w:ascii="Times New Roman" w:eastAsia="Times New Roman" w:hAnsi="Times New Roman" w:cs="Times New Roman"/>
      <w:b/>
      <w:i/>
      <w:color w:val="00426F"/>
      <w:sz w:val="24"/>
      <w:szCs w:val="36"/>
    </w:rPr>
  </w:style>
  <w:style w:type="character" w:customStyle="1" w:styleId="Heading7Char">
    <w:name w:val="Heading 7 Char"/>
    <w:link w:val="Heading7"/>
    <w:rsid w:val="00034310"/>
    <w:rPr>
      <w:rFonts w:ascii="Arial Bold" w:eastAsia="Times New Roman" w:hAnsi="Arial Bold" w:cs="Times New Roman"/>
      <w:b/>
      <w:kern w:val="28"/>
      <w:sz w:val="23"/>
      <w:szCs w:val="36"/>
    </w:rPr>
  </w:style>
  <w:style w:type="character" w:customStyle="1" w:styleId="Heading8Char">
    <w:name w:val="Heading 8 Char"/>
    <w:link w:val="Heading8"/>
    <w:rsid w:val="00034310"/>
    <w:rPr>
      <w:rFonts w:ascii="Arial Bold" w:eastAsia="Times New Roman" w:hAnsi="Arial Bold" w:cs="Times New Roman"/>
      <w:b/>
      <w:i/>
      <w:kern w:val="28"/>
      <w:sz w:val="23"/>
      <w:szCs w:val="36"/>
    </w:rPr>
  </w:style>
  <w:style w:type="character" w:customStyle="1" w:styleId="Heading9Char">
    <w:name w:val="Heading 9 Char"/>
    <w:link w:val="Heading9"/>
    <w:rsid w:val="00034310"/>
    <w:rPr>
      <w:rFonts w:ascii="Arial Bold" w:eastAsia="Times New Roman" w:hAnsi="Arial Bold" w:cs="Times New Roman"/>
      <w:b/>
      <w:kern w:val="28"/>
      <w:sz w:val="23"/>
      <w:szCs w:val="36"/>
    </w:rPr>
  </w:style>
  <w:style w:type="paragraph" w:customStyle="1" w:styleId="ObjectFootnotelettered">
    <w:name w:val="Object Footnote lettered"/>
    <w:basedOn w:val="ObjectFootnote"/>
    <w:semiHidden/>
    <w:rsid w:val="00034310"/>
    <w:pPr>
      <w:tabs>
        <w:tab w:val="left" w:pos="709"/>
      </w:tabs>
      <w:ind w:left="426"/>
      <w:jc w:val="left"/>
    </w:pPr>
  </w:style>
  <w:style w:type="paragraph" w:customStyle="1" w:styleId="ObjectFootnoteleft">
    <w:name w:val="Object Footnote left"/>
    <w:basedOn w:val="ObjectFootnotelettered"/>
    <w:semiHidden/>
    <w:rsid w:val="00034310"/>
    <w:pPr>
      <w:ind w:left="709" w:hanging="283"/>
    </w:pPr>
  </w:style>
  <w:style w:type="character" w:styleId="PageNumber">
    <w:name w:val="page number"/>
    <w:basedOn w:val="DefaultParagraphFont"/>
    <w:semiHidden/>
    <w:rsid w:val="00034310"/>
  </w:style>
  <w:style w:type="paragraph" w:customStyle="1" w:styleId="Style211HeadingBold">
    <w:name w:val="Style 2.1.1 Heading + Bold"/>
    <w:basedOn w:val="Normal"/>
    <w:semiHidden/>
    <w:rsid w:val="00034310"/>
    <w:rPr>
      <w:b/>
      <w:bCs/>
      <w:i/>
      <w:iCs/>
    </w:rPr>
  </w:style>
  <w:style w:type="paragraph" w:customStyle="1" w:styleId="StyleBoxHeadingLeft0Firstline0">
    <w:name w:val="Style Box Heading + Left:  0&quot; First line:  0&quot;"/>
    <w:basedOn w:val="Normal"/>
    <w:autoRedefine/>
    <w:semiHidden/>
    <w:rsid w:val="00034310"/>
    <w:pPr>
      <w:keepLines/>
      <w:framePr w:wrap="around" w:hAnchor="text"/>
      <w:tabs>
        <w:tab w:val="left" w:pos="567"/>
        <w:tab w:val="num" w:pos="1276"/>
      </w:tabs>
      <w:spacing w:before="120" w:after="120"/>
    </w:pPr>
    <w:rPr>
      <w:bCs/>
      <w:color w:val="000000"/>
      <w:lang w:eastAsia="en-AU"/>
    </w:rPr>
  </w:style>
  <w:style w:type="paragraph" w:customStyle="1" w:styleId="StyleName">
    <w:name w:val="Style Name"/>
    <w:basedOn w:val="Normal"/>
    <w:semiHidden/>
    <w:rsid w:val="00034310"/>
    <w:pPr>
      <w:ind w:left="851" w:hanging="851"/>
      <w:jc w:val="center"/>
    </w:pPr>
    <w:rPr>
      <w:rFonts w:ascii="Arial" w:hAnsi="Arial"/>
      <w:b/>
      <w:i/>
      <w:color w:val="000000"/>
      <w:sz w:val="24"/>
      <w:lang w:val="en-GB" w:eastAsia="en-AU"/>
    </w:rPr>
  </w:style>
  <w:style w:type="paragraph" w:customStyle="1" w:styleId="TableFootnote">
    <w:name w:val="Table Footnote"/>
    <w:basedOn w:val="Normal"/>
    <w:semiHidden/>
    <w:rsid w:val="00034310"/>
    <w:pPr>
      <w:spacing w:before="60" w:after="60"/>
      <w:ind w:left="284"/>
    </w:pPr>
    <w:rPr>
      <w:rFonts w:ascii="Arial" w:hAnsi="Arial"/>
      <w:i/>
      <w:sz w:val="14"/>
    </w:rPr>
  </w:style>
  <w:style w:type="table" w:styleId="TableGrid">
    <w:name w:val="Table Grid"/>
    <w:basedOn w:val="TableNormal"/>
    <w:rsid w:val="0003431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563DF"/>
    <w:pPr>
      <w:spacing w:after="0" w:line="240" w:lineRule="auto"/>
    </w:pPr>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rsid w:val="00A7174A"/>
    <w:rPr>
      <w:sz w:val="16"/>
      <w:szCs w:val="16"/>
    </w:rPr>
  </w:style>
  <w:style w:type="paragraph" w:styleId="CommentText">
    <w:name w:val="annotation text"/>
    <w:basedOn w:val="Normal"/>
    <w:link w:val="CommentTextChar"/>
    <w:uiPriority w:val="99"/>
    <w:semiHidden/>
    <w:rsid w:val="00A7174A"/>
  </w:style>
  <w:style w:type="character" w:customStyle="1" w:styleId="CommentTextChar">
    <w:name w:val="Comment Text Char"/>
    <w:basedOn w:val="DefaultParagraphFont"/>
    <w:link w:val="CommentText"/>
    <w:uiPriority w:val="99"/>
    <w:semiHidden/>
    <w:rsid w:val="00E029A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7174A"/>
    <w:rPr>
      <w:b/>
      <w:bCs/>
    </w:rPr>
  </w:style>
  <w:style w:type="character" w:customStyle="1" w:styleId="CommentSubjectChar">
    <w:name w:val="Comment Subject Char"/>
    <w:basedOn w:val="CommentTextChar"/>
    <w:link w:val="CommentSubject"/>
    <w:uiPriority w:val="99"/>
    <w:semiHidden/>
    <w:rsid w:val="00A7174A"/>
    <w:rPr>
      <w:rFonts w:ascii="Times New Roman" w:eastAsia="Times New Roman" w:hAnsi="Times New Roman" w:cs="Times New Roman"/>
      <w:b/>
      <w:bCs/>
      <w:sz w:val="20"/>
      <w:szCs w:val="20"/>
      <w:lang w:val="en-US"/>
    </w:rPr>
  </w:style>
  <w:style w:type="paragraph" w:customStyle="1" w:styleId="Bulletrecommendtext">
    <w:name w:val="Bullet recommend text"/>
    <w:basedOn w:val="Normal"/>
    <w:semiHidden/>
    <w:qFormat/>
    <w:rsid w:val="00641DC1"/>
    <w:pPr>
      <w:numPr>
        <w:numId w:val="2"/>
      </w:numPr>
      <w:spacing w:before="80" w:line="280" w:lineRule="exact"/>
    </w:pPr>
    <w:rPr>
      <w:rFonts w:ascii="Garamond" w:hAnsi="Garamond"/>
      <w:sz w:val="24"/>
      <w:lang w:eastAsia="x-none"/>
    </w:rPr>
  </w:style>
  <w:style w:type="paragraph" w:customStyle="1" w:styleId="Default">
    <w:name w:val="Default"/>
    <w:basedOn w:val="Normal"/>
    <w:semiHidden/>
    <w:rsid w:val="00AB54D3"/>
    <w:pPr>
      <w:autoSpaceDE w:val="0"/>
      <w:autoSpaceDN w:val="0"/>
    </w:pPr>
    <w:rPr>
      <w:rFonts w:ascii="Arial" w:eastAsiaTheme="minorHAnsi" w:hAnsi="Arial" w:cs="Arial"/>
      <w:color w:val="000000"/>
      <w:sz w:val="24"/>
      <w:szCs w:val="24"/>
    </w:rPr>
  </w:style>
  <w:style w:type="character" w:customStyle="1" w:styleId="BodyTextBoxChar">
    <w:name w:val="Body Text Box Char"/>
    <w:link w:val="BodyTextBox"/>
    <w:rsid w:val="00CE19A1"/>
    <w:rPr>
      <w:rFonts w:ascii="Arial" w:eastAsia="Times New Roman" w:hAnsi="Arial" w:cs="Arial"/>
      <w:color w:val="008EBA"/>
      <w:sz w:val="23"/>
      <w:szCs w:val="18"/>
    </w:rPr>
  </w:style>
  <w:style w:type="paragraph" w:styleId="ListParagraph">
    <w:name w:val="List Paragraph"/>
    <w:basedOn w:val="Normal"/>
    <w:uiPriority w:val="34"/>
    <w:qFormat/>
    <w:rsid w:val="00411AC2"/>
    <w:pPr>
      <w:ind w:left="720"/>
      <w:contextualSpacing/>
    </w:pPr>
  </w:style>
  <w:style w:type="paragraph" w:customStyle="1" w:styleId="paragraph">
    <w:name w:val="paragraph"/>
    <w:basedOn w:val="Normal"/>
    <w:rsid w:val="003F0163"/>
    <w:pPr>
      <w:spacing w:before="100" w:beforeAutospacing="1" w:after="100" w:afterAutospacing="1"/>
    </w:pPr>
    <w:rPr>
      <w:sz w:val="24"/>
      <w:szCs w:val="24"/>
      <w:lang w:eastAsia="en-AU"/>
    </w:rPr>
  </w:style>
  <w:style w:type="character" w:customStyle="1" w:styleId="eop">
    <w:name w:val="eop"/>
    <w:basedOn w:val="DefaultParagraphFont"/>
    <w:rsid w:val="003F0163"/>
  </w:style>
  <w:style w:type="paragraph" w:customStyle="1" w:styleId="Source">
    <w:name w:val="Source"/>
    <w:basedOn w:val="Normal"/>
    <w:semiHidden/>
    <w:qFormat/>
    <w:rsid w:val="000C0534"/>
    <w:pPr>
      <w:widowControl w:val="0"/>
      <w:spacing w:before="120"/>
    </w:pPr>
    <w:rPr>
      <w:rFonts w:ascii="Arial" w:hAnsi="Arial" w:cs="Arial"/>
      <w:i/>
      <w:noProof/>
      <w:color w:val="4F4F4F"/>
      <w:sz w:val="17"/>
      <w:szCs w:val="17"/>
      <w:lang w:eastAsia="en-AU"/>
    </w:rPr>
  </w:style>
  <w:style w:type="paragraph" w:customStyle="1" w:styleId="Chart41">
    <w:name w:val="Chart 4.1"/>
    <w:basedOn w:val="Normal"/>
    <w:next w:val="Normal"/>
    <w:rsid w:val="00C539A9"/>
    <w:pPr>
      <w:keepLines/>
      <w:numPr>
        <w:numId w:val="4"/>
      </w:numPr>
      <w:tabs>
        <w:tab w:val="left" w:pos="1304"/>
      </w:tabs>
      <w:spacing w:before="240" w:after="120"/>
      <w:ind w:left="1304" w:hanging="1304"/>
    </w:pPr>
    <w:rPr>
      <w:rFonts w:ascii="Arial" w:hAnsi="Arial"/>
      <w:i/>
      <w:color w:val="4F4F4F"/>
      <w:sz w:val="22"/>
    </w:rPr>
  </w:style>
  <w:style w:type="paragraph" w:customStyle="1" w:styleId="Table4X">
    <w:name w:val="Table 4.X"/>
    <w:basedOn w:val="Normal"/>
    <w:rsid w:val="00B66308"/>
    <w:pPr>
      <w:widowControl w:val="0"/>
      <w:numPr>
        <w:numId w:val="3"/>
      </w:numPr>
      <w:spacing w:before="240" w:after="120"/>
      <w:ind w:left="1304" w:hanging="1304"/>
    </w:pPr>
    <w:rPr>
      <w:rFonts w:ascii="Arial" w:hAnsi="Arial"/>
      <w:bCs/>
      <w:i/>
      <w:color w:val="4F4F4F"/>
      <w:kern w:val="28"/>
      <w:sz w:val="22"/>
      <w:szCs w:val="22"/>
    </w:rPr>
  </w:style>
  <w:style w:type="character" w:styleId="Hyperlink">
    <w:name w:val="Hyperlink"/>
    <w:basedOn w:val="DefaultParagraphFont"/>
    <w:uiPriority w:val="99"/>
    <w:semiHidden/>
    <w:rsid w:val="008216E8"/>
    <w:rPr>
      <w:color w:val="0000FF" w:themeColor="hyperlink"/>
      <w:u w:val="single"/>
    </w:rPr>
  </w:style>
  <w:style w:type="paragraph" w:styleId="NormalWeb">
    <w:name w:val="Normal (Web)"/>
    <w:basedOn w:val="Normal"/>
    <w:uiPriority w:val="99"/>
    <w:unhideWhenUsed/>
    <w:rsid w:val="005F7407"/>
    <w:pPr>
      <w:spacing w:before="100" w:beforeAutospacing="1" w:after="100" w:afterAutospacing="1"/>
    </w:pPr>
    <w:rPr>
      <w:sz w:val="24"/>
      <w:szCs w:val="24"/>
      <w:lang w:eastAsia="en-AU"/>
    </w:rPr>
  </w:style>
  <w:style w:type="paragraph" w:customStyle="1" w:styleId="xmsonormal">
    <w:name w:val="x_msonormal"/>
    <w:basedOn w:val="Normal"/>
    <w:rsid w:val="00D47EF8"/>
    <w:rPr>
      <w:rFonts w:ascii="Calibri" w:eastAsiaTheme="minorHAnsi" w:hAnsi="Calibri" w:cs="Calibri"/>
      <w:sz w:val="22"/>
      <w:szCs w:val="22"/>
      <w:lang w:eastAsia="en-AU"/>
    </w:rPr>
  </w:style>
  <w:style w:type="paragraph" w:customStyle="1" w:styleId="BoxHeading">
    <w:name w:val="Box Heading"/>
    <w:basedOn w:val="ObjectHeading"/>
    <w:autoRedefine/>
    <w:semiHidden/>
    <w:rsid w:val="00B623C0"/>
    <w:pPr>
      <w:numPr>
        <w:numId w:val="6"/>
      </w:numPr>
      <w:tabs>
        <w:tab w:val="clear" w:pos="1418"/>
        <w:tab w:val="left" w:pos="1100"/>
      </w:tabs>
      <w:spacing w:before="80" w:after="60"/>
    </w:pPr>
    <w:rPr>
      <w:rFonts w:cs="Arial"/>
      <w:sz w:val="23"/>
      <w:szCs w:val="20"/>
      <w:lang w:val="en-US"/>
    </w:rPr>
  </w:style>
  <w:style w:type="paragraph" w:customStyle="1" w:styleId="Bullet2inabox">
    <w:name w:val="Bullet 2 in a box"/>
    <w:basedOn w:val="Normal"/>
    <w:qFormat/>
    <w:rsid w:val="00CE19A1"/>
    <w:pPr>
      <w:numPr>
        <w:numId w:val="14"/>
      </w:numPr>
      <w:spacing w:before="100" w:after="60" w:line="240" w:lineRule="atLeast"/>
    </w:pPr>
    <w:rPr>
      <w:rFonts w:ascii="Arial" w:hAnsi="Arial"/>
      <w:color w:val="008EBA"/>
      <w:sz w:val="23"/>
    </w:rPr>
  </w:style>
  <w:style w:type="character" w:styleId="UnresolvedMention">
    <w:name w:val="Unresolved Mention"/>
    <w:basedOn w:val="DefaultParagraphFont"/>
    <w:uiPriority w:val="99"/>
    <w:semiHidden/>
    <w:rsid w:val="00681D72"/>
    <w:rPr>
      <w:color w:val="605E5C"/>
      <w:shd w:val="clear" w:color="auto" w:fill="E1DFDD"/>
    </w:rPr>
  </w:style>
  <w:style w:type="character" w:styleId="Mention">
    <w:name w:val="Mention"/>
    <w:basedOn w:val="DefaultParagraphFont"/>
    <w:uiPriority w:val="99"/>
    <w:semiHidden/>
    <w:rsid w:val="00681D72"/>
    <w:rPr>
      <w:color w:val="2B579A"/>
      <w:shd w:val="clear" w:color="auto" w:fill="E1DFDD"/>
    </w:rPr>
  </w:style>
  <w:style w:type="paragraph" w:customStyle="1" w:styleId="Box41BoxHeading">
    <w:name w:val="Box 4.1 Box Heading"/>
    <w:basedOn w:val="ObjectHeading"/>
    <w:autoRedefine/>
    <w:rsid w:val="002A4012"/>
    <w:pPr>
      <w:numPr>
        <w:numId w:val="0"/>
      </w:numPr>
      <w:tabs>
        <w:tab w:val="clear" w:pos="1418"/>
        <w:tab w:val="left" w:pos="1163"/>
      </w:tabs>
      <w:spacing w:before="80" w:after="60"/>
      <w:ind w:left="360" w:hanging="360"/>
      <w:outlineLvl w:val="9"/>
    </w:pPr>
    <w:rPr>
      <w:rFonts w:cs="Arial"/>
      <w:sz w:val="23"/>
      <w:szCs w:val="20"/>
      <w:lang w:eastAsia="en-AU"/>
    </w:rPr>
  </w:style>
  <w:style w:type="paragraph" w:customStyle="1" w:styleId="41Heading2">
    <w:name w:val="4.1 Heading 2"/>
    <w:basedOn w:val="Normal"/>
    <w:qFormat/>
    <w:rsid w:val="003F2445"/>
    <w:pPr>
      <w:numPr>
        <w:numId w:val="10"/>
      </w:numPr>
      <w:pBdr>
        <w:bottom w:val="single" w:sz="4" w:space="4" w:color="008EBA"/>
      </w:pBdr>
      <w:spacing w:before="240" w:after="100"/>
      <w:ind w:left="680" w:hanging="680"/>
    </w:pPr>
    <w:rPr>
      <w:rFonts w:ascii="Arial Bold" w:hAnsi="Arial Bold"/>
      <w:b/>
      <w:color w:val="008EBA"/>
      <w:sz w:val="28"/>
    </w:rPr>
  </w:style>
  <w:style w:type="character" w:customStyle="1" w:styleId="normaltextrun">
    <w:name w:val="normaltextrun"/>
    <w:basedOn w:val="DefaultParagraphFont"/>
    <w:rsid w:val="00E20F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5615">
      <w:bodyDiv w:val="1"/>
      <w:marLeft w:val="0"/>
      <w:marRight w:val="0"/>
      <w:marTop w:val="0"/>
      <w:marBottom w:val="0"/>
      <w:divBdr>
        <w:top w:val="none" w:sz="0" w:space="0" w:color="auto"/>
        <w:left w:val="none" w:sz="0" w:space="0" w:color="auto"/>
        <w:bottom w:val="none" w:sz="0" w:space="0" w:color="auto"/>
        <w:right w:val="none" w:sz="0" w:space="0" w:color="auto"/>
      </w:divBdr>
    </w:div>
    <w:div w:id="16007726">
      <w:bodyDiv w:val="1"/>
      <w:marLeft w:val="0"/>
      <w:marRight w:val="0"/>
      <w:marTop w:val="0"/>
      <w:marBottom w:val="0"/>
      <w:divBdr>
        <w:top w:val="none" w:sz="0" w:space="0" w:color="auto"/>
        <w:left w:val="none" w:sz="0" w:space="0" w:color="auto"/>
        <w:bottom w:val="none" w:sz="0" w:space="0" w:color="auto"/>
        <w:right w:val="none" w:sz="0" w:space="0" w:color="auto"/>
      </w:divBdr>
    </w:div>
    <w:div w:id="16275547">
      <w:bodyDiv w:val="1"/>
      <w:marLeft w:val="0"/>
      <w:marRight w:val="0"/>
      <w:marTop w:val="0"/>
      <w:marBottom w:val="0"/>
      <w:divBdr>
        <w:top w:val="none" w:sz="0" w:space="0" w:color="auto"/>
        <w:left w:val="none" w:sz="0" w:space="0" w:color="auto"/>
        <w:bottom w:val="none" w:sz="0" w:space="0" w:color="auto"/>
        <w:right w:val="none" w:sz="0" w:space="0" w:color="auto"/>
      </w:divBdr>
    </w:div>
    <w:div w:id="25835899">
      <w:bodyDiv w:val="1"/>
      <w:marLeft w:val="0"/>
      <w:marRight w:val="0"/>
      <w:marTop w:val="0"/>
      <w:marBottom w:val="0"/>
      <w:divBdr>
        <w:top w:val="none" w:sz="0" w:space="0" w:color="auto"/>
        <w:left w:val="none" w:sz="0" w:space="0" w:color="auto"/>
        <w:bottom w:val="none" w:sz="0" w:space="0" w:color="auto"/>
        <w:right w:val="none" w:sz="0" w:space="0" w:color="auto"/>
      </w:divBdr>
    </w:div>
    <w:div w:id="61687163">
      <w:bodyDiv w:val="1"/>
      <w:marLeft w:val="0"/>
      <w:marRight w:val="0"/>
      <w:marTop w:val="0"/>
      <w:marBottom w:val="0"/>
      <w:divBdr>
        <w:top w:val="none" w:sz="0" w:space="0" w:color="auto"/>
        <w:left w:val="none" w:sz="0" w:space="0" w:color="auto"/>
        <w:bottom w:val="none" w:sz="0" w:space="0" w:color="auto"/>
        <w:right w:val="none" w:sz="0" w:space="0" w:color="auto"/>
      </w:divBdr>
    </w:div>
    <w:div w:id="68383432">
      <w:bodyDiv w:val="1"/>
      <w:marLeft w:val="0"/>
      <w:marRight w:val="0"/>
      <w:marTop w:val="0"/>
      <w:marBottom w:val="0"/>
      <w:divBdr>
        <w:top w:val="none" w:sz="0" w:space="0" w:color="auto"/>
        <w:left w:val="none" w:sz="0" w:space="0" w:color="auto"/>
        <w:bottom w:val="none" w:sz="0" w:space="0" w:color="auto"/>
        <w:right w:val="none" w:sz="0" w:space="0" w:color="auto"/>
      </w:divBdr>
    </w:div>
    <w:div w:id="84228997">
      <w:bodyDiv w:val="1"/>
      <w:marLeft w:val="0"/>
      <w:marRight w:val="0"/>
      <w:marTop w:val="0"/>
      <w:marBottom w:val="0"/>
      <w:divBdr>
        <w:top w:val="none" w:sz="0" w:space="0" w:color="auto"/>
        <w:left w:val="none" w:sz="0" w:space="0" w:color="auto"/>
        <w:bottom w:val="none" w:sz="0" w:space="0" w:color="auto"/>
        <w:right w:val="none" w:sz="0" w:space="0" w:color="auto"/>
      </w:divBdr>
    </w:div>
    <w:div w:id="91710902">
      <w:bodyDiv w:val="1"/>
      <w:marLeft w:val="0"/>
      <w:marRight w:val="0"/>
      <w:marTop w:val="0"/>
      <w:marBottom w:val="0"/>
      <w:divBdr>
        <w:top w:val="none" w:sz="0" w:space="0" w:color="auto"/>
        <w:left w:val="none" w:sz="0" w:space="0" w:color="auto"/>
        <w:bottom w:val="none" w:sz="0" w:space="0" w:color="auto"/>
        <w:right w:val="none" w:sz="0" w:space="0" w:color="auto"/>
      </w:divBdr>
      <w:divsChild>
        <w:div w:id="313488494">
          <w:marLeft w:val="274"/>
          <w:marRight w:val="0"/>
          <w:marTop w:val="0"/>
          <w:marBottom w:val="0"/>
          <w:divBdr>
            <w:top w:val="none" w:sz="0" w:space="0" w:color="auto"/>
            <w:left w:val="none" w:sz="0" w:space="0" w:color="auto"/>
            <w:bottom w:val="none" w:sz="0" w:space="0" w:color="auto"/>
            <w:right w:val="none" w:sz="0" w:space="0" w:color="auto"/>
          </w:divBdr>
        </w:div>
        <w:div w:id="1374227409">
          <w:marLeft w:val="274"/>
          <w:marRight w:val="0"/>
          <w:marTop w:val="0"/>
          <w:marBottom w:val="0"/>
          <w:divBdr>
            <w:top w:val="none" w:sz="0" w:space="0" w:color="auto"/>
            <w:left w:val="none" w:sz="0" w:space="0" w:color="auto"/>
            <w:bottom w:val="none" w:sz="0" w:space="0" w:color="auto"/>
            <w:right w:val="none" w:sz="0" w:space="0" w:color="auto"/>
          </w:divBdr>
        </w:div>
        <w:div w:id="1600679003">
          <w:marLeft w:val="274"/>
          <w:marRight w:val="0"/>
          <w:marTop w:val="0"/>
          <w:marBottom w:val="0"/>
          <w:divBdr>
            <w:top w:val="none" w:sz="0" w:space="0" w:color="auto"/>
            <w:left w:val="none" w:sz="0" w:space="0" w:color="auto"/>
            <w:bottom w:val="none" w:sz="0" w:space="0" w:color="auto"/>
            <w:right w:val="none" w:sz="0" w:space="0" w:color="auto"/>
          </w:divBdr>
        </w:div>
        <w:div w:id="1737364148">
          <w:marLeft w:val="274"/>
          <w:marRight w:val="0"/>
          <w:marTop w:val="0"/>
          <w:marBottom w:val="0"/>
          <w:divBdr>
            <w:top w:val="none" w:sz="0" w:space="0" w:color="auto"/>
            <w:left w:val="none" w:sz="0" w:space="0" w:color="auto"/>
            <w:bottom w:val="none" w:sz="0" w:space="0" w:color="auto"/>
            <w:right w:val="none" w:sz="0" w:space="0" w:color="auto"/>
          </w:divBdr>
        </w:div>
      </w:divsChild>
    </w:div>
    <w:div w:id="93257780">
      <w:bodyDiv w:val="1"/>
      <w:marLeft w:val="0"/>
      <w:marRight w:val="0"/>
      <w:marTop w:val="0"/>
      <w:marBottom w:val="0"/>
      <w:divBdr>
        <w:top w:val="none" w:sz="0" w:space="0" w:color="auto"/>
        <w:left w:val="none" w:sz="0" w:space="0" w:color="auto"/>
        <w:bottom w:val="none" w:sz="0" w:space="0" w:color="auto"/>
        <w:right w:val="none" w:sz="0" w:space="0" w:color="auto"/>
      </w:divBdr>
    </w:div>
    <w:div w:id="102382656">
      <w:bodyDiv w:val="1"/>
      <w:marLeft w:val="0"/>
      <w:marRight w:val="0"/>
      <w:marTop w:val="0"/>
      <w:marBottom w:val="0"/>
      <w:divBdr>
        <w:top w:val="none" w:sz="0" w:space="0" w:color="auto"/>
        <w:left w:val="none" w:sz="0" w:space="0" w:color="auto"/>
        <w:bottom w:val="none" w:sz="0" w:space="0" w:color="auto"/>
        <w:right w:val="none" w:sz="0" w:space="0" w:color="auto"/>
      </w:divBdr>
    </w:div>
    <w:div w:id="105274745">
      <w:bodyDiv w:val="1"/>
      <w:marLeft w:val="0"/>
      <w:marRight w:val="0"/>
      <w:marTop w:val="0"/>
      <w:marBottom w:val="0"/>
      <w:divBdr>
        <w:top w:val="none" w:sz="0" w:space="0" w:color="auto"/>
        <w:left w:val="none" w:sz="0" w:space="0" w:color="auto"/>
        <w:bottom w:val="none" w:sz="0" w:space="0" w:color="auto"/>
        <w:right w:val="none" w:sz="0" w:space="0" w:color="auto"/>
      </w:divBdr>
    </w:div>
    <w:div w:id="115175134">
      <w:bodyDiv w:val="1"/>
      <w:marLeft w:val="0"/>
      <w:marRight w:val="0"/>
      <w:marTop w:val="0"/>
      <w:marBottom w:val="0"/>
      <w:divBdr>
        <w:top w:val="none" w:sz="0" w:space="0" w:color="auto"/>
        <w:left w:val="none" w:sz="0" w:space="0" w:color="auto"/>
        <w:bottom w:val="none" w:sz="0" w:space="0" w:color="auto"/>
        <w:right w:val="none" w:sz="0" w:space="0" w:color="auto"/>
      </w:divBdr>
    </w:div>
    <w:div w:id="115873593">
      <w:bodyDiv w:val="1"/>
      <w:marLeft w:val="0"/>
      <w:marRight w:val="0"/>
      <w:marTop w:val="0"/>
      <w:marBottom w:val="0"/>
      <w:divBdr>
        <w:top w:val="none" w:sz="0" w:space="0" w:color="auto"/>
        <w:left w:val="none" w:sz="0" w:space="0" w:color="auto"/>
        <w:bottom w:val="none" w:sz="0" w:space="0" w:color="auto"/>
        <w:right w:val="none" w:sz="0" w:space="0" w:color="auto"/>
      </w:divBdr>
    </w:div>
    <w:div w:id="129175674">
      <w:bodyDiv w:val="1"/>
      <w:marLeft w:val="0"/>
      <w:marRight w:val="0"/>
      <w:marTop w:val="0"/>
      <w:marBottom w:val="0"/>
      <w:divBdr>
        <w:top w:val="none" w:sz="0" w:space="0" w:color="auto"/>
        <w:left w:val="none" w:sz="0" w:space="0" w:color="auto"/>
        <w:bottom w:val="none" w:sz="0" w:space="0" w:color="auto"/>
        <w:right w:val="none" w:sz="0" w:space="0" w:color="auto"/>
      </w:divBdr>
    </w:div>
    <w:div w:id="133184012">
      <w:bodyDiv w:val="1"/>
      <w:marLeft w:val="0"/>
      <w:marRight w:val="0"/>
      <w:marTop w:val="0"/>
      <w:marBottom w:val="0"/>
      <w:divBdr>
        <w:top w:val="none" w:sz="0" w:space="0" w:color="auto"/>
        <w:left w:val="none" w:sz="0" w:space="0" w:color="auto"/>
        <w:bottom w:val="none" w:sz="0" w:space="0" w:color="auto"/>
        <w:right w:val="none" w:sz="0" w:space="0" w:color="auto"/>
      </w:divBdr>
    </w:div>
    <w:div w:id="138616815">
      <w:bodyDiv w:val="1"/>
      <w:marLeft w:val="0"/>
      <w:marRight w:val="0"/>
      <w:marTop w:val="0"/>
      <w:marBottom w:val="0"/>
      <w:divBdr>
        <w:top w:val="none" w:sz="0" w:space="0" w:color="auto"/>
        <w:left w:val="none" w:sz="0" w:space="0" w:color="auto"/>
        <w:bottom w:val="none" w:sz="0" w:space="0" w:color="auto"/>
        <w:right w:val="none" w:sz="0" w:space="0" w:color="auto"/>
      </w:divBdr>
    </w:div>
    <w:div w:id="142739686">
      <w:bodyDiv w:val="1"/>
      <w:marLeft w:val="0"/>
      <w:marRight w:val="0"/>
      <w:marTop w:val="0"/>
      <w:marBottom w:val="0"/>
      <w:divBdr>
        <w:top w:val="none" w:sz="0" w:space="0" w:color="auto"/>
        <w:left w:val="none" w:sz="0" w:space="0" w:color="auto"/>
        <w:bottom w:val="none" w:sz="0" w:space="0" w:color="auto"/>
        <w:right w:val="none" w:sz="0" w:space="0" w:color="auto"/>
      </w:divBdr>
    </w:div>
    <w:div w:id="149299581">
      <w:bodyDiv w:val="1"/>
      <w:marLeft w:val="0"/>
      <w:marRight w:val="0"/>
      <w:marTop w:val="0"/>
      <w:marBottom w:val="0"/>
      <w:divBdr>
        <w:top w:val="none" w:sz="0" w:space="0" w:color="auto"/>
        <w:left w:val="none" w:sz="0" w:space="0" w:color="auto"/>
        <w:bottom w:val="none" w:sz="0" w:space="0" w:color="auto"/>
        <w:right w:val="none" w:sz="0" w:space="0" w:color="auto"/>
      </w:divBdr>
    </w:div>
    <w:div w:id="149754548">
      <w:bodyDiv w:val="1"/>
      <w:marLeft w:val="0"/>
      <w:marRight w:val="0"/>
      <w:marTop w:val="0"/>
      <w:marBottom w:val="0"/>
      <w:divBdr>
        <w:top w:val="none" w:sz="0" w:space="0" w:color="auto"/>
        <w:left w:val="none" w:sz="0" w:space="0" w:color="auto"/>
        <w:bottom w:val="none" w:sz="0" w:space="0" w:color="auto"/>
        <w:right w:val="none" w:sz="0" w:space="0" w:color="auto"/>
      </w:divBdr>
    </w:div>
    <w:div w:id="150609291">
      <w:bodyDiv w:val="1"/>
      <w:marLeft w:val="0"/>
      <w:marRight w:val="0"/>
      <w:marTop w:val="0"/>
      <w:marBottom w:val="0"/>
      <w:divBdr>
        <w:top w:val="none" w:sz="0" w:space="0" w:color="auto"/>
        <w:left w:val="none" w:sz="0" w:space="0" w:color="auto"/>
        <w:bottom w:val="none" w:sz="0" w:space="0" w:color="auto"/>
        <w:right w:val="none" w:sz="0" w:space="0" w:color="auto"/>
      </w:divBdr>
    </w:div>
    <w:div w:id="168523008">
      <w:bodyDiv w:val="1"/>
      <w:marLeft w:val="0"/>
      <w:marRight w:val="0"/>
      <w:marTop w:val="0"/>
      <w:marBottom w:val="0"/>
      <w:divBdr>
        <w:top w:val="none" w:sz="0" w:space="0" w:color="auto"/>
        <w:left w:val="none" w:sz="0" w:space="0" w:color="auto"/>
        <w:bottom w:val="none" w:sz="0" w:space="0" w:color="auto"/>
        <w:right w:val="none" w:sz="0" w:space="0" w:color="auto"/>
      </w:divBdr>
    </w:div>
    <w:div w:id="173568160">
      <w:bodyDiv w:val="1"/>
      <w:marLeft w:val="0"/>
      <w:marRight w:val="0"/>
      <w:marTop w:val="0"/>
      <w:marBottom w:val="0"/>
      <w:divBdr>
        <w:top w:val="none" w:sz="0" w:space="0" w:color="auto"/>
        <w:left w:val="none" w:sz="0" w:space="0" w:color="auto"/>
        <w:bottom w:val="none" w:sz="0" w:space="0" w:color="auto"/>
        <w:right w:val="none" w:sz="0" w:space="0" w:color="auto"/>
      </w:divBdr>
    </w:div>
    <w:div w:id="181089273">
      <w:bodyDiv w:val="1"/>
      <w:marLeft w:val="0"/>
      <w:marRight w:val="0"/>
      <w:marTop w:val="0"/>
      <w:marBottom w:val="0"/>
      <w:divBdr>
        <w:top w:val="none" w:sz="0" w:space="0" w:color="auto"/>
        <w:left w:val="none" w:sz="0" w:space="0" w:color="auto"/>
        <w:bottom w:val="none" w:sz="0" w:space="0" w:color="auto"/>
        <w:right w:val="none" w:sz="0" w:space="0" w:color="auto"/>
      </w:divBdr>
      <w:divsChild>
        <w:div w:id="847672940">
          <w:marLeft w:val="446"/>
          <w:marRight w:val="0"/>
          <w:marTop w:val="0"/>
          <w:marBottom w:val="0"/>
          <w:divBdr>
            <w:top w:val="none" w:sz="0" w:space="0" w:color="auto"/>
            <w:left w:val="none" w:sz="0" w:space="0" w:color="auto"/>
            <w:bottom w:val="none" w:sz="0" w:space="0" w:color="auto"/>
            <w:right w:val="none" w:sz="0" w:space="0" w:color="auto"/>
          </w:divBdr>
        </w:div>
        <w:div w:id="1207453277">
          <w:marLeft w:val="446"/>
          <w:marRight w:val="0"/>
          <w:marTop w:val="0"/>
          <w:marBottom w:val="0"/>
          <w:divBdr>
            <w:top w:val="none" w:sz="0" w:space="0" w:color="auto"/>
            <w:left w:val="none" w:sz="0" w:space="0" w:color="auto"/>
            <w:bottom w:val="none" w:sz="0" w:space="0" w:color="auto"/>
            <w:right w:val="none" w:sz="0" w:space="0" w:color="auto"/>
          </w:divBdr>
        </w:div>
        <w:div w:id="1283458759">
          <w:marLeft w:val="446"/>
          <w:marRight w:val="0"/>
          <w:marTop w:val="0"/>
          <w:marBottom w:val="0"/>
          <w:divBdr>
            <w:top w:val="none" w:sz="0" w:space="0" w:color="auto"/>
            <w:left w:val="none" w:sz="0" w:space="0" w:color="auto"/>
            <w:bottom w:val="none" w:sz="0" w:space="0" w:color="auto"/>
            <w:right w:val="none" w:sz="0" w:space="0" w:color="auto"/>
          </w:divBdr>
        </w:div>
        <w:div w:id="1320385565">
          <w:marLeft w:val="446"/>
          <w:marRight w:val="0"/>
          <w:marTop w:val="0"/>
          <w:marBottom w:val="0"/>
          <w:divBdr>
            <w:top w:val="none" w:sz="0" w:space="0" w:color="auto"/>
            <w:left w:val="none" w:sz="0" w:space="0" w:color="auto"/>
            <w:bottom w:val="none" w:sz="0" w:space="0" w:color="auto"/>
            <w:right w:val="none" w:sz="0" w:space="0" w:color="auto"/>
          </w:divBdr>
        </w:div>
        <w:div w:id="1805927515">
          <w:marLeft w:val="446"/>
          <w:marRight w:val="0"/>
          <w:marTop w:val="0"/>
          <w:marBottom w:val="0"/>
          <w:divBdr>
            <w:top w:val="none" w:sz="0" w:space="0" w:color="auto"/>
            <w:left w:val="none" w:sz="0" w:space="0" w:color="auto"/>
            <w:bottom w:val="none" w:sz="0" w:space="0" w:color="auto"/>
            <w:right w:val="none" w:sz="0" w:space="0" w:color="auto"/>
          </w:divBdr>
        </w:div>
        <w:div w:id="2063945196">
          <w:marLeft w:val="446"/>
          <w:marRight w:val="0"/>
          <w:marTop w:val="0"/>
          <w:marBottom w:val="0"/>
          <w:divBdr>
            <w:top w:val="none" w:sz="0" w:space="0" w:color="auto"/>
            <w:left w:val="none" w:sz="0" w:space="0" w:color="auto"/>
            <w:bottom w:val="none" w:sz="0" w:space="0" w:color="auto"/>
            <w:right w:val="none" w:sz="0" w:space="0" w:color="auto"/>
          </w:divBdr>
        </w:div>
      </w:divsChild>
    </w:div>
    <w:div w:id="188839221">
      <w:bodyDiv w:val="1"/>
      <w:marLeft w:val="0"/>
      <w:marRight w:val="0"/>
      <w:marTop w:val="0"/>
      <w:marBottom w:val="0"/>
      <w:divBdr>
        <w:top w:val="none" w:sz="0" w:space="0" w:color="auto"/>
        <w:left w:val="none" w:sz="0" w:space="0" w:color="auto"/>
        <w:bottom w:val="none" w:sz="0" w:space="0" w:color="auto"/>
        <w:right w:val="none" w:sz="0" w:space="0" w:color="auto"/>
      </w:divBdr>
    </w:div>
    <w:div w:id="196311442">
      <w:bodyDiv w:val="1"/>
      <w:marLeft w:val="0"/>
      <w:marRight w:val="0"/>
      <w:marTop w:val="0"/>
      <w:marBottom w:val="0"/>
      <w:divBdr>
        <w:top w:val="none" w:sz="0" w:space="0" w:color="auto"/>
        <w:left w:val="none" w:sz="0" w:space="0" w:color="auto"/>
        <w:bottom w:val="none" w:sz="0" w:space="0" w:color="auto"/>
        <w:right w:val="none" w:sz="0" w:space="0" w:color="auto"/>
      </w:divBdr>
    </w:div>
    <w:div w:id="204367351">
      <w:bodyDiv w:val="1"/>
      <w:marLeft w:val="0"/>
      <w:marRight w:val="0"/>
      <w:marTop w:val="0"/>
      <w:marBottom w:val="0"/>
      <w:divBdr>
        <w:top w:val="none" w:sz="0" w:space="0" w:color="auto"/>
        <w:left w:val="none" w:sz="0" w:space="0" w:color="auto"/>
        <w:bottom w:val="none" w:sz="0" w:space="0" w:color="auto"/>
        <w:right w:val="none" w:sz="0" w:space="0" w:color="auto"/>
      </w:divBdr>
    </w:div>
    <w:div w:id="208304552">
      <w:bodyDiv w:val="1"/>
      <w:marLeft w:val="0"/>
      <w:marRight w:val="0"/>
      <w:marTop w:val="0"/>
      <w:marBottom w:val="0"/>
      <w:divBdr>
        <w:top w:val="none" w:sz="0" w:space="0" w:color="auto"/>
        <w:left w:val="none" w:sz="0" w:space="0" w:color="auto"/>
        <w:bottom w:val="none" w:sz="0" w:space="0" w:color="auto"/>
        <w:right w:val="none" w:sz="0" w:space="0" w:color="auto"/>
      </w:divBdr>
    </w:div>
    <w:div w:id="219903919">
      <w:bodyDiv w:val="1"/>
      <w:marLeft w:val="0"/>
      <w:marRight w:val="0"/>
      <w:marTop w:val="0"/>
      <w:marBottom w:val="0"/>
      <w:divBdr>
        <w:top w:val="none" w:sz="0" w:space="0" w:color="auto"/>
        <w:left w:val="none" w:sz="0" w:space="0" w:color="auto"/>
        <w:bottom w:val="none" w:sz="0" w:space="0" w:color="auto"/>
        <w:right w:val="none" w:sz="0" w:space="0" w:color="auto"/>
      </w:divBdr>
    </w:div>
    <w:div w:id="223611965">
      <w:bodyDiv w:val="1"/>
      <w:marLeft w:val="0"/>
      <w:marRight w:val="0"/>
      <w:marTop w:val="0"/>
      <w:marBottom w:val="0"/>
      <w:divBdr>
        <w:top w:val="none" w:sz="0" w:space="0" w:color="auto"/>
        <w:left w:val="none" w:sz="0" w:space="0" w:color="auto"/>
        <w:bottom w:val="none" w:sz="0" w:space="0" w:color="auto"/>
        <w:right w:val="none" w:sz="0" w:space="0" w:color="auto"/>
      </w:divBdr>
    </w:div>
    <w:div w:id="226302613">
      <w:bodyDiv w:val="1"/>
      <w:marLeft w:val="0"/>
      <w:marRight w:val="0"/>
      <w:marTop w:val="0"/>
      <w:marBottom w:val="0"/>
      <w:divBdr>
        <w:top w:val="none" w:sz="0" w:space="0" w:color="auto"/>
        <w:left w:val="none" w:sz="0" w:space="0" w:color="auto"/>
        <w:bottom w:val="none" w:sz="0" w:space="0" w:color="auto"/>
        <w:right w:val="none" w:sz="0" w:space="0" w:color="auto"/>
      </w:divBdr>
    </w:div>
    <w:div w:id="247426722">
      <w:bodyDiv w:val="1"/>
      <w:marLeft w:val="0"/>
      <w:marRight w:val="0"/>
      <w:marTop w:val="0"/>
      <w:marBottom w:val="0"/>
      <w:divBdr>
        <w:top w:val="none" w:sz="0" w:space="0" w:color="auto"/>
        <w:left w:val="none" w:sz="0" w:space="0" w:color="auto"/>
        <w:bottom w:val="none" w:sz="0" w:space="0" w:color="auto"/>
        <w:right w:val="none" w:sz="0" w:space="0" w:color="auto"/>
      </w:divBdr>
    </w:div>
    <w:div w:id="250506654">
      <w:bodyDiv w:val="1"/>
      <w:marLeft w:val="0"/>
      <w:marRight w:val="0"/>
      <w:marTop w:val="0"/>
      <w:marBottom w:val="0"/>
      <w:divBdr>
        <w:top w:val="none" w:sz="0" w:space="0" w:color="auto"/>
        <w:left w:val="none" w:sz="0" w:space="0" w:color="auto"/>
        <w:bottom w:val="none" w:sz="0" w:space="0" w:color="auto"/>
        <w:right w:val="none" w:sz="0" w:space="0" w:color="auto"/>
      </w:divBdr>
    </w:div>
    <w:div w:id="251818283">
      <w:bodyDiv w:val="1"/>
      <w:marLeft w:val="0"/>
      <w:marRight w:val="0"/>
      <w:marTop w:val="0"/>
      <w:marBottom w:val="0"/>
      <w:divBdr>
        <w:top w:val="none" w:sz="0" w:space="0" w:color="auto"/>
        <w:left w:val="none" w:sz="0" w:space="0" w:color="auto"/>
        <w:bottom w:val="none" w:sz="0" w:space="0" w:color="auto"/>
        <w:right w:val="none" w:sz="0" w:space="0" w:color="auto"/>
      </w:divBdr>
    </w:div>
    <w:div w:id="258681144">
      <w:bodyDiv w:val="1"/>
      <w:marLeft w:val="0"/>
      <w:marRight w:val="0"/>
      <w:marTop w:val="0"/>
      <w:marBottom w:val="0"/>
      <w:divBdr>
        <w:top w:val="none" w:sz="0" w:space="0" w:color="auto"/>
        <w:left w:val="none" w:sz="0" w:space="0" w:color="auto"/>
        <w:bottom w:val="none" w:sz="0" w:space="0" w:color="auto"/>
        <w:right w:val="none" w:sz="0" w:space="0" w:color="auto"/>
      </w:divBdr>
    </w:div>
    <w:div w:id="268589615">
      <w:bodyDiv w:val="1"/>
      <w:marLeft w:val="0"/>
      <w:marRight w:val="0"/>
      <w:marTop w:val="0"/>
      <w:marBottom w:val="0"/>
      <w:divBdr>
        <w:top w:val="none" w:sz="0" w:space="0" w:color="auto"/>
        <w:left w:val="none" w:sz="0" w:space="0" w:color="auto"/>
        <w:bottom w:val="none" w:sz="0" w:space="0" w:color="auto"/>
        <w:right w:val="none" w:sz="0" w:space="0" w:color="auto"/>
      </w:divBdr>
    </w:div>
    <w:div w:id="282734979">
      <w:bodyDiv w:val="1"/>
      <w:marLeft w:val="0"/>
      <w:marRight w:val="0"/>
      <w:marTop w:val="0"/>
      <w:marBottom w:val="0"/>
      <w:divBdr>
        <w:top w:val="none" w:sz="0" w:space="0" w:color="auto"/>
        <w:left w:val="none" w:sz="0" w:space="0" w:color="auto"/>
        <w:bottom w:val="none" w:sz="0" w:space="0" w:color="auto"/>
        <w:right w:val="none" w:sz="0" w:space="0" w:color="auto"/>
      </w:divBdr>
    </w:div>
    <w:div w:id="289745880">
      <w:bodyDiv w:val="1"/>
      <w:marLeft w:val="0"/>
      <w:marRight w:val="0"/>
      <w:marTop w:val="0"/>
      <w:marBottom w:val="0"/>
      <w:divBdr>
        <w:top w:val="none" w:sz="0" w:space="0" w:color="auto"/>
        <w:left w:val="none" w:sz="0" w:space="0" w:color="auto"/>
        <w:bottom w:val="none" w:sz="0" w:space="0" w:color="auto"/>
        <w:right w:val="none" w:sz="0" w:space="0" w:color="auto"/>
      </w:divBdr>
    </w:div>
    <w:div w:id="294994940">
      <w:bodyDiv w:val="1"/>
      <w:marLeft w:val="0"/>
      <w:marRight w:val="0"/>
      <w:marTop w:val="0"/>
      <w:marBottom w:val="0"/>
      <w:divBdr>
        <w:top w:val="none" w:sz="0" w:space="0" w:color="auto"/>
        <w:left w:val="none" w:sz="0" w:space="0" w:color="auto"/>
        <w:bottom w:val="none" w:sz="0" w:space="0" w:color="auto"/>
        <w:right w:val="none" w:sz="0" w:space="0" w:color="auto"/>
      </w:divBdr>
    </w:div>
    <w:div w:id="295962259">
      <w:bodyDiv w:val="1"/>
      <w:marLeft w:val="0"/>
      <w:marRight w:val="0"/>
      <w:marTop w:val="0"/>
      <w:marBottom w:val="0"/>
      <w:divBdr>
        <w:top w:val="none" w:sz="0" w:space="0" w:color="auto"/>
        <w:left w:val="none" w:sz="0" w:space="0" w:color="auto"/>
        <w:bottom w:val="none" w:sz="0" w:space="0" w:color="auto"/>
        <w:right w:val="none" w:sz="0" w:space="0" w:color="auto"/>
      </w:divBdr>
    </w:div>
    <w:div w:id="297075002">
      <w:bodyDiv w:val="1"/>
      <w:marLeft w:val="0"/>
      <w:marRight w:val="0"/>
      <w:marTop w:val="0"/>
      <w:marBottom w:val="0"/>
      <w:divBdr>
        <w:top w:val="none" w:sz="0" w:space="0" w:color="auto"/>
        <w:left w:val="none" w:sz="0" w:space="0" w:color="auto"/>
        <w:bottom w:val="none" w:sz="0" w:space="0" w:color="auto"/>
        <w:right w:val="none" w:sz="0" w:space="0" w:color="auto"/>
      </w:divBdr>
    </w:div>
    <w:div w:id="304428946">
      <w:bodyDiv w:val="1"/>
      <w:marLeft w:val="0"/>
      <w:marRight w:val="0"/>
      <w:marTop w:val="0"/>
      <w:marBottom w:val="0"/>
      <w:divBdr>
        <w:top w:val="none" w:sz="0" w:space="0" w:color="auto"/>
        <w:left w:val="none" w:sz="0" w:space="0" w:color="auto"/>
        <w:bottom w:val="none" w:sz="0" w:space="0" w:color="auto"/>
        <w:right w:val="none" w:sz="0" w:space="0" w:color="auto"/>
      </w:divBdr>
      <w:divsChild>
        <w:div w:id="581531905">
          <w:marLeft w:val="274"/>
          <w:marRight w:val="0"/>
          <w:marTop w:val="0"/>
          <w:marBottom w:val="0"/>
          <w:divBdr>
            <w:top w:val="none" w:sz="0" w:space="0" w:color="auto"/>
            <w:left w:val="none" w:sz="0" w:space="0" w:color="auto"/>
            <w:bottom w:val="none" w:sz="0" w:space="0" w:color="auto"/>
            <w:right w:val="none" w:sz="0" w:space="0" w:color="auto"/>
          </w:divBdr>
        </w:div>
        <w:div w:id="1173764110">
          <w:marLeft w:val="274"/>
          <w:marRight w:val="0"/>
          <w:marTop w:val="0"/>
          <w:marBottom w:val="0"/>
          <w:divBdr>
            <w:top w:val="none" w:sz="0" w:space="0" w:color="auto"/>
            <w:left w:val="none" w:sz="0" w:space="0" w:color="auto"/>
            <w:bottom w:val="none" w:sz="0" w:space="0" w:color="auto"/>
            <w:right w:val="none" w:sz="0" w:space="0" w:color="auto"/>
          </w:divBdr>
        </w:div>
        <w:div w:id="1758599184">
          <w:marLeft w:val="274"/>
          <w:marRight w:val="0"/>
          <w:marTop w:val="0"/>
          <w:marBottom w:val="0"/>
          <w:divBdr>
            <w:top w:val="none" w:sz="0" w:space="0" w:color="auto"/>
            <w:left w:val="none" w:sz="0" w:space="0" w:color="auto"/>
            <w:bottom w:val="none" w:sz="0" w:space="0" w:color="auto"/>
            <w:right w:val="none" w:sz="0" w:space="0" w:color="auto"/>
          </w:divBdr>
        </w:div>
        <w:div w:id="2103067834">
          <w:marLeft w:val="274"/>
          <w:marRight w:val="0"/>
          <w:marTop w:val="0"/>
          <w:marBottom w:val="0"/>
          <w:divBdr>
            <w:top w:val="none" w:sz="0" w:space="0" w:color="auto"/>
            <w:left w:val="none" w:sz="0" w:space="0" w:color="auto"/>
            <w:bottom w:val="none" w:sz="0" w:space="0" w:color="auto"/>
            <w:right w:val="none" w:sz="0" w:space="0" w:color="auto"/>
          </w:divBdr>
        </w:div>
      </w:divsChild>
    </w:div>
    <w:div w:id="304624236">
      <w:bodyDiv w:val="1"/>
      <w:marLeft w:val="0"/>
      <w:marRight w:val="0"/>
      <w:marTop w:val="0"/>
      <w:marBottom w:val="0"/>
      <w:divBdr>
        <w:top w:val="none" w:sz="0" w:space="0" w:color="auto"/>
        <w:left w:val="none" w:sz="0" w:space="0" w:color="auto"/>
        <w:bottom w:val="none" w:sz="0" w:space="0" w:color="auto"/>
        <w:right w:val="none" w:sz="0" w:space="0" w:color="auto"/>
      </w:divBdr>
    </w:div>
    <w:div w:id="332345688">
      <w:bodyDiv w:val="1"/>
      <w:marLeft w:val="0"/>
      <w:marRight w:val="0"/>
      <w:marTop w:val="0"/>
      <w:marBottom w:val="0"/>
      <w:divBdr>
        <w:top w:val="none" w:sz="0" w:space="0" w:color="auto"/>
        <w:left w:val="none" w:sz="0" w:space="0" w:color="auto"/>
        <w:bottom w:val="none" w:sz="0" w:space="0" w:color="auto"/>
        <w:right w:val="none" w:sz="0" w:space="0" w:color="auto"/>
      </w:divBdr>
    </w:div>
    <w:div w:id="337385828">
      <w:bodyDiv w:val="1"/>
      <w:marLeft w:val="0"/>
      <w:marRight w:val="0"/>
      <w:marTop w:val="0"/>
      <w:marBottom w:val="0"/>
      <w:divBdr>
        <w:top w:val="none" w:sz="0" w:space="0" w:color="auto"/>
        <w:left w:val="none" w:sz="0" w:space="0" w:color="auto"/>
        <w:bottom w:val="none" w:sz="0" w:space="0" w:color="auto"/>
        <w:right w:val="none" w:sz="0" w:space="0" w:color="auto"/>
      </w:divBdr>
    </w:div>
    <w:div w:id="348487263">
      <w:bodyDiv w:val="1"/>
      <w:marLeft w:val="0"/>
      <w:marRight w:val="0"/>
      <w:marTop w:val="0"/>
      <w:marBottom w:val="0"/>
      <w:divBdr>
        <w:top w:val="none" w:sz="0" w:space="0" w:color="auto"/>
        <w:left w:val="none" w:sz="0" w:space="0" w:color="auto"/>
        <w:bottom w:val="none" w:sz="0" w:space="0" w:color="auto"/>
        <w:right w:val="none" w:sz="0" w:space="0" w:color="auto"/>
      </w:divBdr>
    </w:div>
    <w:div w:id="357508987">
      <w:bodyDiv w:val="1"/>
      <w:marLeft w:val="0"/>
      <w:marRight w:val="0"/>
      <w:marTop w:val="0"/>
      <w:marBottom w:val="0"/>
      <w:divBdr>
        <w:top w:val="none" w:sz="0" w:space="0" w:color="auto"/>
        <w:left w:val="none" w:sz="0" w:space="0" w:color="auto"/>
        <w:bottom w:val="none" w:sz="0" w:space="0" w:color="auto"/>
        <w:right w:val="none" w:sz="0" w:space="0" w:color="auto"/>
      </w:divBdr>
    </w:div>
    <w:div w:id="359014862">
      <w:bodyDiv w:val="1"/>
      <w:marLeft w:val="0"/>
      <w:marRight w:val="0"/>
      <w:marTop w:val="0"/>
      <w:marBottom w:val="0"/>
      <w:divBdr>
        <w:top w:val="none" w:sz="0" w:space="0" w:color="auto"/>
        <w:left w:val="none" w:sz="0" w:space="0" w:color="auto"/>
        <w:bottom w:val="none" w:sz="0" w:space="0" w:color="auto"/>
        <w:right w:val="none" w:sz="0" w:space="0" w:color="auto"/>
      </w:divBdr>
    </w:div>
    <w:div w:id="372314993">
      <w:bodyDiv w:val="1"/>
      <w:marLeft w:val="0"/>
      <w:marRight w:val="0"/>
      <w:marTop w:val="0"/>
      <w:marBottom w:val="0"/>
      <w:divBdr>
        <w:top w:val="none" w:sz="0" w:space="0" w:color="auto"/>
        <w:left w:val="none" w:sz="0" w:space="0" w:color="auto"/>
        <w:bottom w:val="none" w:sz="0" w:space="0" w:color="auto"/>
        <w:right w:val="none" w:sz="0" w:space="0" w:color="auto"/>
      </w:divBdr>
    </w:div>
    <w:div w:id="408622837">
      <w:bodyDiv w:val="1"/>
      <w:marLeft w:val="0"/>
      <w:marRight w:val="0"/>
      <w:marTop w:val="0"/>
      <w:marBottom w:val="0"/>
      <w:divBdr>
        <w:top w:val="none" w:sz="0" w:space="0" w:color="auto"/>
        <w:left w:val="none" w:sz="0" w:space="0" w:color="auto"/>
        <w:bottom w:val="none" w:sz="0" w:space="0" w:color="auto"/>
        <w:right w:val="none" w:sz="0" w:space="0" w:color="auto"/>
      </w:divBdr>
    </w:div>
    <w:div w:id="424495675">
      <w:bodyDiv w:val="1"/>
      <w:marLeft w:val="0"/>
      <w:marRight w:val="0"/>
      <w:marTop w:val="0"/>
      <w:marBottom w:val="0"/>
      <w:divBdr>
        <w:top w:val="none" w:sz="0" w:space="0" w:color="auto"/>
        <w:left w:val="none" w:sz="0" w:space="0" w:color="auto"/>
        <w:bottom w:val="none" w:sz="0" w:space="0" w:color="auto"/>
        <w:right w:val="none" w:sz="0" w:space="0" w:color="auto"/>
      </w:divBdr>
    </w:div>
    <w:div w:id="441072538">
      <w:bodyDiv w:val="1"/>
      <w:marLeft w:val="0"/>
      <w:marRight w:val="0"/>
      <w:marTop w:val="0"/>
      <w:marBottom w:val="0"/>
      <w:divBdr>
        <w:top w:val="none" w:sz="0" w:space="0" w:color="auto"/>
        <w:left w:val="none" w:sz="0" w:space="0" w:color="auto"/>
        <w:bottom w:val="none" w:sz="0" w:space="0" w:color="auto"/>
        <w:right w:val="none" w:sz="0" w:space="0" w:color="auto"/>
      </w:divBdr>
    </w:div>
    <w:div w:id="447165594">
      <w:bodyDiv w:val="1"/>
      <w:marLeft w:val="0"/>
      <w:marRight w:val="0"/>
      <w:marTop w:val="0"/>
      <w:marBottom w:val="0"/>
      <w:divBdr>
        <w:top w:val="none" w:sz="0" w:space="0" w:color="auto"/>
        <w:left w:val="none" w:sz="0" w:space="0" w:color="auto"/>
        <w:bottom w:val="none" w:sz="0" w:space="0" w:color="auto"/>
        <w:right w:val="none" w:sz="0" w:space="0" w:color="auto"/>
      </w:divBdr>
    </w:div>
    <w:div w:id="455417392">
      <w:bodyDiv w:val="1"/>
      <w:marLeft w:val="0"/>
      <w:marRight w:val="0"/>
      <w:marTop w:val="0"/>
      <w:marBottom w:val="0"/>
      <w:divBdr>
        <w:top w:val="none" w:sz="0" w:space="0" w:color="auto"/>
        <w:left w:val="none" w:sz="0" w:space="0" w:color="auto"/>
        <w:bottom w:val="none" w:sz="0" w:space="0" w:color="auto"/>
        <w:right w:val="none" w:sz="0" w:space="0" w:color="auto"/>
      </w:divBdr>
      <w:divsChild>
        <w:div w:id="1138302270">
          <w:marLeft w:val="0"/>
          <w:marRight w:val="0"/>
          <w:marTop w:val="0"/>
          <w:marBottom w:val="0"/>
          <w:divBdr>
            <w:top w:val="none" w:sz="0" w:space="0" w:color="auto"/>
            <w:left w:val="none" w:sz="0" w:space="0" w:color="auto"/>
            <w:bottom w:val="none" w:sz="0" w:space="0" w:color="auto"/>
            <w:right w:val="none" w:sz="0" w:space="0" w:color="auto"/>
          </w:divBdr>
        </w:div>
        <w:div w:id="1773547197">
          <w:marLeft w:val="0"/>
          <w:marRight w:val="0"/>
          <w:marTop w:val="0"/>
          <w:marBottom w:val="0"/>
          <w:divBdr>
            <w:top w:val="none" w:sz="0" w:space="0" w:color="auto"/>
            <w:left w:val="none" w:sz="0" w:space="0" w:color="auto"/>
            <w:bottom w:val="none" w:sz="0" w:space="0" w:color="auto"/>
            <w:right w:val="none" w:sz="0" w:space="0" w:color="auto"/>
          </w:divBdr>
        </w:div>
      </w:divsChild>
    </w:div>
    <w:div w:id="457916200">
      <w:bodyDiv w:val="1"/>
      <w:marLeft w:val="0"/>
      <w:marRight w:val="0"/>
      <w:marTop w:val="0"/>
      <w:marBottom w:val="0"/>
      <w:divBdr>
        <w:top w:val="none" w:sz="0" w:space="0" w:color="auto"/>
        <w:left w:val="none" w:sz="0" w:space="0" w:color="auto"/>
        <w:bottom w:val="none" w:sz="0" w:space="0" w:color="auto"/>
        <w:right w:val="none" w:sz="0" w:space="0" w:color="auto"/>
      </w:divBdr>
    </w:div>
    <w:div w:id="494078298">
      <w:bodyDiv w:val="1"/>
      <w:marLeft w:val="0"/>
      <w:marRight w:val="0"/>
      <w:marTop w:val="0"/>
      <w:marBottom w:val="0"/>
      <w:divBdr>
        <w:top w:val="none" w:sz="0" w:space="0" w:color="auto"/>
        <w:left w:val="none" w:sz="0" w:space="0" w:color="auto"/>
        <w:bottom w:val="none" w:sz="0" w:space="0" w:color="auto"/>
        <w:right w:val="none" w:sz="0" w:space="0" w:color="auto"/>
      </w:divBdr>
    </w:div>
    <w:div w:id="515920144">
      <w:bodyDiv w:val="1"/>
      <w:marLeft w:val="0"/>
      <w:marRight w:val="0"/>
      <w:marTop w:val="0"/>
      <w:marBottom w:val="0"/>
      <w:divBdr>
        <w:top w:val="none" w:sz="0" w:space="0" w:color="auto"/>
        <w:left w:val="none" w:sz="0" w:space="0" w:color="auto"/>
        <w:bottom w:val="none" w:sz="0" w:space="0" w:color="auto"/>
        <w:right w:val="none" w:sz="0" w:space="0" w:color="auto"/>
      </w:divBdr>
      <w:divsChild>
        <w:div w:id="157579970">
          <w:marLeft w:val="0"/>
          <w:marRight w:val="0"/>
          <w:marTop w:val="0"/>
          <w:marBottom w:val="0"/>
          <w:divBdr>
            <w:top w:val="none" w:sz="0" w:space="0" w:color="auto"/>
            <w:left w:val="none" w:sz="0" w:space="0" w:color="auto"/>
            <w:bottom w:val="none" w:sz="0" w:space="0" w:color="auto"/>
            <w:right w:val="none" w:sz="0" w:space="0" w:color="auto"/>
          </w:divBdr>
        </w:div>
        <w:div w:id="1841235748">
          <w:marLeft w:val="0"/>
          <w:marRight w:val="0"/>
          <w:marTop w:val="0"/>
          <w:marBottom w:val="0"/>
          <w:divBdr>
            <w:top w:val="none" w:sz="0" w:space="0" w:color="auto"/>
            <w:left w:val="none" w:sz="0" w:space="0" w:color="auto"/>
            <w:bottom w:val="none" w:sz="0" w:space="0" w:color="auto"/>
            <w:right w:val="none" w:sz="0" w:space="0" w:color="auto"/>
          </w:divBdr>
        </w:div>
      </w:divsChild>
    </w:div>
    <w:div w:id="521867876">
      <w:bodyDiv w:val="1"/>
      <w:marLeft w:val="0"/>
      <w:marRight w:val="0"/>
      <w:marTop w:val="0"/>
      <w:marBottom w:val="0"/>
      <w:divBdr>
        <w:top w:val="none" w:sz="0" w:space="0" w:color="auto"/>
        <w:left w:val="none" w:sz="0" w:space="0" w:color="auto"/>
        <w:bottom w:val="none" w:sz="0" w:space="0" w:color="auto"/>
        <w:right w:val="none" w:sz="0" w:space="0" w:color="auto"/>
      </w:divBdr>
    </w:div>
    <w:div w:id="537089927">
      <w:bodyDiv w:val="1"/>
      <w:marLeft w:val="0"/>
      <w:marRight w:val="0"/>
      <w:marTop w:val="0"/>
      <w:marBottom w:val="0"/>
      <w:divBdr>
        <w:top w:val="none" w:sz="0" w:space="0" w:color="auto"/>
        <w:left w:val="none" w:sz="0" w:space="0" w:color="auto"/>
        <w:bottom w:val="none" w:sz="0" w:space="0" w:color="auto"/>
        <w:right w:val="none" w:sz="0" w:space="0" w:color="auto"/>
      </w:divBdr>
    </w:div>
    <w:div w:id="568073448">
      <w:bodyDiv w:val="1"/>
      <w:marLeft w:val="0"/>
      <w:marRight w:val="0"/>
      <w:marTop w:val="0"/>
      <w:marBottom w:val="0"/>
      <w:divBdr>
        <w:top w:val="none" w:sz="0" w:space="0" w:color="auto"/>
        <w:left w:val="none" w:sz="0" w:space="0" w:color="auto"/>
        <w:bottom w:val="none" w:sz="0" w:space="0" w:color="auto"/>
        <w:right w:val="none" w:sz="0" w:space="0" w:color="auto"/>
      </w:divBdr>
    </w:div>
    <w:div w:id="573007843">
      <w:bodyDiv w:val="1"/>
      <w:marLeft w:val="0"/>
      <w:marRight w:val="0"/>
      <w:marTop w:val="0"/>
      <w:marBottom w:val="0"/>
      <w:divBdr>
        <w:top w:val="none" w:sz="0" w:space="0" w:color="auto"/>
        <w:left w:val="none" w:sz="0" w:space="0" w:color="auto"/>
        <w:bottom w:val="none" w:sz="0" w:space="0" w:color="auto"/>
        <w:right w:val="none" w:sz="0" w:space="0" w:color="auto"/>
      </w:divBdr>
    </w:div>
    <w:div w:id="575435467">
      <w:bodyDiv w:val="1"/>
      <w:marLeft w:val="0"/>
      <w:marRight w:val="0"/>
      <w:marTop w:val="0"/>
      <w:marBottom w:val="0"/>
      <w:divBdr>
        <w:top w:val="none" w:sz="0" w:space="0" w:color="auto"/>
        <w:left w:val="none" w:sz="0" w:space="0" w:color="auto"/>
        <w:bottom w:val="none" w:sz="0" w:space="0" w:color="auto"/>
        <w:right w:val="none" w:sz="0" w:space="0" w:color="auto"/>
      </w:divBdr>
    </w:div>
    <w:div w:id="587232935">
      <w:bodyDiv w:val="1"/>
      <w:marLeft w:val="0"/>
      <w:marRight w:val="0"/>
      <w:marTop w:val="0"/>
      <w:marBottom w:val="0"/>
      <w:divBdr>
        <w:top w:val="none" w:sz="0" w:space="0" w:color="auto"/>
        <w:left w:val="none" w:sz="0" w:space="0" w:color="auto"/>
        <w:bottom w:val="none" w:sz="0" w:space="0" w:color="auto"/>
        <w:right w:val="none" w:sz="0" w:space="0" w:color="auto"/>
      </w:divBdr>
    </w:div>
    <w:div w:id="604456765">
      <w:bodyDiv w:val="1"/>
      <w:marLeft w:val="0"/>
      <w:marRight w:val="0"/>
      <w:marTop w:val="0"/>
      <w:marBottom w:val="0"/>
      <w:divBdr>
        <w:top w:val="none" w:sz="0" w:space="0" w:color="auto"/>
        <w:left w:val="none" w:sz="0" w:space="0" w:color="auto"/>
        <w:bottom w:val="none" w:sz="0" w:space="0" w:color="auto"/>
        <w:right w:val="none" w:sz="0" w:space="0" w:color="auto"/>
      </w:divBdr>
    </w:div>
    <w:div w:id="625501537">
      <w:bodyDiv w:val="1"/>
      <w:marLeft w:val="0"/>
      <w:marRight w:val="0"/>
      <w:marTop w:val="0"/>
      <w:marBottom w:val="0"/>
      <w:divBdr>
        <w:top w:val="none" w:sz="0" w:space="0" w:color="auto"/>
        <w:left w:val="none" w:sz="0" w:space="0" w:color="auto"/>
        <w:bottom w:val="none" w:sz="0" w:space="0" w:color="auto"/>
        <w:right w:val="none" w:sz="0" w:space="0" w:color="auto"/>
      </w:divBdr>
    </w:div>
    <w:div w:id="627975993">
      <w:bodyDiv w:val="1"/>
      <w:marLeft w:val="0"/>
      <w:marRight w:val="0"/>
      <w:marTop w:val="0"/>
      <w:marBottom w:val="0"/>
      <w:divBdr>
        <w:top w:val="none" w:sz="0" w:space="0" w:color="auto"/>
        <w:left w:val="none" w:sz="0" w:space="0" w:color="auto"/>
        <w:bottom w:val="none" w:sz="0" w:space="0" w:color="auto"/>
        <w:right w:val="none" w:sz="0" w:space="0" w:color="auto"/>
      </w:divBdr>
    </w:div>
    <w:div w:id="646277460">
      <w:bodyDiv w:val="1"/>
      <w:marLeft w:val="0"/>
      <w:marRight w:val="0"/>
      <w:marTop w:val="0"/>
      <w:marBottom w:val="0"/>
      <w:divBdr>
        <w:top w:val="none" w:sz="0" w:space="0" w:color="auto"/>
        <w:left w:val="none" w:sz="0" w:space="0" w:color="auto"/>
        <w:bottom w:val="none" w:sz="0" w:space="0" w:color="auto"/>
        <w:right w:val="none" w:sz="0" w:space="0" w:color="auto"/>
      </w:divBdr>
      <w:divsChild>
        <w:div w:id="32926415">
          <w:marLeft w:val="0"/>
          <w:marRight w:val="0"/>
          <w:marTop w:val="0"/>
          <w:marBottom w:val="0"/>
          <w:divBdr>
            <w:top w:val="none" w:sz="0" w:space="0" w:color="auto"/>
            <w:left w:val="none" w:sz="0" w:space="0" w:color="auto"/>
            <w:bottom w:val="none" w:sz="0" w:space="0" w:color="auto"/>
            <w:right w:val="none" w:sz="0" w:space="0" w:color="auto"/>
          </w:divBdr>
        </w:div>
        <w:div w:id="34668742">
          <w:marLeft w:val="0"/>
          <w:marRight w:val="0"/>
          <w:marTop w:val="0"/>
          <w:marBottom w:val="0"/>
          <w:divBdr>
            <w:top w:val="none" w:sz="0" w:space="0" w:color="auto"/>
            <w:left w:val="none" w:sz="0" w:space="0" w:color="auto"/>
            <w:bottom w:val="none" w:sz="0" w:space="0" w:color="auto"/>
            <w:right w:val="none" w:sz="0" w:space="0" w:color="auto"/>
          </w:divBdr>
        </w:div>
        <w:div w:id="91439188">
          <w:marLeft w:val="0"/>
          <w:marRight w:val="0"/>
          <w:marTop w:val="0"/>
          <w:marBottom w:val="0"/>
          <w:divBdr>
            <w:top w:val="none" w:sz="0" w:space="0" w:color="auto"/>
            <w:left w:val="none" w:sz="0" w:space="0" w:color="auto"/>
            <w:bottom w:val="none" w:sz="0" w:space="0" w:color="auto"/>
            <w:right w:val="none" w:sz="0" w:space="0" w:color="auto"/>
          </w:divBdr>
        </w:div>
        <w:div w:id="187108851">
          <w:marLeft w:val="0"/>
          <w:marRight w:val="0"/>
          <w:marTop w:val="0"/>
          <w:marBottom w:val="0"/>
          <w:divBdr>
            <w:top w:val="none" w:sz="0" w:space="0" w:color="auto"/>
            <w:left w:val="none" w:sz="0" w:space="0" w:color="auto"/>
            <w:bottom w:val="none" w:sz="0" w:space="0" w:color="auto"/>
            <w:right w:val="none" w:sz="0" w:space="0" w:color="auto"/>
          </w:divBdr>
        </w:div>
        <w:div w:id="582572295">
          <w:marLeft w:val="0"/>
          <w:marRight w:val="0"/>
          <w:marTop w:val="0"/>
          <w:marBottom w:val="0"/>
          <w:divBdr>
            <w:top w:val="none" w:sz="0" w:space="0" w:color="auto"/>
            <w:left w:val="none" w:sz="0" w:space="0" w:color="auto"/>
            <w:bottom w:val="none" w:sz="0" w:space="0" w:color="auto"/>
            <w:right w:val="none" w:sz="0" w:space="0" w:color="auto"/>
          </w:divBdr>
          <w:divsChild>
            <w:div w:id="1656832055">
              <w:marLeft w:val="0"/>
              <w:marRight w:val="0"/>
              <w:marTop w:val="30"/>
              <w:marBottom w:val="30"/>
              <w:divBdr>
                <w:top w:val="none" w:sz="0" w:space="0" w:color="auto"/>
                <w:left w:val="none" w:sz="0" w:space="0" w:color="auto"/>
                <w:bottom w:val="none" w:sz="0" w:space="0" w:color="auto"/>
                <w:right w:val="none" w:sz="0" w:space="0" w:color="auto"/>
              </w:divBdr>
              <w:divsChild>
                <w:div w:id="4673642">
                  <w:marLeft w:val="0"/>
                  <w:marRight w:val="0"/>
                  <w:marTop w:val="0"/>
                  <w:marBottom w:val="0"/>
                  <w:divBdr>
                    <w:top w:val="none" w:sz="0" w:space="0" w:color="auto"/>
                    <w:left w:val="none" w:sz="0" w:space="0" w:color="auto"/>
                    <w:bottom w:val="none" w:sz="0" w:space="0" w:color="auto"/>
                    <w:right w:val="none" w:sz="0" w:space="0" w:color="auto"/>
                  </w:divBdr>
                  <w:divsChild>
                    <w:div w:id="997267551">
                      <w:marLeft w:val="0"/>
                      <w:marRight w:val="0"/>
                      <w:marTop w:val="0"/>
                      <w:marBottom w:val="0"/>
                      <w:divBdr>
                        <w:top w:val="none" w:sz="0" w:space="0" w:color="auto"/>
                        <w:left w:val="none" w:sz="0" w:space="0" w:color="auto"/>
                        <w:bottom w:val="none" w:sz="0" w:space="0" w:color="auto"/>
                        <w:right w:val="none" w:sz="0" w:space="0" w:color="auto"/>
                      </w:divBdr>
                    </w:div>
                  </w:divsChild>
                </w:div>
                <w:div w:id="28267257">
                  <w:marLeft w:val="0"/>
                  <w:marRight w:val="0"/>
                  <w:marTop w:val="0"/>
                  <w:marBottom w:val="0"/>
                  <w:divBdr>
                    <w:top w:val="none" w:sz="0" w:space="0" w:color="auto"/>
                    <w:left w:val="none" w:sz="0" w:space="0" w:color="auto"/>
                    <w:bottom w:val="none" w:sz="0" w:space="0" w:color="auto"/>
                    <w:right w:val="none" w:sz="0" w:space="0" w:color="auto"/>
                  </w:divBdr>
                  <w:divsChild>
                    <w:div w:id="1831482505">
                      <w:marLeft w:val="0"/>
                      <w:marRight w:val="0"/>
                      <w:marTop w:val="0"/>
                      <w:marBottom w:val="0"/>
                      <w:divBdr>
                        <w:top w:val="none" w:sz="0" w:space="0" w:color="auto"/>
                        <w:left w:val="none" w:sz="0" w:space="0" w:color="auto"/>
                        <w:bottom w:val="none" w:sz="0" w:space="0" w:color="auto"/>
                        <w:right w:val="none" w:sz="0" w:space="0" w:color="auto"/>
                      </w:divBdr>
                    </w:div>
                  </w:divsChild>
                </w:div>
                <w:div w:id="60830880">
                  <w:marLeft w:val="0"/>
                  <w:marRight w:val="0"/>
                  <w:marTop w:val="0"/>
                  <w:marBottom w:val="0"/>
                  <w:divBdr>
                    <w:top w:val="none" w:sz="0" w:space="0" w:color="auto"/>
                    <w:left w:val="none" w:sz="0" w:space="0" w:color="auto"/>
                    <w:bottom w:val="none" w:sz="0" w:space="0" w:color="auto"/>
                    <w:right w:val="none" w:sz="0" w:space="0" w:color="auto"/>
                  </w:divBdr>
                  <w:divsChild>
                    <w:div w:id="2022927167">
                      <w:marLeft w:val="0"/>
                      <w:marRight w:val="0"/>
                      <w:marTop w:val="0"/>
                      <w:marBottom w:val="0"/>
                      <w:divBdr>
                        <w:top w:val="none" w:sz="0" w:space="0" w:color="auto"/>
                        <w:left w:val="none" w:sz="0" w:space="0" w:color="auto"/>
                        <w:bottom w:val="none" w:sz="0" w:space="0" w:color="auto"/>
                        <w:right w:val="none" w:sz="0" w:space="0" w:color="auto"/>
                      </w:divBdr>
                    </w:div>
                  </w:divsChild>
                </w:div>
                <w:div w:id="101152781">
                  <w:marLeft w:val="0"/>
                  <w:marRight w:val="0"/>
                  <w:marTop w:val="0"/>
                  <w:marBottom w:val="0"/>
                  <w:divBdr>
                    <w:top w:val="none" w:sz="0" w:space="0" w:color="auto"/>
                    <w:left w:val="none" w:sz="0" w:space="0" w:color="auto"/>
                    <w:bottom w:val="none" w:sz="0" w:space="0" w:color="auto"/>
                    <w:right w:val="none" w:sz="0" w:space="0" w:color="auto"/>
                  </w:divBdr>
                  <w:divsChild>
                    <w:div w:id="1303658771">
                      <w:marLeft w:val="0"/>
                      <w:marRight w:val="0"/>
                      <w:marTop w:val="0"/>
                      <w:marBottom w:val="0"/>
                      <w:divBdr>
                        <w:top w:val="none" w:sz="0" w:space="0" w:color="auto"/>
                        <w:left w:val="none" w:sz="0" w:space="0" w:color="auto"/>
                        <w:bottom w:val="none" w:sz="0" w:space="0" w:color="auto"/>
                        <w:right w:val="none" w:sz="0" w:space="0" w:color="auto"/>
                      </w:divBdr>
                    </w:div>
                  </w:divsChild>
                </w:div>
                <w:div w:id="113838210">
                  <w:marLeft w:val="0"/>
                  <w:marRight w:val="0"/>
                  <w:marTop w:val="0"/>
                  <w:marBottom w:val="0"/>
                  <w:divBdr>
                    <w:top w:val="none" w:sz="0" w:space="0" w:color="auto"/>
                    <w:left w:val="none" w:sz="0" w:space="0" w:color="auto"/>
                    <w:bottom w:val="none" w:sz="0" w:space="0" w:color="auto"/>
                    <w:right w:val="none" w:sz="0" w:space="0" w:color="auto"/>
                  </w:divBdr>
                  <w:divsChild>
                    <w:div w:id="1157300514">
                      <w:marLeft w:val="0"/>
                      <w:marRight w:val="0"/>
                      <w:marTop w:val="0"/>
                      <w:marBottom w:val="0"/>
                      <w:divBdr>
                        <w:top w:val="none" w:sz="0" w:space="0" w:color="auto"/>
                        <w:left w:val="none" w:sz="0" w:space="0" w:color="auto"/>
                        <w:bottom w:val="none" w:sz="0" w:space="0" w:color="auto"/>
                        <w:right w:val="none" w:sz="0" w:space="0" w:color="auto"/>
                      </w:divBdr>
                    </w:div>
                  </w:divsChild>
                </w:div>
                <w:div w:id="172380115">
                  <w:marLeft w:val="0"/>
                  <w:marRight w:val="0"/>
                  <w:marTop w:val="0"/>
                  <w:marBottom w:val="0"/>
                  <w:divBdr>
                    <w:top w:val="none" w:sz="0" w:space="0" w:color="auto"/>
                    <w:left w:val="none" w:sz="0" w:space="0" w:color="auto"/>
                    <w:bottom w:val="none" w:sz="0" w:space="0" w:color="auto"/>
                    <w:right w:val="none" w:sz="0" w:space="0" w:color="auto"/>
                  </w:divBdr>
                  <w:divsChild>
                    <w:div w:id="1093167048">
                      <w:marLeft w:val="0"/>
                      <w:marRight w:val="0"/>
                      <w:marTop w:val="0"/>
                      <w:marBottom w:val="0"/>
                      <w:divBdr>
                        <w:top w:val="none" w:sz="0" w:space="0" w:color="auto"/>
                        <w:left w:val="none" w:sz="0" w:space="0" w:color="auto"/>
                        <w:bottom w:val="none" w:sz="0" w:space="0" w:color="auto"/>
                        <w:right w:val="none" w:sz="0" w:space="0" w:color="auto"/>
                      </w:divBdr>
                    </w:div>
                  </w:divsChild>
                </w:div>
                <w:div w:id="176505698">
                  <w:marLeft w:val="0"/>
                  <w:marRight w:val="0"/>
                  <w:marTop w:val="0"/>
                  <w:marBottom w:val="0"/>
                  <w:divBdr>
                    <w:top w:val="none" w:sz="0" w:space="0" w:color="auto"/>
                    <w:left w:val="none" w:sz="0" w:space="0" w:color="auto"/>
                    <w:bottom w:val="none" w:sz="0" w:space="0" w:color="auto"/>
                    <w:right w:val="none" w:sz="0" w:space="0" w:color="auto"/>
                  </w:divBdr>
                  <w:divsChild>
                    <w:div w:id="1853717610">
                      <w:marLeft w:val="0"/>
                      <w:marRight w:val="0"/>
                      <w:marTop w:val="0"/>
                      <w:marBottom w:val="0"/>
                      <w:divBdr>
                        <w:top w:val="none" w:sz="0" w:space="0" w:color="auto"/>
                        <w:left w:val="none" w:sz="0" w:space="0" w:color="auto"/>
                        <w:bottom w:val="none" w:sz="0" w:space="0" w:color="auto"/>
                        <w:right w:val="none" w:sz="0" w:space="0" w:color="auto"/>
                      </w:divBdr>
                    </w:div>
                  </w:divsChild>
                </w:div>
                <w:div w:id="191115721">
                  <w:marLeft w:val="0"/>
                  <w:marRight w:val="0"/>
                  <w:marTop w:val="0"/>
                  <w:marBottom w:val="0"/>
                  <w:divBdr>
                    <w:top w:val="none" w:sz="0" w:space="0" w:color="auto"/>
                    <w:left w:val="none" w:sz="0" w:space="0" w:color="auto"/>
                    <w:bottom w:val="none" w:sz="0" w:space="0" w:color="auto"/>
                    <w:right w:val="none" w:sz="0" w:space="0" w:color="auto"/>
                  </w:divBdr>
                  <w:divsChild>
                    <w:div w:id="1847551310">
                      <w:marLeft w:val="0"/>
                      <w:marRight w:val="0"/>
                      <w:marTop w:val="0"/>
                      <w:marBottom w:val="0"/>
                      <w:divBdr>
                        <w:top w:val="none" w:sz="0" w:space="0" w:color="auto"/>
                        <w:left w:val="none" w:sz="0" w:space="0" w:color="auto"/>
                        <w:bottom w:val="none" w:sz="0" w:space="0" w:color="auto"/>
                        <w:right w:val="none" w:sz="0" w:space="0" w:color="auto"/>
                      </w:divBdr>
                    </w:div>
                  </w:divsChild>
                </w:div>
                <w:div w:id="196432545">
                  <w:marLeft w:val="0"/>
                  <w:marRight w:val="0"/>
                  <w:marTop w:val="0"/>
                  <w:marBottom w:val="0"/>
                  <w:divBdr>
                    <w:top w:val="none" w:sz="0" w:space="0" w:color="auto"/>
                    <w:left w:val="none" w:sz="0" w:space="0" w:color="auto"/>
                    <w:bottom w:val="none" w:sz="0" w:space="0" w:color="auto"/>
                    <w:right w:val="none" w:sz="0" w:space="0" w:color="auto"/>
                  </w:divBdr>
                  <w:divsChild>
                    <w:div w:id="824513527">
                      <w:marLeft w:val="0"/>
                      <w:marRight w:val="0"/>
                      <w:marTop w:val="0"/>
                      <w:marBottom w:val="0"/>
                      <w:divBdr>
                        <w:top w:val="none" w:sz="0" w:space="0" w:color="auto"/>
                        <w:left w:val="none" w:sz="0" w:space="0" w:color="auto"/>
                        <w:bottom w:val="none" w:sz="0" w:space="0" w:color="auto"/>
                        <w:right w:val="none" w:sz="0" w:space="0" w:color="auto"/>
                      </w:divBdr>
                    </w:div>
                  </w:divsChild>
                </w:div>
                <w:div w:id="223104569">
                  <w:marLeft w:val="0"/>
                  <w:marRight w:val="0"/>
                  <w:marTop w:val="0"/>
                  <w:marBottom w:val="0"/>
                  <w:divBdr>
                    <w:top w:val="none" w:sz="0" w:space="0" w:color="auto"/>
                    <w:left w:val="none" w:sz="0" w:space="0" w:color="auto"/>
                    <w:bottom w:val="none" w:sz="0" w:space="0" w:color="auto"/>
                    <w:right w:val="none" w:sz="0" w:space="0" w:color="auto"/>
                  </w:divBdr>
                  <w:divsChild>
                    <w:div w:id="1188182864">
                      <w:marLeft w:val="0"/>
                      <w:marRight w:val="0"/>
                      <w:marTop w:val="0"/>
                      <w:marBottom w:val="0"/>
                      <w:divBdr>
                        <w:top w:val="none" w:sz="0" w:space="0" w:color="auto"/>
                        <w:left w:val="none" w:sz="0" w:space="0" w:color="auto"/>
                        <w:bottom w:val="none" w:sz="0" w:space="0" w:color="auto"/>
                        <w:right w:val="none" w:sz="0" w:space="0" w:color="auto"/>
                      </w:divBdr>
                    </w:div>
                  </w:divsChild>
                </w:div>
                <w:div w:id="359356617">
                  <w:marLeft w:val="0"/>
                  <w:marRight w:val="0"/>
                  <w:marTop w:val="0"/>
                  <w:marBottom w:val="0"/>
                  <w:divBdr>
                    <w:top w:val="none" w:sz="0" w:space="0" w:color="auto"/>
                    <w:left w:val="none" w:sz="0" w:space="0" w:color="auto"/>
                    <w:bottom w:val="none" w:sz="0" w:space="0" w:color="auto"/>
                    <w:right w:val="none" w:sz="0" w:space="0" w:color="auto"/>
                  </w:divBdr>
                  <w:divsChild>
                    <w:div w:id="253173169">
                      <w:marLeft w:val="0"/>
                      <w:marRight w:val="0"/>
                      <w:marTop w:val="0"/>
                      <w:marBottom w:val="0"/>
                      <w:divBdr>
                        <w:top w:val="none" w:sz="0" w:space="0" w:color="auto"/>
                        <w:left w:val="none" w:sz="0" w:space="0" w:color="auto"/>
                        <w:bottom w:val="none" w:sz="0" w:space="0" w:color="auto"/>
                        <w:right w:val="none" w:sz="0" w:space="0" w:color="auto"/>
                      </w:divBdr>
                    </w:div>
                  </w:divsChild>
                </w:div>
                <w:div w:id="476726570">
                  <w:marLeft w:val="0"/>
                  <w:marRight w:val="0"/>
                  <w:marTop w:val="0"/>
                  <w:marBottom w:val="0"/>
                  <w:divBdr>
                    <w:top w:val="none" w:sz="0" w:space="0" w:color="auto"/>
                    <w:left w:val="none" w:sz="0" w:space="0" w:color="auto"/>
                    <w:bottom w:val="none" w:sz="0" w:space="0" w:color="auto"/>
                    <w:right w:val="none" w:sz="0" w:space="0" w:color="auto"/>
                  </w:divBdr>
                  <w:divsChild>
                    <w:div w:id="763644470">
                      <w:marLeft w:val="0"/>
                      <w:marRight w:val="0"/>
                      <w:marTop w:val="0"/>
                      <w:marBottom w:val="0"/>
                      <w:divBdr>
                        <w:top w:val="none" w:sz="0" w:space="0" w:color="auto"/>
                        <w:left w:val="none" w:sz="0" w:space="0" w:color="auto"/>
                        <w:bottom w:val="none" w:sz="0" w:space="0" w:color="auto"/>
                        <w:right w:val="none" w:sz="0" w:space="0" w:color="auto"/>
                      </w:divBdr>
                    </w:div>
                  </w:divsChild>
                </w:div>
                <w:div w:id="482502245">
                  <w:marLeft w:val="0"/>
                  <w:marRight w:val="0"/>
                  <w:marTop w:val="0"/>
                  <w:marBottom w:val="0"/>
                  <w:divBdr>
                    <w:top w:val="none" w:sz="0" w:space="0" w:color="auto"/>
                    <w:left w:val="none" w:sz="0" w:space="0" w:color="auto"/>
                    <w:bottom w:val="none" w:sz="0" w:space="0" w:color="auto"/>
                    <w:right w:val="none" w:sz="0" w:space="0" w:color="auto"/>
                  </w:divBdr>
                  <w:divsChild>
                    <w:div w:id="1995991915">
                      <w:marLeft w:val="0"/>
                      <w:marRight w:val="0"/>
                      <w:marTop w:val="0"/>
                      <w:marBottom w:val="0"/>
                      <w:divBdr>
                        <w:top w:val="none" w:sz="0" w:space="0" w:color="auto"/>
                        <w:left w:val="none" w:sz="0" w:space="0" w:color="auto"/>
                        <w:bottom w:val="none" w:sz="0" w:space="0" w:color="auto"/>
                        <w:right w:val="none" w:sz="0" w:space="0" w:color="auto"/>
                      </w:divBdr>
                    </w:div>
                  </w:divsChild>
                </w:div>
                <w:div w:id="542910679">
                  <w:marLeft w:val="0"/>
                  <w:marRight w:val="0"/>
                  <w:marTop w:val="0"/>
                  <w:marBottom w:val="0"/>
                  <w:divBdr>
                    <w:top w:val="none" w:sz="0" w:space="0" w:color="auto"/>
                    <w:left w:val="none" w:sz="0" w:space="0" w:color="auto"/>
                    <w:bottom w:val="none" w:sz="0" w:space="0" w:color="auto"/>
                    <w:right w:val="none" w:sz="0" w:space="0" w:color="auto"/>
                  </w:divBdr>
                  <w:divsChild>
                    <w:div w:id="831945644">
                      <w:marLeft w:val="0"/>
                      <w:marRight w:val="0"/>
                      <w:marTop w:val="0"/>
                      <w:marBottom w:val="0"/>
                      <w:divBdr>
                        <w:top w:val="none" w:sz="0" w:space="0" w:color="auto"/>
                        <w:left w:val="none" w:sz="0" w:space="0" w:color="auto"/>
                        <w:bottom w:val="none" w:sz="0" w:space="0" w:color="auto"/>
                        <w:right w:val="none" w:sz="0" w:space="0" w:color="auto"/>
                      </w:divBdr>
                    </w:div>
                  </w:divsChild>
                </w:div>
                <w:div w:id="549263393">
                  <w:marLeft w:val="0"/>
                  <w:marRight w:val="0"/>
                  <w:marTop w:val="0"/>
                  <w:marBottom w:val="0"/>
                  <w:divBdr>
                    <w:top w:val="none" w:sz="0" w:space="0" w:color="auto"/>
                    <w:left w:val="none" w:sz="0" w:space="0" w:color="auto"/>
                    <w:bottom w:val="none" w:sz="0" w:space="0" w:color="auto"/>
                    <w:right w:val="none" w:sz="0" w:space="0" w:color="auto"/>
                  </w:divBdr>
                  <w:divsChild>
                    <w:div w:id="2080865119">
                      <w:marLeft w:val="0"/>
                      <w:marRight w:val="0"/>
                      <w:marTop w:val="0"/>
                      <w:marBottom w:val="0"/>
                      <w:divBdr>
                        <w:top w:val="none" w:sz="0" w:space="0" w:color="auto"/>
                        <w:left w:val="none" w:sz="0" w:space="0" w:color="auto"/>
                        <w:bottom w:val="none" w:sz="0" w:space="0" w:color="auto"/>
                        <w:right w:val="none" w:sz="0" w:space="0" w:color="auto"/>
                      </w:divBdr>
                    </w:div>
                  </w:divsChild>
                </w:div>
                <w:div w:id="560748210">
                  <w:marLeft w:val="0"/>
                  <w:marRight w:val="0"/>
                  <w:marTop w:val="0"/>
                  <w:marBottom w:val="0"/>
                  <w:divBdr>
                    <w:top w:val="none" w:sz="0" w:space="0" w:color="auto"/>
                    <w:left w:val="none" w:sz="0" w:space="0" w:color="auto"/>
                    <w:bottom w:val="none" w:sz="0" w:space="0" w:color="auto"/>
                    <w:right w:val="none" w:sz="0" w:space="0" w:color="auto"/>
                  </w:divBdr>
                  <w:divsChild>
                    <w:div w:id="1964337490">
                      <w:marLeft w:val="0"/>
                      <w:marRight w:val="0"/>
                      <w:marTop w:val="0"/>
                      <w:marBottom w:val="0"/>
                      <w:divBdr>
                        <w:top w:val="none" w:sz="0" w:space="0" w:color="auto"/>
                        <w:left w:val="none" w:sz="0" w:space="0" w:color="auto"/>
                        <w:bottom w:val="none" w:sz="0" w:space="0" w:color="auto"/>
                        <w:right w:val="none" w:sz="0" w:space="0" w:color="auto"/>
                      </w:divBdr>
                    </w:div>
                  </w:divsChild>
                </w:div>
                <w:div w:id="616522587">
                  <w:marLeft w:val="0"/>
                  <w:marRight w:val="0"/>
                  <w:marTop w:val="0"/>
                  <w:marBottom w:val="0"/>
                  <w:divBdr>
                    <w:top w:val="none" w:sz="0" w:space="0" w:color="auto"/>
                    <w:left w:val="none" w:sz="0" w:space="0" w:color="auto"/>
                    <w:bottom w:val="none" w:sz="0" w:space="0" w:color="auto"/>
                    <w:right w:val="none" w:sz="0" w:space="0" w:color="auto"/>
                  </w:divBdr>
                  <w:divsChild>
                    <w:div w:id="2056158524">
                      <w:marLeft w:val="0"/>
                      <w:marRight w:val="0"/>
                      <w:marTop w:val="0"/>
                      <w:marBottom w:val="0"/>
                      <w:divBdr>
                        <w:top w:val="none" w:sz="0" w:space="0" w:color="auto"/>
                        <w:left w:val="none" w:sz="0" w:space="0" w:color="auto"/>
                        <w:bottom w:val="none" w:sz="0" w:space="0" w:color="auto"/>
                        <w:right w:val="none" w:sz="0" w:space="0" w:color="auto"/>
                      </w:divBdr>
                    </w:div>
                  </w:divsChild>
                </w:div>
                <w:div w:id="634989506">
                  <w:marLeft w:val="0"/>
                  <w:marRight w:val="0"/>
                  <w:marTop w:val="0"/>
                  <w:marBottom w:val="0"/>
                  <w:divBdr>
                    <w:top w:val="none" w:sz="0" w:space="0" w:color="auto"/>
                    <w:left w:val="none" w:sz="0" w:space="0" w:color="auto"/>
                    <w:bottom w:val="none" w:sz="0" w:space="0" w:color="auto"/>
                    <w:right w:val="none" w:sz="0" w:space="0" w:color="auto"/>
                  </w:divBdr>
                  <w:divsChild>
                    <w:div w:id="2137673561">
                      <w:marLeft w:val="0"/>
                      <w:marRight w:val="0"/>
                      <w:marTop w:val="0"/>
                      <w:marBottom w:val="0"/>
                      <w:divBdr>
                        <w:top w:val="none" w:sz="0" w:space="0" w:color="auto"/>
                        <w:left w:val="none" w:sz="0" w:space="0" w:color="auto"/>
                        <w:bottom w:val="none" w:sz="0" w:space="0" w:color="auto"/>
                        <w:right w:val="none" w:sz="0" w:space="0" w:color="auto"/>
                      </w:divBdr>
                    </w:div>
                  </w:divsChild>
                </w:div>
                <w:div w:id="710346833">
                  <w:marLeft w:val="0"/>
                  <w:marRight w:val="0"/>
                  <w:marTop w:val="0"/>
                  <w:marBottom w:val="0"/>
                  <w:divBdr>
                    <w:top w:val="none" w:sz="0" w:space="0" w:color="auto"/>
                    <w:left w:val="none" w:sz="0" w:space="0" w:color="auto"/>
                    <w:bottom w:val="none" w:sz="0" w:space="0" w:color="auto"/>
                    <w:right w:val="none" w:sz="0" w:space="0" w:color="auto"/>
                  </w:divBdr>
                  <w:divsChild>
                    <w:div w:id="1623223565">
                      <w:marLeft w:val="0"/>
                      <w:marRight w:val="0"/>
                      <w:marTop w:val="0"/>
                      <w:marBottom w:val="0"/>
                      <w:divBdr>
                        <w:top w:val="none" w:sz="0" w:space="0" w:color="auto"/>
                        <w:left w:val="none" w:sz="0" w:space="0" w:color="auto"/>
                        <w:bottom w:val="none" w:sz="0" w:space="0" w:color="auto"/>
                        <w:right w:val="none" w:sz="0" w:space="0" w:color="auto"/>
                      </w:divBdr>
                    </w:div>
                  </w:divsChild>
                </w:div>
                <w:div w:id="743526598">
                  <w:marLeft w:val="0"/>
                  <w:marRight w:val="0"/>
                  <w:marTop w:val="0"/>
                  <w:marBottom w:val="0"/>
                  <w:divBdr>
                    <w:top w:val="none" w:sz="0" w:space="0" w:color="auto"/>
                    <w:left w:val="none" w:sz="0" w:space="0" w:color="auto"/>
                    <w:bottom w:val="none" w:sz="0" w:space="0" w:color="auto"/>
                    <w:right w:val="none" w:sz="0" w:space="0" w:color="auto"/>
                  </w:divBdr>
                  <w:divsChild>
                    <w:div w:id="1754743557">
                      <w:marLeft w:val="0"/>
                      <w:marRight w:val="0"/>
                      <w:marTop w:val="0"/>
                      <w:marBottom w:val="0"/>
                      <w:divBdr>
                        <w:top w:val="none" w:sz="0" w:space="0" w:color="auto"/>
                        <w:left w:val="none" w:sz="0" w:space="0" w:color="auto"/>
                        <w:bottom w:val="none" w:sz="0" w:space="0" w:color="auto"/>
                        <w:right w:val="none" w:sz="0" w:space="0" w:color="auto"/>
                      </w:divBdr>
                    </w:div>
                  </w:divsChild>
                </w:div>
                <w:div w:id="754977748">
                  <w:marLeft w:val="0"/>
                  <w:marRight w:val="0"/>
                  <w:marTop w:val="0"/>
                  <w:marBottom w:val="0"/>
                  <w:divBdr>
                    <w:top w:val="none" w:sz="0" w:space="0" w:color="auto"/>
                    <w:left w:val="none" w:sz="0" w:space="0" w:color="auto"/>
                    <w:bottom w:val="none" w:sz="0" w:space="0" w:color="auto"/>
                    <w:right w:val="none" w:sz="0" w:space="0" w:color="auto"/>
                  </w:divBdr>
                  <w:divsChild>
                    <w:div w:id="10382515">
                      <w:marLeft w:val="0"/>
                      <w:marRight w:val="0"/>
                      <w:marTop w:val="0"/>
                      <w:marBottom w:val="0"/>
                      <w:divBdr>
                        <w:top w:val="none" w:sz="0" w:space="0" w:color="auto"/>
                        <w:left w:val="none" w:sz="0" w:space="0" w:color="auto"/>
                        <w:bottom w:val="none" w:sz="0" w:space="0" w:color="auto"/>
                        <w:right w:val="none" w:sz="0" w:space="0" w:color="auto"/>
                      </w:divBdr>
                    </w:div>
                  </w:divsChild>
                </w:div>
                <w:div w:id="804665672">
                  <w:marLeft w:val="0"/>
                  <w:marRight w:val="0"/>
                  <w:marTop w:val="0"/>
                  <w:marBottom w:val="0"/>
                  <w:divBdr>
                    <w:top w:val="none" w:sz="0" w:space="0" w:color="auto"/>
                    <w:left w:val="none" w:sz="0" w:space="0" w:color="auto"/>
                    <w:bottom w:val="none" w:sz="0" w:space="0" w:color="auto"/>
                    <w:right w:val="none" w:sz="0" w:space="0" w:color="auto"/>
                  </w:divBdr>
                  <w:divsChild>
                    <w:div w:id="1359622432">
                      <w:marLeft w:val="0"/>
                      <w:marRight w:val="0"/>
                      <w:marTop w:val="0"/>
                      <w:marBottom w:val="0"/>
                      <w:divBdr>
                        <w:top w:val="none" w:sz="0" w:space="0" w:color="auto"/>
                        <w:left w:val="none" w:sz="0" w:space="0" w:color="auto"/>
                        <w:bottom w:val="none" w:sz="0" w:space="0" w:color="auto"/>
                        <w:right w:val="none" w:sz="0" w:space="0" w:color="auto"/>
                      </w:divBdr>
                    </w:div>
                  </w:divsChild>
                </w:div>
                <w:div w:id="807892856">
                  <w:marLeft w:val="0"/>
                  <w:marRight w:val="0"/>
                  <w:marTop w:val="0"/>
                  <w:marBottom w:val="0"/>
                  <w:divBdr>
                    <w:top w:val="none" w:sz="0" w:space="0" w:color="auto"/>
                    <w:left w:val="none" w:sz="0" w:space="0" w:color="auto"/>
                    <w:bottom w:val="none" w:sz="0" w:space="0" w:color="auto"/>
                    <w:right w:val="none" w:sz="0" w:space="0" w:color="auto"/>
                  </w:divBdr>
                  <w:divsChild>
                    <w:div w:id="648945737">
                      <w:marLeft w:val="0"/>
                      <w:marRight w:val="0"/>
                      <w:marTop w:val="0"/>
                      <w:marBottom w:val="0"/>
                      <w:divBdr>
                        <w:top w:val="none" w:sz="0" w:space="0" w:color="auto"/>
                        <w:left w:val="none" w:sz="0" w:space="0" w:color="auto"/>
                        <w:bottom w:val="none" w:sz="0" w:space="0" w:color="auto"/>
                        <w:right w:val="none" w:sz="0" w:space="0" w:color="auto"/>
                      </w:divBdr>
                    </w:div>
                  </w:divsChild>
                </w:div>
                <w:div w:id="1109736238">
                  <w:marLeft w:val="0"/>
                  <w:marRight w:val="0"/>
                  <w:marTop w:val="0"/>
                  <w:marBottom w:val="0"/>
                  <w:divBdr>
                    <w:top w:val="none" w:sz="0" w:space="0" w:color="auto"/>
                    <w:left w:val="none" w:sz="0" w:space="0" w:color="auto"/>
                    <w:bottom w:val="none" w:sz="0" w:space="0" w:color="auto"/>
                    <w:right w:val="none" w:sz="0" w:space="0" w:color="auto"/>
                  </w:divBdr>
                  <w:divsChild>
                    <w:div w:id="2132891929">
                      <w:marLeft w:val="0"/>
                      <w:marRight w:val="0"/>
                      <w:marTop w:val="0"/>
                      <w:marBottom w:val="0"/>
                      <w:divBdr>
                        <w:top w:val="none" w:sz="0" w:space="0" w:color="auto"/>
                        <w:left w:val="none" w:sz="0" w:space="0" w:color="auto"/>
                        <w:bottom w:val="none" w:sz="0" w:space="0" w:color="auto"/>
                        <w:right w:val="none" w:sz="0" w:space="0" w:color="auto"/>
                      </w:divBdr>
                    </w:div>
                  </w:divsChild>
                </w:div>
                <w:div w:id="1138645757">
                  <w:marLeft w:val="0"/>
                  <w:marRight w:val="0"/>
                  <w:marTop w:val="0"/>
                  <w:marBottom w:val="0"/>
                  <w:divBdr>
                    <w:top w:val="none" w:sz="0" w:space="0" w:color="auto"/>
                    <w:left w:val="none" w:sz="0" w:space="0" w:color="auto"/>
                    <w:bottom w:val="none" w:sz="0" w:space="0" w:color="auto"/>
                    <w:right w:val="none" w:sz="0" w:space="0" w:color="auto"/>
                  </w:divBdr>
                  <w:divsChild>
                    <w:div w:id="117723060">
                      <w:marLeft w:val="0"/>
                      <w:marRight w:val="0"/>
                      <w:marTop w:val="0"/>
                      <w:marBottom w:val="0"/>
                      <w:divBdr>
                        <w:top w:val="none" w:sz="0" w:space="0" w:color="auto"/>
                        <w:left w:val="none" w:sz="0" w:space="0" w:color="auto"/>
                        <w:bottom w:val="none" w:sz="0" w:space="0" w:color="auto"/>
                        <w:right w:val="none" w:sz="0" w:space="0" w:color="auto"/>
                      </w:divBdr>
                    </w:div>
                  </w:divsChild>
                </w:div>
                <w:div w:id="1299190468">
                  <w:marLeft w:val="0"/>
                  <w:marRight w:val="0"/>
                  <w:marTop w:val="0"/>
                  <w:marBottom w:val="0"/>
                  <w:divBdr>
                    <w:top w:val="none" w:sz="0" w:space="0" w:color="auto"/>
                    <w:left w:val="none" w:sz="0" w:space="0" w:color="auto"/>
                    <w:bottom w:val="none" w:sz="0" w:space="0" w:color="auto"/>
                    <w:right w:val="none" w:sz="0" w:space="0" w:color="auto"/>
                  </w:divBdr>
                  <w:divsChild>
                    <w:div w:id="2124811370">
                      <w:marLeft w:val="0"/>
                      <w:marRight w:val="0"/>
                      <w:marTop w:val="0"/>
                      <w:marBottom w:val="0"/>
                      <w:divBdr>
                        <w:top w:val="none" w:sz="0" w:space="0" w:color="auto"/>
                        <w:left w:val="none" w:sz="0" w:space="0" w:color="auto"/>
                        <w:bottom w:val="none" w:sz="0" w:space="0" w:color="auto"/>
                        <w:right w:val="none" w:sz="0" w:space="0" w:color="auto"/>
                      </w:divBdr>
                    </w:div>
                  </w:divsChild>
                </w:div>
                <w:div w:id="1313438761">
                  <w:marLeft w:val="0"/>
                  <w:marRight w:val="0"/>
                  <w:marTop w:val="0"/>
                  <w:marBottom w:val="0"/>
                  <w:divBdr>
                    <w:top w:val="none" w:sz="0" w:space="0" w:color="auto"/>
                    <w:left w:val="none" w:sz="0" w:space="0" w:color="auto"/>
                    <w:bottom w:val="none" w:sz="0" w:space="0" w:color="auto"/>
                    <w:right w:val="none" w:sz="0" w:space="0" w:color="auto"/>
                  </w:divBdr>
                  <w:divsChild>
                    <w:div w:id="1296332653">
                      <w:marLeft w:val="0"/>
                      <w:marRight w:val="0"/>
                      <w:marTop w:val="0"/>
                      <w:marBottom w:val="0"/>
                      <w:divBdr>
                        <w:top w:val="none" w:sz="0" w:space="0" w:color="auto"/>
                        <w:left w:val="none" w:sz="0" w:space="0" w:color="auto"/>
                        <w:bottom w:val="none" w:sz="0" w:space="0" w:color="auto"/>
                        <w:right w:val="none" w:sz="0" w:space="0" w:color="auto"/>
                      </w:divBdr>
                    </w:div>
                  </w:divsChild>
                </w:div>
                <w:div w:id="1323778389">
                  <w:marLeft w:val="0"/>
                  <w:marRight w:val="0"/>
                  <w:marTop w:val="0"/>
                  <w:marBottom w:val="0"/>
                  <w:divBdr>
                    <w:top w:val="none" w:sz="0" w:space="0" w:color="auto"/>
                    <w:left w:val="none" w:sz="0" w:space="0" w:color="auto"/>
                    <w:bottom w:val="none" w:sz="0" w:space="0" w:color="auto"/>
                    <w:right w:val="none" w:sz="0" w:space="0" w:color="auto"/>
                  </w:divBdr>
                  <w:divsChild>
                    <w:div w:id="1288315862">
                      <w:marLeft w:val="0"/>
                      <w:marRight w:val="0"/>
                      <w:marTop w:val="0"/>
                      <w:marBottom w:val="0"/>
                      <w:divBdr>
                        <w:top w:val="none" w:sz="0" w:space="0" w:color="auto"/>
                        <w:left w:val="none" w:sz="0" w:space="0" w:color="auto"/>
                        <w:bottom w:val="none" w:sz="0" w:space="0" w:color="auto"/>
                        <w:right w:val="none" w:sz="0" w:space="0" w:color="auto"/>
                      </w:divBdr>
                    </w:div>
                  </w:divsChild>
                </w:div>
                <w:div w:id="1362709194">
                  <w:marLeft w:val="0"/>
                  <w:marRight w:val="0"/>
                  <w:marTop w:val="0"/>
                  <w:marBottom w:val="0"/>
                  <w:divBdr>
                    <w:top w:val="none" w:sz="0" w:space="0" w:color="auto"/>
                    <w:left w:val="none" w:sz="0" w:space="0" w:color="auto"/>
                    <w:bottom w:val="none" w:sz="0" w:space="0" w:color="auto"/>
                    <w:right w:val="none" w:sz="0" w:space="0" w:color="auto"/>
                  </w:divBdr>
                  <w:divsChild>
                    <w:div w:id="1383943038">
                      <w:marLeft w:val="0"/>
                      <w:marRight w:val="0"/>
                      <w:marTop w:val="0"/>
                      <w:marBottom w:val="0"/>
                      <w:divBdr>
                        <w:top w:val="none" w:sz="0" w:space="0" w:color="auto"/>
                        <w:left w:val="none" w:sz="0" w:space="0" w:color="auto"/>
                        <w:bottom w:val="none" w:sz="0" w:space="0" w:color="auto"/>
                        <w:right w:val="none" w:sz="0" w:space="0" w:color="auto"/>
                      </w:divBdr>
                    </w:div>
                  </w:divsChild>
                </w:div>
                <w:div w:id="1488132420">
                  <w:marLeft w:val="0"/>
                  <w:marRight w:val="0"/>
                  <w:marTop w:val="0"/>
                  <w:marBottom w:val="0"/>
                  <w:divBdr>
                    <w:top w:val="none" w:sz="0" w:space="0" w:color="auto"/>
                    <w:left w:val="none" w:sz="0" w:space="0" w:color="auto"/>
                    <w:bottom w:val="none" w:sz="0" w:space="0" w:color="auto"/>
                    <w:right w:val="none" w:sz="0" w:space="0" w:color="auto"/>
                  </w:divBdr>
                  <w:divsChild>
                    <w:div w:id="1526481673">
                      <w:marLeft w:val="0"/>
                      <w:marRight w:val="0"/>
                      <w:marTop w:val="0"/>
                      <w:marBottom w:val="0"/>
                      <w:divBdr>
                        <w:top w:val="none" w:sz="0" w:space="0" w:color="auto"/>
                        <w:left w:val="none" w:sz="0" w:space="0" w:color="auto"/>
                        <w:bottom w:val="none" w:sz="0" w:space="0" w:color="auto"/>
                        <w:right w:val="none" w:sz="0" w:space="0" w:color="auto"/>
                      </w:divBdr>
                    </w:div>
                  </w:divsChild>
                </w:div>
                <w:div w:id="1495687825">
                  <w:marLeft w:val="0"/>
                  <w:marRight w:val="0"/>
                  <w:marTop w:val="0"/>
                  <w:marBottom w:val="0"/>
                  <w:divBdr>
                    <w:top w:val="none" w:sz="0" w:space="0" w:color="auto"/>
                    <w:left w:val="none" w:sz="0" w:space="0" w:color="auto"/>
                    <w:bottom w:val="none" w:sz="0" w:space="0" w:color="auto"/>
                    <w:right w:val="none" w:sz="0" w:space="0" w:color="auto"/>
                  </w:divBdr>
                  <w:divsChild>
                    <w:div w:id="1249270486">
                      <w:marLeft w:val="0"/>
                      <w:marRight w:val="0"/>
                      <w:marTop w:val="0"/>
                      <w:marBottom w:val="0"/>
                      <w:divBdr>
                        <w:top w:val="none" w:sz="0" w:space="0" w:color="auto"/>
                        <w:left w:val="none" w:sz="0" w:space="0" w:color="auto"/>
                        <w:bottom w:val="none" w:sz="0" w:space="0" w:color="auto"/>
                        <w:right w:val="none" w:sz="0" w:space="0" w:color="auto"/>
                      </w:divBdr>
                    </w:div>
                  </w:divsChild>
                </w:div>
                <w:div w:id="1612474703">
                  <w:marLeft w:val="0"/>
                  <w:marRight w:val="0"/>
                  <w:marTop w:val="0"/>
                  <w:marBottom w:val="0"/>
                  <w:divBdr>
                    <w:top w:val="none" w:sz="0" w:space="0" w:color="auto"/>
                    <w:left w:val="none" w:sz="0" w:space="0" w:color="auto"/>
                    <w:bottom w:val="none" w:sz="0" w:space="0" w:color="auto"/>
                    <w:right w:val="none" w:sz="0" w:space="0" w:color="auto"/>
                  </w:divBdr>
                  <w:divsChild>
                    <w:div w:id="1458642248">
                      <w:marLeft w:val="0"/>
                      <w:marRight w:val="0"/>
                      <w:marTop w:val="0"/>
                      <w:marBottom w:val="0"/>
                      <w:divBdr>
                        <w:top w:val="none" w:sz="0" w:space="0" w:color="auto"/>
                        <w:left w:val="none" w:sz="0" w:space="0" w:color="auto"/>
                        <w:bottom w:val="none" w:sz="0" w:space="0" w:color="auto"/>
                        <w:right w:val="none" w:sz="0" w:space="0" w:color="auto"/>
                      </w:divBdr>
                    </w:div>
                  </w:divsChild>
                </w:div>
                <w:div w:id="1636255876">
                  <w:marLeft w:val="0"/>
                  <w:marRight w:val="0"/>
                  <w:marTop w:val="0"/>
                  <w:marBottom w:val="0"/>
                  <w:divBdr>
                    <w:top w:val="none" w:sz="0" w:space="0" w:color="auto"/>
                    <w:left w:val="none" w:sz="0" w:space="0" w:color="auto"/>
                    <w:bottom w:val="none" w:sz="0" w:space="0" w:color="auto"/>
                    <w:right w:val="none" w:sz="0" w:space="0" w:color="auto"/>
                  </w:divBdr>
                  <w:divsChild>
                    <w:div w:id="846359365">
                      <w:marLeft w:val="0"/>
                      <w:marRight w:val="0"/>
                      <w:marTop w:val="0"/>
                      <w:marBottom w:val="0"/>
                      <w:divBdr>
                        <w:top w:val="none" w:sz="0" w:space="0" w:color="auto"/>
                        <w:left w:val="none" w:sz="0" w:space="0" w:color="auto"/>
                        <w:bottom w:val="none" w:sz="0" w:space="0" w:color="auto"/>
                        <w:right w:val="none" w:sz="0" w:space="0" w:color="auto"/>
                      </w:divBdr>
                    </w:div>
                  </w:divsChild>
                </w:div>
                <w:div w:id="1716998564">
                  <w:marLeft w:val="0"/>
                  <w:marRight w:val="0"/>
                  <w:marTop w:val="0"/>
                  <w:marBottom w:val="0"/>
                  <w:divBdr>
                    <w:top w:val="none" w:sz="0" w:space="0" w:color="auto"/>
                    <w:left w:val="none" w:sz="0" w:space="0" w:color="auto"/>
                    <w:bottom w:val="none" w:sz="0" w:space="0" w:color="auto"/>
                    <w:right w:val="none" w:sz="0" w:space="0" w:color="auto"/>
                  </w:divBdr>
                  <w:divsChild>
                    <w:div w:id="850487516">
                      <w:marLeft w:val="0"/>
                      <w:marRight w:val="0"/>
                      <w:marTop w:val="0"/>
                      <w:marBottom w:val="0"/>
                      <w:divBdr>
                        <w:top w:val="none" w:sz="0" w:space="0" w:color="auto"/>
                        <w:left w:val="none" w:sz="0" w:space="0" w:color="auto"/>
                        <w:bottom w:val="none" w:sz="0" w:space="0" w:color="auto"/>
                        <w:right w:val="none" w:sz="0" w:space="0" w:color="auto"/>
                      </w:divBdr>
                    </w:div>
                  </w:divsChild>
                </w:div>
                <w:div w:id="1899586487">
                  <w:marLeft w:val="0"/>
                  <w:marRight w:val="0"/>
                  <w:marTop w:val="0"/>
                  <w:marBottom w:val="0"/>
                  <w:divBdr>
                    <w:top w:val="none" w:sz="0" w:space="0" w:color="auto"/>
                    <w:left w:val="none" w:sz="0" w:space="0" w:color="auto"/>
                    <w:bottom w:val="none" w:sz="0" w:space="0" w:color="auto"/>
                    <w:right w:val="none" w:sz="0" w:space="0" w:color="auto"/>
                  </w:divBdr>
                  <w:divsChild>
                    <w:div w:id="238444036">
                      <w:marLeft w:val="0"/>
                      <w:marRight w:val="0"/>
                      <w:marTop w:val="0"/>
                      <w:marBottom w:val="0"/>
                      <w:divBdr>
                        <w:top w:val="none" w:sz="0" w:space="0" w:color="auto"/>
                        <w:left w:val="none" w:sz="0" w:space="0" w:color="auto"/>
                        <w:bottom w:val="none" w:sz="0" w:space="0" w:color="auto"/>
                        <w:right w:val="none" w:sz="0" w:space="0" w:color="auto"/>
                      </w:divBdr>
                    </w:div>
                  </w:divsChild>
                </w:div>
                <w:div w:id="1937787691">
                  <w:marLeft w:val="0"/>
                  <w:marRight w:val="0"/>
                  <w:marTop w:val="0"/>
                  <w:marBottom w:val="0"/>
                  <w:divBdr>
                    <w:top w:val="none" w:sz="0" w:space="0" w:color="auto"/>
                    <w:left w:val="none" w:sz="0" w:space="0" w:color="auto"/>
                    <w:bottom w:val="none" w:sz="0" w:space="0" w:color="auto"/>
                    <w:right w:val="none" w:sz="0" w:space="0" w:color="auto"/>
                  </w:divBdr>
                  <w:divsChild>
                    <w:div w:id="277030477">
                      <w:marLeft w:val="0"/>
                      <w:marRight w:val="0"/>
                      <w:marTop w:val="0"/>
                      <w:marBottom w:val="0"/>
                      <w:divBdr>
                        <w:top w:val="none" w:sz="0" w:space="0" w:color="auto"/>
                        <w:left w:val="none" w:sz="0" w:space="0" w:color="auto"/>
                        <w:bottom w:val="none" w:sz="0" w:space="0" w:color="auto"/>
                        <w:right w:val="none" w:sz="0" w:space="0" w:color="auto"/>
                      </w:divBdr>
                    </w:div>
                  </w:divsChild>
                </w:div>
                <w:div w:id="1974868700">
                  <w:marLeft w:val="0"/>
                  <w:marRight w:val="0"/>
                  <w:marTop w:val="0"/>
                  <w:marBottom w:val="0"/>
                  <w:divBdr>
                    <w:top w:val="none" w:sz="0" w:space="0" w:color="auto"/>
                    <w:left w:val="none" w:sz="0" w:space="0" w:color="auto"/>
                    <w:bottom w:val="none" w:sz="0" w:space="0" w:color="auto"/>
                    <w:right w:val="none" w:sz="0" w:space="0" w:color="auto"/>
                  </w:divBdr>
                  <w:divsChild>
                    <w:div w:id="1942369684">
                      <w:marLeft w:val="0"/>
                      <w:marRight w:val="0"/>
                      <w:marTop w:val="0"/>
                      <w:marBottom w:val="0"/>
                      <w:divBdr>
                        <w:top w:val="none" w:sz="0" w:space="0" w:color="auto"/>
                        <w:left w:val="none" w:sz="0" w:space="0" w:color="auto"/>
                        <w:bottom w:val="none" w:sz="0" w:space="0" w:color="auto"/>
                        <w:right w:val="none" w:sz="0" w:space="0" w:color="auto"/>
                      </w:divBdr>
                    </w:div>
                  </w:divsChild>
                </w:div>
                <w:div w:id="2114350708">
                  <w:marLeft w:val="0"/>
                  <w:marRight w:val="0"/>
                  <w:marTop w:val="0"/>
                  <w:marBottom w:val="0"/>
                  <w:divBdr>
                    <w:top w:val="none" w:sz="0" w:space="0" w:color="auto"/>
                    <w:left w:val="none" w:sz="0" w:space="0" w:color="auto"/>
                    <w:bottom w:val="none" w:sz="0" w:space="0" w:color="auto"/>
                    <w:right w:val="none" w:sz="0" w:space="0" w:color="auto"/>
                  </w:divBdr>
                  <w:divsChild>
                    <w:div w:id="1897469653">
                      <w:marLeft w:val="0"/>
                      <w:marRight w:val="0"/>
                      <w:marTop w:val="0"/>
                      <w:marBottom w:val="0"/>
                      <w:divBdr>
                        <w:top w:val="none" w:sz="0" w:space="0" w:color="auto"/>
                        <w:left w:val="none" w:sz="0" w:space="0" w:color="auto"/>
                        <w:bottom w:val="none" w:sz="0" w:space="0" w:color="auto"/>
                        <w:right w:val="none" w:sz="0" w:space="0" w:color="auto"/>
                      </w:divBdr>
                    </w:div>
                  </w:divsChild>
                </w:div>
                <w:div w:id="2132630090">
                  <w:marLeft w:val="0"/>
                  <w:marRight w:val="0"/>
                  <w:marTop w:val="0"/>
                  <w:marBottom w:val="0"/>
                  <w:divBdr>
                    <w:top w:val="none" w:sz="0" w:space="0" w:color="auto"/>
                    <w:left w:val="none" w:sz="0" w:space="0" w:color="auto"/>
                    <w:bottom w:val="none" w:sz="0" w:space="0" w:color="auto"/>
                    <w:right w:val="none" w:sz="0" w:space="0" w:color="auto"/>
                  </w:divBdr>
                  <w:divsChild>
                    <w:div w:id="559709763">
                      <w:marLeft w:val="0"/>
                      <w:marRight w:val="0"/>
                      <w:marTop w:val="0"/>
                      <w:marBottom w:val="0"/>
                      <w:divBdr>
                        <w:top w:val="none" w:sz="0" w:space="0" w:color="auto"/>
                        <w:left w:val="none" w:sz="0" w:space="0" w:color="auto"/>
                        <w:bottom w:val="none" w:sz="0" w:space="0" w:color="auto"/>
                        <w:right w:val="none" w:sz="0" w:space="0" w:color="auto"/>
                      </w:divBdr>
                    </w:div>
                  </w:divsChild>
                </w:div>
                <w:div w:id="2134520711">
                  <w:marLeft w:val="0"/>
                  <w:marRight w:val="0"/>
                  <w:marTop w:val="0"/>
                  <w:marBottom w:val="0"/>
                  <w:divBdr>
                    <w:top w:val="none" w:sz="0" w:space="0" w:color="auto"/>
                    <w:left w:val="none" w:sz="0" w:space="0" w:color="auto"/>
                    <w:bottom w:val="none" w:sz="0" w:space="0" w:color="auto"/>
                    <w:right w:val="none" w:sz="0" w:space="0" w:color="auto"/>
                  </w:divBdr>
                  <w:divsChild>
                    <w:div w:id="5014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99063">
          <w:marLeft w:val="0"/>
          <w:marRight w:val="0"/>
          <w:marTop w:val="0"/>
          <w:marBottom w:val="0"/>
          <w:divBdr>
            <w:top w:val="none" w:sz="0" w:space="0" w:color="auto"/>
            <w:left w:val="none" w:sz="0" w:space="0" w:color="auto"/>
            <w:bottom w:val="none" w:sz="0" w:space="0" w:color="auto"/>
            <w:right w:val="none" w:sz="0" w:space="0" w:color="auto"/>
          </w:divBdr>
        </w:div>
        <w:div w:id="636689790">
          <w:marLeft w:val="0"/>
          <w:marRight w:val="0"/>
          <w:marTop w:val="0"/>
          <w:marBottom w:val="0"/>
          <w:divBdr>
            <w:top w:val="none" w:sz="0" w:space="0" w:color="auto"/>
            <w:left w:val="none" w:sz="0" w:space="0" w:color="auto"/>
            <w:bottom w:val="none" w:sz="0" w:space="0" w:color="auto"/>
            <w:right w:val="none" w:sz="0" w:space="0" w:color="auto"/>
          </w:divBdr>
        </w:div>
        <w:div w:id="1818692509">
          <w:marLeft w:val="0"/>
          <w:marRight w:val="0"/>
          <w:marTop w:val="0"/>
          <w:marBottom w:val="0"/>
          <w:divBdr>
            <w:top w:val="none" w:sz="0" w:space="0" w:color="auto"/>
            <w:left w:val="none" w:sz="0" w:space="0" w:color="auto"/>
            <w:bottom w:val="none" w:sz="0" w:space="0" w:color="auto"/>
            <w:right w:val="none" w:sz="0" w:space="0" w:color="auto"/>
          </w:divBdr>
        </w:div>
      </w:divsChild>
    </w:div>
    <w:div w:id="648897839">
      <w:bodyDiv w:val="1"/>
      <w:marLeft w:val="0"/>
      <w:marRight w:val="0"/>
      <w:marTop w:val="0"/>
      <w:marBottom w:val="0"/>
      <w:divBdr>
        <w:top w:val="none" w:sz="0" w:space="0" w:color="auto"/>
        <w:left w:val="none" w:sz="0" w:space="0" w:color="auto"/>
        <w:bottom w:val="none" w:sz="0" w:space="0" w:color="auto"/>
        <w:right w:val="none" w:sz="0" w:space="0" w:color="auto"/>
      </w:divBdr>
    </w:div>
    <w:div w:id="650334087">
      <w:bodyDiv w:val="1"/>
      <w:marLeft w:val="0"/>
      <w:marRight w:val="0"/>
      <w:marTop w:val="0"/>
      <w:marBottom w:val="0"/>
      <w:divBdr>
        <w:top w:val="none" w:sz="0" w:space="0" w:color="auto"/>
        <w:left w:val="none" w:sz="0" w:space="0" w:color="auto"/>
        <w:bottom w:val="none" w:sz="0" w:space="0" w:color="auto"/>
        <w:right w:val="none" w:sz="0" w:space="0" w:color="auto"/>
      </w:divBdr>
    </w:div>
    <w:div w:id="655719264">
      <w:bodyDiv w:val="1"/>
      <w:marLeft w:val="0"/>
      <w:marRight w:val="0"/>
      <w:marTop w:val="0"/>
      <w:marBottom w:val="0"/>
      <w:divBdr>
        <w:top w:val="none" w:sz="0" w:space="0" w:color="auto"/>
        <w:left w:val="none" w:sz="0" w:space="0" w:color="auto"/>
        <w:bottom w:val="none" w:sz="0" w:space="0" w:color="auto"/>
        <w:right w:val="none" w:sz="0" w:space="0" w:color="auto"/>
      </w:divBdr>
    </w:div>
    <w:div w:id="668561675">
      <w:bodyDiv w:val="1"/>
      <w:marLeft w:val="0"/>
      <w:marRight w:val="0"/>
      <w:marTop w:val="0"/>
      <w:marBottom w:val="0"/>
      <w:divBdr>
        <w:top w:val="none" w:sz="0" w:space="0" w:color="auto"/>
        <w:left w:val="none" w:sz="0" w:space="0" w:color="auto"/>
        <w:bottom w:val="none" w:sz="0" w:space="0" w:color="auto"/>
        <w:right w:val="none" w:sz="0" w:space="0" w:color="auto"/>
      </w:divBdr>
    </w:div>
    <w:div w:id="712774672">
      <w:bodyDiv w:val="1"/>
      <w:marLeft w:val="0"/>
      <w:marRight w:val="0"/>
      <w:marTop w:val="0"/>
      <w:marBottom w:val="0"/>
      <w:divBdr>
        <w:top w:val="none" w:sz="0" w:space="0" w:color="auto"/>
        <w:left w:val="none" w:sz="0" w:space="0" w:color="auto"/>
        <w:bottom w:val="none" w:sz="0" w:space="0" w:color="auto"/>
        <w:right w:val="none" w:sz="0" w:space="0" w:color="auto"/>
      </w:divBdr>
    </w:div>
    <w:div w:id="727262601">
      <w:bodyDiv w:val="1"/>
      <w:marLeft w:val="0"/>
      <w:marRight w:val="0"/>
      <w:marTop w:val="0"/>
      <w:marBottom w:val="0"/>
      <w:divBdr>
        <w:top w:val="none" w:sz="0" w:space="0" w:color="auto"/>
        <w:left w:val="none" w:sz="0" w:space="0" w:color="auto"/>
        <w:bottom w:val="none" w:sz="0" w:space="0" w:color="auto"/>
        <w:right w:val="none" w:sz="0" w:space="0" w:color="auto"/>
      </w:divBdr>
    </w:div>
    <w:div w:id="743378871">
      <w:bodyDiv w:val="1"/>
      <w:marLeft w:val="0"/>
      <w:marRight w:val="0"/>
      <w:marTop w:val="0"/>
      <w:marBottom w:val="0"/>
      <w:divBdr>
        <w:top w:val="none" w:sz="0" w:space="0" w:color="auto"/>
        <w:left w:val="none" w:sz="0" w:space="0" w:color="auto"/>
        <w:bottom w:val="none" w:sz="0" w:space="0" w:color="auto"/>
        <w:right w:val="none" w:sz="0" w:space="0" w:color="auto"/>
      </w:divBdr>
    </w:div>
    <w:div w:id="766997071">
      <w:bodyDiv w:val="1"/>
      <w:marLeft w:val="0"/>
      <w:marRight w:val="0"/>
      <w:marTop w:val="0"/>
      <w:marBottom w:val="0"/>
      <w:divBdr>
        <w:top w:val="none" w:sz="0" w:space="0" w:color="auto"/>
        <w:left w:val="none" w:sz="0" w:space="0" w:color="auto"/>
        <w:bottom w:val="none" w:sz="0" w:space="0" w:color="auto"/>
        <w:right w:val="none" w:sz="0" w:space="0" w:color="auto"/>
      </w:divBdr>
    </w:div>
    <w:div w:id="795488883">
      <w:bodyDiv w:val="1"/>
      <w:marLeft w:val="0"/>
      <w:marRight w:val="0"/>
      <w:marTop w:val="0"/>
      <w:marBottom w:val="0"/>
      <w:divBdr>
        <w:top w:val="none" w:sz="0" w:space="0" w:color="auto"/>
        <w:left w:val="none" w:sz="0" w:space="0" w:color="auto"/>
        <w:bottom w:val="none" w:sz="0" w:space="0" w:color="auto"/>
        <w:right w:val="none" w:sz="0" w:space="0" w:color="auto"/>
      </w:divBdr>
    </w:div>
    <w:div w:id="806167223">
      <w:bodyDiv w:val="1"/>
      <w:marLeft w:val="0"/>
      <w:marRight w:val="0"/>
      <w:marTop w:val="0"/>
      <w:marBottom w:val="0"/>
      <w:divBdr>
        <w:top w:val="none" w:sz="0" w:space="0" w:color="auto"/>
        <w:left w:val="none" w:sz="0" w:space="0" w:color="auto"/>
        <w:bottom w:val="none" w:sz="0" w:space="0" w:color="auto"/>
        <w:right w:val="none" w:sz="0" w:space="0" w:color="auto"/>
      </w:divBdr>
    </w:div>
    <w:div w:id="809595800">
      <w:bodyDiv w:val="1"/>
      <w:marLeft w:val="0"/>
      <w:marRight w:val="0"/>
      <w:marTop w:val="0"/>
      <w:marBottom w:val="0"/>
      <w:divBdr>
        <w:top w:val="none" w:sz="0" w:space="0" w:color="auto"/>
        <w:left w:val="none" w:sz="0" w:space="0" w:color="auto"/>
        <w:bottom w:val="none" w:sz="0" w:space="0" w:color="auto"/>
        <w:right w:val="none" w:sz="0" w:space="0" w:color="auto"/>
      </w:divBdr>
    </w:div>
    <w:div w:id="816268510">
      <w:bodyDiv w:val="1"/>
      <w:marLeft w:val="0"/>
      <w:marRight w:val="0"/>
      <w:marTop w:val="0"/>
      <w:marBottom w:val="0"/>
      <w:divBdr>
        <w:top w:val="none" w:sz="0" w:space="0" w:color="auto"/>
        <w:left w:val="none" w:sz="0" w:space="0" w:color="auto"/>
        <w:bottom w:val="none" w:sz="0" w:space="0" w:color="auto"/>
        <w:right w:val="none" w:sz="0" w:space="0" w:color="auto"/>
      </w:divBdr>
    </w:div>
    <w:div w:id="816648142">
      <w:bodyDiv w:val="1"/>
      <w:marLeft w:val="0"/>
      <w:marRight w:val="0"/>
      <w:marTop w:val="0"/>
      <w:marBottom w:val="0"/>
      <w:divBdr>
        <w:top w:val="none" w:sz="0" w:space="0" w:color="auto"/>
        <w:left w:val="none" w:sz="0" w:space="0" w:color="auto"/>
        <w:bottom w:val="none" w:sz="0" w:space="0" w:color="auto"/>
        <w:right w:val="none" w:sz="0" w:space="0" w:color="auto"/>
      </w:divBdr>
    </w:div>
    <w:div w:id="820004482">
      <w:bodyDiv w:val="1"/>
      <w:marLeft w:val="0"/>
      <w:marRight w:val="0"/>
      <w:marTop w:val="0"/>
      <w:marBottom w:val="0"/>
      <w:divBdr>
        <w:top w:val="none" w:sz="0" w:space="0" w:color="auto"/>
        <w:left w:val="none" w:sz="0" w:space="0" w:color="auto"/>
        <w:bottom w:val="none" w:sz="0" w:space="0" w:color="auto"/>
        <w:right w:val="none" w:sz="0" w:space="0" w:color="auto"/>
      </w:divBdr>
    </w:div>
    <w:div w:id="826364160">
      <w:bodyDiv w:val="1"/>
      <w:marLeft w:val="0"/>
      <w:marRight w:val="0"/>
      <w:marTop w:val="0"/>
      <w:marBottom w:val="0"/>
      <w:divBdr>
        <w:top w:val="none" w:sz="0" w:space="0" w:color="auto"/>
        <w:left w:val="none" w:sz="0" w:space="0" w:color="auto"/>
        <w:bottom w:val="none" w:sz="0" w:space="0" w:color="auto"/>
        <w:right w:val="none" w:sz="0" w:space="0" w:color="auto"/>
      </w:divBdr>
    </w:div>
    <w:div w:id="829370602">
      <w:bodyDiv w:val="1"/>
      <w:marLeft w:val="0"/>
      <w:marRight w:val="0"/>
      <w:marTop w:val="0"/>
      <w:marBottom w:val="0"/>
      <w:divBdr>
        <w:top w:val="none" w:sz="0" w:space="0" w:color="auto"/>
        <w:left w:val="none" w:sz="0" w:space="0" w:color="auto"/>
        <w:bottom w:val="none" w:sz="0" w:space="0" w:color="auto"/>
        <w:right w:val="none" w:sz="0" w:space="0" w:color="auto"/>
      </w:divBdr>
    </w:div>
    <w:div w:id="831142461">
      <w:bodyDiv w:val="1"/>
      <w:marLeft w:val="0"/>
      <w:marRight w:val="0"/>
      <w:marTop w:val="0"/>
      <w:marBottom w:val="0"/>
      <w:divBdr>
        <w:top w:val="none" w:sz="0" w:space="0" w:color="auto"/>
        <w:left w:val="none" w:sz="0" w:space="0" w:color="auto"/>
        <w:bottom w:val="none" w:sz="0" w:space="0" w:color="auto"/>
        <w:right w:val="none" w:sz="0" w:space="0" w:color="auto"/>
      </w:divBdr>
    </w:div>
    <w:div w:id="832258707">
      <w:bodyDiv w:val="1"/>
      <w:marLeft w:val="0"/>
      <w:marRight w:val="0"/>
      <w:marTop w:val="0"/>
      <w:marBottom w:val="0"/>
      <w:divBdr>
        <w:top w:val="none" w:sz="0" w:space="0" w:color="auto"/>
        <w:left w:val="none" w:sz="0" w:space="0" w:color="auto"/>
        <w:bottom w:val="none" w:sz="0" w:space="0" w:color="auto"/>
        <w:right w:val="none" w:sz="0" w:space="0" w:color="auto"/>
      </w:divBdr>
    </w:div>
    <w:div w:id="859441031">
      <w:bodyDiv w:val="1"/>
      <w:marLeft w:val="0"/>
      <w:marRight w:val="0"/>
      <w:marTop w:val="0"/>
      <w:marBottom w:val="0"/>
      <w:divBdr>
        <w:top w:val="none" w:sz="0" w:space="0" w:color="auto"/>
        <w:left w:val="none" w:sz="0" w:space="0" w:color="auto"/>
        <w:bottom w:val="none" w:sz="0" w:space="0" w:color="auto"/>
        <w:right w:val="none" w:sz="0" w:space="0" w:color="auto"/>
      </w:divBdr>
    </w:div>
    <w:div w:id="877818660">
      <w:bodyDiv w:val="1"/>
      <w:marLeft w:val="0"/>
      <w:marRight w:val="0"/>
      <w:marTop w:val="0"/>
      <w:marBottom w:val="0"/>
      <w:divBdr>
        <w:top w:val="none" w:sz="0" w:space="0" w:color="auto"/>
        <w:left w:val="none" w:sz="0" w:space="0" w:color="auto"/>
        <w:bottom w:val="none" w:sz="0" w:space="0" w:color="auto"/>
        <w:right w:val="none" w:sz="0" w:space="0" w:color="auto"/>
      </w:divBdr>
    </w:div>
    <w:div w:id="880440043">
      <w:bodyDiv w:val="1"/>
      <w:marLeft w:val="0"/>
      <w:marRight w:val="0"/>
      <w:marTop w:val="0"/>
      <w:marBottom w:val="0"/>
      <w:divBdr>
        <w:top w:val="none" w:sz="0" w:space="0" w:color="auto"/>
        <w:left w:val="none" w:sz="0" w:space="0" w:color="auto"/>
        <w:bottom w:val="none" w:sz="0" w:space="0" w:color="auto"/>
        <w:right w:val="none" w:sz="0" w:space="0" w:color="auto"/>
      </w:divBdr>
    </w:div>
    <w:div w:id="891505657">
      <w:bodyDiv w:val="1"/>
      <w:marLeft w:val="0"/>
      <w:marRight w:val="0"/>
      <w:marTop w:val="0"/>
      <w:marBottom w:val="0"/>
      <w:divBdr>
        <w:top w:val="none" w:sz="0" w:space="0" w:color="auto"/>
        <w:left w:val="none" w:sz="0" w:space="0" w:color="auto"/>
        <w:bottom w:val="none" w:sz="0" w:space="0" w:color="auto"/>
        <w:right w:val="none" w:sz="0" w:space="0" w:color="auto"/>
      </w:divBdr>
    </w:div>
    <w:div w:id="904340010">
      <w:bodyDiv w:val="1"/>
      <w:marLeft w:val="0"/>
      <w:marRight w:val="0"/>
      <w:marTop w:val="0"/>
      <w:marBottom w:val="0"/>
      <w:divBdr>
        <w:top w:val="none" w:sz="0" w:space="0" w:color="auto"/>
        <w:left w:val="none" w:sz="0" w:space="0" w:color="auto"/>
        <w:bottom w:val="none" w:sz="0" w:space="0" w:color="auto"/>
        <w:right w:val="none" w:sz="0" w:space="0" w:color="auto"/>
      </w:divBdr>
    </w:div>
    <w:div w:id="933785297">
      <w:bodyDiv w:val="1"/>
      <w:marLeft w:val="0"/>
      <w:marRight w:val="0"/>
      <w:marTop w:val="0"/>
      <w:marBottom w:val="0"/>
      <w:divBdr>
        <w:top w:val="none" w:sz="0" w:space="0" w:color="auto"/>
        <w:left w:val="none" w:sz="0" w:space="0" w:color="auto"/>
        <w:bottom w:val="none" w:sz="0" w:space="0" w:color="auto"/>
        <w:right w:val="none" w:sz="0" w:space="0" w:color="auto"/>
      </w:divBdr>
    </w:div>
    <w:div w:id="934365829">
      <w:bodyDiv w:val="1"/>
      <w:marLeft w:val="0"/>
      <w:marRight w:val="0"/>
      <w:marTop w:val="0"/>
      <w:marBottom w:val="0"/>
      <w:divBdr>
        <w:top w:val="none" w:sz="0" w:space="0" w:color="auto"/>
        <w:left w:val="none" w:sz="0" w:space="0" w:color="auto"/>
        <w:bottom w:val="none" w:sz="0" w:space="0" w:color="auto"/>
        <w:right w:val="none" w:sz="0" w:space="0" w:color="auto"/>
      </w:divBdr>
    </w:div>
    <w:div w:id="950353899">
      <w:bodyDiv w:val="1"/>
      <w:marLeft w:val="0"/>
      <w:marRight w:val="0"/>
      <w:marTop w:val="0"/>
      <w:marBottom w:val="0"/>
      <w:divBdr>
        <w:top w:val="none" w:sz="0" w:space="0" w:color="auto"/>
        <w:left w:val="none" w:sz="0" w:space="0" w:color="auto"/>
        <w:bottom w:val="none" w:sz="0" w:space="0" w:color="auto"/>
        <w:right w:val="none" w:sz="0" w:space="0" w:color="auto"/>
      </w:divBdr>
    </w:div>
    <w:div w:id="958803383">
      <w:bodyDiv w:val="1"/>
      <w:marLeft w:val="0"/>
      <w:marRight w:val="0"/>
      <w:marTop w:val="0"/>
      <w:marBottom w:val="0"/>
      <w:divBdr>
        <w:top w:val="none" w:sz="0" w:space="0" w:color="auto"/>
        <w:left w:val="none" w:sz="0" w:space="0" w:color="auto"/>
        <w:bottom w:val="none" w:sz="0" w:space="0" w:color="auto"/>
        <w:right w:val="none" w:sz="0" w:space="0" w:color="auto"/>
      </w:divBdr>
    </w:div>
    <w:div w:id="961957586">
      <w:bodyDiv w:val="1"/>
      <w:marLeft w:val="0"/>
      <w:marRight w:val="0"/>
      <w:marTop w:val="0"/>
      <w:marBottom w:val="0"/>
      <w:divBdr>
        <w:top w:val="none" w:sz="0" w:space="0" w:color="auto"/>
        <w:left w:val="none" w:sz="0" w:space="0" w:color="auto"/>
        <w:bottom w:val="none" w:sz="0" w:space="0" w:color="auto"/>
        <w:right w:val="none" w:sz="0" w:space="0" w:color="auto"/>
      </w:divBdr>
    </w:div>
    <w:div w:id="974724722">
      <w:bodyDiv w:val="1"/>
      <w:marLeft w:val="0"/>
      <w:marRight w:val="0"/>
      <w:marTop w:val="0"/>
      <w:marBottom w:val="0"/>
      <w:divBdr>
        <w:top w:val="none" w:sz="0" w:space="0" w:color="auto"/>
        <w:left w:val="none" w:sz="0" w:space="0" w:color="auto"/>
        <w:bottom w:val="none" w:sz="0" w:space="0" w:color="auto"/>
        <w:right w:val="none" w:sz="0" w:space="0" w:color="auto"/>
      </w:divBdr>
    </w:div>
    <w:div w:id="1010720597">
      <w:bodyDiv w:val="1"/>
      <w:marLeft w:val="0"/>
      <w:marRight w:val="0"/>
      <w:marTop w:val="0"/>
      <w:marBottom w:val="0"/>
      <w:divBdr>
        <w:top w:val="none" w:sz="0" w:space="0" w:color="auto"/>
        <w:left w:val="none" w:sz="0" w:space="0" w:color="auto"/>
        <w:bottom w:val="none" w:sz="0" w:space="0" w:color="auto"/>
        <w:right w:val="none" w:sz="0" w:space="0" w:color="auto"/>
      </w:divBdr>
    </w:div>
    <w:div w:id="1013799651">
      <w:bodyDiv w:val="1"/>
      <w:marLeft w:val="0"/>
      <w:marRight w:val="0"/>
      <w:marTop w:val="0"/>
      <w:marBottom w:val="0"/>
      <w:divBdr>
        <w:top w:val="none" w:sz="0" w:space="0" w:color="auto"/>
        <w:left w:val="none" w:sz="0" w:space="0" w:color="auto"/>
        <w:bottom w:val="none" w:sz="0" w:space="0" w:color="auto"/>
        <w:right w:val="none" w:sz="0" w:space="0" w:color="auto"/>
      </w:divBdr>
    </w:div>
    <w:div w:id="1024014112">
      <w:bodyDiv w:val="1"/>
      <w:marLeft w:val="0"/>
      <w:marRight w:val="0"/>
      <w:marTop w:val="0"/>
      <w:marBottom w:val="0"/>
      <w:divBdr>
        <w:top w:val="none" w:sz="0" w:space="0" w:color="auto"/>
        <w:left w:val="none" w:sz="0" w:space="0" w:color="auto"/>
        <w:bottom w:val="none" w:sz="0" w:space="0" w:color="auto"/>
        <w:right w:val="none" w:sz="0" w:space="0" w:color="auto"/>
      </w:divBdr>
    </w:div>
    <w:div w:id="1032267108">
      <w:bodyDiv w:val="1"/>
      <w:marLeft w:val="0"/>
      <w:marRight w:val="0"/>
      <w:marTop w:val="0"/>
      <w:marBottom w:val="0"/>
      <w:divBdr>
        <w:top w:val="none" w:sz="0" w:space="0" w:color="auto"/>
        <w:left w:val="none" w:sz="0" w:space="0" w:color="auto"/>
        <w:bottom w:val="none" w:sz="0" w:space="0" w:color="auto"/>
        <w:right w:val="none" w:sz="0" w:space="0" w:color="auto"/>
      </w:divBdr>
    </w:div>
    <w:div w:id="1036272754">
      <w:bodyDiv w:val="1"/>
      <w:marLeft w:val="0"/>
      <w:marRight w:val="0"/>
      <w:marTop w:val="0"/>
      <w:marBottom w:val="0"/>
      <w:divBdr>
        <w:top w:val="none" w:sz="0" w:space="0" w:color="auto"/>
        <w:left w:val="none" w:sz="0" w:space="0" w:color="auto"/>
        <w:bottom w:val="none" w:sz="0" w:space="0" w:color="auto"/>
        <w:right w:val="none" w:sz="0" w:space="0" w:color="auto"/>
      </w:divBdr>
    </w:div>
    <w:div w:id="1047682729">
      <w:bodyDiv w:val="1"/>
      <w:marLeft w:val="0"/>
      <w:marRight w:val="0"/>
      <w:marTop w:val="0"/>
      <w:marBottom w:val="0"/>
      <w:divBdr>
        <w:top w:val="none" w:sz="0" w:space="0" w:color="auto"/>
        <w:left w:val="none" w:sz="0" w:space="0" w:color="auto"/>
        <w:bottom w:val="none" w:sz="0" w:space="0" w:color="auto"/>
        <w:right w:val="none" w:sz="0" w:space="0" w:color="auto"/>
      </w:divBdr>
    </w:div>
    <w:div w:id="1091512715">
      <w:bodyDiv w:val="1"/>
      <w:marLeft w:val="0"/>
      <w:marRight w:val="0"/>
      <w:marTop w:val="0"/>
      <w:marBottom w:val="0"/>
      <w:divBdr>
        <w:top w:val="none" w:sz="0" w:space="0" w:color="auto"/>
        <w:left w:val="none" w:sz="0" w:space="0" w:color="auto"/>
        <w:bottom w:val="none" w:sz="0" w:space="0" w:color="auto"/>
        <w:right w:val="none" w:sz="0" w:space="0" w:color="auto"/>
      </w:divBdr>
    </w:div>
    <w:div w:id="1094520987">
      <w:bodyDiv w:val="1"/>
      <w:marLeft w:val="0"/>
      <w:marRight w:val="0"/>
      <w:marTop w:val="0"/>
      <w:marBottom w:val="0"/>
      <w:divBdr>
        <w:top w:val="none" w:sz="0" w:space="0" w:color="auto"/>
        <w:left w:val="none" w:sz="0" w:space="0" w:color="auto"/>
        <w:bottom w:val="none" w:sz="0" w:space="0" w:color="auto"/>
        <w:right w:val="none" w:sz="0" w:space="0" w:color="auto"/>
      </w:divBdr>
    </w:div>
    <w:div w:id="1117062940">
      <w:bodyDiv w:val="1"/>
      <w:marLeft w:val="0"/>
      <w:marRight w:val="0"/>
      <w:marTop w:val="0"/>
      <w:marBottom w:val="0"/>
      <w:divBdr>
        <w:top w:val="none" w:sz="0" w:space="0" w:color="auto"/>
        <w:left w:val="none" w:sz="0" w:space="0" w:color="auto"/>
        <w:bottom w:val="none" w:sz="0" w:space="0" w:color="auto"/>
        <w:right w:val="none" w:sz="0" w:space="0" w:color="auto"/>
      </w:divBdr>
    </w:div>
    <w:div w:id="1122991811">
      <w:bodyDiv w:val="1"/>
      <w:marLeft w:val="0"/>
      <w:marRight w:val="0"/>
      <w:marTop w:val="0"/>
      <w:marBottom w:val="0"/>
      <w:divBdr>
        <w:top w:val="none" w:sz="0" w:space="0" w:color="auto"/>
        <w:left w:val="none" w:sz="0" w:space="0" w:color="auto"/>
        <w:bottom w:val="none" w:sz="0" w:space="0" w:color="auto"/>
        <w:right w:val="none" w:sz="0" w:space="0" w:color="auto"/>
      </w:divBdr>
      <w:divsChild>
        <w:div w:id="834691701">
          <w:marLeft w:val="274"/>
          <w:marRight w:val="0"/>
          <w:marTop w:val="0"/>
          <w:marBottom w:val="0"/>
          <w:divBdr>
            <w:top w:val="none" w:sz="0" w:space="0" w:color="auto"/>
            <w:left w:val="none" w:sz="0" w:space="0" w:color="auto"/>
            <w:bottom w:val="none" w:sz="0" w:space="0" w:color="auto"/>
            <w:right w:val="none" w:sz="0" w:space="0" w:color="auto"/>
          </w:divBdr>
        </w:div>
        <w:div w:id="916280689">
          <w:marLeft w:val="274"/>
          <w:marRight w:val="0"/>
          <w:marTop w:val="0"/>
          <w:marBottom w:val="0"/>
          <w:divBdr>
            <w:top w:val="none" w:sz="0" w:space="0" w:color="auto"/>
            <w:left w:val="none" w:sz="0" w:space="0" w:color="auto"/>
            <w:bottom w:val="none" w:sz="0" w:space="0" w:color="auto"/>
            <w:right w:val="none" w:sz="0" w:space="0" w:color="auto"/>
          </w:divBdr>
        </w:div>
        <w:div w:id="1823354128">
          <w:marLeft w:val="274"/>
          <w:marRight w:val="0"/>
          <w:marTop w:val="0"/>
          <w:marBottom w:val="0"/>
          <w:divBdr>
            <w:top w:val="none" w:sz="0" w:space="0" w:color="auto"/>
            <w:left w:val="none" w:sz="0" w:space="0" w:color="auto"/>
            <w:bottom w:val="none" w:sz="0" w:space="0" w:color="auto"/>
            <w:right w:val="none" w:sz="0" w:space="0" w:color="auto"/>
          </w:divBdr>
        </w:div>
        <w:div w:id="1938751493">
          <w:marLeft w:val="274"/>
          <w:marRight w:val="0"/>
          <w:marTop w:val="0"/>
          <w:marBottom w:val="0"/>
          <w:divBdr>
            <w:top w:val="none" w:sz="0" w:space="0" w:color="auto"/>
            <w:left w:val="none" w:sz="0" w:space="0" w:color="auto"/>
            <w:bottom w:val="none" w:sz="0" w:space="0" w:color="auto"/>
            <w:right w:val="none" w:sz="0" w:space="0" w:color="auto"/>
          </w:divBdr>
        </w:div>
      </w:divsChild>
    </w:div>
    <w:div w:id="1145661649">
      <w:bodyDiv w:val="1"/>
      <w:marLeft w:val="0"/>
      <w:marRight w:val="0"/>
      <w:marTop w:val="0"/>
      <w:marBottom w:val="0"/>
      <w:divBdr>
        <w:top w:val="none" w:sz="0" w:space="0" w:color="auto"/>
        <w:left w:val="none" w:sz="0" w:space="0" w:color="auto"/>
        <w:bottom w:val="none" w:sz="0" w:space="0" w:color="auto"/>
        <w:right w:val="none" w:sz="0" w:space="0" w:color="auto"/>
      </w:divBdr>
    </w:div>
    <w:div w:id="1149050964">
      <w:bodyDiv w:val="1"/>
      <w:marLeft w:val="0"/>
      <w:marRight w:val="0"/>
      <w:marTop w:val="0"/>
      <w:marBottom w:val="0"/>
      <w:divBdr>
        <w:top w:val="none" w:sz="0" w:space="0" w:color="auto"/>
        <w:left w:val="none" w:sz="0" w:space="0" w:color="auto"/>
        <w:bottom w:val="none" w:sz="0" w:space="0" w:color="auto"/>
        <w:right w:val="none" w:sz="0" w:space="0" w:color="auto"/>
      </w:divBdr>
    </w:div>
    <w:div w:id="1155994105">
      <w:bodyDiv w:val="1"/>
      <w:marLeft w:val="0"/>
      <w:marRight w:val="0"/>
      <w:marTop w:val="0"/>
      <w:marBottom w:val="0"/>
      <w:divBdr>
        <w:top w:val="none" w:sz="0" w:space="0" w:color="auto"/>
        <w:left w:val="none" w:sz="0" w:space="0" w:color="auto"/>
        <w:bottom w:val="none" w:sz="0" w:space="0" w:color="auto"/>
        <w:right w:val="none" w:sz="0" w:space="0" w:color="auto"/>
      </w:divBdr>
    </w:div>
    <w:div w:id="1156848223">
      <w:bodyDiv w:val="1"/>
      <w:marLeft w:val="0"/>
      <w:marRight w:val="0"/>
      <w:marTop w:val="0"/>
      <w:marBottom w:val="0"/>
      <w:divBdr>
        <w:top w:val="none" w:sz="0" w:space="0" w:color="auto"/>
        <w:left w:val="none" w:sz="0" w:space="0" w:color="auto"/>
        <w:bottom w:val="none" w:sz="0" w:space="0" w:color="auto"/>
        <w:right w:val="none" w:sz="0" w:space="0" w:color="auto"/>
      </w:divBdr>
    </w:div>
    <w:div w:id="1163275488">
      <w:bodyDiv w:val="1"/>
      <w:marLeft w:val="0"/>
      <w:marRight w:val="0"/>
      <w:marTop w:val="0"/>
      <w:marBottom w:val="0"/>
      <w:divBdr>
        <w:top w:val="none" w:sz="0" w:space="0" w:color="auto"/>
        <w:left w:val="none" w:sz="0" w:space="0" w:color="auto"/>
        <w:bottom w:val="none" w:sz="0" w:space="0" w:color="auto"/>
        <w:right w:val="none" w:sz="0" w:space="0" w:color="auto"/>
      </w:divBdr>
    </w:div>
    <w:div w:id="1165701826">
      <w:bodyDiv w:val="1"/>
      <w:marLeft w:val="0"/>
      <w:marRight w:val="0"/>
      <w:marTop w:val="0"/>
      <w:marBottom w:val="0"/>
      <w:divBdr>
        <w:top w:val="none" w:sz="0" w:space="0" w:color="auto"/>
        <w:left w:val="none" w:sz="0" w:space="0" w:color="auto"/>
        <w:bottom w:val="none" w:sz="0" w:space="0" w:color="auto"/>
        <w:right w:val="none" w:sz="0" w:space="0" w:color="auto"/>
      </w:divBdr>
    </w:div>
    <w:div w:id="1208881776">
      <w:bodyDiv w:val="1"/>
      <w:marLeft w:val="0"/>
      <w:marRight w:val="0"/>
      <w:marTop w:val="0"/>
      <w:marBottom w:val="0"/>
      <w:divBdr>
        <w:top w:val="none" w:sz="0" w:space="0" w:color="auto"/>
        <w:left w:val="none" w:sz="0" w:space="0" w:color="auto"/>
        <w:bottom w:val="none" w:sz="0" w:space="0" w:color="auto"/>
        <w:right w:val="none" w:sz="0" w:space="0" w:color="auto"/>
      </w:divBdr>
    </w:div>
    <w:div w:id="1213543573">
      <w:bodyDiv w:val="1"/>
      <w:marLeft w:val="0"/>
      <w:marRight w:val="0"/>
      <w:marTop w:val="0"/>
      <w:marBottom w:val="0"/>
      <w:divBdr>
        <w:top w:val="none" w:sz="0" w:space="0" w:color="auto"/>
        <w:left w:val="none" w:sz="0" w:space="0" w:color="auto"/>
        <w:bottom w:val="none" w:sz="0" w:space="0" w:color="auto"/>
        <w:right w:val="none" w:sz="0" w:space="0" w:color="auto"/>
      </w:divBdr>
    </w:div>
    <w:div w:id="1226834897">
      <w:bodyDiv w:val="1"/>
      <w:marLeft w:val="0"/>
      <w:marRight w:val="0"/>
      <w:marTop w:val="0"/>
      <w:marBottom w:val="0"/>
      <w:divBdr>
        <w:top w:val="none" w:sz="0" w:space="0" w:color="auto"/>
        <w:left w:val="none" w:sz="0" w:space="0" w:color="auto"/>
        <w:bottom w:val="none" w:sz="0" w:space="0" w:color="auto"/>
        <w:right w:val="none" w:sz="0" w:space="0" w:color="auto"/>
      </w:divBdr>
    </w:div>
    <w:div w:id="1241908407">
      <w:bodyDiv w:val="1"/>
      <w:marLeft w:val="0"/>
      <w:marRight w:val="0"/>
      <w:marTop w:val="0"/>
      <w:marBottom w:val="0"/>
      <w:divBdr>
        <w:top w:val="none" w:sz="0" w:space="0" w:color="auto"/>
        <w:left w:val="none" w:sz="0" w:space="0" w:color="auto"/>
        <w:bottom w:val="none" w:sz="0" w:space="0" w:color="auto"/>
        <w:right w:val="none" w:sz="0" w:space="0" w:color="auto"/>
      </w:divBdr>
    </w:div>
    <w:div w:id="1246501754">
      <w:bodyDiv w:val="1"/>
      <w:marLeft w:val="0"/>
      <w:marRight w:val="0"/>
      <w:marTop w:val="0"/>
      <w:marBottom w:val="0"/>
      <w:divBdr>
        <w:top w:val="none" w:sz="0" w:space="0" w:color="auto"/>
        <w:left w:val="none" w:sz="0" w:space="0" w:color="auto"/>
        <w:bottom w:val="none" w:sz="0" w:space="0" w:color="auto"/>
        <w:right w:val="none" w:sz="0" w:space="0" w:color="auto"/>
      </w:divBdr>
    </w:div>
    <w:div w:id="1247303382">
      <w:bodyDiv w:val="1"/>
      <w:marLeft w:val="0"/>
      <w:marRight w:val="0"/>
      <w:marTop w:val="0"/>
      <w:marBottom w:val="0"/>
      <w:divBdr>
        <w:top w:val="none" w:sz="0" w:space="0" w:color="auto"/>
        <w:left w:val="none" w:sz="0" w:space="0" w:color="auto"/>
        <w:bottom w:val="none" w:sz="0" w:space="0" w:color="auto"/>
        <w:right w:val="none" w:sz="0" w:space="0" w:color="auto"/>
      </w:divBdr>
    </w:div>
    <w:div w:id="1252085796">
      <w:bodyDiv w:val="1"/>
      <w:marLeft w:val="0"/>
      <w:marRight w:val="0"/>
      <w:marTop w:val="0"/>
      <w:marBottom w:val="0"/>
      <w:divBdr>
        <w:top w:val="none" w:sz="0" w:space="0" w:color="auto"/>
        <w:left w:val="none" w:sz="0" w:space="0" w:color="auto"/>
        <w:bottom w:val="none" w:sz="0" w:space="0" w:color="auto"/>
        <w:right w:val="none" w:sz="0" w:space="0" w:color="auto"/>
      </w:divBdr>
    </w:div>
    <w:div w:id="1278365921">
      <w:bodyDiv w:val="1"/>
      <w:marLeft w:val="0"/>
      <w:marRight w:val="0"/>
      <w:marTop w:val="0"/>
      <w:marBottom w:val="0"/>
      <w:divBdr>
        <w:top w:val="none" w:sz="0" w:space="0" w:color="auto"/>
        <w:left w:val="none" w:sz="0" w:space="0" w:color="auto"/>
        <w:bottom w:val="none" w:sz="0" w:space="0" w:color="auto"/>
        <w:right w:val="none" w:sz="0" w:space="0" w:color="auto"/>
      </w:divBdr>
    </w:div>
    <w:div w:id="1279994225">
      <w:bodyDiv w:val="1"/>
      <w:marLeft w:val="0"/>
      <w:marRight w:val="0"/>
      <w:marTop w:val="0"/>
      <w:marBottom w:val="0"/>
      <w:divBdr>
        <w:top w:val="none" w:sz="0" w:space="0" w:color="auto"/>
        <w:left w:val="none" w:sz="0" w:space="0" w:color="auto"/>
        <w:bottom w:val="none" w:sz="0" w:space="0" w:color="auto"/>
        <w:right w:val="none" w:sz="0" w:space="0" w:color="auto"/>
      </w:divBdr>
    </w:div>
    <w:div w:id="1285115212">
      <w:bodyDiv w:val="1"/>
      <w:marLeft w:val="0"/>
      <w:marRight w:val="0"/>
      <w:marTop w:val="0"/>
      <w:marBottom w:val="0"/>
      <w:divBdr>
        <w:top w:val="none" w:sz="0" w:space="0" w:color="auto"/>
        <w:left w:val="none" w:sz="0" w:space="0" w:color="auto"/>
        <w:bottom w:val="none" w:sz="0" w:space="0" w:color="auto"/>
        <w:right w:val="none" w:sz="0" w:space="0" w:color="auto"/>
      </w:divBdr>
    </w:div>
    <w:div w:id="1312640062">
      <w:bodyDiv w:val="1"/>
      <w:marLeft w:val="0"/>
      <w:marRight w:val="0"/>
      <w:marTop w:val="0"/>
      <w:marBottom w:val="0"/>
      <w:divBdr>
        <w:top w:val="none" w:sz="0" w:space="0" w:color="auto"/>
        <w:left w:val="none" w:sz="0" w:space="0" w:color="auto"/>
        <w:bottom w:val="none" w:sz="0" w:space="0" w:color="auto"/>
        <w:right w:val="none" w:sz="0" w:space="0" w:color="auto"/>
      </w:divBdr>
    </w:div>
    <w:div w:id="1319068876">
      <w:bodyDiv w:val="1"/>
      <w:marLeft w:val="0"/>
      <w:marRight w:val="0"/>
      <w:marTop w:val="0"/>
      <w:marBottom w:val="0"/>
      <w:divBdr>
        <w:top w:val="none" w:sz="0" w:space="0" w:color="auto"/>
        <w:left w:val="none" w:sz="0" w:space="0" w:color="auto"/>
        <w:bottom w:val="none" w:sz="0" w:space="0" w:color="auto"/>
        <w:right w:val="none" w:sz="0" w:space="0" w:color="auto"/>
      </w:divBdr>
    </w:div>
    <w:div w:id="1322388445">
      <w:bodyDiv w:val="1"/>
      <w:marLeft w:val="0"/>
      <w:marRight w:val="0"/>
      <w:marTop w:val="0"/>
      <w:marBottom w:val="0"/>
      <w:divBdr>
        <w:top w:val="none" w:sz="0" w:space="0" w:color="auto"/>
        <w:left w:val="none" w:sz="0" w:space="0" w:color="auto"/>
        <w:bottom w:val="none" w:sz="0" w:space="0" w:color="auto"/>
        <w:right w:val="none" w:sz="0" w:space="0" w:color="auto"/>
      </w:divBdr>
    </w:div>
    <w:div w:id="1323653869">
      <w:bodyDiv w:val="1"/>
      <w:marLeft w:val="0"/>
      <w:marRight w:val="0"/>
      <w:marTop w:val="0"/>
      <w:marBottom w:val="0"/>
      <w:divBdr>
        <w:top w:val="none" w:sz="0" w:space="0" w:color="auto"/>
        <w:left w:val="none" w:sz="0" w:space="0" w:color="auto"/>
        <w:bottom w:val="none" w:sz="0" w:space="0" w:color="auto"/>
        <w:right w:val="none" w:sz="0" w:space="0" w:color="auto"/>
      </w:divBdr>
    </w:div>
    <w:div w:id="1326204494">
      <w:bodyDiv w:val="1"/>
      <w:marLeft w:val="0"/>
      <w:marRight w:val="0"/>
      <w:marTop w:val="0"/>
      <w:marBottom w:val="0"/>
      <w:divBdr>
        <w:top w:val="none" w:sz="0" w:space="0" w:color="auto"/>
        <w:left w:val="none" w:sz="0" w:space="0" w:color="auto"/>
        <w:bottom w:val="none" w:sz="0" w:space="0" w:color="auto"/>
        <w:right w:val="none" w:sz="0" w:space="0" w:color="auto"/>
      </w:divBdr>
    </w:div>
    <w:div w:id="1333097640">
      <w:bodyDiv w:val="1"/>
      <w:marLeft w:val="0"/>
      <w:marRight w:val="0"/>
      <w:marTop w:val="0"/>
      <w:marBottom w:val="0"/>
      <w:divBdr>
        <w:top w:val="none" w:sz="0" w:space="0" w:color="auto"/>
        <w:left w:val="none" w:sz="0" w:space="0" w:color="auto"/>
        <w:bottom w:val="none" w:sz="0" w:space="0" w:color="auto"/>
        <w:right w:val="none" w:sz="0" w:space="0" w:color="auto"/>
      </w:divBdr>
    </w:div>
    <w:div w:id="1350713347">
      <w:bodyDiv w:val="1"/>
      <w:marLeft w:val="0"/>
      <w:marRight w:val="0"/>
      <w:marTop w:val="0"/>
      <w:marBottom w:val="0"/>
      <w:divBdr>
        <w:top w:val="none" w:sz="0" w:space="0" w:color="auto"/>
        <w:left w:val="none" w:sz="0" w:space="0" w:color="auto"/>
        <w:bottom w:val="none" w:sz="0" w:space="0" w:color="auto"/>
        <w:right w:val="none" w:sz="0" w:space="0" w:color="auto"/>
      </w:divBdr>
    </w:div>
    <w:div w:id="1352417631">
      <w:bodyDiv w:val="1"/>
      <w:marLeft w:val="0"/>
      <w:marRight w:val="0"/>
      <w:marTop w:val="0"/>
      <w:marBottom w:val="0"/>
      <w:divBdr>
        <w:top w:val="none" w:sz="0" w:space="0" w:color="auto"/>
        <w:left w:val="none" w:sz="0" w:space="0" w:color="auto"/>
        <w:bottom w:val="none" w:sz="0" w:space="0" w:color="auto"/>
        <w:right w:val="none" w:sz="0" w:space="0" w:color="auto"/>
      </w:divBdr>
    </w:div>
    <w:div w:id="1370837157">
      <w:bodyDiv w:val="1"/>
      <w:marLeft w:val="0"/>
      <w:marRight w:val="0"/>
      <w:marTop w:val="0"/>
      <w:marBottom w:val="0"/>
      <w:divBdr>
        <w:top w:val="none" w:sz="0" w:space="0" w:color="auto"/>
        <w:left w:val="none" w:sz="0" w:space="0" w:color="auto"/>
        <w:bottom w:val="none" w:sz="0" w:space="0" w:color="auto"/>
        <w:right w:val="none" w:sz="0" w:space="0" w:color="auto"/>
      </w:divBdr>
    </w:div>
    <w:div w:id="1373075103">
      <w:bodyDiv w:val="1"/>
      <w:marLeft w:val="0"/>
      <w:marRight w:val="0"/>
      <w:marTop w:val="0"/>
      <w:marBottom w:val="0"/>
      <w:divBdr>
        <w:top w:val="none" w:sz="0" w:space="0" w:color="auto"/>
        <w:left w:val="none" w:sz="0" w:space="0" w:color="auto"/>
        <w:bottom w:val="none" w:sz="0" w:space="0" w:color="auto"/>
        <w:right w:val="none" w:sz="0" w:space="0" w:color="auto"/>
      </w:divBdr>
    </w:div>
    <w:div w:id="1374187802">
      <w:bodyDiv w:val="1"/>
      <w:marLeft w:val="0"/>
      <w:marRight w:val="0"/>
      <w:marTop w:val="0"/>
      <w:marBottom w:val="0"/>
      <w:divBdr>
        <w:top w:val="none" w:sz="0" w:space="0" w:color="auto"/>
        <w:left w:val="none" w:sz="0" w:space="0" w:color="auto"/>
        <w:bottom w:val="none" w:sz="0" w:space="0" w:color="auto"/>
        <w:right w:val="none" w:sz="0" w:space="0" w:color="auto"/>
      </w:divBdr>
    </w:div>
    <w:div w:id="1375083862">
      <w:bodyDiv w:val="1"/>
      <w:marLeft w:val="0"/>
      <w:marRight w:val="0"/>
      <w:marTop w:val="0"/>
      <w:marBottom w:val="0"/>
      <w:divBdr>
        <w:top w:val="none" w:sz="0" w:space="0" w:color="auto"/>
        <w:left w:val="none" w:sz="0" w:space="0" w:color="auto"/>
        <w:bottom w:val="none" w:sz="0" w:space="0" w:color="auto"/>
        <w:right w:val="none" w:sz="0" w:space="0" w:color="auto"/>
      </w:divBdr>
    </w:div>
    <w:div w:id="1386416426">
      <w:bodyDiv w:val="1"/>
      <w:marLeft w:val="0"/>
      <w:marRight w:val="0"/>
      <w:marTop w:val="0"/>
      <w:marBottom w:val="0"/>
      <w:divBdr>
        <w:top w:val="none" w:sz="0" w:space="0" w:color="auto"/>
        <w:left w:val="none" w:sz="0" w:space="0" w:color="auto"/>
        <w:bottom w:val="none" w:sz="0" w:space="0" w:color="auto"/>
        <w:right w:val="none" w:sz="0" w:space="0" w:color="auto"/>
      </w:divBdr>
    </w:div>
    <w:div w:id="1387486058">
      <w:bodyDiv w:val="1"/>
      <w:marLeft w:val="0"/>
      <w:marRight w:val="0"/>
      <w:marTop w:val="0"/>
      <w:marBottom w:val="0"/>
      <w:divBdr>
        <w:top w:val="none" w:sz="0" w:space="0" w:color="auto"/>
        <w:left w:val="none" w:sz="0" w:space="0" w:color="auto"/>
        <w:bottom w:val="none" w:sz="0" w:space="0" w:color="auto"/>
        <w:right w:val="none" w:sz="0" w:space="0" w:color="auto"/>
      </w:divBdr>
    </w:div>
    <w:div w:id="1396666143">
      <w:bodyDiv w:val="1"/>
      <w:marLeft w:val="0"/>
      <w:marRight w:val="0"/>
      <w:marTop w:val="0"/>
      <w:marBottom w:val="0"/>
      <w:divBdr>
        <w:top w:val="none" w:sz="0" w:space="0" w:color="auto"/>
        <w:left w:val="none" w:sz="0" w:space="0" w:color="auto"/>
        <w:bottom w:val="none" w:sz="0" w:space="0" w:color="auto"/>
        <w:right w:val="none" w:sz="0" w:space="0" w:color="auto"/>
      </w:divBdr>
    </w:div>
    <w:div w:id="1403527597">
      <w:bodyDiv w:val="1"/>
      <w:marLeft w:val="0"/>
      <w:marRight w:val="0"/>
      <w:marTop w:val="0"/>
      <w:marBottom w:val="0"/>
      <w:divBdr>
        <w:top w:val="none" w:sz="0" w:space="0" w:color="auto"/>
        <w:left w:val="none" w:sz="0" w:space="0" w:color="auto"/>
        <w:bottom w:val="none" w:sz="0" w:space="0" w:color="auto"/>
        <w:right w:val="none" w:sz="0" w:space="0" w:color="auto"/>
      </w:divBdr>
    </w:div>
    <w:div w:id="1408726400">
      <w:bodyDiv w:val="1"/>
      <w:marLeft w:val="0"/>
      <w:marRight w:val="0"/>
      <w:marTop w:val="0"/>
      <w:marBottom w:val="0"/>
      <w:divBdr>
        <w:top w:val="none" w:sz="0" w:space="0" w:color="auto"/>
        <w:left w:val="none" w:sz="0" w:space="0" w:color="auto"/>
        <w:bottom w:val="none" w:sz="0" w:space="0" w:color="auto"/>
        <w:right w:val="none" w:sz="0" w:space="0" w:color="auto"/>
      </w:divBdr>
    </w:div>
    <w:div w:id="1415470109">
      <w:bodyDiv w:val="1"/>
      <w:marLeft w:val="0"/>
      <w:marRight w:val="0"/>
      <w:marTop w:val="0"/>
      <w:marBottom w:val="0"/>
      <w:divBdr>
        <w:top w:val="none" w:sz="0" w:space="0" w:color="auto"/>
        <w:left w:val="none" w:sz="0" w:space="0" w:color="auto"/>
        <w:bottom w:val="none" w:sz="0" w:space="0" w:color="auto"/>
        <w:right w:val="none" w:sz="0" w:space="0" w:color="auto"/>
      </w:divBdr>
    </w:div>
    <w:div w:id="1428576310">
      <w:bodyDiv w:val="1"/>
      <w:marLeft w:val="0"/>
      <w:marRight w:val="0"/>
      <w:marTop w:val="0"/>
      <w:marBottom w:val="0"/>
      <w:divBdr>
        <w:top w:val="none" w:sz="0" w:space="0" w:color="auto"/>
        <w:left w:val="none" w:sz="0" w:space="0" w:color="auto"/>
        <w:bottom w:val="none" w:sz="0" w:space="0" w:color="auto"/>
        <w:right w:val="none" w:sz="0" w:space="0" w:color="auto"/>
      </w:divBdr>
    </w:div>
    <w:div w:id="1452476942">
      <w:bodyDiv w:val="1"/>
      <w:marLeft w:val="0"/>
      <w:marRight w:val="0"/>
      <w:marTop w:val="0"/>
      <w:marBottom w:val="0"/>
      <w:divBdr>
        <w:top w:val="none" w:sz="0" w:space="0" w:color="auto"/>
        <w:left w:val="none" w:sz="0" w:space="0" w:color="auto"/>
        <w:bottom w:val="none" w:sz="0" w:space="0" w:color="auto"/>
        <w:right w:val="none" w:sz="0" w:space="0" w:color="auto"/>
      </w:divBdr>
    </w:div>
    <w:div w:id="1452628734">
      <w:bodyDiv w:val="1"/>
      <w:marLeft w:val="0"/>
      <w:marRight w:val="0"/>
      <w:marTop w:val="0"/>
      <w:marBottom w:val="0"/>
      <w:divBdr>
        <w:top w:val="none" w:sz="0" w:space="0" w:color="auto"/>
        <w:left w:val="none" w:sz="0" w:space="0" w:color="auto"/>
        <w:bottom w:val="none" w:sz="0" w:space="0" w:color="auto"/>
        <w:right w:val="none" w:sz="0" w:space="0" w:color="auto"/>
      </w:divBdr>
    </w:div>
    <w:div w:id="1457215890">
      <w:bodyDiv w:val="1"/>
      <w:marLeft w:val="0"/>
      <w:marRight w:val="0"/>
      <w:marTop w:val="0"/>
      <w:marBottom w:val="0"/>
      <w:divBdr>
        <w:top w:val="none" w:sz="0" w:space="0" w:color="auto"/>
        <w:left w:val="none" w:sz="0" w:space="0" w:color="auto"/>
        <w:bottom w:val="none" w:sz="0" w:space="0" w:color="auto"/>
        <w:right w:val="none" w:sz="0" w:space="0" w:color="auto"/>
      </w:divBdr>
    </w:div>
    <w:div w:id="1460487111">
      <w:bodyDiv w:val="1"/>
      <w:marLeft w:val="0"/>
      <w:marRight w:val="0"/>
      <w:marTop w:val="0"/>
      <w:marBottom w:val="0"/>
      <w:divBdr>
        <w:top w:val="none" w:sz="0" w:space="0" w:color="auto"/>
        <w:left w:val="none" w:sz="0" w:space="0" w:color="auto"/>
        <w:bottom w:val="none" w:sz="0" w:space="0" w:color="auto"/>
        <w:right w:val="none" w:sz="0" w:space="0" w:color="auto"/>
      </w:divBdr>
    </w:div>
    <w:div w:id="1470591080">
      <w:bodyDiv w:val="1"/>
      <w:marLeft w:val="0"/>
      <w:marRight w:val="0"/>
      <w:marTop w:val="0"/>
      <w:marBottom w:val="0"/>
      <w:divBdr>
        <w:top w:val="none" w:sz="0" w:space="0" w:color="auto"/>
        <w:left w:val="none" w:sz="0" w:space="0" w:color="auto"/>
        <w:bottom w:val="none" w:sz="0" w:space="0" w:color="auto"/>
        <w:right w:val="none" w:sz="0" w:space="0" w:color="auto"/>
      </w:divBdr>
      <w:divsChild>
        <w:div w:id="1075397028">
          <w:marLeft w:val="446"/>
          <w:marRight w:val="0"/>
          <w:marTop w:val="0"/>
          <w:marBottom w:val="0"/>
          <w:divBdr>
            <w:top w:val="none" w:sz="0" w:space="0" w:color="auto"/>
            <w:left w:val="none" w:sz="0" w:space="0" w:color="auto"/>
            <w:bottom w:val="none" w:sz="0" w:space="0" w:color="auto"/>
            <w:right w:val="none" w:sz="0" w:space="0" w:color="auto"/>
          </w:divBdr>
        </w:div>
        <w:div w:id="1127236047">
          <w:marLeft w:val="446"/>
          <w:marRight w:val="0"/>
          <w:marTop w:val="0"/>
          <w:marBottom w:val="0"/>
          <w:divBdr>
            <w:top w:val="none" w:sz="0" w:space="0" w:color="auto"/>
            <w:left w:val="none" w:sz="0" w:space="0" w:color="auto"/>
            <w:bottom w:val="none" w:sz="0" w:space="0" w:color="auto"/>
            <w:right w:val="none" w:sz="0" w:space="0" w:color="auto"/>
          </w:divBdr>
        </w:div>
        <w:div w:id="1223324951">
          <w:marLeft w:val="446"/>
          <w:marRight w:val="0"/>
          <w:marTop w:val="0"/>
          <w:marBottom w:val="0"/>
          <w:divBdr>
            <w:top w:val="none" w:sz="0" w:space="0" w:color="auto"/>
            <w:left w:val="none" w:sz="0" w:space="0" w:color="auto"/>
            <w:bottom w:val="none" w:sz="0" w:space="0" w:color="auto"/>
            <w:right w:val="none" w:sz="0" w:space="0" w:color="auto"/>
          </w:divBdr>
        </w:div>
        <w:div w:id="1266884469">
          <w:marLeft w:val="446"/>
          <w:marRight w:val="0"/>
          <w:marTop w:val="0"/>
          <w:marBottom w:val="0"/>
          <w:divBdr>
            <w:top w:val="none" w:sz="0" w:space="0" w:color="auto"/>
            <w:left w:val="none" w:sz="0" w:space="0" w:color="auto"/>
            <w:bottom w:val="none" w:sz="0" w:space="0" w:color="auto"/>
            <w:right w:val="none" w:sz="0" w:space="0" w:color="auto"/>
          </w:divBdr>
        </w:div>
        <w:div w:id="1635671479">
          <w:marLeft w:val="446"/>
          <w:marRight w:val="0"/>
          <w:marTop w:val="0"/>
          <w:marBottom w:val="0"/>
          <w:divBdr>
            <w:top w:val="none" w:sz="0" w:space="0" w:color="auto"/>
            <w:left w:val="none" w:sz="0" w:space="0" w:color="auto"/>
            <w:bottom w:val="none" w:sz="0" w:space="0" w:color="auto"/>
            <w:right w:val="none" w:sz="0" w:space="0" w:color="auto"/>
          </w:divBdr>
        </w:div>
        <w:div w:id="1681195912">
          <w:marLeft w:val="446"/>
          <w:marRight w:val="0"/>
          <w:marTop w:val="0"/>
          <w:marBottom w:val="0"/>
          <w:divBdr>
            <w:top w:val="none" w:sz="0" w:space="0" w:color="auto"/>
            <w:left w:val="none" w:sz="0" w:space="0" w:color="auto"/>
            <w:bottom w:val="none" w:sz="0" w:space="0" w:color="auto"/>
            <w:right w:val="none" w:sz="0" w:space="0" w:color="auto"/>
          </w:divBdr>
        </w:div>
        <w:div w:id="2041390888">
          <w:marLeft w:val="446"/>
          <w:marRight w:val="0"/>
          <w:marTop w:val="0"/>
          <w:marBottom w:val="0"/>
          <w:divBdr>
            <w:top w:val="none" w:sz="0" w:space="0" w:color="auto"/>
            <w:left w:val="none" w:sz="0" w:space="0" w:color="auto"/>
            <w:bottom w:val="none" w:sz="0" w:space="0" w:color="auto"/>
            <w:right w:val="none" w:sz="0" w:space="0" w:color="auto"/>
          </w:divBdr>
        </w:div>
      </w:divsChild>
    </w:div>
    <w:div w:id="1479684776">
      <w:bodyDiv w:val="1"/>
      <w:marLeft w:val="0"/>
      <w:marRight w:val="0"/>
      <w:marTop w:val="0"/>
      <w:marBottom w:val="0"/>
      <w:divBdr>
        <w:top w:val="none" w:sz="0" w:space="0" w:color="auto"/>
        <w:left w:val="none" w:sz="0" w:space="0" w:color="auto"/>
        <w:bottom w:val="none" w:sz="0" w:space="0" w:color="auto"/>
        <w:right w:val="none" w:sz="0" w:space="0" w:color="auto"/>
      </w:divBdr>
    </w:div>
    <w:div w:id="1480153313">
      <w:bodyDiv w:val="1"/>
      <w:marLeft w:val="0"/>
      <w:marRight w:val="0"/>
      <w:marTop w:val="0"/>
      <w:marBottom w:val="0"/>
      <w:divBdr>
        <w:top w:val="none" w:sz="0" w:space="0" w:color="auto"/>
        <w:left w:val="none" w:sz="0" w:space="0" w:color="auto"/>
        <w:bottom w:val="none" w:sz="0" w:space="0" w:color="auto"/>
        <w:right w:val="none" w:sz="0" w:space="0" w:color="auto"/>
      </w:divBdr>
    </w:div>
    <w:div w:id="1488863695">
      <w:bodyDiv w:val="1"/>
      <w:marLeft w:val="0"/>
      <w:marRight w:val="0"/>
      <w:marTop w:val="0"/>
      <w:marBottom w:val="0"/>
      <w:divBdr>
        <w:top w:val="none" w:sz="0" w:space="0" w:color="auto"/>
        <w:left w:val="none" w:sz="0" w:space="0" w:color="auto"/>
        <w:bottom w:val="none" w:sz="0" w:space="0" w:color="auto"/>
        <w:right w:val="none" w:sz="0" w:space="0" w:color="auto"/>
      </w:divBdr>
    </w:div>
    <w:div w:id="1515534555">
      <w:bodyDiv w:val="1"/>
      <w:marLeft w:val="0"/>
      <w:marRight w:val="0"/>
      <w:marTop w:val="0"/>
      <w:marBottom w:val="0"/>
      <w:divBdr>
        <w:top w:val="none" w:sz="0" w:space="0" w:color="auto"/>
        <w:left w:val="none" w:sz="0" w:space="0" w:color="auto"/>
        <w:bottom w:val="none" w:sz="0" w:space="0" w:color="auto"/>
        <w:right w:val="none" w:sz="0" w:space="0" w:color="auto"/>
      </w:divBdr>
      <w:divsChild>
        <w:div w:id="492337242">
          <w:marLeft w:val="0"/>
          <w:marRight w:val="0"/>
          <w:marTop w:val="0"/>
          <w:marBottom w:val="0"/>
          <w:divBdr>
            <w:top w:val="none" w:sz="0" w:space="0" w:color="auto"/>
            <w:left w:val="none" w:sz="0" w:space="0" w:color="auto"/>
            <w:bottom w:val="none" w:sz="0" w:space="0" w:color="auto"/>
            <w:right w:val="none" w:sz="0" w:space="0" w:color="auto"/>
          </w:divBdr>
        </w:div>
        <w:div w:id="1052461994">
          <w:marLeft w:val="0"/>
          <w:marRight w:val="0"/>
          <w:marTop w:val="0"/>
          <w:marBottom w:val="0"/>
          <w:divBdr>
            <w:top w:val="none" w:sz="0" w:space="0" w:color="auto"/>
            <w:left w:val="none" w:sz="0" w:space="0" w:color="auto"/>
            <w:bottom w:val="none" w:sz="0" w:space="0" w:color="auto"/>
            <w:right w:val="none" w:sz="0" w:space="0" w:color="auto"/>
          </w:divBdr>
        </w:div>
      </w:divsChild>
    </w:div>
    <w:div w:id="1516653445">
      <w:bodyDiv w:val="1"/>
      <w:marLeft w:val="0"/>
      <w:marRight w:val="0"/>
      <w:marTop w:val="0"/>
      <w:marBottom w:val="0"/>
      <w:divBdr>
        <w:top w:val="none" w:sz="0" w:space="0" w:color="auto"/>
        <w:left w:val="none" w:sz="0" w:space="0" w:color="auto"/>
        <w:bottom w:val="none" w:sz="0" w:space="0" w:color="auto"/>
        <w:right w:val="none" w:sz="0" w:space="0" w:color="auto"/>
      </w:divBdr>
    </w:div>
    <w:div w:id="1523862438">
      <w:bodyDiv w:val="1"/>
      <w:marLeft w:val="0"/>
      <w:marRight w:val="0"/>
      <w:marTop w:val="0"/>
      <w:marBottom w:val="0"/>
      <w:divBdr>
        <w:top w:val="none" w:sz="0" w:space="0" w:color="auto"/>
        <w:left w:val="none" w:sz="0" w:space="0" w:color="auto"/>
        <w:bottom w:val="none" w:sz="0" w:space="0" w:color="auto"/>
        <w:right w:val="none" w:sz="0" w:space="0" w:color="auto"/>
      </w:divBdr>
    </w:div>
    <w:div w:id="1528906625">
      <w:bodyDiv w:val="1"/>
      <w:marLeft w:val="0"/>
      <w:marRight w:val="0"/>
      <w:marTop w:val="0"/>
      <w:marBottom w:val="0"/>
      <w:divBdr>
        <w:top w:val="none" w:sz="0" w:space="0" w:color="auto"/>
        <w:left w:val="none" w:sz="0" w:space="0" w:color="auto"/>
        <w:bottom w:val="none" w:sz="0" w:space="0" w:color="auto"/>
        <w:right w:val="none" w:sz="0" w:space="0" w:color="auto"/>
      </w:divBdr>
    </w:div>
    <w:div w:id="1540514017">
      <w:bodyDiv w:val="1"/>
      <w:marLeft w:val="0"/>
      <w:marRight w:val="0"/>
      <w:marTop w:val="0"/>
      <w:marBottom w:val="0"/>
      <w:divBdr>
        <w:top w:val="none" w:sz="0" w:space="0" w:color="auto"/>
        <w:left w:val="none" w:sz="0" w:space="0" w:color="auto"/>
        <w:bottom w:val="none" w:sz="0" w:space="0" w:color="auto"/>
        <w:right w:val="none" w:sz="0" w:space="0" w:color="auto"/>
      </w:divBdr>
    </w:div>
    <w:div w:id="1541281351">
      <w:bodyDiv w:val="1"/>
      <w:marLeft w:val="0"/>
      <w:marRight w:val="0"/>
      <w:marTop w:val="0"/>
      <w:marBottom w:val="0"/>
      <w:divBdr>
        <w:top w:val="none" w:sz="0" w:space="0" w:color="auto"/>
        <w:left w:val="none" w:sz="0" w:space="0" w:color="auto"/>
        <w:bottom w:val="none" w:sz="0" w:space="0" w:color="auto"/>
        <w:right w:val="none" w:sz="0" w:space="0" w:color="auto"/>
      </w:divBdr>
    </w:div>
    <w:div w:id="1556159954">
      <w:bodyDiv w:val="1"/>
      <w:marLeft w:val="0"/>
      <w:marRight w:val="0"/>
      <w:marTop w:val="0"/>
      <w:marBottom w:val="0"/>
      <w:divBdr>
        <w:top w:val="none" w:sz="0" w:space="0" w:color="auto"/>
        <w:left w:val="none" w:sz="0" w:space="0" w:color="auto"/>
        <w:bottom w:val="none" w:sz="0" w:space="0" w:color="auto"/>
        <w:right w:val="none" w:sz="0" w:space="0" w:color="auto"/>
      </w:divBdr>
    </w:div>
    <w:div w:id="1557278020">
      <w:bodyDiv w:val="1"/>
      <w:marLeft w:val="0"/>
      <w:marRight w:val="0"/>
      <w:marTop w:val="0"/>
      <w:marBottom w:val="0"/>
      <w:divBdr>
        <w:top w:val="none" w:sz="0" w:space="0" w:color="auto"/>
        <w:left w:val="none" w:sz="0" w:space="0" w:color="auto"/>
        <w:bottom w:val="none" w:sz="0" w:space="0" w:color="auto"/>
        <w:right w:val="none" w:sz="0" w:space="0" w:color="auto"/>
      </w:divBdr>
    </w:div>
    <w:div w:id="1568221150">
      <w:bodyDiv w:val="1"/>
      <w:marLeft w:val="0"/>
      <w:marRight w:val="0"/>
      <w:marTop w:val="0"/>
      <w:marBottom w:val="0"/>
      <w:divBdr>
        <w:top w:val="none" w:sz="0" w:space="0" w:color="auto"/>
        <w:left w:val="none" w:sz="0" w:space="0" w:color="auto"/>
        <w:bottom w:val="none" w:sz="0" w:space="0" w:color="auto"/>
        <w:right w:val="none" w:sz="0" w:space="0" w:color="auto"/>
      </w:divBdr>
    </w:div>
    <w:div w:id="1568687725">
      <w:bodyDiv w:val="1"/>
      <w:marLeft w:val="0"/>
      <w:marRight w:val="0"/>
      <w:marTop w:val="0"/>
      <w:marBottom w:val="0"/>
      <w:divBdr>
        <w:top w:val="none" w:sz="0" w:space="0" w:color="auto"/>
        <w:left w:val="none" w:sz="0" w:space="0" w:color="auto"/>
        <w:bottom w:val="none" w:sz="0" w:space="0" w:color="auto"/>
        <w:right w:val="none" w:sz="0" w:space="0" w:color="auto"/>
      </w:divBdr>
    </w:div>
    <w:div w:id="1570847374">
      <w:bodyDiv w:val="1"/>
      <w:marLeft w:val="0"/>
      <w:marRight w:val="0"/>
      <w:marTop w:val="0"/>
      <w:marBottom w:val="0"/>
      <w:divBdr>
        <w:top w:val="none" w:sz="0" w:space="0" w:color="auto"/>
        <w:left w:val="none" w:sz="0" w:space="0" w:color="auto"/>
        <w:bottom w:val="none" w:sz="0" w:space="0" w:color="auto"/>
        <w:right w:val="none" w:sz="0" w:space="0" w:color="auto"/>
      </w:divBdr>
    </w:div>
    <w:div w:id="1591965630">
      <w:bodyDiv w:val="1"/>
      <w:marLeft w:val="0"/>
      <w:marRight w:val="0"/>
      <w:marTop w:val="0"/>
      <w:marBottom w:val="0"/>
      <w:divBdr>
        <w:top w:val="none" w:sz="0" w:space="0" w:color="auto"/>
        <w:left w:val="none" w:sz="0" w:space="0" w:color="auto"/>
        <w:bottom w:val="none" w:sz="0" w:space="0" w:color="auto"/>
        <w:right w:val="none" w:sz="0" w:space="0" w:color="auto"/>
      </w:divBdr>
    </w:div>
    <w:div w:id="1599751291">
      <w:bodyDiv w:val="1"/>
      <w:marLeft w:val="0"/>
      <w:marRight w:val="0"/>
      <w:marTop w:val="0"/>
      <w:marBottom w:val="0"/>
      <w:divBdr>
        <w:top w:val="none" w:sz="0" w:space="0" w:color="auto"/>
        <w:left w:val="none" w:sz="0" w:space="0" w:color="auto"/>
        <w:bottom w:val="none" w:sz="0" w:space="0" w:color="auto"/>
        <w:right w:val="none" w:sz="0" w:space="0" w:color="auto"/>
      </w:divBdr>
    </w:div>
    <w:div w:id="1604872249">
      <w:bodyDiv w:val="1"/>
      <w:marLeft w:val="0"/>
      <w:marRight w:val="0"/>
      <w:marTop w:val="0"/>
      <w:marBottom w:val="0"/>
      <w:divBdr>
        <w:top w:val="none" w:sz="0" w:space="0" w:color="auto"/>
        <w:left w:val="none" w:sz="0" w:space="0" w:color="auto"/>
        <w:bottom w:val="none" w:sz="0" w:space="0" w:color="auto"/>
        <w:right w:val="none" w:sz="0" w:space="0" w:color="auto"/>
      </w:divBdr>
    </w:div>
    <w:div w:id="1610505867">
      <w:bodyDiv w:val="1"/>
      <w:marLeft w:val="0"/>
      <w:marRight w:val="0"/>
      <w:marTop w:val="0"/>
      <w:marBottom w:val="0"/>
      <w:divBdr>
        <w:top w:val="none" w:sz="0" w:space="0" w:color="auto"/>
        <w:left w:val="none" w:sz="0" w:space="0" w:color="auto"/>
        <w:bottom w:val="none" w:sz="0" w:space="0" w:color="auto"/>
        <w:right w:val="none" w:sz="0" w:space="0" w:color="auto"/>
      </w:divBdr>
      <w:divsChild>
        <w:div w:id="1120880023">
          <w:marLeft w:val="0"/>
          <w:marRight w:val="0"/>
          <w:marTop w:val="0"/>
          <w:marBottom w:val="0"/>
          <w:divBdr>
            <w:top w:val="none" w:sz="0" w:space="0" w:color="auto"/>
            <w:left w:val="none" w:sz="0" w:space="0" w:color="auto"/>
            <w:bottom w:val="none" w:sz="0" w:space="0" w:color="auto"/>
            <w:right w:val="none" w:sz="0" w:space="0" w:color="auto"/>
          </w:divBdr>
        </w:div>
        <w:div w:id="1158157061">
          <w:marLeft w:val="0"/>
          <w:marRight w:val="0"/>
          <w:marTop w:val="0"/>
          <w:marBottom w:val="0"/>
          <w:divBdr>
            <w:top w:val="none" w:sz="0" w:space="0" w:color="auto"/>
            <w:left w:val="none" w:sz="0" w:space="0" w:color="auto"/>
            <w:bottom w:val="none" w:sz="0" w:space="0" w:color="auto"/>
            <w:right w:val="none" w:sz="0" w:space="0" w:color="auto"/>
          </w:divBdr>
        </w:div>
        <w:div w:id="1578591525">
          <w:marLeft w:val="0"/>
          <w:marRight w:val="0"/>
          <w:marTop w:val="0"/>
          <w:marBottom w:val="0"/>
          <w:divBdr>
            <w:top w:val="none" w:sz="0" w:space="0" w:color="auto"/>
            <w:left w:val="none" w:sz="0" w:space="0" w:color="auto"/>
            <w:bottom w:val="none" w:sz="0" w:space="0" w:color="auto"/>
            <w:right w:val="none" w:sz="0" w:space="0" w:color="auto"/>
          </w:divBdr>
        </w:div>
      </w:divsChild>
    </w:div>
    <w:div w:id="1610818869">
      <w:bodyDiv w:val="1"/>
      <w:marLeft w:val="0"/>
      <w:marRight w:val="0"/>
      <w:marTop w:val="0"/>
      <w:marBottom w:val="0"/>
      <w:divBdr>
        <w:top w:val="none" w:sz="0" w:space="0" w:color="auto"/>
        <w:left w:val="none" w:sz="0" w:space="0" w:color="auto"/>
        <w:bottom w:val="none" w:sz="0" w:space="0" w:color="auto"/>
        <w:right w:val="none" w:sz="0" w:space="0" w:color="auto"/>
      </w:divBdr>
    </w:div>
    <w:div w:id="1613197718">
      <w:bodyDiv w:val="1"/>
      <w:marLeft w:val="0"/>
      <w:marRight w:val="0"/>
      <w:marTop w:val="0"/>
      <w:marBottom w:val="0"/>
      <w:divBdr>
        <w:top w:val="none" w:sz="0" w:space="0" w:color="auto"/>
        <w:left w:val="none" w:sz="0" w:space="0" w:color="auto"/>
        <w:bottom w:val="none" w:sz="0" w:space="0" w:color="auto"/>
        <w:right w:val="none" w:sz="0" w:space="0" w:color="auto"/>
      </w:divBdr>
    </w:div>
    <w:div w:id="1625576405">
      <w:bodyDiv w:val="1"/>
      <w:marLeft w:val="0"/>
      <w:marRight w:val="0"/>
      <w:marTop w:val="0"/>
      <w:marBottom w:val="0"/>
      <w:divBdr>
        <w:top w:val="none" w:sz="0" w:space="0" w:color="auto"/>
        <w:left w:val="none" w:sz="0" w:space="0" w:color="auto"/>
        <w:bottom w:val="none" w:sz="0" w:space="0" w:color="auto"/>
        <w:right w:val="none" w:sz="0" w:space="0" w:color="auto"/>
      </w:divBdr>
    </w:div>
    <w:div w:id="1629504215">
      <w:bodyDiv w:val="1"/>
      <w:marLeft w:val="0"/>
      <w:marRight w:val="0"/>
      <w:marTop w:val="0"/>
      <w:marBottom w:val="0"/>
      <w:divBdr>
        <w:top w:val="none" w:sz="0" w:space="0" w:color="auto"/>
        <w:left w:val="none" w:sz="0" w:space="0" w:color="auto"/>
        <w:bottom w:val="none" w:sz="0" w:space="0" w:color="auto"/>
        <w:right w:val="none" w:sz="0" w:space="0" w:color="auto"/>
      </w:divBdr>
    </w:div>
    <w:div w:id="1631783030">
      <w:bodyDiv w:val="1"/>
      <w:marLeft w:val="0"/>
      <w:marRight w:val="0"/>
      <w:marTop w:val="0"/>
      <w:marBottom w:val="0"/>
      <w:divBdr>
        <w:top w:val="none" w:sz="0" w:space="0" w:color="auto"/>
        <w:left w:val="none" w:sz="0" w:space="0" w:color="auto"/>
        <w:bottom w:val="none" w:sz="0" w:space="0" w:color="auto"/>
        <w:right w:val="none" w:sz="0" w:space="0" w:color="auto"/>
      </w:divBdr>
    </w:div>
    <w:div w:id="1643581594">
      <w:bodyDiv w:val="1"/>
      <w:marLeft w:val="0"/>
      <w:marRight w:val="0"/>
      <w:marTop w:val="0"/>
      <w:marBottom w:val="0"/>
      <w:divBdr>
        <w:top w:val="none" w:sz="0" w:space="0" w:color="auto"/>
        <w:left w:val="none" w:sz="0" w:space="0" w:color="auto"/>
        <w:bottom w:val="none" w:sz="0" w:space="0" w:color="auto"/>
        <w:right w:val="none" w:sz="0" w:space="0" w:color="auto"/>
      </w:divBdr>
    </w:div>
    <w:div w:id="1652057023">
      <w:bodyDiv w:val="1"/>
      <w:marLeft w:val="0"/>
      <w:marRight w:val="0"/>
      <w:marTop w:val="0"/>
      <w:marBottom w:val="0"/>
      <w:divBdr>
        <w:top w:val="none" w:sz="0" w:space="0" w:color="auto"/>
        <w:left w:val="none" w:sz="0" w:space="0" w:color="auto"/>
        <w:bottom w:val="none" w:sz="0" w:space="0" w:color="auto"/>
        <w:right w:val="none" w:sz="0" w:space="0" w:color="auto"/>
      </w:divBdr>
    </w:div>
    <w:div w:id="1671833660">
      <w:bodyDiv w:val="1"/>
      <w:marLeft w:val="0"/>
      <w:marRight w:val="0"/>
      <w:marTop w:val="0"/>
      <w:marBottom w:val="0"/>
      <w:divBdr>
        <w:top w:val="none" w:sz="0" w:space="0" w:color="auto"/>
        <w:left w:val="none" w:sz="0" w:space="0" w:color="auto"/>
        <w:bottom w:val="none" w:sz="0" w:space="0" w:color="auto"/>
        <w:right w:val="none" w:sz="0" w:space="0" w:color="auto"/>
      </w:divBdr>
    </w:div>
    <w:div w:id="1673028464">
      <w:bodyDiv w:val="1"/>
      <w:marLeft w:val="0"/>
      <w:marRight w:val="0"/>
      <w:marTop w:val="0"/>
      <w:marBottom w:val="0"/>
      <w:divBdr>
        <w:top w:val="none" w:sz="0" w:space="0" w:color="auto"/>
        <w:left w:val="none" w:sz="0" w:space="0" w:color="auto"/>
        <w:bottom w:val="none" w:sz="0" w:space="0" w:color="auto"/>
        <w:right w:val="none" w:sz="0" w:space="0" w:color="auto"/>
      </w:divBdr>
    </w:div>
    <w:div w:id="1678270033">
      <w:bodyDiv w:val="1"/>
      <w:marLeft w:val="0"/>
      <w:marRight w:val="0"/>
      <w:marTop w:val="0"/>
      <w:marBottom w:val="0"/>
      <w:divBdr>
        <w:top w:val="none" w:sz="0" w:space="0" w:color="auto"/>
        <w:left w:val="none" w:sz="0" w:space="0" w:color="auto"/>
        <w:bottom w:val="none" w:sz="0" w:space="0" w:color="auto"/>
        <w:right w:val="none" w:sz="0" w:space="0" w:color="auto"/>
      </w:divBdr>
    </w:div>
    <w:div w:id="1687823171">
      <w:bodyDiv w:val="1"/>
      <w:marLeft w:val="0"/>
      <w:marRight w:val="0"/>
      <w:marTop w:val="0"/>
      <w:marBottom w:val="0"/>
      <w:divBdr>
        <w:top w:val="none" w:sz="0" w:space="0" w:color="auto"/>
        <w:left w:val="none" w:sz="0" w:space="0" w:color="auto"/>
        <w:bottom w:val="none" w:sz="0" w:space="0" w:color="auto"/>
        <w:right w:val="none" w:sz="0" w:space="0" w:color="auto"/>
      </w:divBdr>
    </w:div>
    <w:div w:id="1704480697">
      <w:bodyDiv w:val="1"/>
      <w:marLeft w:val="0"/>
      <w:marRight w:val="0"/>
      <w:marTop w:val="0"/>
      <w:marBottom w:val="0"/>
      <w:divBdr>
        <w:top w:val="none" w:sz="0" w:space="0" w:color="auto"/>
        <w:left w:val="none" w:sz="0" w:space="0" w:color="auto"/>
        <w:bottom w:val="none" w:sz="0" w:space="0" w:color="auto"/>
        <w:right w:val="none" w:sz="0" w:space="0" w:color="auto"/>
      </w:divBdr>
    </w:div>
    <w:div w:id="1705864361">
      <w:bodyDiv w:val="1"/>
      <w:marLeft w:val="0"/>
      <w:marRight w:val="0"/>
      <w:marTop w:val="0"/>
      <w:marBottom w:val="0"/>
      <w:divBdr>
        <w:top w:val="none" w:sz="0" w:space="0" w:color="auto"/>
        <w:left w:val="none" w:sz="0" w:space="0" w:color="auto"/>
        <w:bottom w:val="none" w:sz="0" w:space="0" w:color="auto"/>
        <w:right w:val="none" w:sz="0" w:space="0" w:color="auto"/>
      </w:divBdr>
    </w:div>
    <w:div w:id="1717464353">
      <w:bodyDiv w:val="1"/>
      <w:marLeft w:val="0"/>
      <w:marRight w:val="0"/>
      <w:marTop w:val="0"/>
      <w:marBottom w:val="0"/>
      <w:divBdr>
        <w:top w:val="none" w:sz="0" w:space="0" w:color="auto"/>
        <w:left w:val="none" w:sz="0" w:space="0" w:color="auto"/>
        <w:bottom w:val="none" w:sz="0" w:space="0" w:color="auto"/>
        <w:right w:val="none" w:sz="0" w:space="0" w:color="auto"/>
      </w:divBdr>
    </w:div>
    <w:div w:id="1722820672">
      <w:bodyDiv w:val="1"/>
      <w:marLeft w:val="0"/>
      <w:marRight w:val="0"/>
      <w:marTop w:val="0"/>
      <w:marBottom w:val="0"/>
      <w:divBdr>
        <w:top w:val="none" w:sz="0" w:space="0" w:color="auto"/>
        <w:left w:val="none" w:sz="0" w:space="0" w:color="auto"/>
        <w:bottom w:val="none" w:sz="0" w:space="0" w:color="auto"/>
        <w:right w:val="none" w:sz="0" w:space="0" w:color="auto"/>
      </w:divBdr>
    </w:div>
    <w:div w:id="1733235271">
      <w:bodyDiv w:val="1"/>
      <w:marLeft w:val="0"/>
      <w:marRight w:val="0"/>
      <w:marTop w:val="0"/>
      <w:marBottom w:val="0"/>
      <w:divBdr>
        <w:top w:val="none" w:sz="0" w:space="0" w:color="auto"/>
        <w:left w:val="none" w:sz="0" w:space="0" w:color="auto"/>
        <w:bottom w:val="none" w:sz="0" w:space="0" w:color="auto"/>
        <w:right w:val="none" w:sz="0" w:space="0" w:color="auto"/>
      </w:divBdr>
    </w:div>
    <w:div w:id="1734699545">
      <w:bodyDiv w:val="1"/>
      <w:marLeft w:val="0"/>
      <w:marRight w:val="0"/>
      <w:marTop w:val="0"/>
      <w:marBottom w:val="0"/>
      <w:divBdr>
        <w:top w:val="none" w:sz="0" w:space="0" w:color="auto"/>
        <w:left w:val="none" w:sz="0" w:space="0" w:color="auto"/>
        <w:bottom w:val="none" w:sz="0" w:space="0" w:color="auto"/>
        <w:right w:val="none" w:sz="0" w:space="0" w:color="auto"/>
      </w:divBdr>
    </w:div>
    <w:div w:id="1734699915">
      <w:bodyDiv w:val="1"/>
      <w:marLeft w:val="0"/>
      <w:marRight w:val="0"/>
      <w:marTop w:val="0"/>
      <w:marBottom w:val="0"/>
      <w:divBdr>
        <w:top w:val="none" w:sz="0" w:space="0" w:color="auto"/>
        <w:left w:val="none" w:sz="0" w:space="0" w:color="auto"/>
        <w:bottom w:val="none" w:sz="0" w:space="0" w:color="auto"/>
        <w:right w:val="none" w:sz="0" w:space="0" w:color="auto"/>
      </w:divBdr>
    </w:div>
    <w:div w:id="1736052479">
      <w:bodyDiv w:val="1"/>
      <w:marLeft w:val="0"/>
      <w:marRight w:val="0"/>
      <w:marTop w:val="0"/>
      <w:marBottom w:val="0"/>
      <w:divBdr>
        <w:top w:val="none" w:sz="0" w:space="0" w:color="auto"/>
        <w:left w:val="none" w:sz="0" w:space="0" w:color="auto"/>
        <w:bottom w:val="none" w:sz="0" w:space="0" w:color="auto"/>
        <w:right w:val="none" w:sz="0" w:space="0" w:color="auto"/>
      </w:divBdr>
    </w:div>
    <w:div w:id="1740327386">
      <w:bodyDiv w:val="1"/>
      <w:marLeft w:val="0"/>
      <w:marRight w:val="0"/>
      <w:marTop w:val="0"/>
      <w:marBottom w:val="0"/>
      <w:divBdr>
        <w:top w:val="none" w:sz="0" w:space="0" w:color="auto"/>
        <w:left w:val="none" w:sz="0" w:space="0" w:color="auto"/>
        <w:bottom w:val="none" w:sz="0" w:space="0" w:color="auto"/>
        <w:right w:val="none" w:sz="0" w:space="0" w:color="auto"/>
      </w:divBdr>
      <w:divsChild>
        <w:div w:id="142623820">
          <w:marLeft w:val="0"/>
          <w:marRight w:val="0"/>
          <w:marTop w:val="0"/>
          <w:marBottom w:val="0"/>
          <w:divBdr>
            <w:top w:val="none" w:sz="0" w:space="0" w:color="auto"/>
            <w:left w:val="none" w:sz="0" w:space="0" w:color="auto"/>
            <w:bottom w:val="none" w:sz="0" w:space="0" w:color="auto"/>
            <w:right w:val="none" w:sz="0" w:space="0" w:color="auto"/>
          </w:divBdr>
          <w:divsChild>
            <w:div w:id="631523587">
              <w:marLeft w:val="210"/>
              <w:marRight w:val="0"/>
              <w:marTop w:val="120"/>
              <w:marBottom w:val="0"/>
              <w:divBdr>
                <w:top w:val="none" w:sz="0" w:space="0" w:color="auto"/>
                <w:left w:val="none" w:sz="0" w:space="0" w:color="auto"/>
                <w:bottom w:val="none" w:sz="0" w:space="0" w:color="auto"/>
                <w:right w:val="none" w:sz="0" w:space="0" w:color="auto"/>
              </w:divBdr>
              <w:divsChild>
                <w:div w:id="251201584">
                  <w:marLeft w:val="0"/>
                  <w:marRight w:val="0"/>
                  <w:marTop w:val="0"/>
                  <w:marBottom w:val="0"/>
                  <w:divBdr>
                    <w:top w:val="none" w:sz="0" w:space="0" w:color="auto"/>
                    <w:left w:val="none" w:sz="0" w:space="0" w:color="auto"/>
                    <w:bottom w:val="none" w:sz="0" w:space="0" w:color="auto"/>
                    <w:right w:val="none" w:sz="0" w:space="0" w:color="auto"/>
                  </w:divBdr>
                  <w:divsChild>
                    <w:div w:id="693386782">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676885502">
              <w:marLeft w:val="0"/>
              <w:marRight w:val="0"/>
              <w:marTop w:val="0"/>
              <w:marBottom w:val="0"/>
              <w:divBdr>
                <w:top w:val="none" w:sz="0" w:space="0" w:color="auto"/>
                <w:left w:val="none" w:sz="0" w:space="0" w:color="auto"/>
                <w:bottom w:val="none" w:sz="0" w:space="0" w:color="auto"/>
                <w:right w:val="none" w:sz="0" w:space="0" w:color="auto"/>
              </w:divBdr>
              <w:divsChild>
                <w:div w:id="1167670277">
                  <w:marLeft w:val="75"/>
                  <w:marRight w:val="0"/>
                  <w:marTop w:val="0"/>
                  <w:marBottom w:val="0"/>
                  <w:divBdr>
                    <w:top w:val="none" w:sz="0" w:space="0" w:color="auto"/>
                    <w:left w:val="none" w:sz="0" w:space="0" w:color="auto"/>
                    <w:bottom w:val="none" w:sz="0" w:space="0" w:color="auto"/>
                    <w:right w:val="none" w:sz="0" w:space="0" w:color="auto"/>
                  </w:divBdr>
                  <w:divsChild>
                    <w:div w:id="260846060">
                      <w:marLeft w:val="0"/>
                      <w:marRight w:val="0"/>
                      <w:marTop w:val="0"/>
                      <w:marBottom w:val="0"/>
                      <w:divBdr>
                        <w:top w:val="none" w:sz="0" w:space="0" w:color="auto"/>
                        <w:left w:val="none" w:sz="0" w:space="0" w:color="auto"/>
                        <w:bottom w:val="none" w:sz="0" w:space="0" w:color="auto"/>
                        <w:right w:val="none" w:sz="0" w:space="0" w:color="auto"/>
                      </w:divBdr>
                      <w:divsChild>
                        <w:div w:id="407466266">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781874">
          <w:marLeft w:val="0"/>
          <w:marRight w:val="0"/>
          <w:marTop w:val="0"/>
          <w:marBottom w:val="0"/>
          <w:divBdr>
            <w:top w:val="none" w:sz="0" w:space="0" w:color="auto"/>
            <w:left w:val="none" w:sz="0" w:space="0" w:color="auto"/>
            <w:bottom w:val="none" w:sz="0" w:space="0" w:color="auto"/>
            <w:right w:val="none" w:sz="0" w:space="0" w:color="auto"/>
          </w:divBdr>
          <w:divsChild>
            <w:div w:id="1041829792">
              <w:marLeft w:val="0"/>
              <w:marRight w:val="0"/>
              <w:marTop w:val="0"/>
              <w:marBottom w:val="0"/>
              <w:divBdr>
                <w:top w:val="none" w:sz="0" w:space="0" w:color="auto"/>
                <w:left w:val="none" w:sz="0" w:space="0" w:color="auto"/>
                <w:bottom w:val="none" w:sz="0" w:space="0" w:color="auto"/>
                <w:right w:val="none" w:sz="0" w:space="0" w:color="auto"/>
              </w:divBdr>
              <w:divsChild>
                <w:div w:id="693073052">
                  <w:marLeft w:val="0"/>
                  <w:marRight w:val="0"/>
                  <w:marTop w:val="0"/>
                  <w:marBottom w:val="0"/>
                  <w:divBdr>
                    <w:top w:val="none" w:sz="0" w:space="0" w:color="auto"/>
                    <w:left w:val="none" w:sz="0" w:space="0" w:color="auto"/>
                    <w:bottom w:val="none" w:sz="0" w:space="0" w:color="auto"/>
                    <w:right w:val="none" w:sz="0" w:space="0" w:color="auto"/>
                  </w:divBdr>
                  <w:divsChild>
                    <w:div w:id="1290631061">
                      <w:marLeft w:val="0"/>
                      <w:marRight w:val="0"/>
                      <w:marTop w:val="0"/>
                      <w:marBottom w:val="0"/>
                      <w:divBdr>
                        <w:top w:val="none" w:sz="0" w:space="0" w:color="auto"/>
                        <w:left w:val="none" w:sz="0" w:space="0" w:color="auto"/>
                        <w:bottom w:val="none" w:sz="0" w:space="0" w:color="auto"/>
                        <w:right w:val="none" w:sz="0" w:space="0" w:color="auto"/>
                      </w:divBdr>
                      <w:divsChild>
                        <w:div w:id="888106390">
                          <w:marLeft w:val="210"/>
                          <w:marRight w:val="210"/>
                          <w:marTop w:val="0"/>
                          <w:marBottom w:val="0"/>
                          <w:divBdr>
                            <w:top w:val="none" w:sz="0" w:space="0" w:color="auto"/>
                            <w:left w:val="none" w:sz="0" w:space="0" w:color="auto"/>
                            <w:bottom w:val="none" w:sz="0" w:space="0" w:color="auto"/>
                            <w:right w:val="none" w:sz="0" w:space="0" w:color="auto"/>
                          </w:divBdr>
                          <w:divsChild>
                            <w:div w:id="879048102">
                              <w:marLeft w:val="0"/>
                              <w:marRight w:val="30"/>
                              <w:marTop w:val="0"/>
                              <w:marBottom w:val="0"/>
                              <w:divBdr>
                                <w:top w:val="none" w:sz="0" w:space="0" w:color="auto"/>
                                <w:left w:val="none" w:sz="0" w:space="0" w:color="auto"/>
                                <w:bottom w:val="none" w:sz="0" w:space="0" w:color="auto"/>
                                <w:right w:val="none" w:sz="0" w:space="0" w:color="auto"/>
                              </w:divBdr>
                              <w:divsChild>
                                <w:div w:id="1270115353">
                                  <w:marLeft w:val="0"/>
                                  <w:marRight w:val="0"/>
                                  <w:marTop w:val="0"/>
                                  <w:marBottom w:val="0"/>
                                  <w:divBdr>
                                    <w:top w:val="none" w:sz="0" w:space="0" w:color="auto"/>
                                    <w:left w:val="none" w:sz="0" w:space="0" w:color="auto"/>
                                    <w:bottom w:val="none" w:sz="0" w:space="0" w:color="auto"/>
                                    <w:right w:val="none" w:sz="0" w:space="0" w:color="auto"/>
                                  </w:divBdr>
                                  <w:divsChild>
                                    <w:div w:id="1430128172">
                                      <w:marLeft w:val="0"/>
                                      <w:marRight w:val="0"/>
                                      <w:marTop w:val="0"/>
                                      <w:marBottom w:val="0"/>
                                      <w:divBdr>
                                        <w:top w:val="none" w:sz="0" w:space="0" w:color="auto"/>
                                        <w:left w:val="none" w:sz="0" w:space="0" w:color="auto"/>
                                        <w:bottom w:val="none" w:sz="0" w:space="0" w:color="auto"/>
                                        <w:right w:val="none" w:sz="0" w:space="0" w:color="auto"/>
                                      </w:divBdr>
                                      <w:divsChild>
                                        <w:div w:id="79818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5298370">
      <w:bodyDiv w:val="1"/>
      <w:marLeft w:val="0"/>
      <w:marRight w:val="0"/>
      <w:marTop w:val="0"/>
      <w:marBottom w:val="0"/>
      <w:divBdr>
        <w:top w:val="none" w:sz="0" w:space="0" w:color="auto"/>
        <w:left w:val="none" w:sz="0" w:space="0" w:color="auto"/>
        <w:bottom w:val="none" w:sz="0" w:space="0" w:color="auto"/>
        <w:right w:val="none" w:sz="0" w:space="0" w:color="auto"/>
      </w:divBdr>
    </w:div>
    <w:div w:id="1763184316">
      <w:bodyDiv w:val="1"/>
      <w:marLeft w:val="0"/>
      <w:marRight w:val="0"/>
      <w:marTop w:val="0"/>
      <w:marBottom w:val="0"/>
      <w:divBdr>
        <w:top w:val="none" w:sz="0" w:space="0" w:color="auto"/>
        <w:left w:val="none" w:sz="0" w:space="0" w:color="auto"/>
        <w:bottom w:val="none" w:sz="0" w:space="0" w:color="auto"/>
        <w:right w:val="none" w:sz="0" w:space="0" w:color="auto"/>
      </w:divBdr>
    </w:div>
    <w:div w:id="1763213304">
      <w:bodyDiv w:val="1"/>
      <w:marLeft w:val="0"/>
      <w:marRight w:val="0"/>
      <w:marTop w:val="0"/>
      <w:marBottom w:val="0"/>
      <w:divBdr>
        <w:top w:val="none" w:sz="0" w:space="0" w:color="auto"/>
        <w:left w:val="none" w:sz="0" w:space="0" w:color="auto"/>
        <w:bottom w:val="none" w:sz="0" w:space="0" w:color="auto"/>
        <w:right w:val="none" w:sz="0" w:space="0" w:color="auto"/>
      </w:divBdr>
    </w:div>
    <w:div w:id="1776628705">
      <w:bodyDiv w:val="1"/>
      <w:marLeft w:val="0"/>
      <w:marRight w:val="0"/>
      <w:marTop w:val="0"/>
      <w:marBottom w:val="0"/>
      <w:divBdr>
        <w:top w:val="none" w:sz="0" w:space="0" w:color="auto"/>
        <w:left w:val="none" w:sz="0" w:space="0" w:color="auto"/>
        <w:bottom w:val="none" w:sz="0" w:space="0" w:color="auto"/>
        <w:right w:val="none" w:sz="0" w:space="0" w:color="auto"/>
      </w:divBdr>
    </w:div>
    <w:div w:id="1786920629">
      <w:bodyDiv w:val="1"/>
      <w:marLeft w:val="0"/>
      <w:marRight w:val="0"/>
      <w:marTop w:val="0"/>
      <w:marBottom w:val="0"/>
      <w:divBdr>
        <w:top w:val="none" w:sz="0" w:space="0" w:color="auto"/>
        <w:left w:val="none" w:sz="0" w:space="0" w:color="auto"/>
        <w:bottom w:val="none" w:sz="0" w:space="0" w:color="auto"/>
        <w:right w:val="none" w:sz="0" w:space="0" w:color="auto"/>
      </w:divBdr>
    </w:div>
    <w:div w:id="1787197211">
      <w:bodyDiv w:val="1"/>
      <w:marLeft w:val="0"/>
      <w:marRight w:val="0"/>
      <w:marTop w:val="0"/>
      <w:marBottom w:val="0"/>
      <w:divBdr>
        <w:top w:val="none" w:sz="0" w:space="0" w:color="auto"/>
        <w:left w:val="none" w:sz="0" w:space="0" w:color="auto"/>
        <w:bottom w:val="none" w:sz="0" w:space="0" w:color="auto"/>
        <w:right w:val="none" w:sz="0" w:space="0" w:color="auto"/>
      </w:divBdr>
    </w:div>
    <w:div w:id="1790930450">
      <w:bodyDiv w:val="1"/>
      <w:marLeft w:val="0"/>
      <w:marRight w:val="0"/>
      <w:marTop w:val="0"/>
      <w:marBottom w:val="0"/>
      <w:divBdr>
        <w:top w:val="none" w:sz="0" w:space="0" w:color="auto"/>
        <w:left w:val="none" w:sz="0" w:space="0" w:color="auto"/>
        <w:bottom w:val="none" w:sz="0" w:space="0" w:color="auto"/>
        <w:right w:val="none" w:sz="0" w:space="0" w:color="auto"/>
      </w:divBdr>
    </w:div>
    <w:div w:id="1793357175">
      <w:bodyDiv w:val="1"/>
      <w:marLeft w:val="0"/>
      <w:marRight w:val="0"/>
      <w:marTop w:val="0"/>
      <w:marBottom w:val="0"/>
      <w:divBdr>
        <w:top w:val="none" w:sz="0" w:space="0" w:color="auto"/>
        <w:left w:val="none" w:sz="0" w:space="0" w:color="auto"/>
        <w:bottom w:val="none" w:sz="0" w:space="0" w:color="auto"/>
        <w:right w:val="none" w:sz="0" w:space="0" w:color="auto"/>
      </w:divBdr>
    </w:div>
    <w:div w:id="1803226180">
      <w:bodyDiv w:val="1"/>
      <w:marLeft w:val="0"/>
      <w:marRight w:val="0"/>
      <w:marTop w:val="0"/>
      <w:marBottom w:val="0"/>
      <w:divBdr>
        <w:top w:val="none" w:sz="0" w:space="0" w:color="auto"/>
        <w:left w:val="none" w:sz="0" w:space="0" w:color="auto"/>
        <w:bottom w:val="none" w:sz="0" w:space="0" w:color="auto"/>
        <w:right w:val="none" w:sz="0" w:space="0" w:color="auto"/>
      </w:divBdr>
    </w:div>
    <w:div w:id="1806041383">
      <w:bodyDiv w:val="1"/>
      <w:marLeft w:val="0"/>
      <w:marRight w:val="0"/>
      <w:marTop w:val="0"/>
      <w:marBottom w:val="0"/>
      <w:divBdr>
        <w:top w:val="none" w:sz="0" w:space="0" w:color="auto"/>
        <w:left w:val="none" w:sz="0" w:space="0" w:color="auto"/>
        <w:bottom w:val="none" w:sz="0" w:space="0" w:color="auto"/>
        <w:right w:val="none" w:sz="0" w:space="0" w:color="auto"/>
      </w:divBdr>
    </w:div>
    <w:div w:id="1823034460">
      <w:bodyDiv w:val="1"/>
      <w:marLeft w:val="0"/>
      <w:marRight w:val="0"/>
      <w:marTop w:val="0"/>
      <w:marBottom w:val="0"/>
      <w:divBdr>
        <w:top w:val="none" w:sz="0" w:space="0" w:color="auto"/>
        <w:left w:val="none" w:sz="0" w:space="0" w:color="auto"/>
        <w:bottom w:val="none" w:sz="0" w:space="0" w:color="auto"/>
        <w:right w:val="none" w:sz="0" w:space="0" w:color="auto"/>
      </w:divBdr>
    </w:div>
    <w:div w:id="1824855432">
      <w:bodyDiv w:val="1"/>
      <w:marLeft w:val="0"/>
      <w:marRight w:val="0"/>
      <w:marTop w:val="0"/>
      <w:marBottom w:val="0"/>
      <w:divBdr>
        <w:top w:val="none" w:sz="0" w:space="0" w:color="auto"/>
        <w:left w:val="none" w:sz="0" w:space="0" w:color="auto"/>
        <w:bottom w:val="none" w:sz="0" w:space="0" w:color="auto"/>
        <w:right w:val="none" w:sz="0" w:space="0" w:color="auto"/>
      </w:divBdr>
    </w:div>
    <w:div w:id="1832603905">
      <w:bodyDiv w:val="1"/>
      <w:marLeft w:val="0"/>
      <w:marRight w:val="0"/>
      <w:marTop w:val="0"/>
      <w:marBottom w:val="0"/>
      <w:divBdr>
        <w:top w:val="none" w:sz="0" w:space="0" w:color="auto"/>
        <w:left w:val="none" w:sz="0" w:space="0" w:color="auto"/>
        <w:bottom w:val="none" w:sz="0" w:space="0" w:color="auto"/>
        <w:right w:val="none" w:sz="0" w:space="0" w:color="auto"/>
      </w:divBdr>
    </w:div>
    <w:div w:id="1836992775">
      <w:bodyDiv w:val="1"/>
      <w:marLeft w:val="0"/>
      <w:marRight w:val="0"/>
      <w:marTop w:val="0"/>
      <w:marBottom w:val="0"/>
      <w:divBdr>
        <w:top w:val="none" w:sz="0" w:space="0" w:color="auto"/>
        <w:left w:val="none" w:sz="0" w:space="0" w:color="auto"/>
        <w:bottom w:val="none" w:sz="0" w:space="0" w:color="auto"/>
        <w:right w:val="none" w:sz="0" w:space="0" w:color="auto"/>
      </w:divBdr>
    </w:div>
    <w:div w:id="1842741958">
      <w:bodyDiv w:val="1"/>
      <w:marLeft w:val="0"/>
      <w:marRight w:val="0"/>
      <w:marTop w:val="0"/>
      <w:marBottom w:val="0"/>
      <w:divBdr>
        <w:top w:val="none" w:sz="0" w:space="0" w:color="auto"/>
        <w:left w:val="none" w:sz="0" w:space="0" w:color="auto"/>
        <w:bottom w:val="none" w:sz="0" w:space="0" w:color="auto"/>
        <w:right w:val="none" w:sz="0" w:space="0" w:color="auto"/>
      </w:divBdr>
    </w:div>
    <w:div w:id="1848015027">
      <w:bodyDiv w:val="1"/>
      <w:marLeft w:val="0"/>
      <w:marRight w:val="0"/>
      <w:marTop w:val="0"/>
      <w:marBottom w:val="0"/>
      <w:divBdr>
        <w:top w:val="none" w:sz="0" w:space="0" w:color="auto"/>
        <w:left w:val="none" w:sz="0" w:space="0" w:color="auto"/>
        <w:bottom w:val="none" w:sz="0" w:space="0" w:color="auto"/>
        <w:right w:val="none" w:sz="0" w:space="0" w:color="auto"/>
      </w:divBdr>
    </w:div>
    <w:div w:id="1856843298">
      <w:bodyDiv w:val="1"/>
      <w:marLeft w:val="0"/>
      <w:marRight w:val="0"/>
      <w:marTop w:val="0"/>
      <w:marBottom w:val="0"/>
      <w:divBdr>
        <w:top w:val="none" w:sz="0" w:space="0" w:color="auto"/>
        <w:left w:val="none" w:sz="0" w:space="0" w:color="auto"/>
        <w:bottom w:val="none" w:sz="0" w:space="0" w:color="auto"/>
        <w:right w:val="none" w:sz="0" w:space="0" w:color="auto"/>
      </w:divBdr>
    </w:div>
    <w:div w:id="1881739686">
      <w:bodyDiv w:val="1"/>
      <w:marLeft w:val="0"/>
      <w:marRight w:val="0"/>
      <w:marTop w:val="0"/>
      <w:marBottom w:val="0"/>
      <w:divBdr>
        <w:top w:val="none" w:sz="0" w:space="0" w:color="auto"/>
        <w:left w:val="none" w:sz="0" w:space="0" w:color="auto"/>
        <w:bottom w:val="none" w:sz="0" w:space="0" w:color="auto"/>
        <w:right w:val="none" w:sz="0" w:space="0" w:color="auto"/>
      </w:divBdr>
    </w:div>
    <w:div w:id="1901134036">
      <w:bodyDiv w:val="1"/>
      <w:marLeft w:val="0"/>
      <w:marRight w:val="0"/>
      <w:marTop w:val="0"/>
      <w:marBottom w:val="0"/>
      <w:divBdr>
        <w:top w:val="none" w:sz="0" w:space="0" w:color="auto"/>
        <w:left w:val="none" w:sz="0" w:space="0" w:color="auto"/>
        <w:bottom w:val="none" w:sz="0" w:space="0" w:color="auto"/>
        <w:right w:val="none" w:sz="0" w:space="0" w:color="auto"/>
      </w:divBdr>
    </w:div>
    <w:div w:id="1904951479">
      <w:bodyDiv w:val="1"/>
      <w:marLeft w:val="0"/>
      <w:marRight w:val="0"/>
      <w:marTop w:val="0"/>
      <w:marBottom w:val="0"/>
      <w:divBdr>
        <w:top w:val="none" w:sz="0" w:space="0" w:color="auto"/>
        <w:left w:val="none" w:sz="0" w:space="0" w:color="auto"/>
        <w:bottom w:val="none" w:sz="0" w:space="0" w:color="auto"/>
        <w:right w:val="none" w:sz="0" w:space="0" w:color="auto"/>
      </w:divBdr>
    </w:div>
    <w:div w:id="1919097524">
      <w:bodyDiv w:val="1"/>
      <w:marLeft w:val="0"/>
      <w:marRight w:val="0"/>
      <w:marTop w:val="0"/>
      <w:marBottom w:val="0"/>
      <w:divBdr>
        <w:top w:val="none" w:sz="0" w:space="0" w:color="auto"/>
        <w:left w:val="none" w:sz="0" w:space="0" w:color="auto"/>
        <w:bottom w:val="none" w:sz="0" w:space="0" w:color="auto"/>
        <w:right w:val="none" w:sz="0" w:space="0" w:color="auto"/>
      </w:divBdr>
      <w:divsChild>
        <w:div w:id="225992363">
          <w:marLeft w:val="0"/>
          <w:marRight w:val="0"/>
          <w:marTop w:val="0"/>
          <w:marBottom w:val="0"/>
          <w:divBdr>
            <w:top w:val="none" w:sz="0" w:space="0" w:color="auto"/>
            <w:left w:val="none" w:sz="0" w:space="0" w:color="auto"/>
            <w:bottom w:val="none" w:sz="0" w:space="0" w:color="auto"/>
            <w:right w:val="none" w:sz="0" w:space="0" w:color="auto"/>
          </w:divBdr>
          <w:divsChild>
            <w:div w:id="557133220">
              <w:marLeft w:val="0"/>
              <w:marRight w:val="0"/>
              <w:marTop w:val="0"/>
              <w:marBottom w:val="0"/>
              <w:divBdr>
                <w:top w:val="none" w:sz="0" w:space="0" w:color="auto"/>
                <w:left w:val="none" w:sz="0" w:space="0" w:color="auto"/>
                <w:bottom w:val="none" w:sz="0" w:space="0" w:color="auto"/>
                <w:right w:val="none" w:sz="0" w:space="0" w:color="auto"/>
              </w:divBdr>
              <w:divsChild>
                <w:div w:id="1372849503">
                  <w:marLeft w:val="0"/>
                  <w:marRight w:val="0"/>
                  <w:marTop w:val="0"/>
                  <w:marBottom w:val="0"/>
                  <w:divBdr>
                    <w:top w:val="none" w:sz="0" w:space="0" w:color="auto"/>
                    <w:left w:val="none" w:sz="0" w:space="0" w:color="auto"/>
                    <w:bottom w:val="none" w:sz="0" w:space="0" w:color="auto"/>
                    <w:right w:val="none" w:sz="0" w:space="0" w:color="auto"/>
                  </w:divBdr>
                  <w:divsChild>
                    <w:div w:id="1726564032">
                      <w:marLeft w:val="0"/>
                      <w:marRight w:val="0"/>
                      <w:marTop w:val="0"/>
                      <w:marBottom w:val="0"/>
                      <w:divBdr>
                        <w:top w:val="none" w:sz="0" w:space="0" w:color="auto"/>
                        <w:left w:val="none" w:sz="0" w:space="0" w:color="auto"/>
                        <w:bottom w:val="none" w:sz="0" w:space="0" w:color="auto"/>
                        <w:right w:val="none" w:sz="0" w:space="0" w:color="auto"/>
                      </w:divBdr>
                      <w:divsChild>
                        <w:div w:id="1470635433">
                          <w:marLeft w:val="210"/>
                          <w:marRight w:val="210"/>
                          <w:marTop w:val="0"/>
                          <w:marBottom w:val="0"/>
                          <w:divBdr>
                            <w:top w:val="none" w:sz="0" w:space="0" w:color="auto"/>
                            <w:left w:val="none" w:sz="0" w:space="0" w:color="auto"/>
                            <w:bottom w:val="none" w:sz="0" w:space="0" w:color="auto"/>
                            <w:right w:val="none" w:sz="0" w:space="0" w:color="auto"/>
                          </w:divBdr>
                          <w:divsChild>
                            <w:div w:id="230235017">
                              <w:marLeft w:val="0"/>
                              <w:marRight w:val="30"/>
                              <w:marTop w:val="0"/>
                              <w:marBottom w:val="0"/>
                              <w:divBdr>
                                <w:top w:val="none" w:sz="0" w:space="0" w:color="auto"/>
                                <w:left w:val="none" w:sz="0" w:space="0" w:color="auto"/>
                                <w:bottom w:val="none" w:sz="0" w:space="0" w:color="auto"/>
                                <w:right w:val="none" w:sz="0" w:space="0" w:color="auto"/>
                              </w:divBdr>
                              <w:divsChild>
                                <w:div w:id="1403525519">
                                  <w:marLeft w:val="0"/>
                                  <w:marRight w:val="0"/>
                                  <w:marTop w:val="0"/>
                                  <w:marBottom w:val="0"/>
                                  <w:divBdr>
                                    <w:top w:val="none" w:sz="0" w:space="0" w:color="auto"/>
                                    <w:left w:val="none" w:sz="0" w:space="0" w:color="auto"/>
                                    <w:bottom w:val="none" w:sz="0" w:space="0" w:color="auto"/>
                                    <w:right w:val="none" w:sz="0" w:space="0" w:color="auto"/>
                                  </w:divBdr>
                                  <w:divsChild>
                                    <w:div w:id="730882958">
                                      <w:marLeft w:val="0"/>
                                      <w:marRight w:val="0"/>
                                      <w:marTop w:val="0"/>
                                      <w:marBottom w:val="0"/>
                                      <w:divBdr>
                                        <w:top w:val="none" w:sz="0" w:space="0" w:color="auto"/>
                                        <w:left w:val="none" w:sz="0" w:space="0" w:color="auto"/>
                                        <w:bottom w:val="none" w:sz="0" w:space="0" w:color="auto"/>
                                        <w:right w:val="none" w:sz="0" w:space="0" w:color="auto"/>
                                      </w:divBdr>
                                      <w:divsChild>
                                        <w:div w:id="119094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5516140">
          <w:marLeft w:val="0"/>
          <w:marRight w:val="0"/>
          <w:marTop w:val="0"/>
          <w:marBottom w:val="0"/>
          <w:divBdr>
            <w:top w:val="none" w:sz="0" w:space="0" w:color="auto"/>
            <w:left w:val="none" w:sz="0" w:space="0" w:color="auto"/>
            <w:bottom w:val="none" w:sz="0" w:space="0" w:color="auto"/>
            <w:right w:val="none" w:sz="0" w:space="0" w:color="auto"/>
          </w:divBdr>
          <w:divsChild>
            <w:div w:id="670446325">
              <w:marLeft w:val="210"/>
              <w:marRight w:val="0"/>
              <w:marTop w:val="120"/>
              <w:marBottom w:val="0"/>
              <w:divBdr>
                <w:top w:val="none" w:sz="0" w:space="0" w:color="auto"/>
                <w:left w:val="none" w:sz="0" w:space="0" w:color="auto"/>
                <w:bottom w:val="none" w:sz="0" w:space="0" w:color="auto"/>
                <w:right w:val="none" w:sz="0" w:space="0" w:color="auto"/>
              </w:divBdr>
              <w:divsChild>
                <w:div w:id="646711137">
                  <w:marLeft w:val="0"/>
                  <w:marRight w:val="0"/>
                  <w:marTop w:val="0"/>
                  <w:marBottom w:val="0"/>
                  <w:divBdr>
                    <w:top w:val="none" w:sz="0" w:space="0" w:color="auto"/>
                    <w:left w:val="none" w:sz="0" w:space="0" w:color="auto"/>
                    <w:bottom w:val="none" w:sz="0" w:space="0" w:color="auto"/>
                    <w:right w:val="none" w:sz="0" w:space="0" w:color="auto"/>
                  </w:divBdr>
                  <w:divsChild>
                    <w:div w:id="231895736">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305043139">
              <w:marLeft w:val="0"/>
              <w:marRight w:val="0"/>
              <w:marTop w:val="0"/>
              <w:marBottom w:val="0"/>
              <w:divBdr>
                <w:top w:val="none" w:sz="0" w:space="0" w:color="auto"/>
                <w:left w:val="none" w:sz="0" w:space="0" w:color="auto"/>
                <w:bottom w:val="none" w:sz="0" w:space="0" w:color="auto"/>
                <w:right w:val="none" w:sz="0" w:space="0" w:color="auto"/>
              </w:divBdr>
              <w:divsChild>
                <w:div w:id="1172984993">
                  <w:marLeft w:val="75"/>
                  <w:marRight w:val="0"/>
                  <w:marTop w:val="0"/>
                  <w:marBottom w:val="0"/>
                  <w:divBdr>
                    <w:top w:val="none" w:sz="0" w:space="0" w:color="auto"/>
                    <w:left w:val="none" w:sz="0" w:space="0" w:color="auto"/>
                    <w:bottom w:val="none" w:sz="0" w:space="0" w:color="auto"/>
                    <w:right w:val="none" w:sz="0" w:space="0" w:color="auto"/>
                  </w:divBdr>
                  <w:divsChild>
                    <w:div w:id="213932687">
                      <w:marLeft w:val="0"/>
                      <w:marRight w:val="0"/>
                      <w:marTop w:val="0"/>
                      <w:marBottom w:val="0"/>
                      <w:divBdr>
                        <w:top w:val="none" w:sz="0" w:space="0" w:color="auto"/>
                        <w:left w:val="none" w:sz="0" w:space="0" w:color="auto"/>
                        <w:bottom w:val="none" w:sz="0" w:space="0" w:color="auto"/>
                        <w:right w:val="none" w:sz="0" w:space="0" w:color="auto"/>
                      </w:divBdr>
                      <w:divsChild>
                        <w:div w:id="2085032334">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526360">
      <w:bodyDiv w:val="1"/>
      <w:marLeft w:val="0"/>
      <w:marRight w:val="0"/>
      <w:marTop w:val="0"/>
      <w:marBottom w:val="0"/>
      <w:divBdr>
        <w:top w:val="none" w:sz="0" w:space="0" w:color="auto"/>
        <w:left w:val="none" w:sz="0" w:space="0" w:color="auto"/>
        <w:bottom w:val="none" w:sz="0" w:space="0" w:color="auto"/>
        <w:right w:val="none" w:sz="0" w:space="0" w:color="auto"/>
      </w:divBdr>
    </w:div>
    <w:div w:id="1945183518">
      <w:bodyDiv w:val="1"/>
      <w:marLeft w:val="0"/>
      <w:marRight w:val="0"/>
      <w:marTop w:val="0"/>
      <w:marBottom w:val="0"/>
      <w:divBdr>
        <w:top w:val="none" w:sz="0" w:space="0" w:color="auto"/>
        <w:left w:val="none" w:sz="0" w:space="0" w:color="auto"/>
        <w:bottom w:val="none" w:sz="0" w:space="0" w:color="auto"/>
        <w:right w:val="none" w:sz="0" w:space="0" w:color="auto"/>
      </w:divBdr>
    </w:div>
    <w:div w:id="1953121625">
      <w:bodyDiv w:val="1"/>
      <w:marLeft w:val="0"/>
      <w:marRight w:val="0"/>
      <w:marTop w:val="0"/>
      <w:marBottom w:val="0"/>
      <w:divBdr>
        <w:top w:val="none" w:sz="0" w:space="0" w:color="auto"/>
        <w:left w:val="none" w:sz="0" w:space="0" w:color="auto"/>
        <w:bottom w:val="none" w:sz="0" w:space="0" w:color="auto"/>
        <w:right w:val="none" w:sz="0" w:space="0" w:color="auto"/>
      </w:divBdr>
    </w:div>
    <w:div w:id="1967269423">
      <w:bodyDiv w:val="1"/>
      <w:marLeft w:val="0"/>
      <w:marRight w:val="0"/>
      <w:marTop w:val="0"/>
      <w:marBottom w:val="0"/>
      <w:divBdr>
        <w:top w:val="none" w:sz="0" w:space="0" w:color="auto"/>
        <w:left w:val="none" w:sz="0" w:space="0" w:color="auto"/>
        <w:bottom w:val="none" w:sz="0" w:space="0" w:color="auto"/>
        <w:right w:val="none" w:sz="0" w:space="0" w:color="auto"/>
      </w:divBdr>
    </w:div>
    <w:div w:id="1970698239">
      <w:bodyDiv w:val="1"/>
      <w:marLeft w:val="0"/>
      <w:marRight w:val="0"/>
      <w:marTop w:val="0"/>
      <w:marBottom w:val="0"/>
      <w:divBdr>
        <w:top w:val="none" w:sz="0" w:space="0" w:color="auto"/>
        <w:left w:val="none" w:sz="0" w:space="0" w:color="auto"/>
        <w:bottom w:val="none" w:sz="0" w:space="0" w:color="auto"/>
        <w:right w:val="none" w:sz="0" w:space="0" w:color="auto"/>
      </w:divBdr>
    </w:div>
    <w:div w:id="1975064406">
      <w:bodyDiv w:val="1"/>
      <w:marLeft w:val="0"/>
      <w:marRight w:val="0"/>
      <w:marTop w:val="0"/>
      <w:marBottom w:val="0"/>
      <w:divBdr>
        <w:top w:val="none" w:sz="0" w:space="0" w:color="auto"/>
        <w:left w:val="none" w:sz="0" w:space="0" w:color="auto"/>
        <w:bottom w:val="none" w:sz="0" w:space="0" w:color="auto"/>
        <w:right w:val="none" w:sz="0" w:space="0" w:color="auto"/>
      </w:divBdr>
    </w:div>
    <w:div w:id="1985044180">
      <w:bodyDiv w:val="1"/>
      <w:marLeft w:val="0"/>
      <w:marRight w:val="0"/>
      <w:marTop w:val="0"/>
      <w:marBottom w:val="0"/>
      <w:divBdr>
        <w:top w:val="none" w:sz="0" w:space="0" w:color="auto"/>
        <w:left w:val="none" w:sz="0" w:space="0" w:color="auto"/>
        <w:bottom w:val="none" w:sz="0" w:space="0" w:color="auto"/>
        <w:right w:val="none" w:sz="0" w:space="0" w:color="auto"/>
      </w:divBdr>
    </w:div>
    <w:div w:id="1992631247">
      <w:bodyDiv w:val="1"/>
      <w:marLeft w:val="0"/>
      <w:marRight w:val="0"/>
      <w:marTop w:val="0"/>
      <w:marBottom w:val="0"/>
      <w:divBdr>
        <w:top w:val="none" w:sz="0" w:space="0" w:color="auto"/>
        <w:left w:val="none" w:sz="0" w:space="0" w:color="auto"/>
        <w:bottom w:val="none" w:sz="0" w:space="0" w:color="auto"/>
        <w:right w:val="none" w:sz="0" w:space="0" w:color="auto"/>
      </w:divBdr>
    </w:div>
    <w:div w:id="1993830586">
      <w:bodyDiv w:val="1"/>
      <w:marLeft w:val="0"/>
      <w:marRight w:val="0"/>
      <w:marTop w:val="0"/>
      <w:marBottom w:val="0"/>
      <w:divBdr>
        <w:top w:val="none" w:sz="0" w:space="0" w:color="auto"/>
        <w:left w:val="none" w:sz="0" w:space="0" w:color="auto"/>
        <w:bottom w:val="none" w:sz="0" w:space="0" w:color="auto"/>
        <w:right w:val="none" w:sz="0" w:space="0" w:color="auto"/>
      </w:divBdr>
    </w:div>
    <w:div w:id="2009474837">
      <w:bodyDiv w:val="1"/>
      <w:marLeft w:val="0"/>
      <w:marRight w:val="0"/>
      <w:marTop w:val="0"/>
      <w:marBottom w:val="0"/>
      <w:divBdr>
        <w:top w:val="none" w:sz="0" w:space="0" w:color="auto"/>
        <w:left w:val="none" w:sz="0" w:space="0" w:color="auto"/>
        <w:bottom w:val="none" w:sz="0" w:space="0" w:color="auto"/>
        <w:right w:val="none" w:sz="0" w:space="0" w:color="auto"/>
      </w:divBdr>
    </w:div>
    <w:div w:id="2012440295">
      <w:bodyDiv w:val="1"/>
      <w:marLeft w:val="0"/>
      <w:marRight w:val="0"/>
      <w:marTop w:val="0"/>
      <w:marBottom w:val="0"/>
      <w:divBdr>
        <w:top w:val="none" w:sz="0" w:space="0" w:color="auto"/>
        <w:left w:val="none" w:sz="0" w:space="0" w:color="auto"/>
        <w:bottom w:val="none" w:sz="0" w:space="0" w:color="auto"/>
        <w:right w:val="none" w:sz="0" w:space="0" w:color="auto"/>
      </w:divBdr>
    </w:div>
    <w:div w:id="2050763147">
      <w:bodyDiv w:val="1"/>
      <w:marLeft w:val="0"/>
      <w:marRight w:val="0"/>
      <w:marTop w:val="0"/>
      <w:marBottom w:val="0"/>
      <w:divBdr>
        <w:top w:val="none" w:sz="0" w:space="0" w:color="auto"/>
        <w:left w:val="none" w:sz="0" w:space="0" w:color="auto"/>
        <w:bottom w:val="none" w:sz="0" w:space="0" w:color="auto"/>
        <w:right w:val="none" w:sz="0" w:space="0" w:color="auto"/>
      </w:divBdr>
    </w:div>
    <w:div w:id="2052682610">
      <w:bodyDiv w:val="1"/>
      <w:marLeft w:val="0"/>
      <w:marRight w:val="0"/>
      <w:marTop w:val="0"/>
      <w:marBottom w:val="0"/>
      <w:divBdr>
        <w:top w:val="none" w:sz="0" w:space="0" w:color="auto"/>
        <w:left w:val="none" w:sz="0" w:space="0" w:color="auto"/>
        <w:bottom w:val="none" w:sz="0" w:space="0" w:color="auto"/>
        <w:right w:val="none" w:sz="0" w:space="0" w:color="auto"/>
      </w:divBdr>
    </w:div>
    <w:div w:id="2052801331">
      <w:bodyDiv w:val="1"/>
      <w:marLeft w:val="0"/>
      <w:marRight w:val="0"/>
      <w:marTop w:val="0"/>
      <w:marBottom w:val="0"/>
      <w:divBdr>
        <w:top w:val="none" w:sz="0" w:space="0" w:color="auto"/>
        <w:left w:val="none" w:sz="0" w:space="0" w:color="auto"/>
        <w:bottom w:val="none" w:sz="0" w:space="0" w:color="auto"/>
        <w:right w:val="none" w:sz="0" w:space="0" w:color="auto"/>
      </w:divBdr>
    </w:div>
    <w:div w:id="2058967046">
      <w:bodyDiv w:val="1"/>
      <w:marLeft w:val="0"/>
      <w:marRight w:val="0"/>
      <w:marTop w:val="0"/>
      <w:marBottom w:val="0"/>
      <w:divBdr>
        <w:top w:val="none" w:sz="0" w:space="0" w:color="auto"/>
        <w:left w:val="none" w:sz="0" w:space="0" w:color="auto"/>
        <w:bottom w:val="none" w:sz="0" w:space="0" w:color="auto"/>
        <w:right w:val="none" w:sz="0" w:space="0" w:color="auto"/>
      </w:divBdr>
    </w:div>
    <w:div w:id="2060088895">
      <w:bodyDiv w:val="1"/>
      <w:marLeft w:val="0"/>
      <w:marRight w:val="0"/>
      <w:marTop w:val="0"/>
      <w:marBottom w:val="0"/>
      <w:divBdr>
        <w:top w:val="none" w:sz="0" w:space="0" w:color="auto"/>
        <w:left w:val="none" w:sz="0" w:space="0" w:color="auto"/>
        <w:bottom w:val="none" w:sz="0" w:space="0" w:color="auto"/>
        <w:right w:val="none" w:sz="0" w:space="0" w:color="auto"/>
      </w:divBdr>
    </w:div>
    <w:div w:id="2060980118">
      <w:bodyDiv w:val="1"/>
      <w:marLeft w:val="0"/>
      <w:marRight w:val="0"/>
      <w:marTop w:val="0"/>
      <w:marBottom w:val="0"/>
      <w:divBdr>
        <w:top w:val="none" w:sz="0" w:space="0" w:color="auto"/>
        <w:left w:val="none" w:sz="0" w:space="0" w:color="auto"/>
        <w:bottom w:val="none" w:sz="0" w:space="0" w:color="auto"/>
        <w:right w:val="none" w:sz="0" w:space="0" w:color="auto"/>
      </w:divBdr>
    </w:div>
    <w:div w:id="2063748115">
      <w:bodyDiv w:val="1"/>
      <w:marLeft w:val="0"/>
      <w:marRight w:val="0"/>
      <w:marTop w:val="0"/>
      <w:marBottom w:val="0"/>
      <w:divBdr>
        <w:top w:val="none" w:sz="0" w:space="0" w:color="auto"/>
        <w:left w:val="none" w:sz="0" w:space="0" w:color="auto"/>
        <w:bottom w:val="none" w:sz="0" w:space="0" w:color="auto"/>
        <w:right w:val="none" w:sz="0" w:space="0" w:color="auto"/>
      </w:divBdr>
      <w:divsChild>
        <w:div w:id="17433907">
          <w:marLeft w:val="274"/>
          <w:marRight w:val="0"/>
          <w:marTop w:val="0"/>
          <w:marBottom w:val="0"/>
          <w:divBdr>
            <w:top w:val="none" w:sz="0" w:space="0" w:color="auto"/>
            <w:left w:val="none" w:sz="0" w:space="0" w:color="auto"/>
            <w:bottom w:val="none" w:sz="0" w:space="0" w:color="auto"/>
            <w:right w:val="none" w:sz="0" w:space="0" w:color="auto"/>
          </w:divBdr>
        </w:div>
        <w:div w:id="1433404045">
          <w:marLeft w:val="274"/>
          <w:marRight w:val="0"/>
          <w:marTop w:val="0"/>
          <w:marBottom w:val="0"/>
          <w:divBdr>
            <w:top w:val="none" w:sz="0" w:space="0" w:color="auto"/>
            <w:left w:val="none" w:sz="0" w:space="0" w:color="auto"/>
            <w:bottom w:val="none" w:sz="0" w:space="0" w:color="auto"/>
            <w:right w:val="none" w:sz="0" w:space="0" w:color="auto"/>
          </w:divBdr>
        </w:div>
        <w:div w:id="1483615045">
          <w:marLeft w:val="274"/>
          <w:marRight w:val="0"/>
          <w:marTop w:val="0"/>
          <w:marBottom w:val="0"/>
          <w:divBdr>
            <w:top w:val="none" w:sz="0" w:space="0" w:color="auto"/>
            <w:left w:val="none" w:sz="0" w:space="0" w:color="auto"/>
            <w:bottom w:val="none" w:sz="0" w:space="0" w:color="auto"/>
            <w:right w:val="none" w:sz="0" w:space="0" w:color="auto"/>
          </w:divBdr>
        </w:div>
        <w:div w:id="1918906035">
          <w:marLeft w:val="274"/>
          <w:marRight w:val="0"/>
          <w:marTop w:val="0"/>
          <w:marBottom w:val="0"/>
          <w:divBdr>
            <w:top w:val="none" w:sz="0" w:space="0" w:color="auto"/>
            <w:left w:val="none" w:sz="0" w:space="0" w:color="auto"/>
            <w:bottom w:val="none" w:sz="0" w:space="0" w:color="auto"/>
            <w:right w:val="none" w:sz="0" w:space="0" w:color="auto"/>
          </w:divBdr>
        </w:div>
      </w:divsChild>
    </w:div>
    <w:div w:id="2067415606">
      <w:bodyDiv w:val="1"/>
      <w:marLeft w:val="0"/>
      <w:marRight w:val="0"/>
      <w:marTop w:val="0"/>
      <w:marBottom w:val="0"/>
      <w:divBdr>
        <w:top w:val="none" w:sz="0" w:space="0" w:color="auto"/>
        <w:left w:val="none" w:sz="0" w:space="0" w:color="auto"/>
        <w:bottom w:val="none" w:sz="0" w:space="0" w:color="auto"/>
        <w:right w:val="none" w:sz="0" w:space="0" w:color="auto"/>
      </w:divBdr>
    </w:div>
    <w:div w:id="2075155751">
      <w:bodyDiv w:val="1"/>
      <w:marLeft w:val="0"/>
      <w:marRight w:val="0"/>
      <w:marTop w:val="0"/>
      <w:marBottom w:val="0"/>
      <w:divBdr>
        <w:top w:val="none" w:sz="0" w:space="0" w:color="auto"/>
        <w:left w:val="none" w:sz="0" w:space="0" w:color="auto"/>
        <w:bottom w:val="none" w:sz="0" w:space="0" w:color="auto"/>
        <w:right w:val="none" w:sz="0" w:space="0" w:color="auto"/>
      </w:divBdr>
    </w:div>
    <w:div w:id="2083717739">
      <w:bodyDiv w:val="1"/>
      <w:marLeft w:val="0"/>
      <w:marRight w:val="0"/>
      <w:marTop w:val="0"/>
      <w:marBottom w:val="0"/>
      <w:divBdr>
        <w:top w:val="none" w:sz="0" w:space="0" w:color="auto"/>
        <w:left w:val="none" w:sz="0" w:space="0" w:color="auto"/>
        <w:bottom w:val="none" w:sz="0" w:space="0" w:color="auto"/>
        <w:right w:val="none" w:sz="0" w:space="0" w:color="auto"/>
      </w:divBdr>
    </w:div>
    <w:div w:id="2095083945">
      <w:bodyDiv w:val="1"/>
      <w:marLeft w:val="0"/>
      <w:marRight w:val="0"/>
      <w:marTop w:val="0"/>
      <w:marBottom w:val="0"/>
      <w:divBdr>
        <w:top w:val="none" w:sz="0" w:space="0" w:color="auto"/>
        <w:left w:val="none" w:sz="0" w:space="0" w:color="auto"/>
        <w:bottom w:val="none" w:sz="0" w:space="0" w:color="auto"/>
        <w:right w:val="none" w:sz="0" w:space="0" w:color="auto"/>
      </w:divBdr>
    </w:div>
    <w:div w:id="2095318403">
      <w:bodyDiv w:val="1"/>
      <w:marLeft w:val="0"/>
      <w:marRight w:val="0"/>
      <w:marTop w:val="0"/>
      <w:marBottom w:val="0"/>
      <w:divBdr>
        <w:top w:val="none" w:sz="0" w:space="0" w:color="auto"/>
        <w:left w:val="none" w:sz="0" w:space="0" w:color="auto"/>
        <w:bottom w:val="none" w:sz="0" w:space="0" w:color="auto"/>
        <w:right w:val="none" w:sz="0" w:space="0" w:color="auto"/>
      </w:divBdr>
      <w:divsChild>
        <w:div w:id="125782322">
          <w:marLeft w:val="0"/>
          <w:marRight w:val="0"/>
          <w:marTop w:val="0"/>
          <w:marBottom w:val="0"/>
          <w:divBdr>
            <w:top w:val="none" w:sz="0" w:space="0" w:color="auto"/>
            <w:left w:val="none" w:sz="0" w:space="0" w:color="auto"/>
            <w:bottom w:val="none" w:sz="0" w:space="0" w:color="auto"/>
            <w:right w:val="none" w:sz="0" w:space="0" w:color="auto"/>
          </w:divBdr>
        </w:div>
        <w:div w:id="666789501">
          <w:marLeft w:val="0"/>
          <w:marRight w:val="0"/>
          <w:marTop w:val="0"/>
          <w:marBottom w:val="0"/>
          <w:divBdr>
            <w:top w:val="none" w:sz="0" w:space="0" w:color="auto"/>
            <w:left w:val="none" w:sz="0" w:space="0" w:color="auto"/>
            <w:bottom w:val="none" w:sz="0" w:space="0" w:color="auto"/>
            <w:right w:val="none" w:sz="0" w:space="0" w:color="auto"/>
          </w:divBdr>
        </w:div>
      </w:divsChild>
    </w:div>
    <w:div w:id="2104104218">
      <w:bodyDiv w:val="1"/>
      <w:marLeft w:val="0"/>
      <w:marRight w:val="0"/>
      <w:marTop w:val="0"/>
      <w:marBottom w:val="0"/>
      <w:divBdr>
        <w:top w:val="none" w:sz="0" w:space="0" w:color="auto"/>
        <w:left w:val="none" w:sz="0" w:space="0" w:color="auto"/>
        <w:bottom w:val="none" w:sz="0" w:space="0" w:color="auto"/>
        <w:right w:val="none" w:sz="0" w:space="0" w:color="auto"/>
      </w:divBdr>
      <w:divsChild>
        <w:div w:id="262081281">
          <w:marLeft w:val="0"/>
          <w:marRight w:val="0"/>
          <w:marTop w:val="0"/>
          <w:marBottom w:val="0"/>
          <w:divBdr>
            <w:top w:val="none" w:sz="0" w:space="0" w:color="auto"/>
            <w:left w:val="none" w:sz="0" w:space="0" w:color="auto"/>
            <w:bottom w:val="none" w:sz="0" w:space="0" w:color="auto"/>
            <w:right w:val="none" w:sz="0" w:space="0" w:color="auto"/>
          </w:divBdr>
        </w:div>
        <w:div w:id="556428746">
          <w:marLeft w:val="0"/>
          <w:marRight w:val="0"/>
          <w:marTop w:val="0"/>
          <w:marBottom w:val="0"/>
          <w:divBdr>
            <w:top w:val="none" w:sz="0" w:space="0" w:color="auto"/>
            <w:left w:val="none" w:sz="0" w:space="0" w:color="auto"/>
            <w:bottom w:val="none" w:sz="0" w:space="0" w:color="auto"/>
            <w:right w:val="none" w:sz="0" w:space="0" w:color="auto"/>
          </w:divBdr>
        </w:div>
      </w:divsChild>
    </w:div>
    <w:div w:id="2116175244">
      <w:bodyDiv w:val="1"/>
      <w:marLeft w:val="0"/>
      <w:marRight w:val="0"/>
      <w:marTop w:val="0"/>
      <w:marBottom w:val="0"/>
      <w:divBdr>
        <w:top w:val="none" w:sz="0" w:space="0" w:color="auto"/>
        <w:left w:val="none" w:sz="0" w:space="0" w:color="auto"/>
        <w:bottom w:val="none" w:sz="0" w:space="0" w:color="auto"/>
        <w:right w:val="none" w:sz="0" w:space="0" w:color="auto"/>
      </w:divBdr>
    </w:div>
    <w:div w:id="2117678567">
      <w:bodyDiv w:val="1"/>
      <w:marLeft w:val="0"/>
      <w:marRight w:val="0"/>
      <w:marTop w:val="0"/>
      <w:marBottom w:val="0"/>
      <w:divBdr>
        <w:top w:val="none" w:sz="0" w:space="0" w:color="auto"/>
        <w:left w:val="none" w:sz="0" w:space="0" w:color="auto"/>
        <w:bottom w:val="none" w:sz="0" w:space="0" w:color="auto"/>
        <w:right w:val="none" w:sz="0" w:space="0" w:color="auto"/>
      </w:divBdr>
    </w:div>
    <w:div w:id="2120447270">
      <w:bodyDiv w:val="1"/>
      <w:marLeft w:val="0"/>
      <w:marRight w:val="0"/>
      <w:marTop w:val="0"/>
      <w:marBottom w:val="0"/>
      <w:divBdr>
        <w:top w:val="none" w:sz="0" w:space="0" w:color="auto"/>
        <w:left w:val="none" w:sz="0" w:space="0" w:color="auto"/>
        <w:bottom w:val="none" w:sz="0" w:space="0" w:color="auto"/>
        <w:right w:val="none" w:sz="0" w:space="0" w:color="auto"/>
      </w:divBdr>
    </w:div>
    <w:div w:id="2123838807">
      <w:bodyDiv w:val="1"/>
      <w:marLeft w:val="0"/>
      <w:marRight w:val="0"/>
      <w:marTop w:val="0"/>
      <w:marBottom w:val="0"/>
      <w:divBdr>
        <w:top w:val="none" w:sz="0" w:space="0" w:color="auto"/>
        <w:left w:val="none" w:sz="0" w:space="0" w:color="auto"/>
        <w:bottom w:val="none" w:sz="0" w:space="0" w:color="auto"/>
        <w:right w:val="none" w:sz="0" w:space="0" w:color="auto"/>
      </w:divBdr>
    </w:div>
    <w:div w:id="2125075506">
      <w:bodyDiv w:val="1"/>
      <w:marLeft w:val="0"/>
      <w:marRight w:val="0"/>
      <w:marTop w:val="0"/>
      <w:marBottom w:val="0"/>
      <w:divBdr>
        <w:top w:val="none" w:sz="0" w:space="0" w:color="auto"/>
        <w:left w:val="none" w:sz="0" w:space="0" w:color="auto"/>
        <w:bottom w:val="none" w:sz="0" w:space="0" w:color="auto"/>
        <w:right w:val="none" w:sz="0" w:space="0" w:color="auto"/>
      </w:divBdr>
    </w:div>
    <w:div w:id="2135174906">
      <w:bodyDiv w:val="1"/>
      <w:marLeft w:val="0"/>
      <w:marRight w:val="0"/>
      <w:marTop w:val="0"/>
      <w:marBottom w:val="0"/>
      <w:divBdr>
        <w:top w:val="none" w:sz="0" w:space="0" w:color="auto"/>
        <w:left w:val="none" w:sz="0" w:space="0" w:color="auto"/>
        <w:bottom w:val="none" w:sz="0" w:space="0" w:color="auto"/>
        <w:right w:val="none" w:sz="0" w:space="0" w:color="auto"/>
      </w:divBdr>
    </w:div>
    <w:div w:id="214133586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vfilertsy.govnet.nsw.gov.au\TSY-Group\ef\RFAB\2.%20Forecasting%20State%20Revenues\0.%20Budget%20briefing%20and%20production\2022-23%20Budget\Drafting\Chpt%204%20tables%20and%20charts%20Smart%20View_2022-2023%20Budget.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vfilertsy.govnet.nsw.gov.au\TSY-Group\ef\RFAB\2.%20Forecasting%20State%20Revenues\0.%20Budget%20briefing%20and%20production\2022-23%20Budget\Drafting\Chpt%204%20tables%20and%20charts%20Smart%20View_2022-2023%20Budget.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vfilertsy.govnet.nsw.gov.au\TSY-Group\ef\RFAB\2.%20Forecasting%20State%20Revenues\0.%20Budget%20briefing%20and%20production\2022-23%20Budget\Drafting\Chpt%204%20tables%20and%20charts%20Smart%20View_2022-2023%20Budget.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oleObject" Target="https://nswgov-my.sharepoint.com/personal/nicholas_hordern_treasury_nsw_gov_au/Documents/Budget/2022-23/Drafting/Copy%20of%20Budget%20Box%20Revenue%20Growth.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038465140042746"/>
          <c:y val="0.11041948650690843"/>
          <c:w val="0.5563471010575336"/>
          <c:h val="0.834361454370105"/>
        </c:manualLayout>
      </c:layout>
      <c:doughnutChart>
        <c:varyColors val="1"/>
        <c:ser>
          <c:idx val="0"/>
          <c:order val="0"/>
          <c:dPt>
            <c:idx val="0"/>
            <c:bubble3D val="0"/>
            <c:spPr>
              <a:solidFill>
                <a:srgbClr val="008EBA"/>
              </a:solidFill>
            </c:spPr>
            <c:extLst>
              <c:ext xmlns:c16="http://schemas.microsoft.com/office/drawing/2014/chart" uri="{C3380CC4-5D6E-409C-BE32-E72D297353CC}">
                <c16:uniqueId val="{00000001-A345-4692-92EB-89D3509484DB}"/>
              </c:ext>
            </c:extLst>
          </c:dPt>
          <c:dPt>
            <c:idx val="1"/>
            <c:bubble3D val="0"/>
            <c:spPr>
              <a:solidFill>
                <a:srgbClr val="00426F"/>
              </a:solidFill>
            </c:spPr>
            <c:extLst>
              <c:ext xmlns:c16="http://schemas.microsoft.com/office/drawing/2014/chart" uri="{C3380CC4-5D6E-409C-BE32-E72D297353CC}">
                <c16:uniqueId val="{00000003-A345-4692-92EB-89D3509484DB}"/>
              </c:ext>
            </c:extLst>
          </c:dPt>
          <c:dPt>
            <c:idx val="2"/>
            <c:bubble3D val="0"/>
            <c:spPr>
              <a:solidFill>
                <a:srgbClr val="53C8E9"/>
              </a:solidFill>
            </c:spPr>
            <c:extLst>
              <c:ext xmlns:c16="http://schemas.microsoft.com/office/drawing/2014/chart" uri="{C3380CC4-5D6E-409C-BE32-E72D297353CC}">
                <c16:uniqueId val="{00000005-A345-4692-92EB-89D3509484DB}"/>
              </c:ext>
            </c:extLst>
          </c:dPt>
          <c:dPt>
            <c:idx val="3"/>
            <c:bubble3D val="0"/>
            <c:spPr>
              <a:solidFill>
                <a:srgbClr val="9ACA3C"/>
              </a:solidFill>
            </c:spPr>
            <c:extLst>
              <c:ext xmlns:c16="http://schemas.microsoft.com/office/drawing/2014/chart" uri="{C3380CC4-5D6E-409C-BE32-E72D297353CC}">
                <c16:uniqueId val="{00000007-A345-4692-92EB-89D3509484DB}"/>
              </c:ext>
            </c:extLst>
          </c:dPt>
          <c:dPt>
            <c:idx val="4"/>
            <c:bubble3D val="0"/>
            <c:spPr>
              <a:solidFill>
                <a:srgbClr val="009484"/>
              </a:solidFill>
            </c:spPr>
            <c:extLst>
              <c:ext xmlns:c16="http://schemas.microsoft.com/office/drawing/2014/chart" uri="{C3380CC4-5D6E-409C-BE32-E72D297353CC}">
                <c16:uniqueId val="{00000009-A345-4692-92EB-89D3509484DB}"/>
              </c:ext>
            </c:extLst>
          </c:dPt>
          <c:dPt>
            <c:idx val="5"/>
            <c:bubble3D val="0"/>
            <c:spPr>
              <a:solidFill>
                <a:srgbClr val="A50776"/>
              </a:solidFill>
            </c:spPr>
            <c:extLst>
              <c:ext xmlns:c16="http://schemas.microsoft.com/office/drawing/2014/chart" uri="{C3380CC4-5D6E-409C-BE32-E72D297353CC}">
                <c16:uniqueId val="{0000000B-A345-4692-92EB-89D3509484DB}"/>
              </c:ext>
            </c:extLst>
          </c:dPt>
          <c:dPt>
            <c:idx val="6"/>
            <c:bubble3D val="0"/>
            <c:spPr>
              <a:solidFill>
                <a:srgbClr val="B9BDBF"/>
              </a:solidFill>
            </c:spPr>
            <c:extLst>
              <c:ext xmlns:c16="http://schemas.microsoft.com/office/drawing/2014/chart" uri="{C3380CC4-5D6E-409C-BE32-E72D297353CC}">
                <c16:uniqueId val="{0000000D-A345-4692-92EB-89D3509484DB}"/>
              </c:ext>
            </c:extLst>
          </c:dPt>
          <c:dPt>
            <c:idx val="7"/>
            <c:bubble3D val="0"/>
            <c:spPr>
              <a:solidFill>
                <a:srgbClr val="4B5051"/>
              </a:solidFill>
            </c:spPr>
            <c:extLst>
              <c:ext xmlns:c16="http://schemas.microsoft.com/office/drawing/2014/chart" uri="{C3380CC4-5D6E-409C-BE32-E72D297353CC}">
                <c16:uniqueId val="{0000000F-A345-4692-92EB-89D3509484DB}"/>
              </c:ext>
            </c:extLst>
          </c:dPt>
          <c:dPt>
            <c:idx val="8"/>
            <c:bubble3D val="0"/>
            <c:spPr>
              <a:solidFill>
                <a:srgbClr val="F99D25"/>
              </a:solidFill>
            </c:spPr>
            <c:extLst>
              <c:ext xmlns:c16="http://schemas.microsoft.com/office/drawing/2014/chart" uri="{C3380CC4-5D6E-409C-BE32-E72D297353CC}">
                <c16:uniqueId val="{00000011-A345-4692-92EB-89D3509484DB}"/>
              </c:ext>
            </c:extLst>
          </c:dPt>
          <c:dPt>
            <c:idx val="10"/>
            <c:bubble3D val="0"/>
            <c:spPr>
              <a:solidFill>
                <a:srgbClr val="00A1DE"/>
              </a:solidFill>
            </c:spPr>
            <c:extLst>
              <c:ext xmlns:c16="http://schemas.microsoft.com/office/drawing/2014/chart" uri="{C3380CC4-5D6E-409C-BE32-E72D297353CC}">
                <c16:uniqueId val="{00000013-A345-4692-92EB-89D3509484DB}"/>
              </c:ext>
            </c:extLst>
          </c:dPt>
          <c:dLbls>
            <c:dLbl>
              <c:idx val="0"/>
              <c:layout>
                <c:manualLayout>
                  <c:x val="-0.15425310140380266"/>
                  <c:y val="5.4679303072373918E-2"/>
                </c:manualLayout>
              </c:layout>
              <c:tx>
                <c:rich>
                  <a:bodyPr/>
                  <a:lstStyle/>
                  <a:p>
                    <a:fld id="{18C00288-FED2-423C-99E7-44F7EC2DB64E}" type="CELLRANGE">
                      <a:rPr lang="en-US" sz="1000" b="1"/>
                      <a:pPr/>
                      <a:t>[CELLRANGE]</a:t>
                    </a:fld>
                    <a:r>
                      <a:rPr lang="en-US" baseline="0"/>
                      <a:t>
</a:t>
                    </a:r>
                    <a:fld id="{35D7649A-20F6-4AEB-9933-C69D2D396766}" type="CATEGORYNAME">
                      <a:rPr lang="en-US" baseline="0"/>
                      <a:pPr/>
                      <a:t>[CATEGORY NAME]</a:t>
                    </a:fld>
                    <a:endParaRPr lang="en-US" baseline="0"/>
                  </a:p>
                </c:rich>
              </c:tx>
              <c:showLegendKey val="0"/>
              <c:showVal val="0"/>
              <c:showCatName val="1"/>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A345-4692-92EB-89D3509484DB}"/>
                </c:ext>
              </c:extLst>
            </c:dLbl>
            <c:dLbl>
              <c:idx val="1"/>
              <c:layout>
                <c:manualLayout>
                  <c:x val="-0.13821202154731257"/>
                  <c:y val="-7.523316634299379E-2"/>
                </c:manualLayout>
              </c:layout>
              <c:tx>
                <c:rich>
                  <a:bodyPr/>
                  <a:lstStyle/>
                  <a:p>
                    <a:fld id="{91240BC5-34B1-4D73-B289-ABB3AF606E28}" type="CELLRANGE">
                      <a:rPr lang="en-US" sz="1000" b="1"/>
                      <a:pPr/>
                      <a:t>[CELLRANGE]</a:t>
                    </a:fld>
                    <a:r>
                      <a:rPr lang="en-US" baseline="0"/>
                      <a:t>
</a:t>
                    </a:r>
                    <a:fld id="{EE7B81E0-E563-4F51-8285-B11A2FAF593D}" type="CATEGORYNAME">
                      <a:rPr lang="en-US" baseline="0"/>
                      <a:pPr/>
                      <a:t>[CATEGORY NAME]</a:t>
                    </a:fld>
                    <a:endParaRPr lang="en-US" baseline="0"/>
                  </a:p>
                </c:rich>
              </c:tx>
              <c:showLegendKey val="0"/>
              <c:showVal val="0"/>
              <c:showCatName val="1"/>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A345-4692-92EB-89D3509484DB}"/>
                </c:ext>
              </c:extLst>
            </c:dLbl>
            <c:dLbl>
              <c:idx val="2"/>
              <c:layout>
                <c:manualLayout>
                  <c:x val="6.0363564086055886E-2"/>
                  <c:y val="-0.1457857961434762"/>
                </c:manualLayout>
              </c:layout>
              <c:tx>
                <c:rich>
                  <a:bodyPr/>
                  <a:lstStyle/>
                  <a:p>
                    <a:fld id="{098E8975-3FEA-4224-B8C5-4AF6D07DFBC5}" type="CELLRANGE">
                      <a:rPr lang="en-US" sz="1000" b="1"/>
                      <a:pPr/>
                      <a:t>[CELLRANGE]</a:t>
                    </a:fld>
                    <a:r>
                      <a:rPr lang="en-US" baseline="0"/>
                      <a:t>
</a:t>
                    </a:r>
                    <a:fld id="{56ED3412-3C28-4BFE-A71A-A90E94D0B484}" type="CATEGORYNAME">
                      <a:rPr lang="en-US" baseline="0"/>
                      <a:pPr/>
                      <a:t>[CATEGORY NAME]</a:t>
                    </a:fld>
                    <a:endParaRPr lang="en-US" baseline="0"/>
                  </a:p>
                </c:rich>
              </c:tx>
              <c:showLegendKey val="0"/>
              <c:showVal val="0"/>
              <c:showCatName val="1"/>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A345-4692-92EB-89D3509484DB}"/>
                </c:ext>
              </c:extLst>
            </c:dLbl>
            <c:dLbl>
              <c:idx val="3"/>
              <c:layout>
                <c:manualLayout>
                  <c:x val="0.1546586239527116"/>
                  <c:y val="-0.17770009106676013"/>
                </c:manualLayout>
              </c:layout>
              <c:tx>
                <c:rich>
                  <a:bodyPr/>
                  <a:lstStyle/>
                  <a:p>
                    <a:fld id="{B42063CE-EAB5-40C5-BF48-612F49D55661}" type="CELLRANGE">
                      <a:rPr lang="en-US" sz="1000" b="1"/>
                      <a:pPr/>
                      <a:t>[CELLRANGE]</a:t>
                    </a:fld>
                    <a:r>
                      <a:rPr lang="en-US" baseline="0"/>
                      <a:t>
</a:t>
                    </a:r>
                    <a:fld id="{58B2B9B1-829D-4E07-9CB8-3F11F501A634}" type="CATEGORYNAME">
                      <a:rPr lang="en-US" baseline="0"/>
                      <a:pPr/>
                      <a:t>[CATEGORY NAME]</a:t>
                    </a:fld>
                    <a:endParaRPr lang="en-US" baseline="0"/>
                  </a:p>
                </c:rich>
              </c:tx>
              <c:showLegendKey val="0"/>
              <c:showVal val="0"/>
              <c:showCatName val="1"/>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7-A345-4692-92EB-89D3509484DB}"/>
                </c:ext>
              </c:extLst>
            </c:dLbl>
            <c:dLbl>
              <c:idx val="4"/>
              <c:layout>
                <c:manualLayout>
                  <c:x val="0.1206788078189142"/>
                  <c:y val="-7.8877929269937391E-2"/>
                </c:manualLayout>
              </c:layout>
              <c:tx>
                <c:rich>
                  <a:bodyPr wrap="square" lIns="38100" tIns="19050" rIns="38100" bIns="19050" anchor="ctr">
                    <a:noAutofit/>
                  </a:bodyPr>
                  <a:lstStyle/>
                  <a:p>
                    <a:pPr>
                      <a:defRPr>
                        <a:solidFill>
                          <a:srgbClr val="4F4F4F"/>
                        </a:solidFill>
                      </a:defRPr>
                    </a:pPr>
                    <a:fld id="{10964A98-FFEC-4677-8888-6C938F322B33}" type="CELLRANGE">
                      <a:rPr lang="en-US" sz="1000" b="1"/>
                      <a:pPr>
                        <a:defRPr>
                          <a:solidFill>
                            <a:srgbClr val="4F4F4F"/>
                          </a:solidFill>
                        </a:defRPr>
                      </a:pPr>
                      <a:t>[CELLRANGE]</a:t>
                    </a:fld>
                    <a:r>
                      <a:rPr lang="en-US" baseline="0"/>
                      <a:t>
</a:t>
                    </a:r>
                    <a:fld id="{73F4F241-542A-448E-B2D4-88B75F9BB0F0}" type="CATEGORYNAME">
                      <a:rPr lang="en-US" baseline="0"/>
                      <a:pPr>
                        <a:defRPr>
                          <a:solidFill>
                            <a:srgbClr val="4F4F4F"/>
                          </a:solidFill>
                        </a:defRPr>
                      </a:pPr>
                      <a:t>[CATEGORY NAME]</a:t>
                    </a:fld>
                    <a:endParaRPr lang="en-US" baseline="0"/>
                  </a:p>
                </c:rich>
              </c:tx>
              <c:spPr>
                <a:noFill/>
                <a:ln>
                  <a:noFill/>
                </a:ln>
                <a:effectLst/>
              </c:spPr>
              <c:showLegendKey val="0"/>
              <c:showVal val="0"/>
              <c:showCatName val="1"/>
              <c:showSerName val="0"/>
              <c:showPercent val="0"/>
              <c:showBubbleSize val="0"/>
              <c:separator>
</c:separator>
              <c:extLst>
                <c:ext xmlns:c15="http://schemas.microsoft.com/office/drawing/2012/chart" uri="{CE6537A1-D6FC-4f65-9D91-7224C49458BB}">
                  <c15:layout>
                    <c:manualLayout>
                      <c:w val="0.23505990986514338"/>
                      <c:h val="9.9643918735706868E-2"/>
                    </c:manualLayout>
                  </c15:layout>
                  <c15:dlblFieldTable/>
                  <c15:showDataLabelsRange val="1"/>
                </c:ext>
                <c:ext xmlns:c16="http://schemas.microsoft.com/office/drawing/2014/chart" uri="{C3380CC4-5D6E-409C-BE32-E72D297353CC}">
                  <c16:uniqueId val="{00000009-A345-4692-92EB-89D3509484DB}"/>
                </c:ext>
              </c:extLst>
            </c:dLbl>
            <c:dLbl>
              <c:idx val="5"/>
              <c:layout>
                <c:manualLayout>
                  <c:x val="0.14604720598125903"/>
                  <c:y val="-4.7247995676065219E-2"/>
                </c:manualLayout>
              </c:layout>
              <c:tx>
                <c:rich>
                  <a:bodyPr/>
                  <a:lstStyle/>
                  <a:p>
                    <a:fld id="{B2D4C78C-12EB-40B3-9B32-66875FB4449C}" type="CELLRANGE">
                      <a:rPr lang="en-US" sz="1000" b="1"/>
                      <a:pPr/>
                      <a:t>[CELLRANGE]</a:t>
                    </a:fld>
                    <a:r>
                      <a:rPr lang="en-US" baseline="0"/>
                      <a:t>
</a:t>
                    </a:r>
                    <a:fld id="{98E640F7-EC14-43FA-B9F5-3234CD0405AE}" type="CATEGORYNAME">
                      <a:rPr lang="en-US" baseline="0"/>
                      <a:pPr/>
                      <a:t>[CATEGORY NAME]</a:t>
                    </a:fld>
                    <a:endParaRPr lang="en-US" baseline="0"/>
                  </a:p>
                </c:rich>
              </c:tx>
              <c:showLegendKey val="0"/>
              <c:showVal val="0"/>
              <c:showCatName val="1"/>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B-A345-4692-92EB-89D3509484DB}"/>
                </c:ext>
              </c:extLst>
            </c:dLbl>
            <c:dLbl>
              <c:idx val="6"/>
              <c:layout>
                <c:manualLayout>
                  <c:x val="0.15908715772735729"/>
                  <c:y val="6.4651644061986787E-3"/>
                </c:manualLayout>
              </c:layout>
              <c:tx>
                <c:rich>
                  <a:bodyPr/>
                  <a:lstStyle/>
                  <a:p>
                    <a:fld id="{2A86A178-D73B-4651-B735-65151F8A2A53}" type="CELLRANGE">
                      <a:rPr lang="en-US" sz="1000" b="1"/>
                      <a:pPr/>
                      <a:t>[CELLRANGE]</a:t>
                    </a:fld>
                    <a:r>
                      <a:rPr lang="en-US" baseline="0"/>
                      <a:t>
</a:t>
                    </a:r>
                    <a:fld id="{C8E7D590-2F24-439C-93B2-DEB932E81DB4}" type="CATEGORYNAME">
                      <a:rPr lang="en-US" baseline="0"/>
                      <a:pPr/>
                      <a:t>[CATEGORY NAME]</a:t>
                    </a:fld>
                    <a:endParaRPr lang="en-US" baseline="0"/>
                  </a:p>
                </c:rich>
              </c:tx>
              <c:showLegendKey val="0"/>
              <c:showVal val="0"/>
              <c:showCatName val="1"/>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D-A345-4692-92EB-89D3509484DB}"/>
                </c:ext>
              </c:extLst>
            </c:dLbl>
            <c:dLbl>
              <c:idx val="7"/>
              <c:layout>
                <c:manualLayout>
                  <c:x val="0.10676529937648803"/>
                  <c:y val="5.5944024639186331E-2"/>
                </c:manualLayout>
              </c:layout>
              <c:tx>
                <c:rich>
                  <a:bodyPr/>
                  <a:lstStyle/>
                  <a:p>
                    <a:fld id="{5B7BB0AE-61B1-4145-9F5D-FFC9FFEF0485}" type="CELLRANGE">
                      <a:rPr lang="en-US" sz="1000" b="1"/>
                      <a:pPr/>
                      <a:t>[CELLRANGE]</a:t>
                    </a:fld>
                    <a:r>
                      <a:rPr lang="en-US" baseline="0"/>
                      <a:t>
</a:t>
                    </a:r>
                    <a:fld id="{6FD1ECFD-8B95-4CB5-8E9F-025868B77AF7}" type="CATEGORYNAME">
                      <a:rPr lang="en-US" baseline="0"/>
                      <a:pPr/>
                      <a:t>[CATEGORY NAME]</a:t>
                    </a:fld>
                    <a:endParaRPr lang="en-US" baseline="0"/>
                  </a:p>
                </c:rich>
              </c:tx>
              <c:showLegendKey val="0"/>
              <c:showVal val="0"/>
              <c:showCatName val="1"/>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F-A345-4692-92EB-89D3509484DB}"/>
                </c:ext>
              </c:extLst>
            </c:dLbl>
            <c:dLbl>
              <c:idx val="8"/>
              <c:layout>
                <c:manualLayout>
                  <c:x val="0.16334689153745374"/>
                  <c:y val="0.11187854860966957"/>
                </c:manualLayout>
              </c:layout>
              <c:tx>
                <c:rich>
                  <a:bodyPr/>
                  <a:lstStyle/>
                  <a:p>
                    <a:fld id="{1A52DD4E-3BC5-4E95-A763-BB3ECD41239C}" type="CELLRANGE">
                      <a:rPr lang="en-US" sz="1000" b="1"/>
                      <a:pPr/>
                      <a:t>[CELLRANGE]</a:t>
                    </a:fld>
                    <a:r>
                      <a:rPr lang="en-US" baseline="0"/>
                      <a:t>
</a:t>
                    </a:r>
                    <a:fld id="{EB65D4EB-BA40-4B09-928B-D6F127F09286}" type="CATEGORYNAME">
                      <a:rPr lang="en-US" baseline="0"/>
                      <a:pPr/>
                      <a:t>[CATEGORY NAME]</a:t>
                    </a:fld>
                    <a:endParaRPr lang="en-US" baseline="0"/>
                  </a:p>
                </c:rich>
              </c:tx>
              <c:showLegendKey val="0"/>
              <c:showVal val="0"/>
              <c:showCatName val="1"/>
              <c:showSerName val="0"/>
              <c:showPercent val="0"/>
              <c:showBubbleSize val="0"/>
              <c:separator>
</c:separator>
              <c:extLst>
                <c:ext xmlns:c15="http://schemas.microsoft.com/office/drawing/2012/chart" uri="{CE6537A1-D6FC-4f65-9D91-7224C49458BB}">
                  <c15:layout>
                    <c:manualLayout>
                      <c:w val="0.22726829286151615"/>
                      <c:h val="0.14590668812967625"/>
                    </c:manualLayout>
                  </c15:layout>
                  <c15:dlblFieldTable/>
                  <c15:showDataLabelsRange val="1"/>
                </c:ext>
                <c:ext xmlns:c16="http://schemas.microsoft.com/office/drawing/2014/chart" uri="{C3380CC4-5D6E-409C-BE32-E72D297353CC}">
                  <c16:uniqueId val="{00000011-A345-4692-92EB-89D3509484DB}"/>
                </c:ext>
              </c:extLst>
            </c:dLbl>
            <c:spPr>
              <a:noFill/>
              <a:ln>
                <a:noFill/>
              </a:ln>
              <a:effectLst/>
            </c:spPr>
            <c:txPr>
              <a:bodyPr wrap="square" lIns="38100" tIns="19050" rIns="38100" bIns="19050" anchor="ctr">
                <a:spAutoFit/>
              </a:bodyPr>
              <a:lstStyle/>
              <a:p>
                <a:pPr>
                  <a:defRPr>
                    <a:solidFill>
                      <a:srgbClr val="4F4F4F"/>
                    </a:solidFill>
                  </a:defRPr>
                </a:pPr>
                <a:endParaRPr lang="en-US"/>
              </a:p>
            </c:txPr>
            <c:showLegendKey val="0"/>
            <c:showVal val="0"/>
            <c:showCatName val="1"/>
            <c:showSerName val="0"/>
            <c:showPercent val="0"/>
            <c:showBubbleSize val="0"/>
            <c:separator>
</c:separator>
            <c:showLeaderLines val="0"/>
            <c:extLst>
              <c:ext xmlns:c15="http://schemas.microsoft.com/office/drawing/2012/chart" uri="{CE6537A1-D6FC-4f65-9D91-7224C49458BB}">
                <c15:showDataLabelsRange val="1"/>
              </c:ext>
            </c:extLst>
          </c:dLbls>
          <c:cat>
            <c:strRef>
              <c:f>'Chart 4.1 - Total revenue pie'!$A$33:$A$41</c:f>
              <c:strCache>
                <c:ptCount val="9"/>
                <c:pt idx="0">
                  <c:v>Taxation</c:v>
                </c:pt>
                <c:pt idx="1">
                  <c:v>Commonwealth - general purpose
(Includes GST)</c:v>
                </c:pt>
                <c:pt idx="2">
                  <c:v>Commonwealth - National Agreements</c:v>
                </c:pt>
                <c:pt idx="3">
                  <c:v>Commonwealth - National Partnerships</c:v>
                </c:pt>
                <c:pt idx="4">
                  <c:v>Other grants </c:v>
                </c:pt>
                <c:pt idx="5">
                  <c:v>Sale of goods and services</c:v>
                </c:pt>
                <c:pt idx="6">
                  <c:v>Dividend, income tax
 equivalents &amp; other 
distributions </c:v>
                </c:pt>
                <c:pt idx="7">
                  <c:v>Royalties </c:v>
                </c:pt>
                <c:pt idx="8">
                  <c:v>Fines, fees, interest and 
other revenues</c:v>
                </c:pt>
              </c:strCache>
            </c:strRef>
          </c:cat>
          <c:val>
            <c:numRef>
              <c:f>'Chart 4.1 - Total revenue pie'!$C$33:$C$41</c:f>
              <c:numCache>
                <c:formatCode>0.0%</c:formatCode>
                <c:ptCount val="9"/>
                <c:pt idx="0">
                  <c:v>0.38253507234836975</c:v>
                </c:pt>
                <c:pt idx="1">
                  <c:v>0.24646749953556979</c:v>
                </c:pt>
                <c:pt idx="2">
                  <c:v>0.12040432267055555</c:v>
                </c:pt>
                <c:pt idx="3">
                  <c:v>3.379567619521201E-2</c:v>
                </c:pt>
                <c:pt idx="4">
                  <c:v>1.3626067249704981E-2</c:v>
                </c:pt>
                <c:pt idx="5">
                  <c:v>9.8350638403129256E-2</c:v>
                </c:pt>
                <c:pt idx="6">
                  <c:v>3.2913090990397458E-2</c:v>
                </c:pt>
                <c:pt idx="7">
                  <c:v>3.9089296310837199E-2</c:v>
                </c:pt>
                <c:pt idx="8">
                  <c:v>3.2818336296224222E-2</c:v>
                </c:pt>
              </c:numCache>
            </c:numRef>
          </c:val>
          <c:extLst>
            <c:ext xmlns:c15="http://schemas.microsoft.com/office/drawing/2012/chart" uri="{02D57815-91ED-43cb-92C2-25804820EDAC}">
              <c15:datalabelsRange>
                <c15:f>'Chart 4.1 - Total revenue pie'!$C$33:$C$41</c15:f>
                <c15:dlblRangeCache>
                  <c:ptCount val="9"/>
                  <c:pt idx="0">
                    <c:v>38.3%</c:v>
                  </c:pt>
                  <c:pt idx="1">
                    <c:v>24.6%</c:v>
                  </c:pt>
                  <c:pt idx="2">
                    <c:v>12.0%</c:v>
                  </c:pt>
                  <c:pt idx="3">
                    <c:v>3.4%</c:v>
                  </c:pt>
                  <c:pt idx="4">
                    <c:v>1.4%</c:v>
                  </c:pt>
                  <c:pt idx="5">
                    <c:v>9.8%</c:v>
                  </c:pt>
                  <c:pt idx="6">
                    <c:v>3.3%</c:v>
                  </c:pt>
                  <c:pt idx="7">
                    <c:v>3.9%</c:v>
                  </c:pt>
                  <c:pt idx="8">
                    <c:v>3.3%</c:v>
                  </c:pt>
                </c15:dlblRangeCache>
              </c15:datalabelsRange>
            </c:ext>
            <c:ext xmlns:c16="http://schemas.microsoft.com/office/drawing/2014/chart" uri="{C3380CC4-5D6E-409C-BE32-E72D297353CC}">
              <c16:uniqueId val="{00000014-A345-4692-92EB-89D3509484DB}"/>
            </c:ext>
          </c:extLst>
        </c:ser>
        <c:dLbls>
          <c:showLegendKey val="0"/>
          <c:showVal val="1"/>
          <c:showCatName val="0"/>
          <c:showSerName val="0"/>
          <c:showPercent val="0"/>
          <c:showBubbleSize val="0"/>
          <c:showLeaderLines val="0"/>
        </c:dLbls>
        <c:firstSliceAng val="128"/>
        <c:holeSize val="60"/>
      </c:doughnutChart>
      <c:spPr>
        <a:noFill/>
        <a:ln>
          <a:noFill/>
        </a:ln>
      </c:spPr>
    </c:plotArea>
    <c:plotVisOnly val="1"/>
    <c:dispBlanksAs val="gap"/>
    <c:showDLblsOverMax val="0"/>
  </c:chart>
  <c:spPr>
    <a:solidFill>
      <a:sysClr val="window" lastClr="FFFFFF"/>
    </a:solidFill>
    <a:ln>
      <a:noFill/>
    </a:ln>
  </c:spPr>
  <c:txPr>
    <a:bodyPr/>
    <a:lstStyle/>
    <a:p>
      <a:pPr>
        <a:defRPr sz="7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4"/>
          <c:order val="0"/>
          <c:tx>
            <c:strRef>
              <c:f>'Chart 4.2'!$Y$28</c:f>
              <c:strCache>
                <c:ptCount val="1"/>
                <c:pt idx="0">
                  <c:v>Commodities</c:v>
                </c:pt>
              </c:strCache>
            </c:strRef>
          </c:tx>
          <c:spPr>
            <a:solidFill>
              <a:srgbClr val="009484"/>
            </a:solidFill>
            <a:ln>
              <a:noFill/>
            </a:ln>
            <a:effectLst/>
          </c:spPr>
          <c:invertIfNegative val="0"/>
          <c:cat>
            <c:strRef>
              <c:f>'Chart 4.2'!$Z$27:$AD$27</c:f>
              <c:strCache>
                <c:ptCount val="5"/>
                <c:pt idx="0">
                  <c:v>2021-22</c:v>
                </c:pt>
                <c:pt idx="1">
                  <c:v>2022-23</c:v>
                </c:pt>
                <c:pt idx="2">
                  <c:v>2023-24</c:v>
                </c:pt>
                <c:pt idx="3">
                  <c:v>2024-25</c:v>
                </c:pt>
                <c:pt idx="4">
                  <c:v>2025-26</c:v>
                </c:pt>
              </c:strCache>
            </c:strRef>
          </c:cat>
          <c:val>
            <c:numRef>
              <c:f>'Chart 4.2'!$Z$28:$AD$28</c:f>
              <c:numCache>
                <c:formatCode>0.0</c:formatCode>
                <c:ptCount val="5"/>
                <c:pt idx="0">
                  <c:v>0.81008792433250765</c:v>
                </c:pt>
                <c:pt idx="1">
                  <c:v>1.8397345860844498</c:v>
                </c:pt>
                <c:pt idx="2">
                  <c:v>1.3847587584055527</c:v>
                </c:pt>
                <c:pt idx="3">
                  <c:v>1.0402478732401643</c:v>
                </c:pt>
                <c:pt idx="4">
                  <c:v>0.81520939938792414</c:v>
                </c:pt>
              </c:numCache>
            </c:numRef>
          </c:val>
          <c:extLst>
            <c:ext xmlns:c16="http://schemas.microsoft.com/office/drawing/2014/chart" uri="{C3380CC4-5D6E-409C-BE32-E72D297353CC}">
              <c16:uniqueId val="{00000000-F6B7-4D76-B2DE-E75218B8C096}"/>
            </c:ext>
          </c:extLst>
        </c:ser>
        <c:ser>
          <c:idx val="0"/>
          <c:order val="1"/>
          <c:tx>
            <c:strRef>
              <c:f>'Chart 4.2'!$Y$29</c:f>
              <c:strCache>
                <c:ptCount val="1"/>
                <c:pt idx="0">
                  <c:v>CGC 2022 Update</c:v>
                </c:pt>
              </c:strCache>
            </c:strRef>
          </c:tx>
          <c:spPr>
            <a:solidFill>
              <a:srgbClr val="53C8E9"/>
            </a:solidFill>
            <a:ln>
              <a:noFill/>
            </a:ln>
            <a:effectLst/>
          </c:spPr>
          <c:invertIfNegative val="0"/>
          <c:cat>
            <c:strRef>
              <c:f>'Chart 4.2'!$Z$27:$AD$27</c:f>
              <c:strCache>
                <c:ptCount val="5"/>
                <c:pt idx="0">
                  <c:v>2021-22</c:v>
                </c:pt>
                <c:pt idx="1">
                  <c:v>2022-23</c:v>
                </c:pt>
                <c:pt idx="2">
                  <c:v>2023-24</c:v>
                </c:pt>
                <c:pt idx="3">
                  <c:v>2024-25</c:v>
                </c:pt>
                <c:pt idx="4">
                  <c:v>2025-26</c:v>
                </c:pt>
              </c:strCache>
            </c:strRef>
          </c:cat>
          <c:val>
            <c:numRef>
              <c:f>'Chart 4.2'!$Z$29:$AD$29</c:f>
              <c:numCache>
                <c:formatCode>0.0</c:formatCode>
                <c:ptCount val="5"/>
                <c:pt idx="0">
                  <c:v>0</c:v>
                </c:pt>
                <c:pt idx="1">
                  <c:v>0.745</c:v>
                </c:pt>
                <c:pt idx="2">
                  <c:v>1.274</c:v>
                </c:pt>
                <c:pt idx="3">
                  <c:v>1.823</c:v>
                </c:pt>
                <c:pt idx="4">
                  <c:v>1.8640000000000001</c:v>
                </c:pt>
              </c:numCache>
            </c:numRef>
          </c:val>
          <c:extLst>
            <c:ext xmlns:c16="http://schemas.microsoft.com/office/drawing/2014/chart" uri="{C3380CC4-5D6E-409C-BE32-E72D297353CC}">
              <c16:uniqueId val="{00000001-F6B7-4D76-B2DE-E75218B8C096}"/>
            </c:ext>
          </c:extLst>
        </c:ser>
        <c:ser>
          <c:idx val="2"/>
          <c:order val="2"/>
          <c:tx>
            <c:strRef>
              <c:f>'Chart 4.2'!$Y$30</c:f>
              <c:strCache>
                <c:ptCount val="1"/>
                <c:pt idx="0">
                  <c:v>Inflation</c:v>
                </c:pt>
              </c:strCache>
            </c:strRef>
          </c:tx>
          <c:spPr>
            <a:solidFill>
              <a:srgbClr val="008EBA"/>
            </a:solidFill>
            <a:ln>
              <a:noFill/>
            </a:ln>
            <a:effectLst/>
          </c:spPr>
          <c:invertIfNegative val="0"/>
          <c:cat>
            <c:strRef>
              <c:f>'Chart 4.2'!$Z$27:$AD$27</c:f>
              <c:strCache>
                <c:ptCount val="5"/>
                <c:pt idx="0">
                  <c:v>2021-22</c:v>
                </c:pt>
                <c:pt idx="1">
                  <c:v>2022-23</c:v>
                </c:pt>
                <c:pt idx="2">
                  <c:v>2023-24</c:v>
                </c:pt>
                <c:pt idx="3">
                  <c:v>2024-25</c:v>
                </c:pt>
                <c:pt idx="4">
                  <c:v>2025-26</c:v>
                </c:pt>
              </c:strCache>
            </c:strRef>
          </c:cat>
          <c:val>
            <c:numRef>
              <c:f>'Chart 4.2'!$Z$30:$AD$30</c:f>
              <c:numCache>
                <c:formatCode>0.0</c:formatCode>
                <c:ptCount val="5"/>
                <c:pt idx="0">
                  <c:v>0.29099999999999998</c:v>
                </c:pt>
                <c:pt idx="1">
                  <c:v>1.248</c:v>
                </c:pt>
                <c:pt idx="2">
                  <c:v>1.5309999999999999</c:v>
                </c:pt>
                <c:pt idx="3">
                  <c:v>1.1745000000000001</c:v>
                </c:pt>
                <c:pt idx="4">
                  <c:v>1.1180000000000001</c:v>
                </c:pt>
              </c:numCache>
            </c:numRef>
          </c:val>
          <c:extLst>
            <c:ext xmlns:c16="http://schemas.microsoft.com/office/drawing/2014/chart" uri="{C3380CC4-5D6E-409C-BE32-E72D297353CC}">
              <c16:uniqueId val="{00000002-F6B7-4D76-B2DE-E75218B8C096}"/>
            </c:ext>
          </c:extLst>
        </c:ser>
        <c:ser>
          <c:idx val="1"/>
          <c:order val="3"/>
          <c:tx>
            <c:strRef>
              <c:f>'Chart 4.2'!$Y$31</c:f>
              <c:strCache>
                <c:ptCount val="1"/>
                <c:pt idx="0">
                  <c:v>Property market</c:v>
                </c:pt>
              </c:strCache>
            </c:strRef>
          </c:tx>
          <c:spPr>
            <a:solidFill>
              <a:srgbClr val="00426F"/>
            </a:solidFill>
            <a:ln>
              <a:noFill/>
            </a:ln>
            <a:effectLst/>
          </c:spPr>
          <c:invertIfNegative val="0"/>
          <c:cat>
            <c:strRef>
              <c:f>'Chart 4.2'!$Z$27:$AD$27</c:f>
              <c:strCache>
                <c:ptCount val="5"/>
                <c:pt idx="0">
                  <c:v>2021-22</c:v>
                </c:pt>
                <c:pt idx="1">
                  <c:v>2022-23</c:v>
                </c:pt>
                <c:pt idx="2">
                  <c:v>2023-24</c:v>
                </c:pt>
                <c:pt idx="3">
                  <c:v>2024-25</c:v>
                </c:pt>
                <c:pt idx="4">
                  <c:v>2025-26</c:v>
                </c:pt>
              </c:strCache>
            </c:strRef>
          </c:cat>
          <c:val>
            <c:numRef>
              <c:f>'Chart 4.2'!$Z$31:$AD$31</c:f>
              <c:numCache>
                <c:formatCode>0.0</c:formatCode>
                <c:ptCount val="5"/>
                <c:pt idx="0">
                  <c:v>1.1737668004507942</c:v>
                </c:pt>
                <c:pt idx="1">
                  <c:v>-0.29721460662003008</c:v>
                </c:pt>
                <c:pt idx="2">
                  <c:v>-0.34774552416437615</c:v>
                </c:pt>
                <c:pt idx="3">
                  <c:v>0.798999345442299</c:v>
                </c:pt>
                <c:pt idx="4">
                  <c:v>0.86959980028981021</c:v>
                </c:pt>
              </c:numCache>
            </c:numRef>
          </c:val>
          <c:extLst>
            <c:ext xmlns:c16="http://schemas.microsoft.com/office/drawing/2014/chart" uri="{C3380CC4-5D6E-409C-BE32-E72D297353CC}">
              <c16:uniqueId val="{00000003-F6B7-4D76-B2DE-E75218B8C096}"/>
            </c:ext>
          </c:extLst>
        </c:ser>
        <c:ser>
          <c:idx val="5"/>
          <c:order val="4"/>
          <c:tx>
            <c:strRef>
              <c:f>'Chart 4.2'!$Y$33</c:f>
              <c:strCache>
                <c:ptCount val="1"/>
                <c:pt idx="0">
                  <c:v>Other</c:v>
                </c:pt>
              </c:strCache>
            </c:strRef>
          </c:tx>
          <c:spPr>
            <a:solidFill>
              <a:srgbClr val="A50776"/>
            </a:solidFill>
            <a:ln>
              <a:noFill/>
            </a:ln>
            <a:effectLst/>
          </c:spPr>
          <c:invertIfNegative val="0"/>
          <c:cat>
            <c:strRef>
              <c:f>'Chart 4.2'!$Z$27:$AD$27</c:f>
              <c:strCache>
                <c:ptCount val="5"/>
                <c:pt idx="0">
                  <c:v>2021-22</c:v>
                </c:pt>
                <c:pt idx="1">
                  <c:v>2022-23</c:v>
                </c:pt>
                <c:pt idx="2">
                  <c:v>2023-24</c:v>
                </c:pt>
                <c:pt idx="3">
                  <c:v>2024-25</c:v>
                </c:pt>
                <c:pt idx="4">
                  <c:v>2025-26</c:v>
                </c:pt>
              </c:strCache>
            </c:strRef>
          </c:cat>
          <c:val>
            <c:numRef>
              <c:f>'Chart 4.2'!$Z$33:$AD$33</c:f>
              <c:numCache>
                <c:formatCode>0.0</c:formatCode>
                <c:ptCount val="5"/>
                <c:pt idx="0">
                  <c:v>0.47053781609321721</c:v>
                </c:pt>
                <c:pt idx="1">
                  <c:v>0.13081239097014752</c:v>
                </c:pt>
                <c:pt idx="2">
                  <c:v>0.30060687430671074</c:v>
                </c:pt>
                <c:pt idx="3">
                  <c:v>0.38176716997814975</c:v>
                </c:pt>
                <c:pt idx="4">
                  <c:v>0.68361909811100396</c:v>
                </c:pt>
              </c:numCache>
            </c:numRef>
          </c:val>
          <c:extLst>
            <c:ext xmlns:c16="http://schemas.microsoft.com/office/drawing/2014/chart" uri="{C3380CC4-5D6E-409C-BE32-E72D297353CC}">
              <c16:uniqueId val="{00000004-F6B7-4D76-B2DE-E75218B8C096}"/>
            </c:ext>
          </c:extLst>
        </c:ser>
        <c:ser>
          <c:idx val="3"/>
          <c:order val="5"/>
          <c:tx>
            <c:strRef>
              <c:f>'Chart 4.2'!$Y$32</c:f>
              <c:strCache>
                <c:ptCount val="1"/>
                <c:pt idx="0">
                  <c:v>Macroeconomy</c:v>
                </c:pt>
              </c:strCache>
            </c:strRef>
          </c:tx>
          <c:spPr>
            <a:solidFill>
              <a:srgbClr val="9ACA3C"/>
            </a:solidFill>
            <a:ln>
              <a:noFill/>
            </a:ln>
            <a:effectLst/>
          </c:spPr>
          <c:invertIfNegative val="0"/>
          <c:cat>
            <c:strRef>
              <c:f>'Chart 4.2'!$Z$27:$AD$27</c:f>
              <c:strCache>
                <c:ptCount val="5"/>
                <c:pt idx="0">
                  <c:v>2021-22</c:v>
                </c:pt>
                <c:pt idx="1">
                  <c:v>2022-23</c:v>
                </c:pt>
                <c:pt idx="2">
                  <c:v>2023-24</c:v>
                </c:pt>
                <c:pt idx="3">
                  <c:v>2024-25</c:v>
                </c:pt>
                <c:pt idx="4">
                  <c:v>2025-26</c:v>
                </c:pt>
              </c:strCache>
            </c:strRef>
          </c:cat>
          <c:val>
            <c:numRef>
              <c:f>'Chart 4.2'!$Z$32:$AD$32</c:f>
              <c:numCache>
                <c:formatCode>0.0</c:formatCode>
                <c:ptCount val="5"/>
                <c:pt idx="0">
                  <c:v>8.4000000000000005E-2</c:v>
                </c:pt>
                <c:pt idx="1">
                  <c:v>0.96</c:v>
                </c:pt>
                <c:pt idx="2">
                  <c:v>0.49399999999999999</c:v>
                </c:pt>
                <c:pt idx="3">
                  <c:v>0.29549999999999998</c:v>
                </c:pt>
                <c:pt idx="4">
                  <c:v>-0.36899999999999999</c:v>
                </c:pt>
              </c:numCache>
            </c:numRef>
          </c:val>
          <c:extLst>
            <c:ext xmlns:c16="http://schemas.microsoft.com/office/drawing/2014/chart" uri="{C3380CC4-5D6E-409C-BE32-E72D297353CC}">
              <c16:uniqueId val="{00000005-F6B7-4D76-B2DE-E75218B8C096}"/>
            </c:ext>
          </c:extLst>
        </c:ser>
        <c:dLbls>
          <c:showLegendKey val="0"/>
          <c:showVal val="0"/>
          <c:showCatName val="0"/>
          <c:showSerName val="0"/>
          <c:showPercent val="0"/>
          <c:showBubbleSize val="0"/>
        </c:dLbls>
        <c:gapWidth val="104"/>
        <c:overlap val="100"/>
        <c:axId val="2055099440"/>
        <c:axId val="1307577904"/>
      </c:barChart>
      <c:lineChart>
        <c:grouping val="standard"/>
        <c:varyColors val="0"/>
        <c:ser>
          <c:idx val="6"/>
          <c:order val="6"/>
          <c:tx>
            <c:v>Total</c:v>
          </c:tx>
          <c:spPr>
            <a:ln w="28575" cap="rnd">
              <a:solidFill>
                <a:sysClr val="windowText" lastClr="000000"/>
              </a:solidFill>
              <a:round/>
            </a:ln>
            <a:effectLst/>
          </c:spPr>
          <c:marker>
            <c:symbol val="none"/>
          </c:marker>
          <c:val>
            <c:numRef>
              <c:f>'Chart 4.2'!$Z$34:$AD$34</c:f>
              <c:numCache>
                <c:formatCode>0.0</c:formatCode>
                <c:ptCount val="5"/>
                <c:pt idx="0">
                  <c:v>2.829392540876519</c:v>
                </c:pt>
                <c:pt idx="1">
                  <c:v>4.6263323704345671</c:v>
                </c:pt>
                <c:pt idx="2">
                  <c:v>4.6366201085478878</c:v>
                </c:pt>
                <c:pt idx="3">
                  <c:v>5.5140143886606126</c:v>
                </c:pt>
                <c:pt idx="4">
                  <c:v>4.9814282977887387</c:v>
                </c:pt>
              </c:numCache>
            </c:numRef>
          </c:val>
          <c:smooth val="0"/>
          <c:extLst>
            <c:ext xmlns:c16="http://schemas.microsoft.com/office/drawing/2014/chart" uri="{C3380CC4-5D6E-409C-BE32-E72D297353CC}">
              <c16:uniqueId val="{00000006-F6B7-4D76-B2DE-E75218B8C096}"/>
            </c:ext>
          </c:extLst>
        </c:ser>
        <c:dLbls>
          <c:showLegendKey val="0"/>
          <c:showVal val="0"/>
          <c:showCatName val="0"/>
          <c:showSerName val="0"/>
          <c:showPercent val="0"/>
          <c:showBubbleSize val="0"/>
        </c:dLbls>
        <c:marker val="1"/>
        <c:smooth val="0"/>
        <c:axId val="2055099440"/>
        <c:axId val="1307577904"/>
      </c:lineChart>
      <c:catAx>
        <c:axId val="20550994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07577904"/>
        <c:crosses val="autoZero"/>
        <c:auto val="1"/>
        <c:lblAlgn val="ctr"/>
        <c:lblOffset val="100"/>
        <c:noMultiLvlLbl val="0"/>
      </c:catAx>
      <c:valAx>
        <c:axId val="1307577904"/>
        <c:scaling>
          <c:orientation val="minMax"/>
          <c:max val="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700"/>
                  <a:t>$ billion</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55099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'Box 4.1a'!$V$19</c:f>
              <c:strCache>
                <c:ptCount val="1"/>
                <c:pt idx="0">
                  <c:v>Transfer Duty</c:v>
                </c:pt>
              </c:strCache>
            </c:strRef>
          </c:tx>
          <c:spPr>
            <a:solidFill>
              <a:srgbClr val="008EBA"/>
            </a:solidFill>
            <a:ln>
              <a:noFill/>
            </a:ln>
            <a:effectLst/>
          </c:spPr>
          <c:invertIfNegative val="0"/>
          <c:cat>
            <c:strRef>
              <c:f>'Box 4.1a'!$Y$18:$AH$18</c:f>
              <c:strCache>
                <c:ptCount val="10"/>
                <c:pt idx="0">
                  <c:v>2016-17</c:v>
                </c:pt>
                <c:pt idx="1">
                  <c:v>2017-18</c:v>
                </c:pt>
                <c:pt idx="2">
                  <c:v>2018-19</c:v>
                </c:pt>
                <c:pt idx="3">
                  <c:v>2019-20</c:v>
                </c:pt>
                <c:pt idx="4">
                  <c:v>2020-21</c:v>
                </c:pt>
                <c:pt idx="5">
                  <c:v>2021-22</c:v>
                </c:pt>
                <c:pt idx="6">
                  <c:v>2022-23</c:v>
                </c:pt>
                <c:pt idx="7">
                  <c:v>2023-24</c:v>
                </c:pt>
                <c:pt idx="8">
                  <c:v>2024-25</c:v>
                </c:pt>
                <c:pt idx="9">
                  <c:v>2025-26</c:v>
                </c:pt>
              </c:strCache>
              <c:extLst/>
            </c:strRef>
          </c:cat>
          <c:val>
            <c:numRef>
              <c:f>'Box 4.1a'!$Y$19:$AH$19</c:f>
              <c:numCache>
                <c:formatCode>0.0%</c:formatCode>
                <c:ptCount val="10"/>
                <c:pt idx="0">
                  <c:v>3.3201646485262033E-2</c:v>
                </c:pt>
                <c:pt idx="1">
                  <c:v>-3.481223915440252E-2</c:v>
                </c:pt>
                <c:pt idx="2">
                  <c:v>-2.4402811479302879E-2</c:v>
                </c:pt>
                <c:pt idx="3">
                  <c:v>-9.3124256571255181E-3</c:v>
                </c:pt>
                <c:pt idx="4">
                  <c:v>5.3385163914618547E-2</c:v>
                </c:pt>
                <c:pt idx="5">
                  <c:v>9.1223236363944429E-2</c:v>
                </c:pt>
                <c:pt idx="6">
                  <c:v>-5.3961192073767525E-2</c:v>
                </c:pt>
                <c:pt idx="7">
                  <c:v>-2.6624591009397292E-2</c:v>
                </c:pt>
                <c:pt idx="8">
                  <c:v>1.4476067340654533E-2</c:v>
                </c:pt>
                <c:pt idx="9">
                  <c:v>1.3939630567066446E-2</c:v>
                </c:pt>
              </c:numCache>
              <c:extLst/>
            </c:numRef>
          </c:val>
          <c:extLst>
            <c:ext xmlns:c16="http://schemas.microsoft.com/office/drawing/2014/chart" uri="{C3380CC4-5D6E-409C-BE32-E72D297353CC}">
              <c16:uniqueId val="{00000000-E609-44C2-92F9-FF9F861F8D55}"/>
            </c:ext>
          </c:extLst>
        </c:ser>
        <c:ser>
          <c:idx val="3"/>
          <c:order val="1"/>
          <c:tx>
            <c:strRef>
              <c:f>'Box 4.1a'!$V$22</c:f>
              <c:strCache>
                <c:ptCount val="1"/>
                <c:pt idx="0">
                  <c:v>GST </c:v>
                </c:pt>
              </c:strCache>
            </c:strRef>
          </c:tx>
          <c:spPr>
            <a:solidFill>
              <a:srgbClr val="00426F"/>
            </a:solidFill>
            <a:ln>
              <a:noFill/>
            </a:ln>
            <a:effectLst/>
          </c:spPr>
          <c:invertIfNegative val="0"/>
          <c:cat>
            <c:strRef>
              <c:f>'Box 4.1a'!$Y$18:$AH$18</c:f>
              <c:strCache>
                <c:ptCount val="10"/>
                <c:pt idx="0">
                  <c:v>2016-17</c:v>
                </c:pt>
                <c:pt idx="1">
                  <c:v>2017-18</c:v>
                </c:pt>
                <c:pt idx="2">
                  <c:v>2018-19</c:v>
                </c:pt>
                <c:pt idx="3">
                  <c:v>2019-20</c:v>
                </c:pt>
                <c:pt idx="4">
                  <c:v>2020-21</c:v>
                </c:pt>
                <c:pt idx="5">
                  <c:v>2021-22</c:v>
                </c:pt>
                <c:pt idx="6">
                  <c:v>2022-23</c:v>
                </c:pt>
                <c:pt idx="7">
                  <c:v>2023-24</c:v>
                </c:pt>
                <c:pt idx="8">
                  <c:v>2024-25</c:v>
                </c:pt>
                <c:pt idx="9">
                  <c:v>2025-26</c:v>
                </c:pt>
              </c:strCache>
              <c:extLst/>
            </c:strRef>
          </c:cat>
          <c:val>
            <c:numRef>
              <c:f>'Box 4.1a'!$Y$22:$AH$22</c:f>
              <c:numCache>
                <c:formatCode>0.0%</c:formatCode>
                <c:ptCount val="10"/>
                <c:pt idx="0">
                  <c:v>-9.1414732412582675E-3</c:v>
                </c:pt>
                <c:pt idx="1">
                  <c:v>1.5255349013449715E-2</c:v>
                </c:pt>
                <c:pt idx="2">
                  <c:v>-9.6014000368325374E-4</c:v>
                </c:pt>
                <c:pt idx="3">
                  <c:v>3.2689787689733425E-3</c:v>
                </c:pt>
                <c:pt idx="4">
                  <c:v>1.6566791990423255E-2</c:v>
                </c:pt>
                <c:pt idx="5">
                  <c:v>8.0455610610682335E-2</c:v>
                </c:pt>
                <c:pt idx="6">
                  <c:v>3.3893161426312352E-2</c:v>
                </c:pt>
                <c:pt idx="7">
                  <c:v>1.1061205675068774E-2</c:v>
                </c:pt>
                <c:pt idx="8">
                  <c:v>1.2062706436208116E-2</c:v>
                </c:pt>
                <c:pt idx="9">
                  <c:v>1.4254249619626239E-2</c:v>
                </c:pt>
              </c:numCache>
              <c:extLst/>
            </c:numRef>
          </c:val>
          <c:extLst>
            <c:ext xmlns:c16="http://schemas.microsoft.com/office/drawing/2014/chart" uri="{C3380CC4-5D6E-409C-BE32-E72D297353CC}">
              <c16:uniqueId val="{00000001-E609-44C2-92F9-FF9F861F8D55}"/>
            </c:ext>
          </c:extLst>
        </c:ser>
        <c:ser>
          <c:idx val="2"/>
          <c:order val="2"/>
          <c:tx>
            <c:strRef>
              <c:f>'Box 4.1a'!$V$21</c:f>
              <c:strCache>
                <c:ptCount val="1"/>
                <c:pt idx="0">
                  <c:v>Royalties</c:v>
                </c:pt>
              </c:strCache>
            </c:strRef>
          </c:tx>
          <c:spPr>
            <a:solidFill>
              <a:srgbClr val="9ACA3C"/>
            </a:solidFill>
            <a:ln>
              <a:noFill/>
            </a:ln>
            <a:effectLst/>
          </c:spPr>
          <c:invertIfNegative val="0"/>
          <c:cat>
            <c:strRef>
              <c:f>'Box 4.1a'!$Y$18:$AH$18</c:f>
              <c:strCache>
                <c:ptCount val="10"/>
                <c:pt idx="0">
                  <c:v>2016-17</c:v>
                </c:pt>
                <c:pt idx="1">
                  <c:v>2017-18</c:v>
                </c:pt>
                <c:pt idx="2">
                  <c:v>2018-19</c:v>
                </c:pt>
                <c:pt idx="3">
                  <c:v>2019-20</c:v>
                </c:pt>
                <c:pt idx="4">
                  <c:v>2020-21</c:v>
                </c:pt>
                <c:pt idx="5">
                  <c:v>2021-22</c:v>
                </c:pt>
                <c:pt idx="6">
                  <c:v>2022-23</c:v>
                </c:pt>
                <c:pt idx="7">
                  <c:v>2023-24</c:v>
                </c:pt>
                <c:pt idx="8">
                  <c:v>2024-25</c:v>
                </c:pt>
                <c:pt idx="9">
                  <c:v>2025-26</c:v>
                </c:pt>
              </c:strCache>
              <c:extLst/>
            </c:strRef>
          </c:cat>
          <c:val>
            <c:numRef>
              <c:f>'Box 4.1a'!$Y$21:$AH$21</c:f>
              <c:numCache>
                <c:formatCode>0.0%</c:formatCode>
                <c:ptCount val="10"/>
                <c:pt idx="0">
                  <c:v>8.2217057083878841E-3</c:v>
                </c:pt>
                <c:pt idx="1">
                  <c:v>3.7046155239104238E-3</c:v>
                </c:pt>
                <c:pt idx="2">
                  <c:v>6.5301653760621581E-3</c:v>
                </c:pt>
                <c:pt idx="3">
                  <c:v>-8.0359230136109166E-3</c:v>
                </c:pt>
                <c:pt idx="4">
                  <c:v>-5.3346361582366567E-3</c:v>
                </c:pt>
                <c:pt idx="5">
                  <c:v>3.5792019626144818E-2</c:v>
                </c:pt>
                <c:pt idx="6">
                  <c:v>1.0196481626835886E-2</c:v>
                </c:pt>
                <c:pt idx="7">
                  <c:v>-1.8098454781072318E-2</c:v>
                </c:pt>
                <c:pt idx="8">
                  <c:v>-7.8553327498565046E-3</c:v>
                </c:pt>
                <c:pt idx="9">
                  <c:v>-3.9937371166564204E-3</c:v>
                </c:pt>
              </c:numCache>
              <c:extLst/>
            </c:numRef>
          </c:val>
          <c:extLst>
            <c:ext xmlns:c16="http://schemas.microsoft.com/office/drawing/2014/chart" uri="{C3380CC4-5D6E-409C-BE32-E72D297353CC}">
              <c16:uniqueId val="{00000002-E609-44C2-92F9-FF9F861F8D55}"/>
            </c:ext>
          </c:extLst>
        </c:ser>
        <c:ser>
          <c:idx val="1"/>
          <c:order val="3"/>
          <c:tx>
            <c:strRef>
              <c:f>'Box 4.1a'!$V$20</c:f>
              <c:strCache>
                <c:ptCount val="1"/>
                <c:pt idx="0">
                  <c:v>Payroll tax</c:v>
                </c:pt>
              </c:strCache>
            </c:strRef>
          </c:tx>
          <c:spPr>
            <a:solidFill>
              <a:srgbClr val="009484"/>
            </a:solidFill>
            <a:ln>
              <a:noFill/>
            </a:ln>
            <a:effectLst/>
          </c:spPr>
          <c:invertIfNegative val="0"/>
          <c:cat>
            <c:strRef>
              <c:f>'Box 4.1a'!$Y$18:$AH$18</c:f>
              <c:strCache>
                <c:ptCount val="10"/>
                <c:pt idx="0">
                  <c:v>2016-17</c:v>
                </c:pt>
                <c:pt idx="1">
                  <c:v>2017-18</c:v>
                </c:pt>
                <c:pt idx="2">
                  <c:v>2018-19</c:v>
                </c:pt>
                <c:pt idx="3">
                  <c:v>2019-20</c:v>
                </c:pt>
                <c:pt idx="4">
                  <c:v>2020-21</c:v>
                </c:pt>
                <c:pt idx="5">
                  <c:v>2021-22</c:v>
                </c:pt>
                <c:pt idx="6">
                  <c:v>2022-23</c:v>
                </c:pt>
                <c:pt idx="7">
                  <c:v>2023-24</c:v>
                </c:pt>
                <c:pt idx="8">
                  <c:v>2024-25</c:v>
                </c:pt>
                <c:pt idx="9">
                  <c:v>2025-26</c:v>
                </c:pt>
              </c:strCache>
              <c:extLst/>
            </c:strRef>
          </c:cat>
          <c:val>
            <c:numRef>
              <c:f>'Box 4.1a'!$Y$20:$AH$20</c:f>
              <c:numCache>
                <c:formatCode>0.0%</c:formatCode>
                <c:ptCount val="10"/>
                <c:pt idx="0">
                  <c:v>5.7221952702516633E-3</c:v>
                </c:pt>
                <c:pt idx="1">
                  <c:v>1.1952388556027859E-2</c:v>
                </c:pt>
                <c:pt idx="2">
                  <c:v>1.0243627211069438E-2</c:v>
                </c:pt>
                <c:pt idx="3">
                  <c:v>-1.6406485638422601E-2</c:v>
                </c:pt>
                <c:pt idx="4">
                  <c:v>7.9456052329948748E-3</c:v>
                </c:pt>
                <c:pt idx="5">
                  <c:v>1.810738754353995E-3</c:v>
                </c:pt>
                <c:pt idx="6">
                  <c:v>3.135778113355079E-2</c:v>
                </c:pt>
                <c:pt idx="7">
                  <c:v>7.9582763263076634E-3</c:v>
                </c:pt>
                <c:pt idx="8">
                  <c:v>8.7287683253552528E-3</c:v>
                </c:pt>
                <c:pt idx="9">
                  <c:v>8.5229082143236205E-3</c:v>
                </c:pt>
              </c:numCache>
              <c:extLst/>
            </c:numRef>
          </c:val>
          <c:extLst>
            <c:ext xmlns:c16="http://schemas.microsoft.com/office/drawing/2014/chart" uri="{C3380CC4-5D6E-409C-BE32-E72D297353CC}">
              <c16:uniqueId val="{00000003-E609-44C2-92F9-FF9F861F8D55}"/>
            </c:ext>
          </c:extLst>
        </c:ser>
        <c:ser>
          <c:idx val="4"/>
          <c:order val="4"/>
          <c:tx>
            <c:strRef>
              <c:f>'Box 4.1a'!$V$23</c:f>
              <c:strCache>
                <c:ptCount val="1"/>
                <c:pt idx="0">
                  <c:v>Other taxes</c:v>
                </c:pt>
              </c:strCache>
            </c:strRef>
          </c:tx>
          <c:spPr>
            <a:solidFill>
              <a:srgbClr val="A50776"/>
            </a:solidFill>
            <a:ln>
              <a:noFill/>
            </a:ln>
            <a:effectLst/>
          </c:spPr>
          <c:invertIfNegative val="0"/>
          <c:cat>
            <c:strRef>
              <c:f>'Box 4.1a'!$Y$18:$AH$18</c:f>
              <c:strCache>
                <c:ptCount val="10"/>
                <c:pt idx="0">
                  <c:v>2016-17</c:v>
                </c:pt>
                <c:pt idx="1">
                  <c:v>2017-18</c:v>
                </c:pt>
                <c:pt idx="2">
                  <c:v>2018-19</c:v>
                </c:pt>
                <c:pt idx="3">
                  <c:v>2019-20</c:v>
                </c:pt>
                <c:pt idx="4">
                  <c:v>2020-21</c:v>
                </c:pt>
                <c:pt idx="5">
                  <c:v>2021-22</c:v>
                </c:pt>
                <c:pt idx="6">
                  <c:v>2022-23</c:v>
                </c:pt>
                <c:pt idx="7">
                  <c:v>2023-24</c:v>
                </c:pt>
                <c:pt idx="8">
                  <c:v>2024-25</c:v>
                </c:pt>
                <c:pt idx="9">
                  <c:v>2025-26</c:v>
                </c:pt>
              </c:strCache>
              <c:extLst/>
            </c:strRef>
          </c:cat>
          <c:val>
            <c:numRef>
              <c:f>'Box 4.1a'!$Y$23:$AH$23</c:f>
              <c:numCache>
                <c:formatCode>0.0%</c:formatCode>
                <c:ptCount val="10"/>
                <c:pt idx="0">
                  <c:v>-2.8931872403401612E-4</c:v>
                </c:pt>
                <c:pt idx="1">
                  <c:v>3.0073631257871093E-2</c:v>
                </c:pt>
                <c:pt idx="2">
                  <c:v>1.6136745247642137E-2</c:v>
                </c:pt>
                <c:pt idx="3">
                  <c:v>4.460046492635609E-3</c:v>
                </c:pt>
                <c:pt idx="4">
                  <c:v>2.8522573326379589E-2</c:v>
                </c:pt>
                <c:pt idx="5">
                  <c:v>-2.1124654410126795E-3</c:v>
                </c:pt>
                <c:pt idx="6">
                  <c:v>2.6563860505433787E-2</c:v>
                </c:pt>
                <c:pt idx="7">
                  <c:v>1.9412049540886534E-2</c:v>
                </c:pt>
                <c:pt idx="8">
                  <c:v>6.600012857746561E-3</c:v>
                </c:pt>
                <c:pt idx="9">
                  <c:v>5.9574904628931806E-3</c:v>
                </c:pt>
              </c:numCache>
              <c:extLst/>
            </c:numRef>
          </c:val>
          <c:extLst>
            <c:ext xmlns:c16="http://schemas.microsoft.com/office/drawing/2014/chart" uri="{C3380CC4-5D6E-409C-BE32-E72D297353CC}">
              <c16:uniqueId val="{00000004-E609-44C2-92F9-FF9F861F8D55}"/>
            </c:ext>
          </c:extLst>
        </c:ser>
        <c:dLbls>
          <c:showLegendKey val="0"/>
          <c:showVal val="0"/>
          <c:showCatName val="0"/>
          <c:showSerName val="0"/>
          <c:showPercent val="0"/>
          <c:showBubbleSize val="0"/>
        </c:dLbls>
        <c:gapWidth val="100"/>
        <c:overlap val="100"/>
        <c:axId val="2133867487"/>
        <c:axId val="2133868735"/>
      </c:barChart>
      <c:lineChart>
        <c:grouping val="standard"/>
        <c:varyColors val="0"/>
        <c:ser>
          <c:idx val="5"/>
          <c:order val="5"/>
          <c:tx>
            <c:strRef>
              <c:f>'Box 4.1a'!$V$24</c:f>
              <c:strCache>
                <c:ptCount val="1"/>
                <c:pt idx="0">
                  <c:v>Total tax, GST and royalties</c:v>
                </c:pt>
              </c:strCache>
            </c:strRef>
          </c:tx>
          <c:spPr>
            <a:ln w="28575" cap="rnd">
              <a:solidFill>
                <a:schemeClr val="tx1"/>
              </a:solidFill>
              <a:round/>
            </a:ln>
            <a:effectLst/>
          </c:spPr>
          <c:marker>
            <c:symbol val="none"/>
          </c:marker>
          <c:cat>
            <c:strRef>
              <c:f>'Box 4.1a'!$Y$18:$AH$18</c:f>
              <c:strCache>
                <c:ptCount val="10"/>
                <c:pt idx="0">
                  <c:v>2016-17</c:v>
                </c:pt>
                <c:pt idx="1">
                  <c:v>2017-18</c:v>
                </c:pt>
                <c:pt idx="2">
                  <c:v>2018-19</c:v>
                </c:pt>
                <c:pt idx="3">
                  <c:v>2019-20</c:v>
                </c:pt>
                <c:pt idx="4">
                  <c:v>2020-21</c:v>
                </c:pt>
                <c:pt idx="5">
                  <c:v>2021-22</c:v>
                </c:pt>
                <c:pt idx="6">
                  <c:v>2022-23</c:v>
                </c:pt>
                <c:pt idx="7">
                  <c:v>2023-24</c:v>
                </c:pt>
                <c:pt idx="8">
                  <c:v>2024-25</c:v>
                </c:pt>
                <c:pt idx="9">
                  <c:v>2025-26</c:v>
                </c:pt>
              </c:strCache>
              <c:extLst/>
            </c:strRef>
          </c:cat>
          <c:val>
            <c:numRef>
              <c:f>'Box 4.1a'!$Y$24:$AH$24</c:f>
              <c:numCache>
                <c:formatCode>0.0%</c:formatCode>
                <c:ptCount val="10"/>
                <c:pt idx="0">
                  <c:v>3.7714755498609344E-2</c:v>
                </c:pt>
                <c:pt idx="1">
                  <c:v>2.6173745196856484E-2</c:v>
                </c:pt>
                <c:pt idx="2">
                  <c:v>7.5475863517876062E-3</c:v>
                </c:pt>
                <c:pt idx="3">
                  <c:v>-2.6025809047550037E-2</c:v>
                </c:pt>
                <c:pt idx="4">
                  <c:v>0.10108549830617965</c:v>
                </c:pt>
                <c:pt idx="5">
                  <c:v>0.2071691399141129</c:v>
                </c:pt>
                <c:pt idx="6">
                  <c:v>4.8050092618365271E-2</c:v>
                </c:pt>
                <c:pt idx="7">
                  <c:v>-6.2915142482066425E-3</c:v>
                </c:pt>
                <c:pt idx="8">
                  <c:v>3.4012222210107933E-2</c:v>
                </c:pt>
                <c:pt idx="9">
                  <c:v>3.8680541747253126E-2</c:v>
                </c:pt>
              </c:numCache>
              <c:extLst/>
            </c:numRef>
          </c:val>
          <c:smooth val="0"/>
          <c:extLst>
            <c:ext xmlns:c16="http://schemas.microsoft.com/office/drawing/2014/chart" uri="{C3380CC4-5D6E-409C-BE32-E72D297353CC}">
              <c16:uniqueId val="{00000005-E609-44C2-92F9-FF9F861F8D55}"/>
            </c:ext>
          </c:extLst>
        </c:ser>
        <c:ser>
          <c:idx val="6"/>
          <c:order val="6"/>
          <c:spPr>
            <a:ln w="9525" cap="rnd">
              <a:solidFill>
                <a:srgbClr val="FF0000"/>
              </a:solidFill>
              <a:prstDash val="sysDash"/>
              <a:round/>
            </a:ln>
            <a:effectLst/>
          </c:spPr>
          <c:marker>
            <c:symbol val="none"/>
          </c:marker>
          <c:cat>
            <c:strLit>
              <c:ptCount val="10"/>
              <c:pt idx="0">
                <c:v>2016-17</c:v>
              </c:pt>
              <c:pt idx="1">
                <c:v>2017-18</c:v>
              </c:pt>
              <c:pt idx="2">
                <c:v>2018-19</c:v>
              </c:pt>
              <c:pt idx="3">
                <c:v>2019-20</c:v>
              </c:pt>
              <c:pt idx="4">
                <c:v>2020-21</c:v>
              </c:pt>
              <c:pt idx="5">
                <c:v>2021-22</c:v>
              </c:pt>
              <c:pt idx="6">
                <c:v>2022-23</c:v>
              </c:pt>
              <c:pt idx="7">
                <c:v>2023-24</c:v>
              </c:pt>
              <c:pt idx="8">
                <c:v>2024-25</c:v>
              </c:pt>
              <c:pt idx="9">
                <c:v>2025-26</c:v>
              </c:pt>
              <c:extLst>
                <c:ext xmlns:c15="http://schemas.microsoft.com/office/drawing/2012/chart" uri="{02D57815-91ED-43cb-92C2-25804820EDAC}">
                  <c15:autoCat val="1"/>
                </c:ext>
              </c:extLst>
            </c:strLit>
          </c:cat>
          <c:val>
            <c:numRef>
              <c:f>'Box 4.1a'!$Y$25:$AH$25</c:f>
              <c:numCache>
                <c:formatCode>0.00%</c:formatCode>
                <c:ptCount val="10"/>
                <c:pt idx="0">
                  <c:v>0.06</c:v>
                </c:pt>
                <c:pt idx="1">
                  <c:v>0.06</c:v>
                </c:pt>
                <c:pt idx="2">
                  <c:v>0.06</c:v>
                </c:pt>
                <c:pt idx="3">
                  <c:v>0.06</c:v>
                </c:pt>
                <c:pt idx="4">
                  <c:v>0.06</c:v>
                </c:pt>
                <c:pt idx="5">
                  <c:v>0.06</c:v>
                </c:pt>
                <c:pt idx="6">
                  <c:v>0.06</c:v>
                </c:pt>
                <c:pt idx="7">
                  <c:v>0.06</c:v>
                </c:pt>
                <c:pt idx="8">
                  <c:v>0.06</c:v>
                </c:pt>
                <c:pt idx="9">
                  <c:v>0.06</c:v>
                </c:pt>
              </c:numCache>
              <c:extLst/>
            </c:numRef>
          </c:val>
          <c:smooth val="0"/>
          <c:extLst>
            <c:ext xmlns:c16="http://schemas.microsoft.com/office/drawing/2014/chart" uri="{C3380CC4-5D6E-409C-BE32-E72D297353CC}">
              <c16:uniqueId val="{00000006-E609-44C2-92F9-FF9F861F8D55}"/>
            </c:ext>
          </c:extLst>
        </c:ser>
        <c:dLbls>
          <c:showLegendKey val="0"/>
          <c:showVal val="0"/>
          <c:showCatName val="0"/>
          <c:showSerName val="0"/>
          <c:showPercent val="0"/>
          <c:showBubbleSize val="0"/>
        </c:dLbls>
        <c:marker val="1"/>
        <c:smooth val="0"/>
        <c:axId val="2133867487"/>
        <c:axId val="2133868735"/>
      </c:lineChart>
      <c:catAx>
        <c:axId val="2133867487"/>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33868735"/>
        <c:crosses val="autoZero"/>
        <c:auto val="1"/>
        <c:lblAlgn val="ctr"/>
        <c:lblOffset val="100"/>
        <c:noMultiLvlLbl val="0"/>
      </c:catAx>
      <c:valAx>
        <c:axId val="213386873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33867487"/>
        <c:crosses val="autoZero"/>
        <c:crossBetween val="between"/>
      </c:valAx>
      <c:spPr>
        <a:noFill/>
        <a:ln>
          <a:noFill/>
        </a:ln>
        <a:effectLst/>
      </c:spPr>
    </c:plotArea>
    <c:legend>
      <c:legendPos val="b"/>
      <c:legendEntry>
        <c:idx val="6"/>
        <c:delete val="1"/>
      </c:legendEntry>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563614717470485"/>
          <c:y val="8.0980099431557817E-2"/>
          <c:w val="0.72892440637499378"/>
          <c:h val="0.70476229912117638"/>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009484"/>
              </a:solidFill>
              <a:ln>
                <a:noFill/>
              </a:ln>
              <a:effectLst/>
            </c:spPr>
            <c:extLst>
              <c:ext xmlns:c16="http://schemas.microsoft.com/office/drawing/2014/chart" uri="{C3380CC4-5D6E-409C-BE32-E72D297353CC}">
                <c16:uniqueId val="{00000001-0B1B-4311-AED0-B6018E2AA0CA}"/>
              </c:ext>
            </c:extLst>
          </c:dPt>
          <c:dPt>
            <c:idx val="1"/>
            <c:invertIfNegative val="0"/>
            <c:bubble3D val="0"/>
            <c:spPr>
              <a:solidFill>
                <a:srgbClr val="009484"/>
              </a:solidFill>
              <a:ln>
                <a:noFill/>
              </a:ln>
              <a:effectLst/>
            </c:spPr>
            <c:extLst>
              <c:ext xmlns:c16="http://schemas.microsoft.com/office/drawing/2014/chart" uri="{C3380CC4-5D6E-409C-BE32-E72D297353CC}">
                <c16:uniqueId val="{00000003-0B1B-4311-AED0-B6018E2AA0CA}"/>
              </c:ext>
            </c:extLst>
          </c:dPt>
          <c:dPt>
            <c:idx val="2"/>
            <c:invertIfNegative val="0"/>
            <c:bubble3D val="0"/>
            <c:spPr>
              <a:solidFill>
                <a:srgbClr val="009484"/>
              </a:solidFill>
              <a:ln>
                <a:noFill/>
              </a:ln>
              <a:effectLst/>
            </c:spPr>
            <c:extLst>
              <c:ext xmlns:c16="http://schemas.microsoft.com/office/drawing/2014/chart" uri="{C3380CC4-5D6E-409C-BE32-E72D297353CC}">
                <c16:uniqueId val="{00000005-0B1B-4311-AED0-B6018E2AA0CA}"/>
              </c:ext>
            </c:extLst>
          </c:dPt>
          <c:dPt>
            <c:idx val="3"/>
            <c:invertIfNegative val="0"/>
            <c:bubble3D val="0"/>
            <c:spPr>
              <a:solidFill>
                <a:srgbClr val="00426F"/>
              </a:solidFill>
              <a:ln>
                <a:noFill/>
              </a:ln>
              <a:effectLst/>
            </c:spPr>
            <c:extLst>
              <c:ext xmlns:c16="http://schemas.microsoft.com/office/drawing/2014/chart" uri="{C3380CC4-5D6E-409C-BE32-E72D297353CC}">
                <c16:uniqueId val="{00000010-0B1B-4311-AED0-B6018E2AA0CA}"/>
              </c:ext>
            </c:extLst>
          </c:dPt>
          <c:dPt>
            <c:idx val="4"/>
            <c:invertIfNegative val="0"/>
            <c:bubble3D val="0"/>
            <c:spPr>
              <a:solidFill>
                <a:srgbClr val="00426F"/>
              </a:solidFill>
              <a:ln>
                <a:noFill/>
              </a:ln>
              <a:effectLst/>
            </c:spPr>
            <c:extLst>
              <c:ext xmlns:c16="http://schemas.microsoft.com/office/drawing/2014/chart" uri="{C3380CC4-5D6E-409C-BE32-E72D297353CC}">
                <c16:uniqueId val="{0000000F-0B1B-4311-AED0-B6018E2AA0CA}"/>
              </c:ext>
            </c:extLst>
          </c:dPt>
          <c:dPt>
            <c:idx val="5"/>
            <c:invertIfNegative val="0"/>
            <c:bubble3D val="0"/>
            <c:spPr>
              <a:solidFill>
                <a:srgbClr val="00426F"/>
              </a:solidFill>
              <a:ln>
                <a:noFill/>
              </a:ln>
              <a:effectLst/>
            </c:spPr>
            <c:extLst>
              <c:ext xmlns:c16="http://schemas.microsoft.com/office/drawing/2014/chart" uri="{C3380CC4-5D6E-409C-BE32-E72D297353CC}">
                <c16:uniqueId val="{00000007-0B1B-4311-AED0-B6018E2AA0CA}"/>
              </c:ext>
            </c:extLst>
          </c:dPt>
          <c:dPt>
            <c:idx val="6"/>
            <c:invertIfNegative val="0"/>
            <c:bubble3D val="0"/>
            <c:spPr>
              <a:solidFill>
                <a:srgbClr val="00426F"/>
              </a:solidFill>
              <a:ln>
                <a:noFill/>
              </a:ln>
              <a:effectLst/>
            </c:spPr>
            <c:extLst>
              <c:ext xmlns:c16="http://schemas.microsoft.com/office/drawing/2014/chart" uri="{C3380CC4-5D6E-409C-BE32-E72D297353CC}">
                <c16:uniqueId val="{00000009-0B1B-4311-AED0-B6018E2AA0CA}"/>
              </c:ext>
            </c:extLst>
          </c:dPt>
          <c:dPt>
            <c:idx val="7"/>
            <c:invertIfNegative val="0"/>
            <c:bubble3D val="0"/>
            <c:spPr>
              <a:solidFill>
                <a:srgbClr val="00426F"/>
              </a:solidFill>
              <a:ln>
                <a:noFill/>
              </a:ln>
              <a:effectLst/>
            </c:spPr>
            <c:extLst>
              <c:ext xmlns:c16="http://schemas.microsoft.com/office/drawing/2014/chart" uri="{C3380CC4-5D6E-409C-BE32-E72D297353CC}">
                <c16:uniqueId val="{0000000B-0B1B-4311-AED0-B6018E2AA0CA}"/>
              </c:ext>
            </c:extLst>
          </c:dPt>
          <c:dPt>
            <c:idx val="8"/>
            <c:invertIfNegative val="0"/>
            <c:bubble3D val="0"/>
            <c:spPr>
              <a:solidFill>
                <a:srgbClr val="00426F"/>
              </a:solidFill>
              <a:ln>
                <a:noFill/>
              </a:ln>
              <a:effectLst/>
            </c:spPr>
            <c:extLst>
              <c:ext xmlns:c16="http://schemas.microsoft.com/office/drawing/2014/chart" uri="{C3380CC4-5D6E-409C-BE32-E72D297353CC}">
                <c16:uniqueId val="{0000000E-0B1B-4311-AED0-B6018E2AA0CA}"/>
              </c:ext>
            </c:extLst>
          </c:dPt>
          <c:cat>
            <c:strRef>
              <c:f>'Chart 5.5'!$A$2:$A$10</c:f>
              <c:strCache>
                <c:ptCount val="9"/>
                <c:pt idx="0">
                  <c:v>Dividends</c:v>
                </c:pt>
                <c:pt idx="1">
                  <c:v>Sale of goods &amp; services</c:v>
                </c:pt>
                <c:pt idx="2">
                  <c:v>Royalties &amp; other </c:v>
                </c:pt>
                <c:pt idx="3">
                  <c:v>Other taxes</c:v>
                </c:pt>
                <c:pt idx="4">
                  <c:v>Gambling &amp; betting taxes</c:v>
                </c:pt>
                <c:pt idx="5">
                  <c:v>Motor vehicle taxes</c:v>
                </c:pt>
                <c:pt idx="6">
                  <c:v>Payroll tax</c:v>
                </c:pt>
                <c:pt idx="7">
                  <c:v>Land tax</c:v>
                </c:pt>
                <c:pt idx="8">
                  <c:v>Stamp duty </c:v>
                </c:pt>
              </c:strCache>
            </c:strRef>
          </c:cat>
          <c:val>
            <c:numRef>
              <c:f>'Chart 5.5'!$B$2:$B$10</c:f>
              <c:numCache>
                <c:formatCode>_(* #,##0.00_);_(* \(#,##0.00\);_(* "-"??_);_(@_)</c:formatCode>
                <c:ptCount val="9"/>
                <c:pt idx="0">
                  <c:v>3.3693058365120976</c:v>
                </c:pt>
                <c:pt idx="1">
                  <c:v>3.1177342075423553</c:v>
                </c:pt>
                <c:pt idx="2">
                  <c:v>2.9171582768289426</c:v>
                </c:pt>
                <c:pt idx="3">
                  <c:v>3.3137164935002801</c:v>
                </c:pt>
                <c:pt idx="4">
                  <c:v>2.9024524306254591</c:v>
                </c:pt>
                <c:pt idx="5">
                  <c:v>4.2966194776093118</c:v>
                </c:pt>
                <c:pt idx="6">
                  <c:v>4.4891214947251541</c:v>
                </c:pt>
                <c:pt idx="7">
                  <c:v>3.7324353545931359</c:v>
                </c:pt>
                <c:pt idx="8">
                  <c:v>3.9397803966954541</c:v>
                </c:pt>
              </c:numCache>
            </c:numRef>
          </c:val>
          <c:extLst>
            <c:ext xmlns:c16="http://schemas.microsoft.com/office/drawing/2014/chart" uri="{C3380CC4-5D6E-409C-BE32-E72D297353CC}">
              <c16:uniqueId val="{0000000C-0B1B-4311-AED0-B6018E2AA0CA}"/>
            </c:ext>
          </c:extLst>
        </c:ser>
        <c:dLbls>
          <c:showLegendKey val="0"/>
          <c:showVal val="0"/>
          <c:showCatName val="0"/>
          <c:showSerName val="0"/>
          <c:showPercent val="0"/>
          <c:showBubbleSize val="0"/>
        </c:dLbls>
        <c:gapWidth val="50"/>
        <c:axId val="397687039"/>
        <c:axId val="1200040671"/>
      </c:barChart>
      <c:catAx>
        <c:axId val="3976870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00040671"/>
        <c:crosses val="autoZero"/>
        <c:auto val="1"/>
        <c:lblAlgn val="ctr"/>
        <c:lblOffset val="100"/>
        <c:noMultiLvlLbl val="0"/>
      </c:catAx>
      <c:valAx>
        <c:axId val="1200040671"/>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Per cent</a:t>
                </a:r>
              </a:p>
            </c:rich>
          </c:tx>
          <c:layout>
            <c:manualLayout>
              <c:xMode val="edge"/>
              <c:yMode val="edge"/>
              <c:x val="0.48085627027753808"/>
              <c:y val="0.852367557712409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_-* #,##0.0_-;\-* #,##0.0_-;_-* &quot;-&quot;?_-;_-@_-"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97687039"/>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04099665769584"/>
          <c:y val="5.238867824756898E-2"/>
          <c:w val="0.86145248336161595"/>
          <c:h val="0.75407986720854869"/>
        </c:manualLayout>
      </c:layout>
      <c:lineChart>
        <c:grouping val="standard"/>
        <c:varyColors val="0"/>
        <c:ser>
          <c:idx val="0"/>
          <c:order val="0"/>
          <c:tx>
            <c:strRef>
              <c:f>'Chart 4.6 - Residential trans'!$A$9</c:f>
              <c:strCache>
                <c:ptCount val="1"/>
                <c:pt idx="0">
                  <c:v>Transactions (seasonally adjusted)</c:v>
                </c:pt>
              </c:strCache>
            </c:strRef>
          </c:tx>
          <c:spPr>
            <a:ln w="28575" cap="rnd">
              <a:solidFill>
                <a:srgbClr val="00426F"/>
              </a:solidFill>
              <a:round/>
            </a:ln>
            <a:effectLst/>
          </c:spPr>
          <c:marker>
            <c:symbol val="none"/>
          </c:marker>
          <c:cat>
            <c:numRef>
              <c:f>'Chart 4.6 - Residential trans'!$B$8:$EU$8</c:f>
              <c:numCache>
                <c:formatCode>mmm\-yy</c:formatCode>
                <c:ptCount val="150"/>
                <c:pt idx="0">
                  <c:v>32568</c:v>
                </c:pt>
                <c:pt idx="1">
                  <c:v>32660</c:v>
                </c:pt>
                <c:pt idx="2">
                  <c:v>32752</c:v>
                </c:pt>
                <c:pt idx="3">
                  <c:v>32843</c:v>
                </c:pt>
                <c:pt idx="4">
                  <c:v>32933</c:v>
                </c:pt>
                <c:pt idx="5">
                  <c:v>33025</c:v>
                </c:pt>
                <c:pt idx="6">
                  <c:v>33117</c:v>
                </c:pt>
                <c:pt idx="7">
                  <c:v>33208</c:v>
                </c:pt>
                <c:pt idx="8">
                  <c:v>33298</c:v>
                </c:pt>
                <c:pt idx="9">
                  <c:v>33390</c:v>
                </c:pt>
                <c:pt idx="10">
                  <c:v>33482</c:v>
                </c:pt>
                <c:pt idx="11">
                  <c:v>33573</c:v>
                </c:pt>
                <c:pt idx="12">
                  <c:v>33664</c:v>
                </c:pt>
                <c:pt idx="13">
                  <c:v>33756</c:v>
                </c:pt>
                <c:pt idx="14">
                  <c:v>33848</c:v>
                </c:pt>
                <c:pt idx="15">
                  <c:v>33939</c:v>
                </c:pt>
                <c:pt idx="16">
                  <c:v>34029</c:v>
                </c:pt>
                <c:pt idx="17">
                  <c:v>34121</c:v>
                </c:pt>
                <c:pt idx="18">
                  <c:v>34213</c:v>
                </c:pt>
                <c:pt idx="19">
                  <c:v>34304</c:v>
                </c:pt>
                <c:pt idx="20">
                  <c:v>34394</c:v>
                </c:pt>
                <c:pt idx="21">
                  <c:v>34486</c:v>
                </c:pt>
                <c:pt idx="22">
                  <c:v>34578</c:v>
                </c:pt>
                <c:pt idx="23">
                  <c:v>34669</c:v>
                </c:pt>
                <c:pt idx="24">
                  <c:v>34759</c:v>
                </c:pt>
                <c:pt idx="25">
                  <c:v>34851</c:v>
                </c:pt>
                <c:pt idx="26">
                  <c:v>34943</c:v>
                </c:pt>
                <c:pt idx="27">
                  <c:v>35034</c:v>
                </c:pt>
                <c:pt idx="28">
                  <c:v>35125</c:v>
                </c:pt>
                <c:pt idx="29">
                  <c:v>35217</c:v>
                </c:pt>
                <c:pt idx="30">
                  <c:v>35309</c:v>
                </c:pt>
                <c:pt idx="31">
                  <c:v>35400</c:v>
                </c:pt>
                <c:pt idx="32">
                  <c:v>35490</c:v>
                </c:pt>
                <c:pt idx="33">
                  <c:v>35582</c:v>
                </c:pt>
                <c:pt idx="34">
                  <c:v>35674</c:v>
                </c:pt>
                <c:pt idx="35">
                  <c:v>35765</c:v>
                </c:pt>
                <c:pt idx="36">
                  <c:v>35855</c:v>
                </c:pt>
                <c:pt idx="37">
                  <c:v>35947</c:v>
                </c:pt>
                <c:pt idx="38">
                  <c:v>36039</c:v>
                </c:pt>
                <c:pt idx="39">
                  <c:v>36130</c:v>
                </c:pt>
                <c:pt idx="40">
                  <c:v>36220</c:v>
                </c:pt>
                <c:pt idx="41">
                  <c:v>36312</c:v>
                </c:pt>
                <c:pt idx="42">
                  <c:v>36404</c:v>
                </c:pt>
                <c:pt idx="43">
                  <c:v>36495</c:v>
                </c:pt>
                <c:pt idx="44">
                  <c:v>36586</c:v>
                </c:pt>
                <c:pt idx="45">
                  <c:v>36678</c:v>
                </c:pt>
                <c:pt idx="46">
                  <c:v>36770</c:v>
                </c:pt>
                <c:pt idx="47">
                  <c:v>36861</c:v>
                </c:pt>
                <c:pt idx="48">
                  <c:v>36951</c:v>
                </c:pt>
                <c:pt idx="49">
                  <c:v>37043</c:v>
                </c:pt>
                <c:pt idx="50">
                  <c:v>37135</c:v>
                </c:pt>
                <c:pt idx="51">
                  <c:v>37226</c:v>
                </c:pt>
                <c:pt idx="52">
                  <c:v>37316</c:v>
                </c:pt>
                <c:pt idx="53">
                  <c:v>37408</c:v>
                </c:pt>
                <c:pt idx="54">
                  <c:v>37500</c:v>
                </c:pt>
                <c:pt idx="55">
                  <c:v>37591</c:v>
                </c:pt>
                <c:pt idx="56">
                  <c:v>37681</c:v>
                </c:pt>
                <c:pt idx="57">
                  <c:v>37773</c:v>
                </c:pt>
                <c:pt idx="58">
                  <c:v>37865</c:v>
                </c:pt>
                <c:pt idx="59">
                  <c:v>37956</c:v>
                </c:pt>
                <c:pt idx="60">
                  <c:v>38047</c:v>
                </c:pt>
                <c:pt idx="61">
                  <c:v>38139</c:v>
                </c:pt>
                <c:pt idx="62">
                  <c:v>38231</c:v>
                </c:pt>
                <c:pt idx="63">
                  <c:v>38322</c:v>
                </c:pt>
                <c:pt idx="64">
                  <c:v>38412</c:v>
                </c:pt>
                <c:pt idx="65">
                  <c:v>38504</c:v>
                </c:pt>
                <c:pt idx="66">
                  <c:v>38596</c:v>
                </c:pt>
                <c:pt idx="67">
                  <c:v>38687</c:v>
                </c:pt>
                <c:pt idx="68">
                  <c:v>38777</c:v>
                </c:pt>
                <c:pt idx="69">
                  <c:v>38869</c:v>
                </c:pt>
                <c:pt idx="70">
                  <c:v>38961</c:v>
                </c:pt>
                <c:pt idx="71">
                  <c:v>39052</c:v>
                </c:pt>
                <c:pt idx="72">
                  <c:v>39142</c:v>
                </c:pt>
                <c:pt idx="73">
                  <c:v>39234</c:v>
                </c:pt>
                <c:pt idx="74">
                  <c:v>39326</c:v>
                </c:pt>
                <c:pt idx="75">
                  <c:v>39417</c:v>
                </c:pt>
                <c:pt idx="76">
                  <c:v>39508</c:v>
                </c:pt>
                <c:pt idx="77">
                  <c:v>39600</c:v>
                </c:pt>
                <c:pt idx="78">
                  <c:v>39692</c:v>
                </c:pt>
                <c:pt idx="79">
                  <c:v>39783</c:v>
                </c:pt>
                <c:pt idx="80">
                  <c:v>39873</c:v>
                </c:pt>
                <c:pt idx="81">
                  <c:v>39965</c:v>
                </c:pt>
                <c:pt idx="82">
                  <c:v>40057</c:v>
                </c:pt>
                <c:pt idx="83">
                  <c:v>40148</c:v>
                </c:pt>
                <c:pt idx="84">
                  <c:v>40238</c:v>
                </c:pt>
                <c:pt idx="85">
                  <c:v>40330</c:v>
                </c:pt>
                <c:pt idx="86">
                  <c:v>40422</c:v>
                </c:pt>
                <c:pt idx="87">
                  <c:v>40513</c:v>
                </c:pt>
                <c:pt idx="88">
                  <c:v>40603</c:v>
                </c:pt>
                <c:pt idx="89">
                  <c:v>40695</c:v>
                </c:pt>
                <c:pt idx="90">
                  <c:v>40787</c:v>
                </c:pt>
                <c:pt idx="91">
                  <c:v>40878</c:v>
                </c:pt>
                <c:pt idx="92">
                  <c:v>40969</c:v>
                </c:pt>
                <c:pt idx="93">
                  <c:v>41061</c:v>
                </c:pt>
                <c:pt idx="94">
                  <c:v>41153</c:v>
                </c:pt>
                <c:pt idx="95">
                  <c:v>41244</c:v>
                </c:pt>
                <c:pt idx="96">
                  <c:v>41334</c:v>
                </c:pt>
                <c:pt idx="97">
                  <c:v>41426</c:v>
                </c:pt>
                <c:pt idx="98">
                  <c:v>41518</c:v>
                </c:pt>
                <c:pt idx="99">
                  <c:v>41609</c:v>
                </c:pt>
                <c:pt idx="100">
                  <c:v>41699</c:v>
                </c:pt>
                <c:pt idx="101">
                  <c:v>41791</c:v>
                </c:pt>
                <c:pt idx="102">
                  <c:v>41883</c:v>
                </c:pt>
                <c:pt idx="103">
                  <c:v>41974</c:v>
                </c:pt>
                <c:pt idx="104">
                  <c:v>42064</c:v>
                </c:pt>
                <c:pt idx="105">
                  <c:v>42156</c:v>
                </c:pt>
                <c:pt idx="106">
                  <c:v>42248</c:v>
                </c:pt>
                <c:pt idx="107">
                  <c:v>42339</c:v>
                </c:pt>
                <c:pt idx="108">
                  <c:v>42430</c:v>
                </c:pt>
                <c:pt idx="109">
                  <c:v>42522</c:v>
                </c:pt>
                <c:pt idx="110">
                  <c:v>42614</c:v>
                </c:pt>
                <c:pt idx="111">
                  <c:v>42705</c:v>
                </c:pt>
                <c:pt idx="112">
                  <c:v>42795</c:v>
                </c:pt>
                <c:pt idx="113">
                  <c:v>42887</c:v>
                </c:pt>
                <c:pt idx="114">
                  <c:v>42979</c:v>
                </c:pt>
                <c:pt idx="115">
                  <c:v>43070</c:v>
                </c:pt>
                <c:pt idx="116">
                  <c:v>43160</c:v>
                </c:pt>
                <c:pt idx="117">
                  <c:v>43252</c:v>
                </c:pt>
                <c:pt idx="118">
                  <c:v>43344</c:v>
                </c:pt>
                <c:pt idx="119">
                  <c:v>43435</c:v>
                </c:pt>
                <c:pt idx="120">
                  <c:v>43525</c:v>
                </c:pt>
                <c:pt idx="121">
                  <c:v>43617</c:v>
                </c:pt>
                <c:pt idx="122">
                  <c:v>43709</c:v>
                </c:pt>
                <c:pt idx="123">
                  <c:v>43800</c:v>
                </c:pt>
                <c:pt idx="124">
                  <c:v>43891</c:v>
                </c:pt>
                <c:pt idx="125">
                  <c:v>43983</c:v>
                </c:pt>
                <c:pt idx="126">
                  <c:v>44075</c:v>
                </c:pt>
                <c:pt idx="127">
                  <c:v>44166</c:v>
                </c:pt>
                <c:pt idx="128">
                  <c:v>44256</c:v>
                </c:pt>
                <c:pt idx="129">
                  <c:v>44348</c:v>
                </c:pt>
                <c:pt idx="130">
                  <c:v>44440</c:v>
                </c:pt>
                <c:pt idx="131">
                  <c:v>44531</c:v>
                </c:pt>
                <c:pt idx="132">
                  <c:v>44621</c:v>
                </c:pt>
                <c:pt idx="133">
                  <c:v>44713</c:v>
                </c:pt>
                <c:pt idx="134">
                  <c:v>44805</c:v>
                </c:pt>
                <c:pt idx="135">
                  <c:v>44896</c:v>
                </c:pt>
                <c:pt idx="136">
                  <c:v>44986</c:v>
                </c:pt>
                <c:pt idx="137">
                  <c:v>45078</c:v>
                </c:pt>
                <c:pt idx="138">
                  <c:v>45170</c:v>
                </c:pt>
                <c:pt idx="139">
                  <c:v>45261</c:v>
                </c:pt>
                <c:pt idx="140">
                  <c:v>45352</c:v>
                </c:pt>
                <c:pt idx="141">
                  <c:v>45444</c:v>
                </c:pt>
                <c:pt idx="142">
                  <c:v>45536</c:v>
                </c:pt>
                <c:pt idx="143">
                  <c:v>45627</c:v>
                </c:pt>
                <c:pt idx="144">
                  <c:v>45717</c:v>
                </c:pt>
                <c:pt idx="145">
                  <c:v>45809</c:v>
                </c:pt>
                <c:pt idx="146">
                  <c:v>45901</c:v>
                </c:pt>
                <c:pt idx="147">
                  <c:v>45992</c:v>
                </c:pt>
                <c:pt idx="148">
                  <c:v>46082</c:v>
                </c:pt>
                <c:pt idx="149">
                  <c:v>46174</c:v>
                </c:pt>
              </c:numCache>
            </c:numRef>
          </c:cat>
          <c:val>
            <c:numRef>
              <c:f>'Chart 4.6 - Residential trans'!$B$9:$EU$9</c:f>
              <c:numCache>
                <c:formatCode>#,##0.00</c:formatCode>
                <c:ptCount val="150"/>
                <c:pt idx="0">
                  <c:v>42826.224344371403</c:v>
                </c:pt>
                <c:pt idx="1">
                  <c:v>30732.389553807599</c:v>
                </c:pt>
                <c:pt idx="2">
                  <c:v>26975.042953112199</c:v>
                </c:pt>
                <c:pt idx="3">
                  <c:v>25128.4537608012</c:v>
                </c:pt>
                <c:pt idx="4">
                  <c:v>37533.292045095499</c:v>
                </c:pt>
                <c:pt idx="5">
                  <c:v>31478.147265686501</c:v>
                </c:pt>
                <c:pt idx="6">
                  <c:v>30806.774875691499</c:v>
                </c:pt>
                <c:pt idx="7">
                  <c:v>31110.985392127601</c:v>
                </c:pt>
                <c:pt idx="8">
                  <c:v>31117.335500042998</c:v>
                </c:pt>
                <c:pt idx="9">
                  <c:v>35128.777121510597</c:v>
                </c:pt>
                <c:pt idx="10">
                  <c:v>36202.392446754202</c:v>
                </c:pt>
                <c:pt idx="11">
                  <c:v>33807.173400071901</c:v>
                </c:pt>
                <c:pt idx="12">
                  <c:v>32478.233101665301</c:v>
                </c:pt>
                <c:pt idx="13">
                  <c:v>29843.688115972102</c:v>
                </c:pt>
                <c:pt idx="14">
                  <c:v>29376.9895628634</c:v>
                </c:pt>
                <c:pt idx="15">
                  <c:v>31168.239319236702</c:v>
                </c:pt>
                <c:pt idx="16">
                  <c:v>31752.1053679283</c:v>
                </c:pt>
                <c:pt idx="17">
                  <c:v>35041.196162977001</c:v>
                </c:pt>
                <c:pt idx="18">
                  <c:v>33481.580514388399</c:v>
                </c:pt>
                <c:pt idx="19">
                  <c:v>36899.455661509099</c:v>
                </c:pt>
                <c:pt idx="20">
                  <c:v>43150.048995486301</c:v>
                </c:pt>
                <c:pt idx="21">
                  <c:v>41112.210313431497</c:v>
                </c:pt>
                <c:pt idx="22">
                  <c:v>40271.508583571798</c:v>
                </c:pt>
                <c:pt idx="23">
                  <c:v>35387.547765423202</c:v>
                </c:pt>
                <c:pt idx="24">
                  <c:v>31063.387283138301</c:v>
                </c:pt>
                <c:pt idx="25">
                  <c:v>31340.994513619102</c:v>
                </c:pt>
                <c:pt idx="26">
                  <c:v>32123.109089092901</c:v>
                </c:pt>
                <c:pt idx="27">
                  <c:v>33411.485122653998</c:v>
                </c:pt>
                <c:pt idx="28">
                  <c:v>34601.173908272198</c:v>
                </c:pt>
                <c:pt idx="29">
                  <c:v>33137.539232560899</c:v>
                </c:pt>
                <c:pt idx="30">
                  <c:v>34338.835859453298</c:v>
                </c:pt>
                <c:pt idx="31">
                  <c:v>37130.670853734497</c:v>
                </c:pt>
                <c:pt idx="32">
                  <c:v>39543.141856808797</c:v>
                </c:pt>
                <c:pt idx="33">
                  <c:v>42825.562594046503</c:v>
                </c:pt>
                <c:pt idx="34">
                  <c:v>43405.158413708901</c:v>
                </c:pt>
                <c:pt idx="35">
                  <c:v>41433.341759973096</c:v>
                </c:pt>
                <c:pt idx="36">
                  <c:v>40284.196726799099</c:v>
                </c:pt>
                <c:pt idx="37">
                  <c:v>35720.277528467297</c:v>
                </c:pt>
                <c:pt idx="38">
                  <c:v>27870.18498238</c:v>
                </c:pt>
                <c:pt idx="39">
                  <c:v>30312.481038600701</c:v>
                </c:pt>
                <c:pt idx="40">
                  <c:v>28151.554247419499</c:v>
                </c:pt>
                <c:pt idx="41">
                  <c:v>30087.944660681402</c:v>
                </c:pt>
                <c:pt idx="42">
                  <c:v>32296.680414640701</c:v>
                </c:pt>
                <c:pt idx="43">
                  <c:v>35611.947730608197</c:v>
                </c:pt>
                <c:pt idx="44">
                  <c:v>32210.6588078083</c:v>
                </c:pt>
                <c:pt idx="45">
                  <c:v>35514.349398458296</c:v>
                </c:pt>
                <c:pt idx="46">
                  <c:v>27632.933696778899</c:v>
                </c:pt>
                <c:pt idx="47">
                  <c:v>29721.2840706795</c:v>
                </c:pt>
                <c:pt idx="48">
                  <c:v>34016.7355335869</c:v>
                </c:pt>
                <c:pt idx="49">
                  <c:v>34535.209134714503</c:v>
                </c:pt>
                <c:pt idx="50">
                  <c:v>37555.377848891403</c:v>
                </c:pt>
                <c:pt idx="51">
                  <c:v>34764.826412517701</c:v>
                </c:pt>
                <c:pt idx="52">
                  <c:v>37337.682683086998</c:v>
                </c:pt>
                <c:pt idx="53">
                  <c:v>38852.947821923197</c:v>
                </c:pt>
                <c:pt idx="54">
                  <c:v>36523.0838869769</c:v>
                </c:pt>
                <c:pt idx="55">
                  <c:v>36355.975877628101</c:v>
                </c:pt>
                <c:pt idx="56">
                  <c:v>41193.090601217198</c:v>
                </c:pt>
                <c:pt idx="57">
                  <c:v>49084.362093348798</c:v>
                </c:pt>
                <c:pt idx="58">
                  <c:v>58894.326485992802</c:v>
                </c:pt>
                <c:pt idx="59">
                  <c:v>56464.3124654899</c:v>
                </c:pt>
                <c:pt idx="60">
                  <c:v>46610.251351552797</c:v>
                </c:pt>
                <c:pt idx="61">
                  <c:v>45424.156131813303</c:v>
                </c:pt>
                <c:pt idx="62">
                  <c:v>39043.039124592498</c:v>
                </c:pt>
                <c:pt idx="63">
                  <c:v>39092.944261779499</c:v>
                </c:pt>
                <c:pt idx="64">
                  <c:v>38245.194792536</c:v>
                </c:pt>
                <c:pt idx="65">
                  <c:v>35677.4989250812</c:v>
                </c:pt>
                <c:pt idx="66">
                  <c:v>37808.576615820602</c:v>
                </c:pt>
                <c:pt idx="67">
                  <c:v>39866.779471754999</c:v>
                </c:pt>
                <c:pt idx="68">
                  <c:v>40508.006954759898</c:v>
                </c:pt>
                <c:pt idx="69">
                  <c:v>41148.804136932697</c:v>
                </c:pt>
                <c:pt idx="70">
                  <c:v>39955.857481596897</c:v>
                </c:pt>
                <c:pt idx="71">
                  <c:v>39016.054915849803</c:v>
                </c:pt>
                <c:pt idx="72">
                  <c:v>41276.896502597403</c:v>
                </c:pt>
                <c:pt idx="73">
                  <c:v>45661.0536250105</c:v>
                </c:pt>
                <c:pt idx="74">
                  <c:v>45400.649666721401</c:v>
                </c:pt>
                <c:pt idx="75">
                  <c:v>44824.110268524601</c:v>
                </c:pt>
                <c:pt idx="76">
                  <c:v>40897.080477696698</c:v>
                </c:pt>
                <c:pt idx="77">
                  <c:v>36161.045365212303</c:v>
                </c:pt>
                <c:pt idx="78">
                  <c:v>34964.827571820402</c:v>
                </c:pt>
                <c:pt idx="79">
                  <c:v>35619.638759446098</c:v>
                </c:pt>
                <c:pt idx="80">
                  <c:v>42121.4043830019</c:v>
                </c:pt>
                <c:pt idx="81">
                  <c:v>46325.297275807898</c:v>
                </c:pt>
                <c:pt idx="82">
                  <c:v>47986.061443009101</c:v>
                </c:pt>
                <c:pt idx="83">
                  <c:v>45111.568017022502</c:v>
                </c:pt>
                <c:pt idx="84">
                  <c:v>41833.619784288399</c:v>
                </c:pt>
                <c:pt idx="85">
                  <c:v>42021.322069887399</c:v>
                </c:pt>
                <c:pt idx="86">
                  <c:v>39862.1101279016</c:v>
                </c:pt>
                <c:pt idx="87">
                  <c:v>37300.263167793797</c:v>
                </c:pt>
                <c:pt idx="88">
                  <c:v>36862.993304263997</c:v>
                </c:pt>
                <c:pt idx="89">
                  <c:v>36391.166194550002</c:v>
                </c:pt>
                <c:pt idx="90">
                  <c:v>36551.795390400403</c:v>
                </c:pt>
                <c:pt idx="91">
                  <c:v>38336.1255869257</c:v>
                </c:pt>
                <c:pt idx="92">
                  <c:v>36145.221423495299</c:v>
                </c:pt>
                <c:pt idx="93">
                  <c:v>33538.740387436199</c:v>
                </c:pt>
                <c:pt idx="94">
                  <c:v>35896.644555640603</c:v>
                </c:pt>
                <c:pt idx="95">
                  <c:v>40217.664696180596</c:v>
                </c:pt>
                <c:pt idx="96">
                  <c:v>40586.267386959502</c:v>
                </c:pt>
                <c:pt idx="97">
                  <c:v>45158.143307369101</c:v>
                </c:pt>
                <c:pt idx="98">
                  <c:v>47344.580151219001</c:v>
                </c:pt>
                <c:pt idx="99">
                  <c:v>50539.971697990302</c:v>
                </c:pt>
                <c:pt idx="100">
                  <c:v>51929.611341393203</c:v>
                </c:pt>
                <c:pt idx="101">
                  <c:v>51425.283675232298</c:v>
                </c:pt>
                <c:pt idx="102">
                  <c:v>50695.783084975301</c:v>
                </c:pt>
                <c:pt idx="103">
                  <c:v>49796.387860233197</c:v>
                </c:pt>
                <c:pt idx="104">
                  <c:v>52882.531348899298</c:v>
                </c:pt>
                <c:pt idx="105">
                  <c:v>52748.412390310797</c:v>
                </c:pt>
                <c:pt idx="106">
                  <c:v>54119.122057004097</c:v>
                </c:pt>
                <c:pt idx="107">
                  <c:v>52077.788346548201</c:v>
                </c:pt>
                <c:pt idx="108">
                  <c:v>49813.471847097098</c:v>
                </c:pt>
                <c:pt idx="109">
                  <c:v>49808.7363739426</c:v>
                </c:pt>
                <c:pt idx="110">
                  <c:v>49983.467122944799</c:v>
                </c:pt>
                <c:pt idx="111">
                  <c:v>52905.936466403298</c:v>
                </c:pt>
                <c:pt idx="112">
                  <c:v>53076.409812099497</c:v>
                </c:pt>
                <c:pt idx="113">
                  <c:v>51787.957633687198</c:v>
                </c:pt>
                <c:pt idx="114">
                  <c:v>51135.134671063199</c:v>
                </c:pt>
                <c:pt idx="115">
                  <c:v>49303.374055935899</c:v>
                </c:pt>
                <c:pt idx="116">
                  <c:v>48729.279997130601</c:v>
                </c:pt>
                <c:pt idx="117">
                  <c:v>46702.337945600397</c:v>
                </c:pt>
                <c:pt idx="118">
                  <c:v>42793.405647641703</c:v>
                </c:pt>
                <c:pt idx="119">
                  <c:v>37604.353612597901</c:v>
                </c:pt>
                <c:pt idx="120">
                  <c:v>35253.323841129903</c:v>
                </c:pt>
                <c:pt idx="121">
                  <c:v>35587.281556262198</c:v>
                </c:pt>
                <c:pt idx="122">
                  <c:v>38902.541973252301</c:v>
                </c:pt>
                <c:pt idx="123">
                  <c:v>42215.396082406201</c:v>
                </c:pt>
                <c:pt idx="124">
                  <c:v>44043.527948129296</c:v>
                </c:pt>
                <c:pt idx="125">
                  <c:v>33947.470120707498</c:v>
                </c:pt>
                <c:pt idx="126">
                  <c:v>44246.467335179303</c:v>
                </c:pt>
                <c:pt idx="127">
                  <c:v>53001.016993763304</c:v>
                </c:pt>
                <c:pt idx="128">
                  <c:v>57790.034449165702</c:v>
                </c:pt>
                <c:pt idx="129">
                  <c:v>60169.140388907297</c:v>
                </c:pt>
                <c:pt idx="130">
                  <c:v>58181.207313102197</c:v>
                </c:pt>
                <c:pt idx="131">
                  <c:v>56897.827474576901</c:v>
                </c:pt>
                <c:pt idx="132">
                  <c:v>56467.793428384299</c:v>
                </c:pt>
              </c:numCache>
            </c:numRef>
          </c:val>
          <c:smooth val="0"/>
          <c:extLst>
            <c:ext xmlns:c16="http://schemas.microsoft.com/office/drawing/2014/chart" uri="{C3380CC4-5D6E-409C-BE32-E72D297353CC}">
              <c16:uniqueId val="{00000000-8A7E-4943-B1B4-F4B9A506627E}"/>
            </c:ext>
          </c:extLst>
        </c:ser>
        <c:ser>
          <c:idx val="1"/>
          <c:order val="1"/>
          <c:tx>
            <c:strRef>
              <c:f>'Chart 4.6 - Residential trans'!$A$10</c:f>
              <c:strCache>
                <c:ptCount val="1"/>
                <c:pt idx="0">
                  <c:v>2021-22 Half-Yearly Review</c:v>
                </c:pt>
              </c:strCache>
            </c:strRef>
          </c:tx>
          <c:spPr>
            <a:ln w="25400" cap="rnd">
              <a:solidFill>
                <a:srgbClr val="008EBA"/>
              </a:solidFill>
              <a:prstDash val="sysDash"/>
              <a:round/>
            </a:ln>
            <a:effectLst/>
          </c:spPr>
          <c:marker>
            <c:symbol val="none"/>
          </c:marker>
          <c:cat>
            <c:numRef>
              <c:f>'Chart 4.6 - Residential trans'!$B$8:$EU$8</c:f>
              <c:numCache>
                <c:formatCode>mmm\-yy</c:formatCode>
                <c:ptCount val="150"/>
                <c:pt idx="0">
                  <c:v>32568</c:v>
                </c:pt>
                <c:pt idx="1">
                  <c:v>32660</c:v>
                </c:pt>
                <c:pt idx="2">
                  <c:v>32752</c:v>
                </c:pt>
                <c:pt idx="3">
                  <c:v>32843</c:v>
                </c:pt>
                <c:pt idx="4">
                  <c:v>32933</c:v>
                </c:pt>
                <c:pt idx="5">
                  <c:v>33025</c:v>
                </c:pt>
                <c:pt idx="6">
                  <c:v>33117</c:v>
                </c:pt>
                <c:pt idx="7">
                  <c:v>33208</c:v>
                </c:pt>
                <c:pt idx="8">
                  <c:v>33298</c:v>
                </c:pt>
                <c:pt idx="9">
                  <c:v>33390</c:v>
                </c:pt>
                <c:pt idx="10">
                  <c:v>33482</c:v>
                </c:pt>
                <c:pt idx="11">
                  <c:v>33573</c:v>
                </c:pt>
                <c:pt idx="12">
                  <c:v>33664</c:v>
                </c:pt>
                <c:pt idx="13">
                  <c:v>33756</c:v>
                </c:pt>
                <c:pt idx="14">
                  <c:v>33848</c:v>
                </c:pt>
                <c:pt idx="15">
                  <c:v>33939</c:v>
                </c:pt>
                <c:pt idx="16">
                  <c:v>34029</c:v>
                </c:pt>
                <c:pt idx="17">
                  <c:v>34121</c:v>
                </c:pt>
                <c:pt idx="18">
                  <c:v>34213</c:v>
                </c:pt>
                <c:pt idx="19">
                  <c:v>34304</c:v>
                </c:pt>
                <c:pt idx="20">
                  <c:v>34394</c:v>
                </c:pt>
                <c:pt idx="21">
                  <c:v>34486</c:v>
                </c:pt>
                <c:pt idx="22">
                  <c:v>34578</c:v>
                </c:pt>
                <c:pt idx="23">
                  <c:v>34669</c:v>
                </c:pt>
                <c:pt idx="24">
                  <c:v>34759</c:v>
                </c:pt>
                <c:pt idx="25">
                  <c:v>34851</c:v>
                </c:pt>
                <c:pt idx="26">
                  <c:v>34943</c:v>
                </c:pt>
                <c:pt idx="27">
                  <c:v>35034</c:v>
                </c:pt>
                <c:pt idx="28">
                  <c:v>35125</c:v>
                </c:pt>
                <c:pt idx="29">
                  <c:v>35217</c:v>
                </c:pt>
                <c:pt idx="30">
                  <c:v>35309</c:v>
                </c:pt>
                <c:pt idx="31">
                  <c:v>35400</c:v>
                </c:pt>
                <c:pt idx="32">
                  <c:v>35490</c:v>
                </c:pt>
                <c:pt idx="33">
                  <c:v>35582</c:v>
                </c:pt>
                <c:pt idx="34">
                  <c:v>35674</c:v>
                </c:pt>
                <c:pt idx="35">
                  <c:v>35765</c:v>
                </c:pt>
                <c:pt idx="36">
                  <c:v>35855</c:v>
                </c:pt>
                <c:pt idx="37">
                  <c:v>35947</c:v>
                </c:pt>
                <c:pt idx="38">
                  <c:v>36039</c:v>
                </c:pt>
                <c:pt idx="39">
                  <c:v>36130</c:v>
                </c:pt>
                <c:pt idx="40">
                  <c:v>36220</c:v>
                </c:pt>
                <c:pt idx="41">
                  <c:v>36312</c:v>
                </c:pt>
                <c:pt idx="42">
                  <c:v>36404</c:v>
                </c:pt>
                <c:pt idx="43">
                  <c:v>36495</c:v>
                </c:pt>
                <c:pt idx="44">
                  <c:v>36586</c:v>
                </c:pt>
                <c:pt idx="45">
                  <c:v>36678</c:v>
                </c:pt>
                <c:pt idx="46">
                  <c:v>36770</c:v>
                </c:pt>
                <c:pt idx="47">
                  <c:v>36861</c:v>
                </c:pt>
                <c:pt idx="48">
                  <c:v>36951</c:v>
                </c:pt>
                <c:pt idx="49">
                  <c:v>37043</c:v>
                </c:pt>
                <c:pt idx="50">
                  <c:v>37135</c:v>
                </c:pt>
                <c:pt idx="51">
                  <c:v>37226</c:v>
                </c:pt>
                <c:pt idx="52">
                  <c:v>37316</c:v>
                </c:pt>
                <c:pt idx="53">
                  <c:v>37408</c:v>
                </c:pt>
                <c:pt idx="54">
                  <c:v>37500</c:v>
                </c:pt>
                <c:pt idx="55">
                  <c:v>37591</c:v>
                </c:pt>
                <c:pt idx="56">
                  <c:v>37681</c:v>
                </c:pt>
                <c:pt idx="57">
                  <c:v>37773</c:v>
                </c:pt>
                <c:pt idx="58">
                  <c:v>37865</c:v>
                </c:pt>
                <c:pt idx="59">
                  <c:v>37956</c:v>
                </c:pt>
                <c:pt idx="60">
                  <c:v>38047</c:v>
                </c:pt>
                <c:pt idx="61">
                  <c:v>38139</c:v>
                </c:pt>
                <c:pt idx="62">
                  <c:v>38231</c:v>
                </c:pt>
                <c:pt idx="63">
                  <c:v>38322</c:v>
                </c:pt>
                <c:pt idx="64">
                  <c:v>38412</c:v>
                </c:pt>
                <c:pt idx="65">
                  <c:v>38504</c:v>
                </c:pt>
                <c:pt idx="66">
                  <c:v>38596</c:v>
                </c:pt>
                <c:pt idx="67">
                  <c:v>38687</c:v>
                </c:pt>
                <c:pt idx="68">
                  <c:v>38777</c:v>
                </c:pt>
                <c:pt idx="69">
                  <c:v>38869</c:v>
                </c:pt>
                <c:pt idx="70">
                  <c:v>38961</c:v>
                </c:pt>
                <c:pt idx="71">
                  <c:v>39052</c:v>
                </c:pt>
                <c:pt idx="72">
                  <c:v>39142</c:v>
                </c:pt>
                <c:pt idx="73">
                  <c:v>39234</c:v>
                </c:pt>
                <c:pt idx="74">
                  <c:v>39326</c:v>
                </c:pt>
                <c:pt idx="75">
                  <c:v>39417</c:v>
                </c:pt>
                <c:pt idx="76">
                  <c:v>39508</c:v>
                </c:pt>
                <c:pt idx="77">
                  <c:v>39600</c:v>
                </c:pt>
                <c:pt idx="78">
                  <c:v>39692</c:v>
                </c:pt>
                <c:pt idx="79">
                  <c:v>39783</c:v>
                </c:pt>
                <c:pt idx="80">
                  <c:v>39873</c:v>
                </c:pt>
                <c:pt idx="81">
                  <c:v>39965</c:v>
                </c:pt>
                <c:pt idx="82">
                  <c:v>40057</c:v>
                </c:pt>
                <c:pt idx="83">
                  <c:v>40148</c:v>
                </c:pt>
                <c:pt idx="84">
                  <c:v>40238</c:v>
                </c:pt>
                <c:pt idx="85">
                  <c:v>40330</c:v>
                </c:pt>
                <c:pt idx="86">
                  <c:v>40422</c:v>
                </c:pt>
                <c:pt idx="87">
                  <c:v>40513</c:v>
                </c:pt>
                <c:pt idx="88">
                  <c:v>40603</c:v>
                </c:pt>
                <c:pt idx="89">
                  <c:v>40695</c:v>
                </c:pt>
                <c:pt idx="90">
                  <c:v>40787</c:v>
                </c:pt>
                <c:pt idx="91">
                  <c:v>40878</c:v>
                </c:pt>
                <c:pt idx="92">
                  <c:v>40969</c:v>
                </c:pt>
                <c:pt idx="93">
                  <c:v>41061</c:v>
                </c:pt>
                <c:pt idx="94">
                  <c:v>41153</c:v>
                </c:pt>
                <c:pt idx="95">
                  <c:v>41244</c:v>
                </c:pt>
                <c:pt idx="96">
                  <c:v>41334</c:v>
                </c:pt>
                <c:pt idx="97">
                  <c:v>41426</c:v>
                </c:pt>
                <c:pt idx="98">
                  <c:v>41518</c:v>
                </c:pt>
                <c:pt idx="99">
                  <c:v>41609</c:v>
                </c:pt>
                <c:pt idx="100">
                  <c:v>41699</c:v>
                </c:pt>
                <c:pt idx="101">
                  <c:v>41791</c:v>
                </c:pt>
                <c:pt idx="102">
                  <c:v>41883</c:v>
                </c:pt>
                <c:pt idx="103">
                  <c:v>41974</c:v>
                </c:pt>
                <c:pt idx="104">
                  <c:v>42064</c:v>
                </c:pt>
                <c:pt idx="105">
                  <c:v>42156</c:v>
                </c:pt>
                <c:pt idx="106">
                  <c:v>42248</c:v>
                </c:pt>
                <c:pt idx="107">
                  <c:v>42339</c:v>
                </c:pt>
                <c:pt idx="108">
                  <c:v>42430</c:v>
                </c:pt>
                <c:pt idx="109">
                  <c:v>42522</c:v>
                </c:pt>
                <c:pt idx="110">
                  <c:v>42614</c:v>
                </c:pt>
                <c:pt idx="111">
                  <c:v>42705</c:v>
                </c:pt>
                <c:pt idx="112">
                  <c:v>42795</c:v>
                </c:pt>
                <c:pt idx="113">
                  <c:v>42887</c:v>
                </c:pt>
                <c:pt idx="114">
                  <c:v>42979</c:v>
                </c:pt>
                <c:pt idx="115">
                  <c:v>43070</c:v>
                </c:pt>
                <c:pt idx="116">
                  <c:v>43160</c:v>
                </c:pt>
                <c:pt idx="117">
                  <c:v>43252</c:v>
                </c:pt>
                <c:pt idx="118">
                  <c:v>43344</c:v>
                </c:pt>
                <c:pt idx="119">
                  <c:v>43435</c:v>
                </c:pt>
                <c:pt idx="120">
                  <c:v>43525</c:v>
                </c:pt>
                <c:pt idx="121">
                  <c:v>43617</c:v>
                </c:pt>
                <c:pt idx="122">
                  <c:v>43709</c:v>
                </c:pt>
                <c:pt idx="123">
                  <c:v>43800</c:v>
                </c:pt>
                <c:pt idx="124">
                  <c:v>43891</c:v>
                </c:pt>
                <c:pt idx="125">
                  <c:v>43983</c:v>
                </c:pt>
                <c:pt idx="126">
                  <c:v>44075</c:v>
                </c:pt>
                <c:pt idx="127">
                  <c:v>44166</c:v>
                </c:pt>
                <c:pt idx="128">
                  <c:v>44256</c:v>
                </c:pt>
                <c:pt idx="129">
                  <c:v>44348</c:v>
                </c:pt>
                <c:pt idx="130">
                  <c:v>44440</c:v>
                </c:pt>
                <c:pt idx="131">
                  <c:v>44531</c:v>
                </c:pt>
                <c:pt idx="132">
                  <c:v>44621</c:v>
                </c:pt>
                <c:pt idx="133">
                  <c:v>44713</c:v>
                </c:pt>
                <c:pt idx="134">
                  <c:v>44805</c:v>
                </c:pt>
                <c:pt idx="135">
                  <c:v>44896</c:v>
                </c:pt>
                <c:pt idx="136">
                  <c:v>44986</c:v>
                </c:pt>
                <c:pt idx="137">
                  <c:v>45078</c:v>
                </c:pt>
                <c:pt idx="138">
                  <c:v>45170</c:v>
                </c:pt>
                <c:pt idx="139">
                  <c:v>45261</c:v>
                </c:pt>
                <c:pt idx="140">
                  <c:v>45352</c:v>
                </c:pt>
                <c:pt idx="141">
                  <c:v>45444</c:v>
                </c:pt>
                <c:pt idx="142">
                  <c:v>45536</c:v>
                </c:pt>
                <c:pt idx="143">
                  <c:v>45627</c:v>
                </c:pt>
                <c:pt idx="144">
                  <c:v>45717</c:v>
                </c:pt>
                <c:pt idx="145">
                  <c:v>45809</c:v>
                </c:pt>
                <c:pt idx="146">
                  <c:v>45901</c:v>
                </c:pt>
                <c:pt idx="147">
                  <c:v>45992</c:v>
                </c:pt>
                <c:pt idx="148">
                  <c:v>46082</c:v>
                </c:pt>
                <c:pt idx="149">
                  <c:v>46174</c:v>
                </c:pt>
              </c:numCache>
            </c:numRef>
          </c:cat>
          <c:val>
            <c:numRef>
              <c:f>'Chart 4.6 - Residential trans'!$B$10:$EU$10</c:f>
              <c:numCache>
                <c:formatCode>General</c:formatCode>
                <c:ptCount val="150"/>
                <c:pt idx="131" formatCode="#,##0.00">
                  <c:v>56413.31382709671</c:v>
                </c:pt>
                <c:pt idx="132" formatCode="#,##0.00">
                  <c:v>54585.746788604149</c:v>
                </c:pt>
                <c:pt idx="133" formatCode="#,##0.00">
                  <c:v>52721.533323372794</c:v>
                </c:pt>
                <c:pt idx="134" formatCode="#,##0.00">
                  <c:v>50860.463739402214</c:v>
                </c:pt>
                <c:pt idx="135" formatCode="#,##0.00">
                  <c:v>49073.437234298974</c:v>
                </c:pt>
                <c:pt idx="136" formatCode="#,##0.00">
                  <c:v>47303.444755325392</c:v>
                </c:pt>
                <c:pt idx="137" formatCode="#,##0.00">
                  <c:v>45508.723814295423</c:v>
                </c:pt>
                <c:pt idx="138" formatCode="#,##0.00">
                  <c:v>43759.203910989163</c:v>
                </c:pt>
                <c:pt idx="139" formatCode="#,##0.00">
                  <c:v>41957.281473036761</c:v>
                </c:pt>
                <c:pt idx="140" formatCode="#,##0.00">
                  <c:v>40177.659549256379</c:v>
                </c:pt>
                <c:pt idx="141" formatCode="#,##0.00">
                  <c:v>38410.969859558296</c:v>
                </c:pt>
                <c:pt idx="142" formatCode="#,##0.00">
                  <c:v>39641.118274212837</c:v>
                </c:pt>
                <c:pt idx="143" formatCode="#,##0.00">
                  <c:v>40831.425815733346</c:v>
                </c:pt>
                <c:pt idx="144" formatCode="#,##0.00">
                  <c:v>42046.41466080043</c:v>
                </c:pt>
                <c:pt idx="145" formatCode="#,##0.00">
                  <c:v>43396.327569071749</c:v>
                </c:pt>
                <c:pt idx="146" formatCode="#,##0.00">
                  <c:v>44870.041669763355</c:v>
                </c:pt>
                <c:pt idx="147" formatCode="#,##0.00">
                  <c:v>46445.67711120157</c:v>
                </c:pt>
                <c:pt idx="148" formatCode="#,##0.00">
                  <c:v>48167.807152779387</c:v>
                </c:pt>
                <c:pt idx="149" formatCode="#,##0.00">
                  <c:v>49706.479892051073</c:v>
                </c:pt>
              </c:numCache>
            </c:numRef>
          </c:val>
          <c:smooth val="0"/>
          <c:extLst>
            <c:ext xmlns:c16="http://schemas.microsoft.com/office/drawing/2014/chart" uri="{C3380CC4-5D6E-409C-BE32-E72D297353CC}">
              <c16:uniqueId val="{00000001-8A7E-4943-B1B4-F4B9A506627E}"/>
            </c:ext>
          </c:extLst>
        </c:ser>
        <c:ser>
          <c:idx val="2"/>
          <c:order val="2"/>
          <c:tx>
            <c:strRef>
              <c:f>'Chart 4.6 - Residential trans'!$A$11</c:f>
              <c:strCache>
                <c:ptCount val="1"/>
                <c:pt idx="0">
                  <c:v>2022-23 Budget</c:v>
                </c:pt>
              </c:strCache>
            </c:strRef>
          </c:tx>
          <c:spPr>
            <a:ln w="25400" cap="rnd">
              <a:solidFill>
                <a:srgbClr val="00426F"/>
              </a:solidFill>
              <a:prstDash val="sysDash"/>
              <a:round/>
            </a:ln>
            <a:effectLst/>
          </c:spPr>
          <c:marker>
            <c:symbol val="none"/>
          </c:marker>
          <c:cat>
            <c:numRef>
              <c:f>'Chart 4.6 - Residential trans'!$B$8:$EU$8</c:f>
              <c:numCache>
                <c:formatCode>mmm\-yy</c:formatCode>
                <c:ptCount val="150"/>
                <c:pt idx="0">
                  <c:v>32568</c:v>
                </c:pt>
                <c:pt idx="1">
                  <c:v>32660</c:v>
                </c:pt>
                <c:pt idx="2">
                  <c:v>32752</c:v>
                </c:pt>
                <c:pt idx="3">
                  <c:v>32843</c:v>
                </c:pt>
                <c:pt idx="4">
                  <c:v>32933</c:v>
                </c:pt>
                <c:pt idx="5">
                  <c:v>33025</c:v>
                </c:pt>
                <c:pt idx="6">
                  <c:v>33117</c:v>
                </c:pt>
                <c:pt idx="7">
                  <c:v>33208</c:v>
                </c:pt>
                <c:pt idx="8">
                  <c:v>33298</c:v>
                </c:pt>
                <c:pt idx="9">
                  <c:v>33390</c:v>
                </c:pt>
                <c:pt idx="10">
                  <c:v>33482</c:v>
                </c:pt>
                <c:pt idx="11">
                  <c:v>33573</c:v>
                </c:pt>
                <c:pt idx="12">
                  <c:v>33664</c:v>
                </c:pt>
                <c:pt idx="13">
                  <c:v>33756</c:v>
                </c:pt>
                <c:pt idx="14">
                  <c:v>33848</c:v>
                </c:pt>
                <c:pt idx="15">
                  <c:v>33939</c:v>
                </c:pt>
                <c:pt idx="16">
                  <c:v>34029</c:v>
                </c:pt>
                <c:pt idx="17">
                  <c:v>34121</c:v>
                </c:pt>
                <c:pt idx="18">
                  <c:v>34213</c:v>
                </c:pt>
                <c:pt idx="19">
                  <c:v>34304</c:v>
                </c:pt>
                <c:pt idx="20">
                  <c:v>34394</c:v>
                </c:pt>
                <c:pt idx="21">
                  <c:v>34486</c:v>
                </c:pt>
                <c:pt idx="22">
                  <c:v>34578</c:v>
                </c:pt>
                <c:pt idx="23">
                  <c:v>34669</c:v>
                </c:pt>
                <c:pt idx="24">
                  <c:v>34759</c:v>
                </c:pt>
                <c:pt idx="25">
                  <c:v>34851</c:v>
                </c:pt>
                <c:pt idx="26">
                  <c:v>34943</c:v>
                </c:pt>
                <c:pt idx="27">
                  <c:v>35034</c:v>
                </c:pt>
                <c:pt idx="28">
                  <c:v>35125</c:v>
                </c:pt>
                <c:pt idx="29">
                  <c:v>35217</c:v>
                </c:pt>
                <c:pt idx="30">
                  <c:v>35309</c:v>
                </c:pt>
                <c:pt idx="31">
                  <c:v>35400</c:v>
                </c:pt>
                <c:pt idx="32">
                  <c:v>35490</c:v>
                </c:pt>
                <c:pt idx="33">
                  <c:v>35582</c:v>
                </c:pt>
                <c:pt idx="34">
                  <c:v>35674</c:v>
                </c:pt>
                <c:pt idx="35">
                  <c:v>35765</c:v>
                </c:pt>
                <c:pt idx="36">
                  <c:v>35855</c:v>
                </c:pt>
                <c:pt idx="37">
                  <c:v>35947</c:v>
                </c:pt>
                <c:pt idx="38">
                  <c:v>36039</c:v>
                </c:pt>
                <c:pt idx="39">
                  <c:v>36130</c:v>
                </c:pt>
                <c:pt idx="40">
                  <c:v>36220</c:v>
                </c:pt>
                <c:pt idx="41">
                  <c:v>36312</c:v>
                </c:pt>
                <c:pt idx="42">
                  <c:v>36404</c:v>
                </c:pt>
                <c:pt idx="43">
                  <c:v>36495</c:v>
                </c:pt>
                <c:pt idx="44">
                  <c:v>36586</c:v>
                </c:pt>
                <c:pt idx="45">
                  <c:v>36678</c:v>
                </c:pt>
                <c:pt idx="46">
                  <c:v>36770</c:v>
                </c:pt>
                <c:pt idx="47">
                  <c:v>36861</c:v>
                </c:pt>
                <c:pt idx="48">
                  <c:v>36951</c:v>
                </c:pt>
                <c:pt idx="49">
                  <c:v>37043</c:v>
                </c:pt>
                <c:pt idx="50">
                  <c:v>37135</c:v>
                </c:pt>
                <c:pt idx="51">
                  <c:v>37226</c:v>
                </c:pt>
                <c:pt idx="52">
                  <c:v>37316</c:v>
                </c:pt>
                <c:pt idx="53">
                  <c:v>37408</c:v>
                </c:pt>
                <c:pt idx="54">
                  <c:v>37500</c:v>
                </c:pt>
                <c:pt idx="55">
                  <c:v>37591</c:v>
                </c:pt>
                <c:pt idx="56">
                  <c:v>37681</c:v>
                </c:pt>
                <c:pt idx="57">
                  <c:v>37773</c:v>
                </c:pt>
                <c:pt idx="58">
                  <c:v>37865</c:v>
                </c:pt>
                <c:pt idx="59">
                  <c:v>37956</c:v>
                </c:pt>
                <c:pt idx="60">
                  <c:v>38047</c:v>
                </c:pt>
                <c:pt idx="61">
                  <c:v>38139</c:v>
                </c:pt>
                <c:pt idx="62">
                  <c:v>38231</c:v>
                </c:pt>
                <c:pt idx="63">
                  <c:v>38322</c:v>
                </c:pt>
                <c:pt idx="64">
                  <c:v>38412</c:v>
                </c:pt>
                <c:pt idx="65">
                  <c:v>38504</c:v>
                </c:pt>
                <c:pt idx="66">
                  <c:v>38596</c:v>
                </c:pt>
                <c:pt idx="67">
                  <c:v>38687</c:v>
                </c:pt>
                <c:pt idx="68">
                  <c:v>38777</c:v>
                </c:pt>
                <c:pt idx="69">
                  <c:v>38869</c:v>
                </c:pt>
                <c:pt idx="70">
                  <c:v>38961</c:v>
                </c:pt>
                <c:pt idx="71">
                  <c:v>39052</c:v>
                </c:pt>
                <c:pt idx="72">
                  <c:v>39142</c:v>
                </c:pt>
                <c:pt idx="73">
                  <c:v>39234</c:v>
                </c:pt>
                <c:pt idx="74">
                  <c:v>39326</c:v>
                </c:pt>
                <c:pt idx="75">
                  <c:v>39417</c:v>
                </c:pt>
                <c:pt idx="76">
                  <c:v>39508</c:v>
                </c:pt>
                <c:pt idx="77">
                  <c:v>39600</c:v>
                </c:pt>
                <c:pt idx="78">
                  <c:v>39692</c:v>
                </c:pt>
                <c:pt idx="79">
                  <c:v>39783</c:v>
                </c:pt>
                <c:pt idx="80">
                  <c:v>39873</c:v>
                </c:pt>
                <c:pt idx="81">
                  <c:v>39965</c:v>
                </c:pt>
                <c:pt idx="82">
                  <c:v>40057</c:v>
                </c:pt>
                <c:pt idx="83">
                  <c:v>40148</c:v>
                </c:pt>
                <c:pt idx="84">
                  <c:v>40238</c:v>
                </c:pt>
                <c:pt idx="85">
                  <c:v>40330</c:v>
                </c:pt>
                <c:pt idx="86">
                  <c:v>40422</c:v>
                </c:pt>
                <c:pt idx="87">
                  <c:v>40513</c:v>
                </c:pt>
                <c:pt idx="88">
                  <c:v>40603</c:v>
                </c:pt>
                <c:pt idx="89">
                  <c:v>40695</c:v>
                </c:pt>
                <c:pt idx="90">
                  <c:v>40787</c:v>
                </c:pt>
                <c:pt idx="91">
                  <c:v>40878</c:v>
                </c:pt>
                <c:pt idx="92">
                  <c:v>40969</c:v>
                </c:pt>
                <c:pt idx="93">
                  <c:v>41061</c:v>
                </c:pt>
                <c:pt idx="94">
                  <c:v>41153</c:v>
                </c:pt>
                <c:pt idx="95">
                  <c:v>41244</c:v>
                </c:pt>
                <c:pt idx="96">
                  <c:v>41334</c:v>
                </c:pt>
                <c:pt idx="97">
                  <c:v>41426</c:v>
                </c:pt>
                <c:pt idx="98">
                  <c:v>41518</c:v>
                </c:pt>
                <c:pt idx="99">
                  <c:v>41609</c:v>
                </c:pt>
                <c:pt idx="100">
                  <c:v>41699</c:v>
                </c:pt>
                <c:pt idx="101">
                  <c:v>41791</c:v>
                </c:pt>
                <c:pt idx="102">
                  <c:v>41883</c:v>
                </c:pt>
                <c:pt idx="103">
                  <c:v>41974</c:v>
                </c:pt>
                <c:pt idx="104">
                  <c:v>42064</c:v>
                </c:pt>
                <c:pt idx="105">
                  <c:v>42156</c:v>
                </c:pt>
                <c:pt idx="106">
                  <c:v>42248</c:v>
                </c:pt>
                <c:pt idx="107">
                  <c:v>42339</c:v>
                </c:pt>
                <c:pt idx="108">
                  <c:v>42430</c:v>
                </c:pt>
                <c:pt idx="109">
                  <c:v>42522</c:v>
                </c:pt>
                <c:pt idx="110">
                  <c:v>42614</c:v>
                </c:pt>
                <c:pt idx="111">
                  <c:v>42705</c:v>
                </c:pt>
                <c:pt idx="112">
                  <c:v>42795</c:v>
                </c:pt>
                <c:pt idx="113">
                  <c:v>42887</c:v>
                </c:pt>
                <c:pt idx="114">
                  <c:v>42979</c:v>
                </c:pt>
                <c:pt idx="115">
                  <c:v>43070</c:v>
                </c:pt>
                <c:pt idx="116">
                  <c:v>43160</c:v>
                </c:pt>
                <c:pt idx="117">
                  <c:v>43252</c:v>
                </c:pt>
                <c:pt idx="118">
                  <c:v>43344</c:v>
                </c:pt>
                <c:pt idx="119">
                  <c:v>43435</c:v>
                </c:pt>
                <c:pt idx="120">
                  <c:v>43525</c:v>
                </c:pt>
                <c:pt idx="121">
                  <c:v>43617</c:v>
                </c:pt>
                <c:pt idx="122">
                  <c:v>43709</c:v>
                </c:pt>
                <c:pt idx="123">
                  <c:v>43800</c:v>
                </c:pt>
                <c:pt idx="124">
                  <c:v>43891</c:v>
                </c:pt>
                <c:pt idx="125">
                  <c:v>43983</c:v>
                </c:pt>
                <c:pt idx="126">
                  <c:v>44075</c:v>
                </c:pt>
                <c:pt idx="127">
                  <c:v>44166</c:v>
                </c:pt>
                <c:pt idx="128">
                  <c:v>44256</c:v>
                </c:pt>
                <c:pt idx="129">
                  <c:v>44348</c:v>
                </c:pt>
                <c:pt idx="130">
                  <c:v>44440</c:v>
                </c:pt>
                <c:pt idx="131">
                  <c:v>44531</c:v>
                </c:pt>
                <c:pt idx="132">
                  <c:v>44621</c:v>
                </c:pt>
                <c:pt idx="133">
                  <c:v>44713</c:v>
                </c:pt>
                <c:pt idx="134">
                  <c:v>44805</c:v>
                </c:pt>
                <c:pt idx="135">
                  <c:v>44896</c:v>
                </c:pt>
                <c:pt idx="136">
                  <c:v>44986</c:v>
                </c:pt>
                <c:pt idx="137">
                  <c:v>45078</c:v>
                </c:pt>
                <c:pt idx="138">
                  <c:v>45170</c:v>
                </c:pt>
                <c:pt idx="139">
                  <c:v>45261</c:v>
                </c:pt>
                <c:pt idx="140">
                  <c:v>45352</c:v>
                </c:pt>
                <c:pt idx="141">
                  <c:v>45444</c:v>
                </c:pt>
                <c:pt idx="142">
                  <c:v>45536</c:v>
                </c:pt>
                <c:pt idx="143">
                  <c:v>45627</c:v>
                </c:pt>
                <c:pt idx="144">
                  <c:v>45717</c:v>
                </c:pt>
                <c:pt idx="145">
                  <c:v>45809</c:v>
                </c:pt>
                <c:pt idx="146">
                  <c:v>45901</c:v>
                </c:pt>
                <c:pt idx="147">
                  <c:v>45992</c:v>
                </c:pt>
                <c:pt idx="148">
                  <c:v>46082</c:v>
                </c:pt>
                <c:pt idx="149">
                  <c:v>46174</c:v>
                </c:pt>
              </c:numCache>
            </c:numRef>
          </c:cat>
          <c:val>
            <c:numRef>
              <c:f>'Chart 4.6 - Residential trans'!$B$11:$EU$11</c:f>
              <c:numCache>
                <c:formatCode>General</c:formatCode>
                <c:ptCount val="150"/>
                <c:pt idx="132" formatCode="#,##0.00">
                  <c:v>56467.793428384299</c:v>
                </c:pt>
                <c:pt idx="133" formatCode="#,##0.00">
                  <c:v>52488.933880663833</c:v>
                </c:pt>
                <c:pt idx="134" formatCode="#,##0.00">
                  <c:v>49847.155394495072</c:v>
                </c:pt>
                <c:pt idx="135" formatCode="#,##0.00">
                  <c:v>47214.375487436708</c:v>
                </c:pt>
                <c:pt idx="136" formatCode="#,##0.00">
                  <c:v>44591.045182028538</c:v>
                </c:pt>
                <c:pt idx="137" formatCode="#,##0.00">
                  <c:v>41949.808971686456</c:v>
                </c:pt>
                <c:pt idx="138" formatCode="#,##0.00">
                  <c:v>39311.821148144052</c:v>
                </c:pt>
                <c:pt idx="139" formatCode="#,##0.00">
                  <c:v>36674.469078091941</c:v>
                </c:pt>
                <c:pt idx="140" formatCode="#,##0.00">
                  <c:v>36755.436717659613</c:v>
                </c:pt>
                <c:pt idx="141" formatCode="#,##0.00">
                  <c:v>38544.266578678238</c:v>
                </c:pt>
                <c:pt idx="142" formatCode="#,##0.00">
                  <c:v>40336.306152478282</c:v>
                </c:pt>
                <c:pt idx="143" formatCode="#,##0.00">
                  <c:v>42151.538736972165</c:v>
                </c:pt>
                <c:pt idx="144" formatCode="#,##0.00">
                  <c:v>43970.275378323313</c:v>
                </c:pt>
                <c:pt idx="145" formatCode="#,##0.00">
                  <c:v>45777.797427702251</c:v>
                </c:pt>
                <c:pt idx="146" formatCode="#,##0.00">
                  <c:v>47564.222567929384</c:v>
                </c:pt>
                <c:pt idx="147" formatCode="#,##0.00">
                  <c:v>49409.667588854543</c:v>
                </c:pt>
                <c:pt idx="148" formatCode="#,##0.00">
                  <c:v>51265.939423619224</c:v>
                </c:pt>
                <c:pt idx="149" formatCode="#,##0.00">
                  <c:v>53081.209898530164</c:v>
                </c:pt>
              </c:numCache>
            </c:numRef>
          </c:val>
          <c:smooth val="1"/>
          <c:extLst>
            <c:ext xmlns:c16="http://schemas.microsoft.com/office/drawing/2014/chart" uri="{C3380CC4-5D6E-409C-BE32-E72D297353CC}">
              <c16:uniqueId val="{00000002-8A7E-4943-B1B4-F4B9A506627E}"/>
            </c:ext>
          </c:extLst>
        </c:ser>
        <c:dLbls>
          <c:showLegendKey val="0"/>
          <c:showVal val="0"/>
          <c:showCatName val="0"/>
          <c:showSerName val="0"/>
          <c:showPercent val="0"/>
          <c:showBubbleSize val="0"/>
        </c:dLbls>
        <c:smooth val="0"/>
        <c:axId val="1077974736"/>
        <c:axId val="1077975064"/>
      </c:lineChart>
      <c:dateAx>
        <c:axId val="1077974736"/>
        <c:scaling>
          <c:orientation val="minMax"/>
          <c:max val="46174"/>
          <c:min val="38869"/>
        </c:scaling>
        <c:delete val="0"/>
        <c:axPos val="b"/>
        <c:numFmt formatCode="mmm\-yy"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77975064"/>
        <c:crosses val="autoZero"/>
        <c:auto val="1"/>
        <c:lblOffset val="100"/>
        <c:baseTimeUnit val="months"/>
        <c:majorUnit val="24"/>
        <c:majorTimeUnit val="months"/>
      </c:dateAx>
      <c:valAx>
        <c:axId val="1077975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77974736"/>
        <c:crosses val="autoZero"/>
        <c:crossBetween val="between"/>
      </c:valAx>
      <c:spPr>
        <a:noFill/>
        <a:ln>
          <a:noFill/>
        </a:ln>
        <a:effectLst/>
      </c:spPr>
    </c:plotArea>
    <c:legend>
      <c:legendPos val="b"/>
      <c:layout>
        <c:manualLayout>
          <c:xMode val="edge"/>
          <c:yMode val="edge"/>
          <c:x val="3.6525043566736921E-2"/>
          <c:y val="0.89390645966208537"/>
          <c:w val="0.9434820920902901"/>
          <c:h val="8.47445084592852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717975612525556E-2"/>
          <c:y val="6.6628696309838101E-2"/>
          <c:w val="0.85579863327894823"/>
          <c:h val="0.65059460421706472"/>
        </c:manualLayout>
      </c:layout>
      <c:lineChart>
        <c:grouping val="standard"/>
        <c:varyColors val="0"/>
        <c:ser>
          <c:idx val="0"/>
          <c:order val="0"/>
          <c:tx>
            <c:strRef>
              <c:f>'Chart 4.7 - Coal prices'!$A$3</c:f>
              <c:strCache>
                <c:ptCount val="1"/>
                <c:pt idx="0">
                  <c:v>Newcastle thermal spot ($US)</c:v>
                </c:pt>
              </c:strCache>
            </c:strRef>
          </c:tx>
          <c:spPr>
            <a:ln w="28575" cap="rnd">
              <a:solidFill>
                <a:srgbClr val="00426F"/>
              </a:solidFill>
              <a:round/>
            </a:ln>
            <a:effectLst/>
          </c:spPr>
          <c:marker>
            <c:symbol val="none"/>
          </c:marker>
          <c:cat>
            <c:numRef>
              <c:f>'Chart 4.7 - Coal prices'!$B$2:$GK$2</c:f>
              <c:numCache>
                <c:formatCode>mmm\-yy</c:formatCode>
                <c:ptCount val="192"/>
                <c:pt idx="0">
                  <c:v>40360</c:v>
                </c:pt>
                <c:pt idx="1">
                  <c:v>40391</c:v>
                </c:pt>
                <c:pt idx="2">
                  <c:v>40422</c:v>
                </c:pt>
                <c:pt idx="3">
                  <c:v>40452</c:v>
                </c:pt>
                <c:pt idx="4">
                  <c:v>40483</c:v>
                </c:pt>
                <c:pt idx="5">
                  <c:v>40513</c:v>
                </c:pt>
                <c:pt idx="6">
                  <c:v>40544</c:v>
                </c:pt>
                <c:pt idx="7">
                  <c:v>40575</c:v>
                </c:pt>
                <c:pt idx="8">
                  <c:v>40603</c:v>
                </c:pt>
                <c:pt idx="9">
                  <c:v>40634</c:v>
                </c:pt>
                <c:pt idx="10">
                  <c:v>40664</c:v>
                </c:pt>
                <c:pt idx="11">
                  <c:v>40695</c:v>
                </c:pt>
                <c:pt idx="12">
                  <c:v>40725</c:v>
                </c:pt>
                <c:pt idx="13">
                  <c:v>40756</c:v>
                </c:pt>
                <c:pt idx="14">
                  <c:v>40787</c:v>
                </c:pt>
                <c:pt idx="15">
                  <c:v>40817</c:v>
                </c:pt>
                <c:pt idx="16">
                  <c:v>40848</c:v>
                </c:pt>
                <c:pt idx="17">
                  <c:v>40878</c:v>
                </c:pt>
                <c:pt idx="18">
                  <c:v>40909</c:v>
                </c:pt>
                <c:pt idx="19">
                  <c:v>40940</c:v>
                </c:pt>
                <c:pt idx="20">
                  <c:v>40969</c:v>
                </c:pt>
                <c:pt idx="21">
                  <c:v>41000</c:v>
                </c:pt>
                <c:pt idx="22">
                  <c:v>41030</c:v>
                </c:pt>
                <c:pt idx="23">
                  <c:v>41061</c:v>
                </c:pt>
                <c:pt idx="24">
                  <c:v>41091</c:v>
                </c:pt>
                <c:pt idx="25">
                  <c:v>41122</c:v>
                </c:pt>
                <c:pt idx="26">
                  <c:v>41153</c:v>
                </c:pt>
                <c:pt idx="27">
                  <c:v>41183</c:v>
                </c:pt>
                <c:pt idx="28">
                  <c:v>41214</c:v>
                </c:pt>
                <c:pt idx="29">
                  <c:v>41244</c:v>
                </c:pt>
                <c:pt idx="30">
                  <c:v>41275</c:v>
                </c:pt>
                <c:pt idx="31">
                  <c:v>41306</c:v>
                </c:pt>
                <c:pt idx="32">
                  <c:v>41334</c:v>
                </c:pt>
                <c:pt idx="33">
                  <c:v>41365</c:v>
                </c:pt>
                <c:pt idx="34">
                  <c:v>41395</c:v>
                </c:pt>
                <c:pt idx="35">
                  <c:v>41426</c:v>
                </c:pt>
                <c:pt idx="36">
                  <c:v>41456</c:v>
                </c:pt>
                <c:pt idx="37">
                  <c:v>41487</c:v>
                </c:pt>
                <c:pt idx="38">
                  <c:v>41518</c:v>
                </c:pt>
                <c:pt idx="39">
                  <c:v>41548</c:v>
                </c:pt>
                <c:pt idx="40">
                  <c:v>41579</c:v>
                </c:pt>
                <c:pt idx="41">
                  <c:v>41609</c:v>
                </c:pt>
                <c:pt idx="42">
                  <c:v>41640</c:v>
                </c:pt>
                <c:pt idx="43">
                  <c:v>41671</c:v>
                </c:pt>
                <c:pt idx="44">
                  <c:v>41699</c:v>
                </c:pt>
                <c:pt idx="45">
                  <c:v>41730</c:v>
                </c:pt>
                <c:pt idx="46">
                  <c:v>41760</c:v>
                </c:pt>
                <c:pt idx="47">
                  <c:v>41791</c:v>
                </c:pt>
                <c:pt idx="48">
                  <c:v>41821</c:v>
                </c:pt>
                <c:pt idx="49">
                  <c:v>41852</c:v>
                </c:pt>
                <c:pt idx="50">
                  <c:v>41883</c:v>
                </c:pt>
                <c:pt idx="51">
                  <c:v>41913</c:v>
                </c:pt>
                <c:pt idx="52">
                  <c:v>41944</c:v>
                </c:pt>
                <c:pt idx="53">
                  <c:v>41974</c:v>
                </c:pt>
                <c:pt idx="54">
                  <c:v>42005</c:v>
                </c:pt>
                <c:pt idx="55">
                  <c:v>42036</c:v>
                </c:pt>
                <c:pt idx="56">
                  <c:v>42064</c:v>
                </c:pt>
                <c:pt idx="57">
                  <c:v>42095</c:v>
                </c:pt>
                <c:pt idx="58">
                  <c:v>42125</c:v>
                </c:pt>
                <c:pt idx="59">
                  <c:v>42156</c:v>
                </c:pt>
                <c:pt idx="60">
                  <c:v>42186</c:v>
                </c:pt>
                <c:pt idx="61">
                  <c:v>42217</c:v>
                </c:pt>
                <c:pt idx="62">
                  <c:v>42248</c:v>
                </c:pt>
                <c:pt idx="63">
                  <c:v>42278</c:v>
                </c:pt>
                <c:pt idx="64">
                  <c:v>42309</c:v>
                </c:pt>
                <c:pt idx="65">
                  <c:v>42339</c:v>
                </c:pt>
                <c:pt idx="66">
                  <c:v>42370</c:v>
                </c:pt>
                <c:pt idx="67">
                  <c:v>42401</c:v>
                </c:pt>
                <c:pt idx="68">
                  <c:v>42430</c:v>
                </c:pt>
                <c:pt idx="69">
                  <c:v>42461</c:v>
                </c:pt>
                <c:pt idx="70">
                  <c:v>42491</c:v>
                </c:pt>
                <c:pt idx="71">
                  <c:v>42522</c:v>
                </c:pt>
                <c:pt idx="72">
                  <c:v>42552</c:v>
                </c:pt>
                <c:pt idx="73">
                  <c:v>42583</c:v>
                </c:pt>
                <c:pt idx="74">
                  <c:v>42614</c:v>
                </c:pt>
                <c:pt idx="75">
                  <c:v>42644</c:v>
                </c:pt>
                <c:pt idx="76">
                  <c:v>42675</c:v>
                </c:pt>
                <c:pt idx="77">
                  <c:v>42705</c:v>
                </c:pt>
                <c:pt idx="78">
                  <c:v>42736</c:v>
                </c:pt>
                <c:pt idx="79">
                  <c:v>42767</c:v>
                </c:pt>
                <c:pt idx="80">
                  <c:v>42795</c:v>
                </c:pt>
                <c:pt idx="81">
                  <c:v>42826</c:v>
                </c:pt>
                <c:pt idx="82">
                  <c:v>42856</c:v>
                </c:pt>
                <c:pt idx="83">
                  <c:v>42887</c:v>
                </c:pt>
                <c:pt idx="84">
                  <c:v>42917</c:v>
                </c:pt>
                <c:pt idx="85">
                  <c:v>42948</c:v>
                </c:pt>
                <c:pt idx="86">
                  <c:v>42979</c:v>
                </c:pt>
                <c:pt idx="87">
                  <c:v>43009</c:v>
                </c:pt>
                <c:pt idx="88">
                  <c:v>43040</c:v>
                </c:pt>
                <c:pt idx="89">
                  <c:v>43070</c:v>
                </c:pt>
                <c:pt idx="90">
                  <c:v>43101</c:v>
                </c:pt>
                <c:pt idx="91">
                  <c:v>43132</c:v>
                </c:pt>
                <c:pt idx="92">
                  <c:v>43160</c:v>
                </c:pt>
                <c:pt idx="93">
                  <c:v>43191</c:v>
                </c:pt>
                <c:pt idx="94">
                  <c:v>43221</c:v>
                </c:pt>
                <c:pt idx="95">
                  <c:v>43252</c:v>
                </c:pt>
                <c:pt idx="96">
                  <c:v>43282</c:v>
                </c:pt>
                <c:pt idx="97">
                  <c:v>43313</c:v>
                </c:pt>
                <c:pt idx="98">
                  <c:v>43344</c:v>
                </c:pt>
                <c:pt idx="99">
                  <c:v>43374</c:v>
                </c:pt>
                <c:pt idx="100">
                  <c:v>43405</c:v>
                </c:pt>
                <c:pt idx="101">
                  <c:v>43435</c:v>
                </c:pt>
                <c:pt idx="102">
                  <c:v>43466</c:v>
                </c:pt>
                <c:pt idx="103">
                  <c:v>43497</c:v>
                </c:pt>
                <c:pt idx="104">
                  <c:v>43525</c:v>
                </c:pt>
                <c:pt idx="105">
                  <c:v>43556</c:v>
                </c:pt>
                <c:pt idx="106">
                  <c:v>43586</c:v>
                </c:pt>
                <c:pt idx="107">
                  <c:v>43617</c:v>
                </c:pt>
                <c:pt idx="108">
                  <c:v>43647</c:v>
                </c:pt>
                <c:pt idx="109">
                  <c:v>43678</c:v>
                </c:pt>
                <c:pt idx="110">
                  <c:v>43709</c:v>
                </c:pt>
                <c:pt idx="111">
                  <c:v>43739</c:v>
                </c:pt>
                <c:pt idx="112">
                  <c:v>43770</c:v>
                </c:pt>
                <c:pt idx="113">
                  <c:v>43800</c:v>
                </c:pt>
                <c:pt idx="114">
                  <c:v>43831</c:v>
                </c:pt>
                <c:pt idx="115">
                  <c:v>43862</c:v>
                </c:pt>
                <c:pt idx="116">
                  <c:v>43891</c:v>
                </c:pt>
                <c:pt idx="117">
                  <c:v>43922</c:v>
                </c:pt>
                <c:pt idx="118">
                  <c:v>43952</c:v>
                </c:pt>
                <c:pt idx="119">
                  <c:v>43983</c:v>
                </c:pt>
                <c:pt idx="120">
                  <c:v>44013</c:v>
                </c:pt>
                <c:pt idx="121">
                  <c:v>44044</c:v>
                </c:pt>
                <c:pt idx="122">
                  <c:v>44075</c:v>
                </c:pt>
                <c:pt idx="123">
                  <c:v>44105</c:v>
                </c:pt>
                <c:pt idx="124">
                  <c:v>44136</c:v>
                </c:pt>
                <c:pt idx="125">
                  <c:v>44166</c:v>
                </c:pt>
                <c:pt idx="126">
                  <c:v>44197</c:v>
                </c:pt>
                <c:pt idx="127">
                  <c:v>44228</c:v>
                </c:pt>
                <c:pt idx="128">
                  <c:v>44256</c:v>
                </c:pt>
                <c:pt idx="129">
                  <c:v>44287</c:v>
                </c:pt>
                <c:pt idx="130">
                  <c:v>44317</c:v>
                </c:pt>
                <c:pt idx="131">
                  <c:v>44348</c:v>
                </c:pt>
                <c:pt idx="132">
                  <c:v>44378</c:v>
                </c:pt>
                <c:pt idx="133">
                  <c:v>44409</c:v>
                </c:pt>
                <c:pt idx="134">
                  <c:v>44440</c:v>
                </c:pt>
                <c:pt idx="135">
                  <c:v>44470</c:v>
                </c:pt>
                <c:pt idx="136">
                  <c:v>44501</c:v>
                </c:pt>
                <c:pt idx="137">
                  <c:v>44531</c:v>
                </c:pt>
                <c:pt idx="138">
                  <c:v>44562</c:v>
                </c:pt>
                <c:pt idx="139">
                  <c:v>44593</c:v>
                </c:pt>
                <c:pt idx="140">
                  <c:v>44621</c:v>
                </c:pt>
                <c:pt idx="141">
                  <c:v>44652</c:v>
                </c:pt>
                <c:pt idx="142">
                  <c:v>44682</c:v>
                </c:pt>
                <c:pt idx="143">
                  <c:v>44713</c:v>
                </c:pt>
                <c:pt idx="144">
                  <c:v>44743</c:v>
                </c:pt>
                <c:pt idx="145">
                  <c:v>44774</c:v>
                </c:pt>
                <c:pt idx="146">
                  <c:v>44805</c:v>
                </c:pt>
                <c:pt idx="147">
                  <c:v>44835</c:v>
                </c:pt>
                <c:pt idx="148">
                  <c:v>44866</c:v>
                </c:pt>
                <c:pt idx="149">
                  <c:v>44896</c:v>
                </c:pt>
                <c:pt idx="150">
                  <c:v>44927</c:v>
                </c:pt>
                <c:pt idx="151">
                  <c:v>44958</c:v>
                </c:pt>
                <c:pt idx="152">
                  <c:v>44986</c:v>
                </c:pt>
                <c:pt idx="153">
                  <c:v>45017</c:v>
                </c:pt>
                <c:pt idx="154">
                  <c:v>45047</c:v>
                </c:pt>
                <c:pt idx="155">
                  <c:v>45078</c:v>
                </c:pt>
                <c:pt idx="156">
                  <c:v>45108</c:v>
                </c:pt>
                <c:pt idx="157">
                  <c:v>45139</c:v>
                </c:pt>
                <c:pt idx="158">
                  <c:v>45170</c:v>
                </c:pt>
                <c:pt idx="159">
                  <c:v>45200</c:v>
                </c:pt>
                <c:pt idx="160">
                  <c:v>45231</c:v>
                </c:pt>
                <c:pt idx="161">
                  <c:v>45261</c:v>
                </c:pt>
                <c:pt idx="162">
                  <c:v>45292</c:v>
                </c:pt>
                <c:pt idx="163">
                  <c:v>45323</c:v>
                </c:pt>
                <c:pt idx="164">
                  <c:v>45352</c:v>
                </c:pt>
                <c:pt idx="165">
                  <c:v>45383</c:v>
                </c:pt>
                <c:pt idx="166">
                  <c:v>45413</c:v>
                </c:pt>
                <c:pt idx="167">
                  <c:v>45444</c:v>
                </c:pt>
                <c:pt idx="168">
                  <c:v>45474</c:v>
                </c:pt>
                <c:pt idx="169">
                  <c:v>45505</c:v>
                </c:pt>
                <c:pt idx="170">
                  <c:v>45536</c:v>
                </c:pt>
                <c:pt idx="171">
                  <c:v>45566</c:v>
                </c:pt>
                <c:pt idx="172">
                  <c:v>45597</c:v>
                </c:pt>
                <c:pt idx="173">
                  <c:v>45627</c:v>
                </c:pt>
                <c:pt idx="174">
                  <c:v>45658</c:v>
                </c:pt>
                <c:pt idx="175">
                  <c:v>45689</c:v>
                </c:pt>
                <c:pt idx="176">
                  <c:v>45717</c:v>
                </c:pt>
                <c:pt idx="177">
                  <c:v>45748</c:v>
                </c:pt>
                <c:pt idx="178">
                  <c:v>45778</c:v>
                </c:pt>
                <c:pt idx="179">
                  <c:v>45809</c:v>
                </c:pt>
                <c:pt idx="180">
                  <c:v>45839</c:v>
                </c:pt>
                <c:pt idx="181">
                  <c:v>45870</c:v>
                </c:pt>
                <c:pt idx="182">
                  <c:v>45901</c:v>
                </c:pt>
                <c:pt idx="183">
                  <c:v>45931</c:v>
                </c:pt>
                <c:pt idx="184">
                  <c:v>45962</c:v>
                </c:pt>
                <c:pt idx="185">
                  <c:v>45992</c:v>
                </c:pt>
                <c:pt idx="186">
                  <c:v>46023</c:v>
                </c:pt>
                <c:pt idx="187">
                  <c:v>46054</c:v>
                </c:pt>
                <c:pt idx="188">
                  <c:v>46082</c:v>
                </c:pt>
                <c:pt idx="189">
                  <c:v>46113</c:v>
                </c:pt>
                <c:pt idx="190">
                  <c:v>46143</c:v>
                </c:pt>
                <c:pt idx="191">
                  <c:v>46174</c:v>
                </c:pt>
              </c:numCache>
            </c:numRef>
          </c:cat>
          <c:val>
            <c:numRef>
              <c:f>'Chart 4.7 - Coal prices'!$B$3:$GK$3</c:f>
              <c:numCache>
                <c:formatCode>General</c:formatCode>
                <c:ptCount val="192"/>
                <c:pt idx="0">
                  <c:v>96.732258064516088</c:v>
                </c:pt>
                <c:pt idx="1">
                  <c:v>90.561290322580646</c:v>
                </c:pt>
                <c:pt idx="2">
                  <c:v>94.301666666666648</c:v>
                </c:pt>
                <c:pt idx="3">
                  <c:v>96.690322580645159</c:v>
                </c:pt>
                <c:pt idx="4">
                  <c:v>108.2966666666667</c:v>
                </c:pt>
                <c:pt idx="5">
                  <c:v>116.29838709677421</c:v>
                </c:pt>
                <c:pt idx="6">
                  <c:v>132.84193548387097</c:v>
                </c:pt>
                <c:pt idx="7">
                  <c:v>126.3142857142857</c:v>
                </c:pt>
                <c:pt idx="8">
                  <c:v>127.1709677419355</c:v>
                </c:pt>
                <c:pt idx="9">
                  <c:v>122.73333333333339</c:v>
                </c:pt>
                <c:pt idx="10">
                  <c:v>121.02580645161291</c:v>
                </c:pt>
                <c:pt idx="11">
                  <c:v>120.94833333333335</c:v>
                </c:pt>
                <c:pt idx="12">
                  <c:v>121.15806451612903</c:v>
                </c:pt>
                <c:pt idx="13">
                  <c:v>120.42419354838708</c:v>
                </c:pt>
                <c:pt idx="14">
                  <c:v>123.42666666666669</c:v>
                </c:pt>
                <c:pt idx="15">
                  <c:v>120.37096774193549</c:v>
                </c:pt>
                <c:pt idx="16">
                  <c:v>115.44833333333332</c:v>
                </c:pt>
                <c:pt idx="17">
                  <c:v>111.2645161290323</c:v>
                </c:pt>
                <c:pt idx="18">
                  <c:v>114.91290322580645</c:v>
                </c:pt>
                <c:pt idx="19">
                  <c:v>117.50344827586207</c:v>
                </c:pt>
                <c:pt idx="20">
                  <c:v>107.92580645161293</c:v>
                </c:pt>
                <c:pt idx="21">
                  <c:v>104.74499999999996</c:v>
                </c:pt>
                <c:pt idx="22">
                  <c:v>98.116129032258058</c:v>
                </c:pt>
                <c:pt idx="23">
                  <c:v>88.734999999999999</c:v>
                </c:pt>
                <c:pt idx="24">
                  <c:v>88.320967741935476</c:v>
                </c:pt>
                <c:pt idx="25">
                  <c:v>91.454838709677404</c:v>
                </c:pt>
                <c:pt idx="26">
                  <c:v>90.47</c:v>
                </c:pt>
                <c:pt idx="27">
                  <c:v>84.141935483870952</c:v>
                </c:pt>
                <c:pt idx="28">
                  <c:v>84.701666666666682</c:v>
                </c:pt>
                <c:pt idx="29">
                  <c:v>93.045161290322582</c:v>
                </c:pt>
                <c:pt idx="30">
                  <c:v>93.883870967741927</c:v>
                </c:pt>
                <c:pt idx="31">
                  <c:v>95.026785714285708</c:v>
                </c:pt>
                <c:pt idx="32">
                  <c:v>92.109677419354838</c:v>
                </c:pt>
                <c:pt idx="33">
                  <c:v>87.851666666666674</c:v>
                </c:pt>
                <c:pt idx="34">
                  <c:v>87.57096774193549</c:v>
                </c:pt>
                <c:pt idx="35">
                  <c:v>84.321666666666687</c:v>
                </c:pt>
                <c:pt idx="36">
                  <c:v>77.07741935483871</c:v>
                </c:pt>
                <c:pt idx="37">
                  <c:v>78.014516129032287</c:v>
                </c:pt>
                <c:pt idx="38">
                  <c:v>78.023333333333341</c:v>
                </c:pt>
                <c:pt idx="39">
                  <c:v>81.17741935483869</c:v>
                </c:pt>
                <c:pt idx="40">
                  <c:v>84.490000000000038</c:v>
                </c:pt>
                <c:pt idx="41">
                  <c:v>85.695161290322559</c:v>
                </c:pt>
                <c:pt idx="42">
                  <c:v>83.86935483870964</c:v>
                </c:pt>
                <c:pt idx="43">
                  <c:v>78.005357142857108</c:v>
                </c:pt>
                <c:pt idx="44">
                  <c:v>74.633870967741927</c:v>
                </c:pt>
                <c:pt idx="45">
                  <c:v>73.848333333333343</c:v>
                </c:pt>
                <c:pt idx="46">
                  <c:v>73.903225806451616</c:v>
                </c:pt>
                <c:pt idx="47">
                  <c:v>72.12833333333333</c:v>
                </c:pt>
                <c:pt idx="48">
                  <c:v>69.575806451612891</c:v>
                </c:pt>
                <c:pt idx="49">
                  <c:v>69.699999999999989</c:v>
                </c:pt>
                <c:pt idx="50">
                  <c:v>66.173333333333332</c:v>
                </c:pt>
                <c:pt idx="51">
                  <c:v>64.43387096774191</c:v>
                </c:pt>
                <c:pt idx="52">
                  <c:v>63.148333333333341</c:v>
                </c:pt>
                <c:pt idx="53">
                  <c:v>62.809677419354834</c:v>
                </c:pt>
                <c:pt idx="54">
                  <c:v>61.391935483870938</c:v>
                </c:pt>
                <c:pt idx="55">
                  <c:v>69.157142857142858</c:v>
                </c:pt>
                <c:pt idx="56">
                  <c:v>64.556451612903231</c:v>
                </c:pt>
                <c:pt idx="57">
                  <c:v>57.174999999999997</c:v>
                </c:pt>
                <c:pt idx="58">
                  <c:v>61.04677419354838</c:v>
                </c:pt>
                <c:pt idx="59">
                  <c:v>59.535000000000011</c:v>
                </c:pt>
                <c:pt idx="60">
                  <c:v>60.275806451612901</c:v>
                </c:pt>
                <c:pt idx="61">
                  <c:v>59.214516129032262</c:v>
                </c:pt>
                <c:pt idx="62">
                  <c:v>57.760000000000005</c:v>
                </c:pt>
                <c:pt idx="63">
                  <c:v>53.179032258064524</c:v>
                </c:pt>
                <c:pt idx="64">
                  <c:v>52.623333333333321</c:v>
                </c:pt>
                <c:pt idx="65">
                  <c:v>52.224193548387092</c:v>
                </c:pt>
                <c:pt idx="66">
                  <c:v>49.491935483870961</c:v>
                </c:pt>
                <c:pt idx="67">
                  <c:v>50.672413793103459</c:v>
                </c:pt>
                <c:pt idx="68">
                  <c:v>51.54354838709677</c:v>
                </c:pt>
                <c:pt idx="69">
                  <c:v>50.531666666666673</c:v>
                </c:pt>
                <c:pt idx="70">
                  <c:v>50.979032258064507</c:v>
                </c:pt>
                <c:pt idx="71">
                  <c:v>53.435000000000009</c:v>
                </c:pt>
                <c:pt idx="72">
                  <c:v>60.262903225806454</c:v>
                </c:pt>
                <c:pt idx="73">
                  <c:v>67.217741935483872</c:v>
                </c:pt>
                <c:pt idx="74">
                  <c:v>70.795000000000016</c:v>
                </c:pt>
                <c:pt idx="75">
                  <c:v>88.711290322580624</c:v>
                </c:pt>
                <c:pt idx="76">
                  <c:v>105.80999999999999</c:v>
                </c:pt>
                <c:pt idx="77">
                  <c:v>86.480645161290326</c:v>
                </c:pt>
                <c:pt idx="78">
                  <c:v>84.225806451612897</c:v>
                </c:pt>
                <c:pt idx="79">
                  <c:v>80.774999999999991</c:v>
                </c:pt>
                <c:pt idx="80">
                  <c:v>80.598387096774189</c:v>
                </c:pt>
                <c:pt idx="81">
                  <c:v>85.118333333333382</c:v>
                </c:pt>
                <c:pt idx="82">
                  <c:v>74.987096774193532</c:v>
                </c:pt>
                <c:pt idx="83">
                  <c:v>79.484999999999985</c:v>
                </c:pt>
                <c:pt idx="84">
                  <c:v>84.687096774193535</c:v>
                </c:pt>
                <c:pt idx="85">
                  <c:v>96.627419354838707</c:v>
                </c:pt>
                <c:pt idx="86">
                  <c:v>97.876666666666651</c:v>
                </c:pt>
                <c:pt idx="87">
                  <c:v>97.017741935483883</c:v>
                </c:pt>
                <c:pt idx="88">
                  <c:v>97.386666666666699</c:v>
                </c:pt>
                <c:pt idx="89">
                  <c:v>99.143548387096757</c:v>
                </c:pt>
                <c:pt idx="90">
                  <c:v>105.96451612903225</c:v>
                </c:pt>
                <c:pt idx="91">
                  <c:v>103.98035714285716</c:v>
                </c:pt>
                <c:pt idx="92">
                  <c:v>98.501612903225819</c:v>
                </c:pt>
                <c:pt idx="93">
                  <c:v>93.698333333333352</c:v>
                </c:pt>
                <c:pt idx="94">
                  <c:v>103.57903225806449</c:v>
                </c:pt>
                <c:pt idx="95">
                  <c:v>114.10000000000001</c:v>
                </c:pt>
                <c:pt idx="96">
                  <c:v>117.68548387096777</c:v>
                </c:pt>
                <c:pt idx="97">
                  <c:v>117.47419354838713</c:v>
                </c:pt>
                <c:pt idx="98">
                  <c:v>114.71666666666663</c:v>
                </c:pt>
                <c:pt idx="99">
                  <c:v>110.4225806451613</c:v>
                </c:pt>
                <c:pt idx="100">
                  <c:v>103.28000000000002</c:v>
                </c:pt>
                <c:pt idx="101">
                  <c:v>101.96935483870968</c:v>
                </c:pt>
                <c:pt idx="102">
                  <c:v>99.143548387096757</c:v>
                </c:pt>
                <c:pt idx="103">
                  <c:v>96.142857142857181</c:v>
                </c:pt>
                <c:pt idx="104">
                  <c:v>94.67096774193547</c:v>
                </c:pt>
                <c:pt idx="105">
                  <c:v>83.24</c:v>
                </c:pt>
                <c:pt idx="106">
                  <c:v>85.093548387096774</c:v>
                </c:pt>
                <c:pt idx="107">
                  <c:v>72.546666666666667</c:v>
                </c:pt>
                <c:pt idx="108">
                  <c:v>73.846774193548356</c:v>
                </c:pt>
                <c:pt idx="109">
                  <c:v>66.883870967741927</c:v>
                </c:pt>
                <c:pt idx="110">
                  <c:v>65.846666666666664</c:v>
                </c:pt>
                <c:pt idx="111">
                  <c:v>66.842580645161291</c:v>
                </c:pt>
                <c:pt idx="112">
                  <c:v>67.221666666666678</c:v>
                </c:pt>
                <c:pt idx="113">
                  <c:v>66.564516129032242</c:v>
                </c:pt>
                <c:pt idx="114">
                  <c:v>69.087096774193526</c:v>
                </c:pt>
                <c:pt idx="115">
                  <c:v>68.417241379310369</c:v>
                </c:pt>
                <c:pt idx="116">
                  <c:v>66.246774193548376</c:v>
                </c:pt>
                <c:pt idx="117">
                  <c:v>61.534999999999997</c:v>
                </c:pt>
                <c:pt idx="118">
                  <c:v>51.595161290322586</c:v>
                </c:pt>
                <c:pt idx="119">
                  <c:v>53.746666666666663</c:v>
                </c:pt>
                <c:pt idx="120">
                  <c:v>52.238709677419358</c:v>
                </c:pt>
                <c:pt idx="121">
                  <c:v>50.520967741935479</c:v>
                </c:pt>
                <c:pt idx="122">
                  <c:v>51.779999999999987</c:v>
                </c:pt>
                <c:pt idx="123">
                  <c:v>57.451612903225815</c:v>
                </c:pt>
                <c:pt idx="124">
                  <c:v>62.589999999999996</c:v>
                </c:pt>
                <c:pt idx="125">
                  <c:v>78.224193548387078</c:v>
                </c:pt>
                <c:pt idx="126">
                  <c:v>84.75322580645161</c:v>
                </c:pt>
                <c:pt idx="127">
                  <c:v>86.135714285714272</c:v>
                </c:pt>
                <c:pt idx="128">
                  <c:v>90.959677419354819</c:v>
                </c:pt>
                <c:pt idx="129">
                  <c:v>94.068333333333342</c:v>
                </c:pt>
                <c:pt idx="130">
                  <c:v>100.00161290322579</c:v>
                </c:pt>
                <c:pt idx="131">
                  <c:v>125.18833333333332</c:v>
                </c:pt>
                <c:pt idx="132">
                  <c:v>145.79516129032257</c:v>
                </c:pt>
                <c:pt idx="133">
                  <c:v>166.86451612903227</c:v>
                </c:pt>
                <c:pt idx="134">
                  <c:v>182.72499999999997</c:v>
                </c:pt>
                <c:pt idx="135">
                  <c:v>234.33548387096772</c:v>
                </c:pt>
                <c:pt idx="136">
                  <c:v>153.76666666666671</c:v>
                </c:pt>
                <c:pt idx="137">
                  <c:v>164.45161290322588</c:v>
                </c:pt>
                <c:pt idx="138">
                  <c:v>208.7403225806452</c:v>
                </c:pt>
                <c:pt idx="139">
                  <c:v>236.1160714285715</c:v>
                </c:pt>
                <c:pt idx="140">
                  <c:v>349.73870967741925</c:v>
                </c:pt>
                <c:pt idx="141">
                  <c:v>304.7000000000001</c:v>
                </c:pt>
                <c:pt idx="142">
                  <c:v>390.58548387096772</c:v>
                </c:pt>
              </c:numCache>
            </c:numRef>
          </c:val>
          <c:smooth val="0"/>
          <c:extLst>
            <c:ext xmlns:c16="http://schemas.microsoft.com/office/drawing/2014/chart" uri="{C3380CC4-5D6E-409C-BE32-E72D297353CC}">
              <c16:uniqueId val="{00000000-8B99-4A3D-90FA-323885EEDF69}"/>
            </c:ext>
          </c:extLst>
        </c:ser>
        <c:ser>
          <c:idx val="1"/>
          <c:order val="1"/>
          <c:tx>
            <c:strRef>
              <c:f>'Chart 4.7 - Coal prices'!$A$4</c:f>
              <c:strCache>
                <c:ptCount val="1"/>
                <c:pt idx="0">
                  <c:v>2021-22 Half-Yearly Review</c:v>
                </c:pt>
              </c:strCache>
            </c:strRef>
          </c:tx>
          <c:spPr>
            <a:ln w="28575" cap="rnd">
              <a:solidFill>
                <a:srgbClr val="008EBA"/>
              </a:solidFill>
              <a:prstDash val="sysDash"/>
              <a:round/>
            </a:ln>
            <a:effectLst/>
          </c:spPr>
          <c:marker>
            <c:symbol val="none"/>
          </c:marker>
          <c:cat>
            <c:numRef>
              <c:f>'Chart 4.7 - Coal prices'!$B$2:$GK$2</c:f>
              <c:numCache>
                <c:formatCode>mmm\-yy</c:formatCode>
                <c:ptCount val="192"/>
                <c:pt idx="0">
                  <c:v>40360</c:v>
                </c:pt>
                <c:pt idx="1">
                  <c:v>40391</c:v>
                </c:pt>
                <c:pt idx="2">
                  <c:v>40422</c:v>
                </c:pt>
                <c:pt idx="3">
                  <c:v>40452</c:v>
                </c:pt>
                <c:pt idx="4">
                  <c:v>40483</c:v>
                </c:pt>
                <c:pt idx="5">
                  <c:v>40513</c:v>
                </c:pt>
                <c:pt idx="6">
                  <c:v>40544</c:v>
                </c:pt>
                <c:pt idx="7">
                  <c:v>40575</c:v>
                </c:pt>
                <c:pt idx="8">
                  <c:v>40603</c:v>
                </c:pt>
                <c:pt idx="9">
                  <c:v>40634</c:v>
                </c:pt>
                <c:pt idx="10">
                  <c:v>40664</c:v>
                </c:pt>
                <c:pt idx="11">
                  <c:v>40695</c:v>
                </c:pt>
                <c:pt idx="12">
                  <c:v>40725</c:v>
                </c:pt>
                <c:pt idx="13">
                  <c:v>40756</c:v>
                </c:pt>
                <c:pt idx="14">
                  <c:v>40787</c:v>
                </c:pt>
                <c:pt idx="15">
                  <c:v>40817</c:v>
                </c:pt>
                <c:pt idx="16">
                  <c:v>40848</c:v>
                </c:pt>
                <c:pt idx="17">
                  <c:v>40878</c:v>
                </c:pt>
                <c:pt idx="18">
                  <c:v>40909</c:v>
                </c:pt>
                <c:pt idx="19">
                  <c:v>40940</c:v>
                </c:pt>
                <c:pt idx="20">
                  <c:v>40969</c:v>
                </c:pt>
                <c:pt idx="21">
                  <c:v>41000</c:v>
                </c:pt>
                <c:pt idx="22">
                  <c:v>41030</c:v>
                </c:pt>
                <c:pt idx="23">
                  <c:v>41061</c:v>
                </c:pt>
                <c:pt idx="24">
                  <c:v>41091</c:v>
                </c:pt>
                <c:pt idx="25">
                  <c:v>41122</c:v>
                </c:pt>
                <c:pt idx="26">
                  <c:v>41153</c:v>
                </c:pt>
                <c:pt idx="27">
                  <c:v>41183</c:v>
                </c:pt>
                <c:pt idx="28">
                  <c:v>41214</c:v>
                </c:pt>
                <c:pt idx="29">
                  <c:v>41244</c:v>
                </c:pt>
                <c:pt idx="30">
                  <c:v>41275</c:v>
                </c:pt>
                <c:pt idx="31">
                  <c:v>41306</c:v>
                </c:pt>
                <c:pt idx="32">
                  <c:v>41334</c:v>
                </c:pt>
                <c:pt idx="33">
                  <c:v>41365</c:v>
                </c:pt>
                <c:pt idx="34">
                  <c:v>41395</c:v>
                </c:pt>
                <c:pt idx="35">
                  <c:v>41426</c:v>
                </c:pt>
                <c:pt idx="36">
                  <c:v>41456</c:v>
                </c:pt>
                <c:pt idx="37">
                  <c:v>41487</c:v>
                </c:pt>
                <c:pt idx="38">
                  <c:v>41518</c:v>
                </c:pt>
                <c:pt idx="39">
                  <c:v>41548</c:v>
                </c:pt>
                <c:pt idx="40">
                  <c:v>41579</c:v>
                </c:pt>
                <c:pt idx="41">
                  <c:v>41609</c:v>
                </c:pt>
                <c:pt idx="42">
                  <c:v>41640</c:v>
                </c:pt>
                <c:pt idx="43">
                  <c:v>41671</c:v>
                </c:pt>
                <c:pt idx="44">
                  <c:v>41699</c:v>
                </c:pt>
                <c:pt idx="45">
                  <c:v>41730</c:v>
                </c:pt>
                <c:pt idx="46">
                  <c:v>41760</c:v>
                </c:pt>
                <c:pt idx="47">
                  <c:v>41791</c:v>
                </c:pt>
                <c:pt idx="48">
                  <c:v>41821</c:v>
                </c:pt>
                <c:pt idx="49">
                  <c:v>41852</c:v>
                </c:pt>
                <c:pt idx="50">
                  <c:v>41883</c:v>
                </c:pt>
                <c:pt idx="51">
                  <c:v>41913</c:v>
                </c:pt>
                <c:pt idx="52">
                  <c:v>41944</c:v>
                </c:pt>
                <c:pt idx="53">
                  <c:v>41974</c:v>
                </c:pt>
                <c:pt idx="54">
                  <c:v>42005</c:v>
                </c:pt>
                <c:pt idx="55">
                  <c:v>42036</c:v>
                </c:pt>
                <c:pt idx="56">
                  <c:v>42064</c:v>
                </c:pt>
                <c:pt idx="57">
                  <c:v>42095</c:v>
                </c:pt>
                <c:pt idx="58">
                  <c:v>42125</c:v>
                </c:pt>
                <c:pt idx="59">
                  <c:v>42156</c:v>
                </c:pt>
                <c:pt idx="60">
                  <c:v>42186</c:v>
                </c:pt>
                <c:pt idx="61">
                  <c:v>42217</c:v>
                </c:pt>
                <c:pt idx="62">
                  <c:v>42248</c:v>
                </c:pt>
                <c:pt idx="63">
                  <c:v>42278</c:v>
                </c:pt>
                <c:pt idx="64">
                  <c:v>42309</c:v>
                </c:pt>
                <c:pt idx="65">
                  <c:v>42339</c:v>
                </c:pt>
                <c:pt idx="66">
                  <c:v>42370</c:v>
                </c:pt>
                <c:pt idx="67">
                  <c:v>42401</c:v>
                </c:pt>
                <c:pt idx="68">
                  <c:v>42430</c:v>
                </c:pt>
                <c:pt idx="69">
                  <c:v>42461</c:v>
                </c:pt>
                <c:pt idx="70">
                  <c:v>42491</c:v>
                </c:pt>
                <c:pt idx="71">
                  <c:v>42522</c:v>
                </c:pt>
                <c:pt idx="72">
                  <c:v>42552</c:v>
                </c:pt>
                <c:pt idx="73">
                  <c:v>42583</c:v>
                </c:pt>
                <c:pt idx="74">
                  <c:v>42614</c:v>
                </c:pt>
                <c:pt idx="75">
                  <c:v>42644</c:v>
                </c:pt>
                <c:pt idx="76">
                  <c:v>42675</c:v>
                </c:pt>
                <c:pt idx="77">
                  <c:v>42705</c:v>
                </c:pt>
                <c:pt idx="78">
                  <c:v>42736</c:v>
                </c:pt>
                <c:pt idx="79">
                  <c:v>42767</c:v>
                </c:pt>
                <c:pt idx="80">
                  <c:v>42795</c:v>
                </c:pt>
                <c:pt idx="81">
                  <c:v>42826</c:v>
                </c:pt>
                <c:pt idx="82">
                  <c:v>42856</c:v>
                </c:pt>
                <c:pt idx="83">
                  <c:v>42887</c:v>
                </c:pt>
                <c:pt idx="84">
                  <c:v>42917</c:v>
                </c:pt>
                <c:pt idx="85">
                  <c:v>42948</c:v>
                </c:pt>
                <c:pt idx="86">
                  <c:v>42979</c:v>
                </c:pt>
                <c:pt idx="87">
                  <c:v>43009</c:v>
                </c:pt>
                <c:pt idx="88">
                  <c:v>43040</c:v>
                </c:pt>
                <c:pt idx="89">
                  <c:v>43070</c:v>
                </c:pt>
                <c:pt idx="90">
                  <c:v>43101</c:v>
                </c:pt>
                <c:pt idx="91">
                  <c:v>43132</c:v>
                </c:pt>
                <c:pt idx="92">
                  <c:v>43160</c:v>
                </c:pt>
                <c:pt idx="93">
                  <c:v>43191</c:v>
                </c:pt>
                <c:pt idx="94">
                  <c:v>43221</c:v>
                </c:pt>
                <c:pt idx="95">
                  <c:v>43252</c:v>
                </c:pt>
                <c:pt idx="96">
                  <c:v>43282</c:v>
                </c:pt>
                <c:pt idx="97">
                  <c:v>43313</c:v>
                </c:pt>
                <c:pt idx="98">
                  <c:v>43344</c:v>
                </c:pt>
                <c:pt idx="99">
                  <c:v>43374</c:v>
                </c:pt>
                <c:pt idx="100">
                  <c:v>43405</c:v>
                </c:pt>
                <c:pt idx="101">
                  <c:v>43435</c:v>
                </c:pt>
                <c:pt idx="102">
                  <c:v>43466</c:v>
                </c:pt>
                <c:pt idx="103">
                  <c:v>43497</c:v>
                </c:pt>
                <c:pt idx="104">
                  <c:v>43525</c:v>
                </c:pt>
                <c:pt idx="105">
                  <c:v>43556</c:v>
                </c:pt>
                <c:pt idx="106">
                  <c:v>43586</c:v>
                </c:pt>
                <c:pt idx="107">
                  <c:v>43617</c:v>
                </c:pt>
                <c:pt idx="108">
                  <c:v>43647</c:v>
                </c:pt>
                <c:pt idx="109">
                  <c:v>43678</c:v>
                </c:pt>
                <c:pt idx="110">
                  <c:v>43709</c:v>
                </c:pt>
                <c:pt idx="111">
                  <c:v>43739</c:v>
                </c:pt>
                <c:pt idx="112">
                  <c:v>43770</c:v>
                </c:pt>
                <c:pt idx="113">
                  <c:v>43800</c:v>
                </c:pt>
                <c:pt idx="114">
                  <c:v>43831</c:v>
                </c:pt>
                <c:pt idx="115">
                  <c:v>43862</c:v>
                </c:pt>
                <c:pt idx="116">
                  <c:v>43891</c:v>
                </c:pt>
                <c:pt idx="117">
                  <c:v>43922</c:v>
                </c:pt>
                <c:pt idx="118">
                  <c:v>43952</c:v>
                </c:pt>
                <c:pt idx="119">
                  <c:v>43983</c:v>
                </c:pt>
                <c:pt idx="120">
                  <c:v>44013</c:v>
                </c:pt>
                <c:pt idx="121">
                  <c:v>44044</c:v>
                </c:pt>
                <c:pt idx="122">
                  <c:v>44075</c:v>
                </c:pt>
                <c:pt idx="123">
                  <c:v>44105</c:v>
                </c:pt>
                <c:pt idx="124">
                  <c:v>44136</c:v>
                </c:pt>
                <c:pt idx="125">
                  <c:v>44166</c:v>
                </c:pt>
                <c:pt idx="126">
                  <c:v>44197</c:v>
                </c:pt>
                <c:pt idx="127">
                  <c:v>44228</c:v>
                </c:pt>
                <c:pt idx="128">
                  <c:v>44256</c:v>
                </c:pt>
                <c:pt idx="129">
                  <c:v>44287</c:v>
                </c:pt>
                <c:pt idx="130">
                  <c:v>44317</c:v>
                </c:pt>
                <c:pt idx="131">
                  <c:v>44348</c:v>
                </c:pt>
                <c:pt idx="132">
                  <c:v>44378</c:v>
                </c:pt>
                <c:pt idx="133">
                  <c:v>44409</c:v>
                </c:pt>
                <c:pt idx="134">
                  <c:v>44440</c:v>
                </c:pt>
                <c:pt idx="135">
                  <c:v>44470</c:v>
                </c:pt>
                <c:pt idx="136">
                  <c:v>44501</c:v>
                </c:pt>
                <c:pt idx="137">
                  <c:v>44531</c:v>
                </c:pt>
                <c:pt idx="138">
                  <c:v>44562</c:v>
                </c:pt>
                <c:pt idx="139">
                  <c:v>44593</c:v>
                </c:pt>
                <c:pt idx="140">
                  <c:v>44621</c:v>
                </c:pt>
                <c:pt idx="141">
                  <c:v>44652</c:v>
                </c:pt>
                <c:pt idx="142">
                  <c:v>44682</c:v>
                </c:pt>
                <c:pt idx="143">
                  <c:v>44713</c:v>
                </c:pt>
                <c:pt idx="144">
                  <c:v>44743</c:v>
                </c:pt>
                <c:pt idx="145">
                  <c:v>44774</c:v>
                </c:pt>
                <c:pt idx="146">
                  <c:v>44805</c:v>
                </c:pt>
                <c:pt idx="147">
                  <c:v>44835</c:v>
                </c:pt>
                <c:pt idx="148">
                  <c:v>44866</c:v>
                </c:pt>
                <c:pt idx="149">
                  <c:v>44896</c:v>
                </c:pt>
                <c:pt idx="150">
                  <c:v>44927</c:v>
                </c:pt>
                <c:pt idx="151">
                  <c:v>44958</c:v>
                </c:pt>
                <c:pt idx="152">
                  <c:v>44986</c:v>
                </c:pt>
                <c:pt idx="153">
                  <c:v>45017</c:v>
                </c:pt>
                <c:pt idx="154">
                  <c:v>45047</c:v>
                </c:pt>
                <c:pt idx="155">
                  <c:v>45078</c:v>
                </c:pt>
                <c:pt idx="156">
                  <c:v>45108</c:v>
                </c:pt>
                <c:pt idx="157">
                  <c:v>45139</c:v>
                </c:pt>
                <c:pt idx="158">
                  <c:v>45170</c:v>
                </c:pt>
                <c:pt idx="159">
                  <c:v>45200</c:v>
                </c:pt>
                <c:pt idx="160">
                  <c:v>45231</c:v>
                </c:pt>
                <c:pt idx="161">
                  <c:v>45261</c:v>
                </c:pt>
                <c:pt idx="162">
                  <c:v>45292</c:v>
                </c:pt>
                <c:pt idx="163">
                  <c:v>45323</c:v>
                </c:pt>
                <c:pt idx="164">
                  <c:v>45352</c:v>
                </c:pt>
                <c:pt idx="165">
                  <c:v>45383</c:v>
                </c:pt>
                <c:pt idx="166">
                  <c:v>45413</c:v>
                </c:pt>
                <c:pt idx="167">
                  <c:v>45444</c:v>
                </c:pt>
                <c:pt idx="168">
                  <c:v>45474</c:v>
                </c:pt>
                <c:pt idx="169">
                  <c:v>45505</c:v>
                </c:pt>
                <c:pt idx="170">
                  <c:v>45536</c:v>
                </c:pt>
                <c:pt idx="171">
                  <c:v>45566</c:v>
                </c:pt>
                <c:pt idx="172">
                  <c:v>45597</c:v>
                </c:pt>
                <c:pt idx="173">
                  <c:v>45627</c:v>
                </c:pt>
                <c:pt idx="174">
                  <c:v>45658</c:v>
                </c:pt>
                <c:pt idx="175">
                  <c:v>45689</c:v>
                </c:pt>
                <c:pt idx="176">
                  <c:v>45717</c:v>
                </c:pt>
                <c:pt idx="177">
                  <c:v>45748</c:v>
                </c:pt>
                <c:pt idx="178">
                  <c:v>45778</c:v>
                </c:pt>
                <c:pt idx="179">
                  <c:v>45809</c:v>
                </c:pt>
                <c:pt idx="180">
                  <c:v>45839</c:v>
                </c:pt>
                <c:pt idx="181">
                  <c:v>45870</c:v>
                </c:pt>
                <c:pt idx="182">
                  <c:v>45901</c:v>
                </c:pt>
                <c:pt idx="183">
                  <c:v>45931</c:v>
                </c:pt>
                <c:pt idx="184">
                  <c:v>45962</c:v>
                </c:pt>
                <c:pt idx="185">
                  <c:v>45992</c:v>
                </c:pt>
                <c:pt idx="186">
                  <c:v>46023</c:v>
                </c:pt>
                <c:pt idx="187">
                  <c:v>46054</c:v>
                </c:pt>
                <c:pt idx="188">
                  <c:v>46082</c:v>
                </c:pt>
                <c:pt idx="189">
                  <c:v>46113</c:v>
                </c:pt>
                <c:pt idx="190">
                  <c:v>46143</c:v>
                </c:pt>
                <c:pt idx="191">
                  <c:v>46174</c:v>
                </c:pt>
              </c:numCache>
            </c:numRef>
          </c:cat>
          <c:val>
            <c:numRef>
              <c:f>'Chart 4.7 - Coal prices'!$B$4:$GK$4</c:f>
              <c:numCache>
                <c:formatCode>General</c:formatCode>
                <c:ptCount val="192"/>
                <c:pt idx="132">
                  <c:v>145.79516129032257</c:v>
                </c:pt>
                <c:pt idx="133">
                  <c:v>166.86451612903227</c:v>
                </c:pt>
                <c:pt idx="134">
                  <c:v>182.72499999999997</c:v>
                </c:pt>
                <c:pt idx="135">
                  <c:v>237</c:v>
                </c:pt>
                <c:pt idx="136">
                  <c:v>221.36558800111266</c:v>
                </c:pt>
                <c:pt idx="137">
                  <c:v>205.73117600222531</c:v>
                </c:pt>
                <c:pt idx="138">
                  <c:v>190.09676400333797</c:v>
                </c:pt>
                <c:pt idx="139">
                  <c:v>174.46235200445062</c:v>
                </c:pt>
                <c:pt idx="140">
                  <c:v>158.82794000556328</c:v>
                </c:pt>
                <c:pt idx="141">
                  <c:v>143.19352800667593</c:v>
                </c:pt>
                <c:pt idx="142">
                  <c:v>127.55911600778859</c:v>
                </c:pt>
                <c:pt idx="143">
                  <c:v>123.63245332810918</c:v>
                </c:pt>
                <c:pt idx="144">
                  <c:v>119.70579064842977</c:v>
                </c:pt>
                <c:pt idx="145">
                  <c:v>115.77912796875034</c:v>
                </c:pt>
                <c:pt idx="146">
                  <c:v>113.37388638072187</c:v>
                </c:pt>
                <c:pt idx="147">
                  <c:v>110.9686447926934</c:v>
                </c:pt>
                <c:pt idx="148">
                  <c:v>108.56340320466492</c:v>
                </c:pt>
                <c:pt idx="149">
                  <c:v>106.15816161663645</c:v>
                </c:pt>
                <c:pt idx="150">
                  <c:v>103.75292002860797</c:v>
                </c:pt>
                <c:pt idx="151">
                  <c:v>101.34767844057954</c:v>
                </c:pt>
                <c:pt idx="152">
                  <c:v>98.791048823572709</c:v>
                </c:pt>
                <c:pt idx="153">
                  <c:v>96.234419206565875</c:v>
                </c:pt>
                <c:pt idx="154">
                  <c:v>93.677789589559055</c:v>
                </c:pt>
                <c:pt idx="155">
                  <c:v>90.79913896858659</c:v>
                </c:pt>
                <c:pt idx="156">
                  <c:v>87.920488347614125</c:v>
                </c:pt>
                <c:pt idx="157">
                  <c:v>85.04183772664166</c:v>
                </c:pt>
                <c:pt idx="158">
                  <c:v>84.262442593828482</c:v>
                </c:pt>
                <c:pt idx="159">
                  <c:v>83.483047461015303</c:v>
                </c:pt>
                <c:pt idx="160">
                  <c:v>82.703652328202125</c:v>
                </c:pt>
                <c:pt idx="161">
                  <c:v>81.924257195388947</c:v>
                </c:pt>
                <c:pt idx="162">
                  <c:v>81.144862062575768</c:v>
                </c:pt>
                <c:pt idx="163">
                  <c:v>80.36546692976259</c:v>
                </c:pt>
                <c:pt idx="164">
                  <c:v>79.586071796949412</c:v>
                </c:pt>
                <c:pt idx="165">
                  <c:v>78.806676664136234</c:v>
                </c:pt>
                <c:pt idx="166">
                  <c:v>78.027281531323055</c:v>
                </c:pt>
                <c:pt idx="167">
                  <c:v>77.24788639850992</c:v>
                </c:pt>
                <c:pt idx="168">
                  <c:v>76.896570428325262</c:v>
                </c:pt>
                <c:pt idx="169">
                  <c:v>76.545254458140604</c:v>
                </c:pt>
                <c:pt idx="170">
                  <c:v>76.193938487955947</c:v>
                </c:pt>
                <c:pt idx="171">
                  <c:v>75.842622517771289</c:v>
                </c:pt>
                <c:pt idx="172">
                  <c:v>75.491306547586632</c:v>
                </c:pt>
                <c:pt idx="173">
                  <c:v>75.139990577401974</c:v>
                </c:pt>
                <c:pt idx="174">
                  <c:v>74.788674607217317</c:v>
                </c:pt>
                <c:pt idx="175">
                  <c:v>74.437358637032659</c:v>
                </c:pt>
                <c:pt idx="176">
                  <c:v>74.086042666848002</c:v>
                </c:pt>
                <c:pt idx="177">
                  <c:v>73.734726696663344</c:v>
                </c:pt>
                <c:pt idx="178">
                  <c:v>73.383410726478687</c:v>
                </c:pt>
                <c:pt idx="179">
                  <c:v>73.032094756294072</c:v>
                </c:pt>
                <c:pt idx="180">
                  <c:v>72.848555607011846</c:v>
                </c:pt>
                <c:pt idx="181">
                  <c:v>72.665016457729621</c:v>
                </c:pt>
                <c:pt idx="182">
                  <c:v>72.481477308447396</c:v>
                </c:pt>
                <c:pt idx="183">
                  <c:v>72.29793815916517</c:v>
                </c:pt>
                <c:pt idx="184">
                  <c:v>72.114399009882945</c:v>
                </c:pt>
                <c:pt idx="185">
                  <c:v>71.930859860600719</c:v>
                </c:pt>
                <c:pt idx="186">
                  <c:v>71.747320711318494</c:v>
                </c:pt>
                <c:pt idx="187">
                  <c:v>71.563781562036269</c:v>
                </c:pt>
                <c:pt idx="188">
                  <c:v>71.380242412754043</c:v>
                </c:pt>
                <c:pt idx="189">
                  <c:v>71.196703263471818</c:v>
                </c:pt>
                <c:pt idx="190">
                  <c:v>71.013164114189593</c:v>
                </c:pt>
                <c:pt idx="191">
                  <c:v>70.829624964907438</c:v>
                </c:pt>
              </c:numCache>
            </c:numRef>
          </c:val>
          <c:smooth val="0"/>
          <c:extLst>
            <c:ext xmlns:c16="http://schemas.microsoft.com/office/drawing/2014/chart" uri="{C3380CC4-5D6E-409C-BE32-E72D297353CC}">
              <c16:uniqueId val="{00000001-8B99-4A3D-90FA-323885EEDF69}"/>
            </c:ext>
          </c:extLst>
        </c:ser>
        <c:ser>
          <c:idx val="2"/>
          <c:order val="2"/>
          <c:tx>
            <c:strRef>
              <c:f>'Chart 4.7 - Coal prices'!$A$5</c:f>
              <c:strCache>
                <c:ptCount val="1"/>
                <c:pt idx="0">
                  <c:v>2022-23 Budget</c:v>
                </c:pt>
              </c:strCache>
            </c:strRef>
          </c:tx>
          <c:spPr>
            <a:ln w="28575" cap="rnd">
              <a:solidFill>
                <a:srgbClr val="00426F"/>
              </a:solidFill>
              <a:prstDash val="sysDash"/>
              <a:round/>
            </a:ln>
            <a:effectLst/>
          </c:spPr>
          <c:marker>
            <c:symbol val="none"/>
          </c:marker>
          <c:cat>
            <c:numRef>
              <c:f>'Chart 4.7 - Coal prices'!$B$2:$GK$2</c:f>
              <c:numCache>
                <c:formatCode>mmm\-yy</c:formatCode>
                <c:ptCount val="192"/>
                <c:pt idx="0">
                  <c:v>40360</c:v>
                </c:pt>
                <c:pt idx="1">
                  <c:v>40391</c:v>
                </c:pt>
                <c:pt idx="2">
                  <c:v>40422</c:v>
                </c:pt>
                <c:pt idx="3">
                  <c:v>40452</c:v>
                </c:pt>
                <c:pt idx="4">
                  <c:v>40483</c:v>
                </c:pt>
                <c:pt idx="5">
                  <c:v>40513</c:v>
                </c:pt>
                <c:pt idx="6">
                  <c:v>40544</c:v>
                </c:pt>
                <c:pt idx="7">
                  <c:v>40575</c:v>
                </c:pt>
                <c:pt idx="8">
                  <c:v>40603</c:v>
                </c:pt>
                <c:pt idx="9">
                  <c:v>40634</c:v>
                </c:pt>
                <c:pt idx="10">
                  <c:v>40664</c:v>
                </c:pt>
                <c:pt idx="11">
                  <c:v>40695</c:v>
                </c:pt>
                <c:pt idx="12">
                  <c:v>40725</c:v>
                </c:pt>
                <c:pt idx="13">
                  <c:v>40756</c:v>
                </c:pt>
                <c:pt idx="14">
                  <c:v>40787</c:v>
                </c:pt>
                <c:pt idx="15">
                  <c:v>40817</c:v>
                </c:pt>
                <c:pt idx="16">
                  <c:v>40848</c:v>
                </c:pt>
                <c:pt idx="17">
                  <c:v>40878</c:v>
                </c:pt>
                <c:pt idx="18">
                  <c:v>40909</c:v>
                </c:pt>
                <c:pt idx="19">
                  <c:v>40940</c:v>
                </c:pt>
                <c:pt idx="20">
                  <c:v>40969</c:v>
                </c:pt>
                <c:pt idx="21">
                  <c:v>41000</c:v>
                </c:pt>
                <c:pt idx="22">
                  <c:v>41030</c:v>
                </c:pt>
                <c:pt idx="23">
                  <c:v>41061</c:v>
                </c:pt>
                <c:pt idx="24">
                  <c:v>41091</c:v>
                </c:pt>
                <c:pt idx="25">
                  <c:v>41122</c:v>
                </c:pt>
                <c:pt idx="26">
                  <c:v>41153</c:v>
                </c:pt>
                <c:pt idx="27">
                  <c:v>41183</c:v>
                </c:pt>
                <c:pt idx="28">
                  <c:v>41214</c:v>
                </c:pt>
                <c:pt idx="29">
                  <c:v>41244</c:v>
                </c:pt>
                <c:pt idx="30">
                  <c:v>41275</c:v>
                </c:pt>
                <c:pt idx="31">
                  <c:v>41306</c:v>
                </c:pt>
                <c:pt idx="32">
                  <c:v>41334</c:v>
                </c:pt>
                <c:pt idx="33">
                  <c:v>41365</c:v>
                </c:pt>
                <c:pt idx="34">
                  <c:v>41395</c:v>
                </c:pt>
                <c:pt idx="35">
                  <c:v>41426</c:v>
                </c:pt>
                <c:pt idx="36">
                  <c:v>41456</c:v>
                </c:pt>
                <c:pt idx="37">
                  <c:v>41487</c:v>
                </c:pt>
                <c:pt idx="38">
                  <c:v>41518</c:v>
                </c:pt>
                <c:pt idx="39">
                  <c:v>41548</c:v>
                </c:pt>
                <c:pt idx="40">
                  <c:v>41579</c:v>
                </c:pt>
                <c:pt idx="41">
                  <c:v>41609</c:v>
                </c:pt>
                <c:pt idx="42">
                  <c:v>41640</c:v>
                </c:pt>
                <c:pt idx="43">
                  <c:v>41671</c:v>
                </c:pt>
                <c:pt idx="44">
                  <c:v>41699</c:v>
                </c:pt>
                <c:pt idx="45">
                  <c:v>41730</c:v>
                </c:pt>
                <c:pt idx="46">
                  <c:v>41760</c:v>
                </c:pt>
                <c:pt idx="47">
                  <c:v>41791</c:v>
                </c:pt>
                <c:pt idx="48">
                  <c:v>41821</c:v>
                </c:pt>
                <c:pt idx="49">
                  <c:v>41852</c:v>
                </c:pt>
                <c:pt idx="50">
                  <c:v>41883</c:v>
                </c:pt>
                <c:pt idx="51">
                  <c:v>41913</c:v>
                </c:pt>
                <c:pt idx="52">
                  <c:v>41944</c:v>
                </c:pt>
                <c:pt idx="53">
                  <c:v>41974</c:v>
                </c:pt>
                <c:pt idx="54">
                  <c:v>42005</c:v>
                </c:pt>
                <c:pt idx="55">
                  <c:v>42036</c:v>
                </c:pt>
                <c:pt idx="56">
                  <c:v>42064</c:v>
                </c:pt>
                <c:pt idx="57">
                  <c:v>42095</c:v>
                </c:pt>
                <c:pt idx="58">
                  <c:v>42125</c:v>
                </c:pt>
                <c:pt idx="59">
                  <c:v>42156</c:v>
                </c:pt>
                <c:pt idx="60">
                  <c:v>42186</c:v>
                </c:pt>
                <c:pt idx="61">
                  <c:v>42217</c:v>
                </c:pt>
                <c:pt idx="62">
                  <c:v>42248</c:v>
                </c:pt>
                <c:pt idx="63">
                  <c:v>42278</c:v>
                </c:pt>
                <c:pt idx="64">
                  <c:v>42309</c:v>
                </c:pt>
                <c:pt idx="65">
                  <c:v>42339</c:v>
                </c:pt>
                <c:pt idx="66">
                  <c:v>42370</c:v>
                </c:pt>
                <c:pt idx="67">
                  <c:v>42401</c:v>
                </c:pt>
                <c:pt idx="68">
                  <c:v>42430</c:v>
                </c:pt>
                <c:pt idx="69">
                  <c:v>42461</c:v>
                </c:pt>
                <c:pt idx="70">
                  <c:v>42491</c:v>
                </c:pt>
                <c:pt idx="71">
                  <c:v>42522</c:v>
                </c:pt>
                <c:pt idx="72">
                  <c:v>42552</c:v>
                </c:pt>
                <c:pt idx="73">
                  <c:v>42583</c:v>
                </c:pt>
                <c:pt idx="74">
                  <c:v>42614</c:v>
                </c:pt>
                <c:pt idx="75">
                  <c:v>42644</c:v>
                </c:pt>
                <c:pt idx="76">
                  <c:v>42675</c:v>
                </c:pt>
                <c:pt idx="77">
                  <c:v>42705</c:v>
                </c:pt>
                <c:pt idx="78">
                  <c:v>42736</c:v>
                </c:pt>
                <c:pt idx="79">
                  <c:v>42767</c:v>
                </c:pt>
                <c:pt idx="80">
                  <c:v>42795</c:v>
                </c:pt>
                <c:pt idx="81">
                  <c:v>42826</c:v>
                </c:pt>
                <c:pt idx="82">
                  <c:v>42856</c:v>
                </c:pt>
                <c:pt idx="83">
                  <c:v>42887</c:v>
                </c:pt>
                <c:pt idx="84">
                  <c:v>42917</c:v>
                </c:pt>
                <c:pt idx="85">
                  <c:v>42948</c:v>
                </c:pt>
                <c:pt idx="86">
                  <c:v>42979</c:v>
                </c:pt>
                <c:pt idx="87">
                  <c:v>43009</c:v>
                </c:pt>
                <c:pt idx="88">
                  <c:v>43040</c:v>
                </c:pt>
                <c:pt idx="89">
                  <c:v>43070</c:v>
                </c:pt>
                <c:pt idx="90">
                  <c:v>43101</c:v>
                </c:pt>
                <c:pt idx="91">
                  <c:v>43132</c:v>
                </c:pt>
                <c:pt idx="92">
                  <c:v>43160</c:v>
                </c:pt>
                <c:pt idx="93">
                  <c:v>43191</c:v>
                </c:pt>
                <c:pt idx="94">
                  <c:v>43221</c:v>
                </c:pt>
                <c:pt idx="95">
                  <c:v>43252</c:v>
                </c:pt>
                <c:pt idx="96">
                  <c:v>43282</c:v>
                </c:pt>
                <c:pt idx="97">
                  <c:v>43313</c:v>
                </c:pt>
                <c:pt idx="98">
                  <c:v>43344</c:v>
                </c:pt>
                <c:pt idx="99">
                  <c:v>43374</c:v>
                </c:pt>
                <c:pt idx="100">
                  <c:v>43405</c:v>
                </c:pt>
                <c:pt idx="101">
                  <c:v>43435</c:v>
                </c:pt>
                <c:pt idx="102">
                  <c:v>43466</c:v>
                </c:pt>
                <c:pt idx="103">
                  <c:v>43497</c:v>
                </c:pt>
                <c:pt idx="104">
                  <c:v>43525</c:v>
                </c:pt>
                <c:pt idx="105">
                  <c:v>43556</c:v>
                </c:pt>
                <c:pt idx="106">
                  <c:v>43586</c:v>
                </c:pt>
                <c:pt idx="107">
                  <c:v>43617</c:v>
                </c:pt>
                <c:pt idx="108">
                  <c:v>43647</c:v>
                </c:pt>
                <c:pt idx="109">
                  <c:v>43678</c:v>
                </c:pt>
                <c:pt idx="110">
                  <c:v>43709</c:v>
                </c:pt>
                <c:pt idx="111">
                  <c:v>43739</c:v>
                </c:pt>
                <c:pt idx="112">
                  <c:v>43770</c:v>
                </c:pt>
                <c:pt idx="113">
                  <c:v>43800</c:v>
                </c:pt>
                <c:pt idx="114">
                  <c:v>43831</c:v>
                </c:pt>
                <c:pt idx="115">
                  <c:v>43862</c:v>
                </c:pt>
                <c:pt idx="116">
                  <c:v>43891</c:v>
                </c:pt>
                <c:pt idx="117">
                  <c:v>43922</c:v>
                </c:pt>
                <c:pt idx="118">
                  <c:v>43952</c:v>
                </c:pt>
                <c:pt idx="119">
                  <c:v>43983</c:v>
                </c:pt>
                <c:pt idx="120">
                  <c:v>44013</c:v>
                </c:pt>
                <c:pt idx="121">
                  <c:v>44044</c:v>
                </c:pt>
                <c:pt idx="122">
                  <c:v>44075</c:v>
                </c:pt>
                <c:pt idx="123">
                  <c:v>44105</c:v>
                </c:pt>
                <c:pt idx="124">
                  <c:v>44136</c:v>
                </c:pt>
                <c:pt idx="125">
                  <c:v>44166</c:v>
                </c:pt>
                <c:pt idx="126">
                  <c:v>44197</c:v>
                </c:pt>
                <c:pt idx="127">
                  <c:v>44228</c:v>
                </c:pt>
                <c:pt idx="128">
                  <c:v>44256</c:v>
                </c:pt>
                <c:pt idx="129">
                  <c:v>44287</c:v>
                </c:pt>
                <c:pt idx="130">
                  <c:v>44317</c:v>
                </c:pt>
                <c:pt idx="131">
                  <c:v>44348</c:v>
                </c:pt>
                <c:pt idx="132">
                  <c:v>44378</c:v>
                </c:pt>
                <c:pt idx="133">
                  <c:v>44409</c:v>
                </c:pt>
                <c:pt idx="134">
                  <c:v>44440</c:v>
                </c:pt>
                <c:pt idx="135">
                  <c:v>44470</c:v>
                </c:pt>
                <c:pt idx="136">
                  <c:v>44501</c:v>
                </c:pt>
                <c:pt idx="137">
                  <c:v>44531</c:v>
                </c:pt>
                <c:pt idx="138">
                  <c:v>44562</c:v>
                </c:pt>
                <c:pt idx="139">
                  <c:v>44593</c:v>
                </c:pt>
                <c:pt idx="140">
                  <c:v>44621</c:v>
                </c:pt>
                <c:pt idx="141">
                  <c:v>44652</c:v>
                </c:pt>
                <c:pt idx="142">
                  <c:v>44682</c:v>
                </c:pt>
                <c:pt idx="143">
                  <c:v>44713</c:v>
                </c:pt>
                <c:pt idx="144">
                  <c:v>44743</c:v>
                </c:pt>
                <c:pt idx="145">
                  <c:v>44774</c:v>
                </c:pt>
                <c:pt idx="146">
                  <c:v>44805</c:v>
                </c:pt>
                <c:pt idx="147">
                  <c:v>44835</c:v>
                </c:pt>
                <c:pt idx="148">
                  <c:v>44866</c:v>
                </c:pt>
                <c:pt idx="149">
                  <c:v>44896</c:v>
                </c:pt>
                <c:pt idx="150">
                  <c:v>44927</c:v>
                </c:pt>
                <c:pt idx="151">
                  <c:v>44958</c:v>
                </c:pt>
                <c:pt idx="152">
                  <c:v>44986</c:v>
                </c:pt>
                <c:pt idx="153">
                  <c:v>45017</c:v>
                </c:pt>
                <c:pt idx="154">
                  <c:v>45047</c:v>
                </c:pt>
                <c:pt idx="155">
                  <c:v>45078</c:v>
                </c:pt>
                <c:pt idx="156">
                  <c:v>45108</c:v>
                </c:pt>
                <c:pt idx="157">
                  <c:v>45139</c:v>
                </c:pt>
                <c:pt idx="158">
                  <c:v>45170</c:v>
                </c:pt>
                <c:pt idx="159">
                  <c:v>45200</c:v>
                </c:pt>
                <c:pt idx="160">
                  <c:v>45231</c:v>
                </c:pt>
                <c:pt idx="161">
                  <c:v>45261</c:v>
                </c:pt>
                <c:pt idx="162">
                  <c:v>45292</c:v>
                </c:pt>
                <c:pt idx="163">
                  <c:v>45323</c:v>
                </c:pt>
                <c:pt idx="164">
                  <c:v>45352</c:v>
                </c:pt>
                <c:pt idx="165">
                  <c:v>45383</c:v>
                </c:pt>
                <c:pt idx="166">
                  <c:v>45413</c:v>
                </c:pt>
                <c:pt idx="167">
                  <c:v>45444</c:v>
                </c:pt>
                <c:pt idx="168">
                  <c:v>45474</c:v>
                </c:pt>
                <c:pt idx="169">
                  <c:v>45505</c:v>
                </c:pt>
                <c:pt idx="170">
                  <c:v>45536</c:v>
                </c:pt>
                <c:pt idx="171">
                  <c:v>45566</c:v>
                </c:pt>
                <c:pt idx="172">
                  <c:v>45597</c:v>
                </c:pt>
                <c:pt idx="173">
                  <c:v>45627</c:v>
                </c:pt>
                <c:pt idx="174">
                  <c:v>45658</c:v>
                </c:pt>
                <c:pt idx="175">
                  <c:v>45689</c:v>
                </c:pt>
                <c:pt idx="176">
                  <c:v>45717</c:v>
                </c:pt>
                <c:pt idx="177">
                  <c:v>45748</c:v>
                </c:pt>
                <c:pt idx="178">
                  <c:v>45778</c:v>
                </c:pt>
                <c:pt idx="179">
                  <c:v>45809</c:v>
                </c:pt>
                <c:pt idx="180">
                  <c:v>45839</c:v>
                </c:pt>
                <c:pt idx="181">
                  <c:v>45870</c:v>
                </c:pt>
                <c:pt idx="182">
                  <c:v>45901</c:v>
                </c:pt>
                <c:pt idx="183">
                  <c:v>45931</c:v>
                </c:pt>
                <c:pt idx="184">
                  <c:v>45962</c:v>
                </c:pt>
                <c:pt idx="185">
                  <c:v>45992</c:v>
                </c:pt>
                <c:pt idx="186">
                  <c:v>46023</c:v>
                </c:pt>
                <c:pt idx="187">
                  <c:v>46054</c:v>
                </c:pt>
                <c:pt idx="188">
                  <c:v>46082</c:v>
                </c:pt>
                <c:pt idx="189">
                  <c:v>46113</c:v>
                </c:pt>
                <c:pt idx="190">
                  <c:v>46143</c:v>
                </c:pt>
                <c:pt idx="191">
                  <c:v>46174</c:v>
                </c:pt>
              </c:numCache>
            </c:numRef>
          </c:cat>
          <c:val>
            <c:numRef>
              <c:f>'Chart 4.7 - Coal prices'!$B$5:$GK$5</c:f>
              <c:numCache>
                <c:formatCode>General</c:formatCode>
                <c:ptCount val="192"/>
                <c:pt idx="132">
                  <c:v>145.79516129032257</c:v>
                </c:pt>
                <c:pt idx="133">
                  <c:v>166.86451612903227</c:v>
                </c:pt>
                <c:pt idx="134">
                  <c:v>182.72499999999997</c:v>
                </c:pt>
                <c:pt idx="135">
                  <c:v>234.33548387096772</c:v>
                </c:pt>
                <c:pt idx="136">
                  <c:v>153.76666666666671</c:v>
                </c:pt>
                <c:pt idx="137">
                  <c:v>164.45161290322588</c:v>
                </c:pt>
                <c:pt idx="138">
                  <c:v>208.7403225806452</c:v>
                </c:pt>
                <c:pt idx="139">
                  <c:v>236.1160714285715</c:v>
                </c:pt>
                <c:pt idx="140">
                  <c:v>349.73870967741925</c:v>
                </c:pt>
                <c:pt idx="141">
                  <c:v>304.7000000000001</c:v>
                </c:pt>
                <c:pt idx="142">
                  <c:v>390.58548387096772</c:v>
                </c:pt>
                <c:pt idx="143">
                  <c:v>360.1399474401677</c:v>
                </c:pt>
                <c:pt idx="144">
                  <c:v>329.69441100936763</c:v>
                </c:pt>
                <c:pt idx="145">
                  <c:v>299.24887457856755</c:v>
                </c:pt>
                <c:pt idx="146">
                  <c:v>268.80333814776748</c:v>
                </c:pt>
                <c:pt idx="147">
                  <c:v>238.35780171696743</c:v>
                </c:pt>
                <c:pt idx="148">
                  <c:v>207.91226528616744</c:v>
                </c:pt>
                <c:pt idx="149">
                  <c:v>201.95239871045871</c:v>
                </c:pt>
                <c:pt idx="150">
                  <c:v>195.99253213474998</c:v>
                </c:pt>
                <c:pt idx="151">
                  <c:v>190.03266555904125</c:v>
                </c:pt>
                <c:pt idx="152">
                  <c:v>184.07279898333252</c:v>
                </c:pt>
                <c:pt idx="153">
                  <c:v>178.11293240762379</c:v>
                </c:pt>
                <c:pt idx="154">
                  <c:v>172.15306583191506</c:v>
                </c:pt>
                <c:pt idx="155">
                  <c:v>166.19319925620633</c:v>
                </c:pt>
                <c:pt idx="156">
                  <c:v>160.2333326804976</c:v>
                </c:pt>
                <c:pt idx="157">
                  <c:v>154.27346610478892</c:v>
                </c:pt>
                <c:pt idx="158">
                  <c:v>150.97075911061117</c:v>
                </c:pt>
                <c:pt idx="159">
                  <c:v>147.66805211643342</c:v>
                </c:pt>
                <c:pt idx="160">
                  <c:v>144.36534512225566</c:v>
                </c:pt>
                <c:pt idx="161">
                  <c:v>141.06263812807791</c:v>
                </c:pt>
                <c:pt idx="162">
                  <c:v>137.75993113390015</c:v>
                </c:pt>
                <c:pt idx="163">
                  <c:v>134.4572241397224</c:v>
                </c:pt>
                <c:pt idx="164">
                  <c:v>131.15451714554465</c:v>
                </c:pt>
                <c:pt idx="165">
                  <c:v>127.85181015136691</c:v>
                </c:pt>
                <c:pt idx="166">
                  <c:v>124.54910315718917</c:v>
                </c:pt>
                <c:pt idx="167">
                  <c:v>121.2463961630115</c:v>
                </c:pt>
                <c:pt idx="168">
                  <c:v>119.17847580841757</c:v>
                </c:pt>
                <c:pt idx="169">
                  <c:v>117.11055545382365</c:v>
                </c:pt>
                <c:pt idx="170">
                  <c:v>115.04263509922973</c:v>
                </c:pt>
                <c:pt idx="171">
                  <c:v>112.9747147446358</c:v>
                </c:pt>
                <c:pt idx="172">
                  <c:v>110.90679439004188</c:v>
                </c:pt>
                <c:pt idx="173">
                  <c:v>108.83887403544796</c:v>
                </c:pt>
                <c:pt idx="174">
                  <c:v>106.77095368085403</c:v>
                </c:pt>
                <c:pt idx="175">
                  <c:v>104.70303332626011</c:v>
                </c:pt>
                <c:pt idx="176">
                  <c:v>102.63511297166619</c:v>
                </c:pt>
                <c:pt idx="177">
                  <c:v>100.56719261707227</c:v>
                </c:pt>
                <c:pt idx="178">
                  <c:v>98.499272262478343</c:v>
                </c:pt>
                <c:pt idx="179">
                  <c:v>96.431351907884405</c:v>
                </c:pt>
                <c:pt idx="180">
                  <c:v>95.82225941898929</c:v>
                </c:pt>
                <c:pt idx="181">
                  <c:v>95.213166930094175</c:v>
                </c:pt>
                <c:pt idx="182">
                  <c:v>94.60407444119906</c:v>
                </c:pt>
                <c:pt idx="183">
                  <c:v>93.994981952303945</c:v>
                </c:pt>
                <c:pt idx="184">
                  <c:v>93.38588946340883</c:v>
                </c:pt>
                <c:pt idx="185">
                  <c:v>92.776796974513715</c:v>
                </c:pt>
                <c:pt idx="186">
                  <c:v>92.1677044856186</c:v>
                </c:pt>
                <c:pt idx="187">
                  <c:v>91.558611996723485</c:v>
                </c:pt>
                <c:pt idx="188">
                  <c:v>90.94951950782837</c:v>
                </c:pt>
                <c:pt idx="189">
                  <c:v>90.340427018933255</c:v>
                </c:pt>
                <c:pt idx="190">
                  <c:v>89.73133453003814</c:v>
                </c:pt>
                <c:pt idx="191">
                  <c:v>89.122242041143039</c:v>
                </c:pt>
              </c:numCache>
            </c:numRef>
          </c:val>
          <c:smooth val="0"/>
          <c:extLst>
            <c:ext xmlns:c16="http://schemas.microsoft.com/office/drawing/2014/chart" uri="{C3380CC4-5D6E-409C-BE32-E72D297353CC}">
              <c16:uniqueId val="{00000002-8B99-4A3D-90FA-323885EEDF69}"/>
            </c:ext>
          </c:extLst>
        </c:ser>
        <c:dLbls>
          <c:showLegendKey val="0"/>
          <c:showVal val="0"/>
          <c:showCatName val="0"/>
          <c:showSerName val="0"/>
          <c:showPercent val="0"/>
          <c:showBubbleSize val="0"/>
        </c:dLbls>
        <c:smooth val="0"/>
        <c:axId val="1138179487"/>
        <c:axId val="1138186143"/>
      </c:lineChart>
      <c:dateAx>
        <c:axId val="1138179487"/>
        <c:scaling>
          <c:orientation val="minMax"/>
          <c:min val="40330"/>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38186143"/>
        <c:crosses val="autoZero"/>
        <c:auto val="1"/>
        <c:lblOffset val="100"/>
        <c:baseTimeUnit val="months"/>
        <c:majorUnit val="12"/>
        <c:majorTimeUnit val="months"/>
      </c:dateAx>
      <c:valAx>
        <c:axId val="1138186143"/>
        <c:scaling>
          <c:orientation val="minMax"/>
          <c:max val="400"/>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38179487"/>
        <c:crosses val="autoZero"/>
        <c:crossBetween val="between"/>
      </c:valAx>
      <c:spPr>
        <a:noFill/>
        <a:ln>
          <a:noFill/>
        </a:ln>
        <a:effectLst/>
      </c:spPr>
    </c:plotArea>
    <c:legend>
      <c:legendPos val="b"/>
      <c:layout>
        <c:manualLayout>
          <c:xMode val="edge"/>
          <c:yMode val="edge"/>
          <c:x val="8.8628300547398897E-2"/>
          <c:y val="0.88282879658209878"/>
          <c:w val="0.83344957697281308"/>
          <c:h val="0.1151648366235760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0.33092</cdr:x>
      <cdr:y>0.19982</cdr:y>
    </cdr:from>
    <cdr:to>
      <cdr:x>0.64165</cdr:x>
      <cdr:y>0.81105</cdr:y>
    </cdr:to>
    <cdr:sp macro="" textlink="">
      <cdr:nvSpPr>
        <cdr:cNvPr id="2" name="Oval 1"/>
        <cdr:cNvSpPr/>
      </cdr:nvSpPr>
      <cdr:spPr>
        <a:xfrm xmlns:a="http://schemas.openxmlformats.org/drawingml/2006/main">
          <a:off x="2460625" y="755650"/>
          <a:ext cx="2310534" cy="2311400"/>
        </a:xfrm>
        <a:prstGeom xmlns:a="http://schemas.openxmlformats.org/drawingml/2006/main" prst="ellipse">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0.52613</cdr:x>
      <cdr:y>0.03215</cdr:y>
    </cdr:from>
    <cdr:to>
      <cdr:x>0.52951</cdr:x>
      <cdr:y>0.81029</cdr:y>
    </cdr:to>
    <cdr:cxnSp macro="">
      <cdr:nvCxnSpPr>
        <cdr:cNvPr id="3" name="Straight Connector 2">
          <a:extLst xmlns:a="http://schemas.openxmlformats.org/drawingml/2006/main">
            <a:ext uri="{FF2B5EF4-FFF2-40B4-BE49-F238E27FC236}">
              <a16:creationId xmlns:a16="http://schemas.microsoft.com/office/drawing/2014/main" id="{A9158363-DBC0-4AE5-A0E2-5AD90BBF9E8F}"/>
            </a:ext>
          </a:extLst>
        </cdr:cNvPr>
        <cdr:cNvCxnSpPr/>
      </cdr:nvCxnSpPr>
      <cdr:spPr>
        <a:xfrm xmlns:a="http://schemas.openxmlformats.org/drawingml/2006/main" flipH="1" flipV="1">
          <a:off x="2886558" y="95251"/>
          <a:ext cx="18568" cy="2305049"/>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0.52434</cdr:x>
      <cdr:y>0.03215</cdr:y>
    </cdr:from>
    <cdr:to>
      <cdr:x>0.7277</cdr:x>
      <cdr:y>0.10932</cdr:y>
    </cdr:to>
    <cdr:sp macro="" textlink="">
      <cdr:nvSpPr>
        <cdr:cNvPr id="4" name="TextBox 3">
          <a:extLst xmlns:a="http://schemas.openxmlformats.org/drawingml/2006/main">
            <a:ext uri="{FF2B5EF4-FFF2-40B4-BE49-F238E27FC236}">
              <a16:creationId xmlns:a16="http://schemas.microsoft.com/office/drawing/2014/main" id="{AF9795A1-796D-4B77-8507-B1255155CCF4}"/>
            </a:ext>
          </a:extLst>
        </cdr:cNvPr>
        <cdr:cNvSpPr txBox="1"/>
      </cdr:nvSpPr>
      <cdr:spPr>
        <a:xfrm xmlns:a="http://schemas.openxmlformats.org/drawingml/2006/main">
          <a:off x="2876739" y="95250"/>
          <a:ext cx="1115716"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700">
              <a:latin typeface="Arial" panose="020B0604020202020204" pitchFamily="34" charset="0"/>
              <a:cs typeface="Arial" panose="020B0604020202020204" pitchFamily="34" charset="0"/>
            </a:rPr>
            <a:t>Forecast</a:t>
          </a:r>
        </a:p>
      </cdr:txBody>
    </cdr:sp>
  </cdr:relSizeAnchor>
  <cdr:relSizeAnchor xmlns:cdr="http://schemas.openxmlformats.org/drawingml/2006/chartDrawing">
    <cdr:from>
      <cdr:x>0.08633</cdr:x>
      <cdr:y>0.61692</cdr:y>
    </cdr:from>
    <cdr:to>
      <cdr:x>0.94965</cdr:x>
      <cdr:y>0.61692</cdr:y>
    </cdr:to>
    <cdr:cxnSp macro="">
      <cdr:nvCxnSpPr>
        <cdr:cNvPr id="12" name="Straight Connector 11">
          <a:extLst xmlns:a="http://schemas.openxmlformats.org/drawingml/2006/main">
            <a:ext uri="{FF2B5EF4-FFF2-40B4-BE49-F238E27FC236}">
              <a16:creationId xmlns:a16="http://schemas.microsoft.com/office/drawing/2014/main" id="{2F860C7D-CCFE-458D-B798-460458C003D3}"/>
            </a:ext>
          </a:extLst>
        </cdr:cNvPr>
        <cdr:cNvCxnSpPr/>
      </cdr:nvCxnSpPr>
      <cdr:spPr>
        <a:xfrm xmlns:a="http://schemas.openxmlformats.org/drawingml/2006/main">
          <a:off x="473103" y="1915637"/>
          <a:ext cx="4731038"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0.61144</cdr:x>
      <cdr:y>0.92351</cdr:y>
    </cdr:from>
    <cdr:to>
      <cdr:x>0.97599</cdr:x>
      <cdr:y>0.9928</cdr:y>
    </cdr:to>
    <cdr:sp macro="" textlink="">
      <cdr:nvSpPr>
        <cdr:cNvPr id="4" name="TextBox 3">
          <a:extLst xmlns:a="http://schemas.openxmlformats.org/drawingml/2006/main">
            <a:ext uri="{FF2B5EF4-FFF2-40B4-BE49-F238E27FC236}">
              <a16:creationId xmlns:a16="http://schemas.microsoft.com/office/drawing/2014/main" id="{5F3B80DB-DB5B-4463-A9B5-2581A4C39138}"/>
            </a:ext>
          </a:extLst>
        </cdr:cNvPr>
        <cdr:cNvSpPr txBox="1"/>
      </cdr:nvSpPr>
      <cdr:spPr>
        <a:xfrm xmlns:a="http://schemas.openxmlformats.org/drawingml/2006/main">
          <a:off x="3637869" y="2792868"/>
          <a:ext cx="2168979"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0.32503</cdr:x>
      <cdr:y>0.91974</cdr:y>
    </cdr:from>
    <cdr:to>
      <cdr:x>0.82246</cdr:x>
      <cdr:y>0.98156</cdr:y>
    </cdr:to>
    <cdr:sp macro="" textlink="">
      <cdr:nvSpPr>
        <cdr:cNvPr id="5" name="TextBox 4">
          <a:extLst xmlns:a="http://schemas.openxmlformats.org/drawingml/2006/main">
            <a:ext uri="{FF2B5EF4-FFF2-40B4-BE49-F238E27FC236}">
              <a16:creationId xmlns:a16="http://schemas.microsoft.com/office/drawing/2014/main" id="{6B0A1EAE-755E-41BE-9784-FD699C2B4DCF}"/>
            </a:ext>
          </a:extLst>
        </cdr:cNvPr>
        <cdr:cNvSpPr txBox="1"/>
      </cdr:nvSpPr>
      <cdr:spPr>
        <a:xfrm xmlns:a="http://schemas.openxmlformats.org/drawingml/2006/main">
          <a:off x="1912157" y="2909751"/>
          <a:ext cx="2926406" cy="195566"/>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r>
            <a:rPr lang="en-AU" sz="700">
              <a:latin typeface="Arial" panose="020B0604020202020204" pitchFamily="34" charset="0"/>
              <a:cs typeface="Arial" panose="020B0604020202020204" pitchFamily="34" charset="0"/>
            </a:rPr>
            <a:t>State taxation</a:t>
          </a:r>
          <a:r>
            <a:rPr lang="en-AU" sz="700" baseline="0">
              <a:latin typeface="Arial" panose="020B0604020202020204" pitchFamily="34" charset="0"/>
              <a:cs typeface="Arial" panose="020B0604020202020204" pitchFamily="34" charset="0"/>
            </a:rPr>
            <a:t> 	       Non-tax state revenues</a:t>
          </a:r>
          <a:endParaRPr lang="en-AU" sz="7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0.31695</cdr:x>
      <cdr:y>0.93352</cdr:y>
    </cdr:from>
    <cdr:to>
      <cdr:x>0.33135</cdr:x>
      <cdr:y>0.96906</cdr:y>
    </cdr:to>
    <cdr:sp macro="" textlink="">
      <cdr:nvSpPr>
        <cdr:cNvPr id="6" name="Rectangle 5">
          <a:extLst xmlns:a="http://schemas.openxmlformats.org/drawingml/2006/main">
            <a:ext uri="{FF2B5EF4-FFF2-40B4-BE49-F238E27FC236}">
              <a16:creationId xmlns:a16="http://schemas.microsoft.com/office/drawing/2014/main" id="{ADA35294-72A5-4B97-9D7F-E080714A948E}"/>
            </a:ext>
          </a:extLst>
        </cdr:cNvPr>
        <cdr:cNvSpPr/>
      </cdr:nvSpPr>
      <cdr:spPr>
        <a:xfrm xmlns:a="http://schemas.openxmlformats.org/drawingml/2006/main">
          <a:off x="1864644" y="2953331"/>
          <a:ext cx="84716" cy="112437"/>
        </a:xfrm>
        <a:prstGeom xmlns:a="http://schemas.openxmlformats.org/drawingml/2006/main" prst="rect">
          <a:avLst/>
        </a:prstGeom>
        <a:solidFill xmlns:a="http://schemas.openxmlformats.org/drawingml/2006/main">
          <a:srgbClr val="00426F"/>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0.49881</cdr:x>
      <cdr:y>0.93338</cdr:y>
    </cdr:from>
    <cdr:to>
      <cdr:x>0.51322</cdr:x>
      <cdr:y>0.96892</cdr:y>
    </cdr:to>
    <cdr:sp macro="" textlink="">
      <cdr:nvSpPr>
        <cdr:cNvPr id="8" name="Rectangle 7">
          <a:extLst xmlns:a="http://schemas.openxmlformats.org/drawingml/2006/main">
            <a:ext uri="{FF2B5EF4-FFF2-40B4-BE49-F238E27FC236}">
              <a16:creationId xmlns:a16="http://schemas.microsoft.com/office/drawing/2014/main" id="{B3340434-ECC9-4609-8A65-2F21A3E1A2FA}"/>
            </a:ext>
          </a:extLst>
        </cdr:cNvPr>
        <cdr:cNvSpPr/>
      </cdr:nvSpPr>
      <cdr:spPr>
        <a:xfrm xmlns:a="http://schemas.openxmlformats.org/drawingml/2006/main">
          <a:off x="2934500" y="2952891"/>
          <a:ext cx="84775" cy="112436"/>
        </a:xfrm>
        <a:prstGeom xmlns:a="http://schemas.openxmlformats.org/drawingml/2006/main" prst="rect">
          <a:avLst/>
        </a:prstGeom>
        <a:solidFill xmlns:a="http://schemas.openxmlformats.org/drawingml/2006/main">
          <a:srgbClr val="00948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0.88977</cdr:x>
      <cdr:y>0.0825</cdr:y>
    </cdr:from>
    <cdr:to>
      <cdr:x>0.89181</cdr:x>
      <cdr:y>0.7846</cdr:y>
    </cdr:to>
    <cdr:cxnSp macro="">
      <cdr:nvCxnSpPr>
        <cdr:cNvPr id="10" name="Straight Connector 9">
          <a:extLst xmlns:a="http://schemas.openxmlformats.org/drawingml/2006/main">
            <a:ext uri="{FF2B5EF4-FFF2-40B4-BE49-F238E27FC236}">
              <a16:creationId xmlns:a16="http://schemas.microsoft.com/office/drawing/2014/main" id="{36E8D706-13BD-40FB-8D89-C960699A7FE8}"/>
            </a:ext>
          </a:extLst>
        </cdr:cNvPr>
        <cdr:cNvCxnSpPr>
          <a:cxnSpLocks xmlns:a="http://schemas.openxmlformats.org/drawingml/2006/main" noChangeAspect="1"/>
        </cdr:cNvCxnSpPr>
      </cdr:nvCxnSpPr>
      <cdr:spPr>
        <a:xfrm xmlns:a="http://schemas.openxmlformats.org/drawingml/2006/main">
          <a:off x="5234175" y="260995"/>
          <a:ext cx="12000" cy="2221142"/>
        </a:xfrm>
        <a:prstGeom xmlns:a="http://schemas.openxmlformats.org/drawingml/2006/main" prst="line">
          <a:avLst/>
        </a:prstGeom>
        <a:ln xmlns:a="http://schemas.openxmlformats.org/drawingml/2006/main" w="19050">
          <a:solidFill>
            <a:schemeClr val="accent2"/>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0.88257</cdr:x>
      <cdr:y>0.28796</cdr:y>
    </cdr:from>
    <cdr:to>
      <cdr:x>0.92877</cdr:x>
      <cdr:y>0.79378</cdr:y>
    </cdr:to>
    <cdr:sp macro="" textlink="">
      <cdr:nvSpPr>
        <cdr:cNvPr id="12" name="TextBox 11">
          <a:extLst xmlns:a="http://schemas.openxmlformats.org/drawingml/2006/main">
            <a:ext uri="{FF2B5EF4-FFF2-40B4-BE49-F238E27FC236}">
              <a16:creationId xmlns:a16="http://schemas.microsoft.com/office/drawing/2014/main" id="{4EB9AE02-E6E6-4157-A9A2-B8BDAFA9B524}"/>
            </a:ext>
          </a:extLst>
        </cdr:cNvPr>
        <cdr:cNvSpPr txBox="1">
          <a:spLocks xmlns:a="http://schemas.openxmlformats.org/drawingml/2006/main" noChangeAspect="1"/>
        </cdr:cNvSpPr>
      </cdr:nvSpPr>
      <cdr:spPr>
        <a:xfrm xmlns:a="http://schemas.openxmlformats.org/drawingml/2006/main">
          <a:off x="5191869" y="910972"/>
          <a:ext cx="271778" cy="1600197"/>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AU" sz="900">
              <a:latin typeface="Arial" panose="020B0604020202020204" pitchFamily="34" charset="0"/>
              <a:cs typeface="Arial" panose="020B0604020202020204" pitchFamily="34" charset="0"/>
            </a:rPr>
            <a:t>Spending growth</a:t>
          </a:r>
        </a:p>
      </cdr:txBody>
    </cdr:sp>
  </cdr:relSizeAnchor>
  <cdr:relSizeAnchor xmlns:cdr="http://schemas.openxmlformats.org/drawingml/2006/chartDrawing">
    <cdr:from>
      <cdr:x>0.85381</cdr:x>
      <cdr:y>0.08673</cdr:y>
    </cdr:from>
    <cdr:to>
      <cdr:x>0.85585</cdr:x>
      <cdr:y>0.78883</cdr:y>
    </cdr:to>
    <cdr:cxnSp macro="">
      <cdr:nvCxnSpPr>
        <cdr:cNvPr id="16" name="Straight Connector 15">
          <a:extLst xmlns:a="http://schemas.openxmlformats.org/drawingml/2006/main">
            <a:ext uri="{FF2B5EF4-FFF2-40B4-BE49-F238E27FC236}">
              <a16:creationId xmlns:a16="http://schemas.microsoft.com/office/drawing/2014/main" id="{1AA10CC5-7497-4CBF-93F5-6B2043D3BEAE}"/>
            </a:ext>
          </a:extLst>
        </cdr:cNvPr>
        <cdr:cNvCxnSpPr>
          <a:cxnSpLocks xmlns:a="http://schemas.openxmlformats.org/drawingml/2006/main" noChangeAspect="1"/>
        </cdr:cNvCxnSpPr>
      </cdr:nvCxnSpPr>
      <cdr:spPr>
        <a:xfrm xmlns:a="http://schemas.openxmlformats.org/drawingml/2006/main">
          <a:off x="5023006" y="274384"/>
          <a:ext cx="12024" cy="2221200"/>
        </a:xfrm>
        <a:prstGeom xmlns:a="http://schemas.openxmlformats.org/drawingml/2006/main" prst="line">
          <a:avLst/>
        </a:prstGeom>
        <a:ln xmlns:a="http://schemas.openxmlformats.org/drawingml/2006/main" w="19050">
          <a:solidFill>
            <a:schemeClr val="accent6">
              <a:lumMod val="75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0.86959</cdr:x>
      <cdr:y>0.00602</cdr:y>
    </cdr:from>
    <cdr:to>
      <cdr:x>0.96885</cdr:x>
      <cdr:y>0.08591</cdr:y>
    </cdr:to>
    <cdr:sp macro="" textlink="">
      <cdr:nvSpPr>
        <cdr:cNvPr id="17" name="TextBox 2">
          <a:extLst xmlns:a="http://schemas.openxmlformats.org/drawingml/2006/main">
            <a:ext uri="{FF2B5EF4-FFF2-40B4-BE49-F238E27FC236}">
              <a16:creationId xmlns:a16="http://schemas.microsoft.com/office/drawing/2014/main" id="{E9896FFA-A9EC-4217-B424-64F8AA8E420D}"/>
            </a:ext>
          </a:extLst>
        </cdr:cNvPr>
        <cdr:cNvSpPr txBox="1">
          <a:spLocks xmlns:a="http://schemas.openxmlformats.org/drawingml/2006/main" noChangeAspect="1"/>
        </cdr:cNvSpPr>
      </cdr:nvSpPr>
      <cdr:spPr>
        <a:xfrm xmlns:a="http://schemas.openxmlformats.org/drawingml/2006/main">
          <a:off x="5115475" y="19045"/>
          <a:ext cx="583911" cy="25273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horzOverflow="clip"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1000" b="1">
              <a:solidFill>
                <a:schemeClr val="accent2"/>
              </a:solidFill>
              <a:latin typeface="Arial" panose="020B0604020202020204" pitchFamily="34" charset="0"/>
              <a:cs typeface="Arial" panose="020B0604020202020204" pitchFamily="34" charset="0"/>
            </a:rPr>
            <a:t>4.5%</a:t>
          </a:r>
        </a:p>
      </cdr:txBody>
    </cdr:sp>
  </cdr:relSizeAnchor>
  <cdr:relSizeAnchor xmlns:cdr="http://schemas.openxmlformats.org/drawingml/2006/chartDrawing">
    <cdr:from>
      <cdr:x>0.8122</cdr:x>
      <cdr:y>0.00635</cdr:y>
    </cdr:from>
    <cdr:to>
      <cdr:x>0.91145</cdr:x>
      <cdr:y>0.08624</cdr:y>
    </cdr:to>
    <cdr:sp macro="" textlink="">
      <cdr:nvSpPr>
        <cdr:cNvPr id="18" name="TextBox 2">
          <a:extLst xmlns:a="http://schemas.openxmlformats.org/drawingml/2006/main">
            <a:ext uri="{FF2B5EF4-FFF2-40B4-BE49-F238E27FC236}">
              <a16:creationId xmlns:a16="http://schemas.microsoft.com/office/drawing/2014/main" id="{ACC179C1-492D-4C69-8C79-399EF0BCDDCC}"/>
            </a:ext>
          </a:extLst>
        </cdr:cNvPr>
        <cdr:cNvSpPr txBox="1">
          <a:spLocks xmlns:a="http://schemas.openxmlformats.org/drawingml/2006/main" noChangeAspect="1"/>
        </cdr:cNvSpPr>
      </cdr:nvSpPr>
      <cdr:spPr>
        <a:xfrm xmlns:a="http://schemas.openxmlformats.org/drawingml/2006/main">
          <a:off x="4832350" y="19050"/>
          <a:ext cx="590550" cy="23980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1000" b="1">
              <a:solidFill>
                <a:schemeClr val="accent6">
                  <a:lumMod val="75000"/>
                </a:schemeClr>
              </a:solidFill>
              <a:latin typeface="Arial" panose="020B0604020202020204" pitchFamily="34" charset="0"/>
              <a:cs typeface="Arial" panose="020B0604020202020204" pitchFamily="34" charset="0"/>
            </a:rPr>
            <a:t>4.3%</a:t>
          </a:r>
        </a:p>
      </cdr:txBody>
    </cdr:sp>
  </cdr:relSizeAnchor>
  <cdr:relSizeAnchor xmlns:cdr="http://schemas.openxmlformats.org/drawingml/2006/chartDrawing">
    <cdr:from>
      <cdr:x>0.84263</cdr:x>
      <cdr:y>0.2829</cdr:y>
    </cdr:from>
    <cdr:to>
      <cdr:x>0.88883</cdr:x>
      <cdr:y>0.78871</cdr:y>
    </cdr:to>
    <cdr:sp macro="" textlink="">
      <cdr:nvSpPr>
        <cdr:cNvPr id="19" name="TextBox 1">
          <a:extLst xmlns:a="http://schemas.openxmlformats.org/drawingml/2006/main">
            <a:ext uri="{FF2B5EF4-FFF2-40B4-BE49-F238E27FC236}">
              <a16:creationId xmlns:a16="http://schemas.microsoft.com/office/drawing/2014/main" id="{901ACE62-7A8E-438C-8610-2E3A1B52646F}"/>
            </a:ext>
          </a:extLst>
        </cdr:cNvPr>
        <cdr:cNvSpPr txBox="1">
          <a:spLocks xmlns:a="http://schemas.openxmlformats.org/drawingml/2006/main" noChangeAspect="1"/>
        </cdr:cNvSpPr>
      </cdr:nvSpPr>
      <cdr:spPr>
        <a:xfrm xmlns:a="http://schemas.openxmlformats.org/drawingml/2006/main">
          <a:off x="4957228" y="894993"/>
          <a:ext cx="271797" cy="1600212"/>
        </a:xfrm>
        <a:prstGeom xmlns:a="http://schemas.openxmlformats.org/drawingml/2006/main" prst="rect">
          <a:avLst/>
        </a:prstGeom>
      </cdr:spPr>
      <cdr:txBody>
        <a:bodyPr xmlns:a="http://schemas.openxmlformats.org/drawingml/2006/main" vert="vert270"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a:latin typeface="Arial" panose="020B0604020202020204" pitchFamily="34" charset="0"/>
              <a:cs typeface="Arial" panose="020B0604020202020204" pitchFamily="34" charset="0"/>
            </a:rPr>
            <a:t>Economic growth</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Budget">
    <a:dk1>
      <a:srgbClr val="57514D"/>
    </a:dk1>
    <a:lt1>
      <a:srgbClr val="FFFFFF"/>
    </a:lt1>
    <a:dk2>
      <a:srgbClr val="1D3278"/>
    </a:dk2>
    <a:lt2>
      <a:srgbClr val="DD0332"/>
    </a:lt2>
    <a:accent1>
      <a:srgbClr val="0579B9"/>
    </a:accent1>
    <a:accent2>
      <a:srgbClr val="EB8C00"/>
    </a:accent2>
    <a:accent3>
      <a:srgbClr val="951C7D"/>
    </a:accent3>
    <a:accent4>
      <a:srgbClr val="95C11F"/>
    </a:accent4>
    <a:accent5>
      <a:srgbClr val="13421F"/>
    </a:accent5>
    <a:accent6>
      <a:srgbClr val="25A9E1"/>
    </a:accent6>
    <a:hlink>
      <a:srgbClr val="000000"/>
    </a:hlink>
    <a:folHlink>
      <a:srgbClr val="000000"/>
    </a:folHlink>
  </a:clrScheme>
  <a:fontScheme name="Budge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02F16F1AFBDE54EBD2685E90FE1922F" ma:contentTypeVersion="17" ma:contentTypeDescription="Create a new document." ma:contentTypeScope="" ma:versionID="5bdb7c5492d467c7d4ade4a81ae45d06">
  <xsd:schema xmlns:xsd="http://www.w3.org/2001/XMLSchema" xmlns:xs="http://www.w3.org/2001/XMLSchema" xmlns:p="http://schemas.microsoft.com/office/2006/metadata/properties" xmlns:ns2="801a5968-9419-4033-b9de-7ffe8168468e" xmlns:ns3="1c478e85-8130-4c67-8ee4-8bdf1c0e6049" xmlns:ns4="9f0ac7ce-5f57-4ea0-9af7-01d4f3f1ccae" targetNamespace="http://schemas.microsoft.com/office/2006/metadata/properties" ma:root="true" ma:fieldsID="51a87bb1aff1727bd16e3b1c51dcb72d" ns2:_="" ns3:_="" ns4:_="">
    <xsd:import namespace="801a5968-9419-4033-b9de-7ffe8168468e"/>
    <xsd:import namespace="1c478e85-8130-4c67-8ee4-8bdf1c0e6049"/>
    <xsd:import namespace="9f0ac7ce-5f57-4ea0-9af7-01d4f3f1cca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_Flow_SignoffStatus" minOccurs="0"/>
                <xsd:element ref="ns3:MediaServiceAutoKeyPoints" minOccurs="0"/>
                <xsd:element ref="ns3:MediaServiceKeyPoint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a5968-9419-4033-b9de-7ffe816846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478e85-8130-4c67-8ee4-8bdf1c0e60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0ac7ce-5f57-4ea0-9af7-01d4f3f1ccae"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fc867368-d47b-4a2f-96c2-865b3735c074}" ma:internalName="TaxCatchAll" ma:showField="CatchAllData" ma:web="801a5968-9419-4033-b9de-7ffe81684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01a5968-9419-4033-b9de-7ffe8168468e">
      <UserInfo>
        <DisplayName>Eva Chan</DisplayName>
        <AccountId>30</AccountId>
        <AccountType/>
      </UserInfo>
      <UserInfo>
        <DisplayName>SharingLinks.8ffe9a0f-fe63-479a-a321-5a0d54305280.Flexible.d2b3d020-4624-4a1c-985d-7bae7c62203e</DisplayName>
        <AccountId>32</AccountId>
        <AccountType/>
      </UserInfo>
      <UserInfo>
        <DisplayName>Mislav Joos</DisplayName>
        <AccountId>20</AccountId>
        <AccountType/>
      </UserInfo>
      <UserInfo>
        <DisplayName>Georgina Collins</DisplayName>
        <AccountId>33</AccountId>
        <AccountType/>
      </UserInfo>
      <UserInfo>
        <DisplayName>SharingLinks.772a940b-6a1c-4520-9676-9d00f3237415.Flexible.b49481ba-f49d-4a28-98a9-ebda1eb28ef2</DisplayName>
        <AccountId>34</AccountId>
        <AccountType/>
      </UserInfo>
      <UserInfo>
        <DisplayName>Giuseppe Madaffari</DisplayName>
        <AccountId>14</AccountId>
        <AccountType/>
      </UserInfo>
      <UserInfo>
        <DisplayName>Farid Beshara</DisplayName>
        <AccountId>39</AccountId>
        <AccountType/>
      </UserInfo>
      <UserInfo>
        <DisplayName>Rhett Wilcox</DisplayName>
        <AccountId>42</AccountId>
        <AccountType/>
      </UserInfo>
      <UserInfo>
        <DisplayName>Adam Sinclair</DisplayName>
        <AccountId>843</AccountId>
        <AccountType/>
      </UserInfo>
      <UserInfo>
        <DisplayName>Adam Wan</DisplayName>
        <AccountId>1355</AccountId>
        <AccountType/>
      </UserInfo>
      <UserInfo>
        <DisplayName>Vicky Zhou</DisplayName>
        <AccountId>1356</AccountId>
        <AccountType/>
      </UserInfo>
      <UserInfo>
        <DisplayName>Juliana Guarana</DisplayName>
        <AccountId>1357</AccountId>
        <AccountType/>
      </UserInfo>
      <UserInfo>
        <DisplayName>Kevin Pugh</DisplayName>
        <AccountId>21</AccountId>
        <AccountType/>
      </UserInfo>
      <UserInfo>
        <DisplayName>Russell Goss</DisplayName>
        <AccountId>715</AccountId>
        <AccountType/>
      </UserInfo>
      <UserInfo>
        <DisplayName>Nick Hordern</DisplayName>
        <AccountId>283</AccountId>
        <AccountType/>
      </UserInfo>
      <UserInfo>
        <DisplayName>Jack Wright</DisplayName>
        <AccountId>189</AccountId>
        <AccountType/>
      </UserInfo>
      <UserInfo>
        <DisplayName>Nathan Pringle</DisplayName>
        <AccountId>756</AccountId>
        <AccountType/>
      </UserInfo>
      <UserInfo>
        <DisplayName>Loretta Cheung</DisplayName>
        <AccountId>798</AccountId>
        <AccountType/>
      </UserInfo>
      <UserInfo>
        <DisplayName>Jimmy Lam</DisplayName>
        <AccountId>716</AccountId>
        <AccountType/>
      </UserInfo>
      <UserInfo>
        <DisplayName>Milovan Lucich</DisplayName>
        <AccountId>1425</AccountId>
        <AccountType/>
      </UserInfo>
      <UserInfo>
        <DisplayName>Anna Komarzynski</DisplayName>
        <AccountId>1426</AccountId>
        <AccountType/>
      </UserInfo>
      <UserInfo>
        <DisplayName>Mark Wee</DisplayName>
        <AccountId>754</AccountId>
        <AccountType/>
      </UserInfo>
      <UserInfo>
        <DisplayName>Yisheng Ho</DisplayName>
        <AccountId>38</AccountId>
        <AccountType/>
      </UserInfo>
      <UserInfo>
        <DisplayName>Louis Kastoun</DisplayName>
        <AccountId>196</AccountId>
        <AccountType/>
      </UserInfo>
      <UserInfo>
        <DisplayName>Emily Speers Mears</DisplayName>
        <AccountId>851</AccountId>
        <AccountType/>
      </UserInfo>
      <UserInfo>
        <DisplayName>Kris Kathiravel</DisplayName>
        <AccountId>874</AccountId>
        <AccountType/>
      </UserInfo>
      <UserInfo>
        <DisplayName>Nayeem Haque</DisplayName>
        <AccountId>1327</AccountId>
        <AccountType/>
      </UserInfo>
      <UserInfo>
        <DisplayName>Tasnia Alam</DisplayName>
        <AccountId>237</AccountId>
        <AccountType/>
      </UserInfo>
      <UserInfo>
        <DisplayName>Michael Warlters</DisplayName>
        <AccountId>52</AccountId>
        <AccountType/>
      </UserInfo>
      <UserInfo>
        <DisplayName>Alicia Tan</DisplayName>
        <AccountId>1881</AccountId>
        <AccountType/>
      </UserInfo>
      <UserInfo>
        <DisplayName>Jahin Masnun</DisplayName>
        <AccountId>753</AccountId>
        <AccountType/>
      </UserInfo>
      <UserInfo>
        <DisplayName>Kenna Ackley</DisplayName>
        <AccountId>483</AccountId>
        <AccountType/>
      </UserInfo>
      <UserInfo>
        <DisplayName>Sinead McLaughlin</DisplayName>
        <AccountId>367</AccountId>
        <AccountType/>
      </UserInfo>
      <UserInfo>
        <DisplayName>Liz Drakopoulos</DisplayName>
        <AccountId>382</AccountId>
        <AccountType/>
      </UserInfo>
      <UserInfo>
        <DisplayName>Phil Coates</DisplayName>
        <AccountId>807</AccountId>
        <AccountType/>
      </UserInfo>
      <UserInfo>
        <DisplayName>Marwa Ayoub</DisplayName>
        <AccountId>745</AccountId>
        <AccountType/>
      </UserInfo>
      <UserInfo>
        <DisplayName>Ranit Ram</DisplayName>
        <AccountId>157</AccountId>
        <AccountType/>
      </UserInfo>
      <UserInfo>
        <DisplayName>Russell Rahman</DisplayName>
        <AccountId>250</AccountId>
        <AccountType/>
      </UserInfo>
      <UserInfo>
        <DisplayName>Charlotte Alexander</DisplayName>
        <AccountId>757</AccountId>
        <AccountType/>
      </UserInfo>
      <UserInfo>
        <DisplayName>Jim Kalotheos</DisplayName>
        <AccountId>259</AccountId>
        <AccountType/>
      </UserInfo>
      <UserInfo>
        <DisplayName>Katherine Palmer</DisplayName>
        <AccountId>787</AccountId>
        <AccountType/>
      </UserInfo>
      <UserInfo>
        <DisplayName>Carleton Nothling</DisplayName>
        <AccountId>1911</AccountId>
        <AccountType/>
      </UserInfo>
      <UserInfo>
        <DisplayName>Kayla Jones</DisplayName>
        <AccountId>743</AccountId>
        <AccountType/>
      </UserInfo>
      <UserInfo>
        <DisplayName>Roland Stanmore</DisplayName>
        <AccountId>234</AccountId>
        <AccountType/>
      </UserInfo>
      <UserInfo>
        <DisplayName>Matt Greiss</DisplayName>
        <AccountId>143</AccountId>
        <AccountType/>
      </UserInfo>
      <UserInfo>
        <DisplayName>Gareth Wymond</DisplayName>
        <AccountId>13</AccountId>
        <AccountType/>
      </UserInfo>
      <UserInfo>
        <DisplayName>James Davis</DisplayName>
        <AccountId>1647</AccountId>
        <AccountType/>
      </UserInfo>
      <UserInfo>
        <DisplayName>Rebecca Khunnithi</DisplayName>
        <AccountId>202</AccountId>
        <AccountType/>
      </UserInfo>
      <UserInfo>
        <DisplayName>Lucy Trejbal</DisplayName>
        <AccountId>258</AccountId>
        <AccountType/>
      </UserInfo>
      <UserInfo>
        <DisplayName>Ziggi Lejins</DisplayName>
        <AccountId>12</AccountId>
        <AccountType/>
      </UserInfo>
      <UserInfo>
        <DisplayName>Angela Kelly</DisplayName>
        <AccountId>273</AccountId>
        <AccountType/>
      </UserInfo>
      <UserInfo>
        <DisplayName>Andrew Azar</DisplayName>
        <AccountId>1353</AccountId>
        <AccountType/>
      </UserInfo>
      <UserInfo>
        <DisplayName>Aruna Sathanapally</DisplayName>
        <AccountId>501</AccountId>
        <AccountType/>
      </UserInfo>
      <UserInfo>
        <DisplayName>Jessica Chu</DisplayName>
        <AccountId>2199</AccountId>
        <AccountType/>
      </UserInfo>
      <UserInfo>
        <DisplayName>Mohammad Iqbal</DisplayName>
        <AccountId>115</AccountId>
        <AccountType/>
      </UserInfo>
      <UserInfo>
        <DisplayName>James Atkinson</DisplayName>
        <AccountId>47</AccountId>
        <AccountType/>
      </UserInfo>
      <UserInfo>
        <DisplayName>Monica Das</DisplayName>
        <AccountId>907</AccountId>
        <AccountType/>
      </UserInfo>
    </SharedWithUsers>
    <_Flow_SignoffStatus xmlns="1c478e85-8130-4c67-8ee4-8bdf1c0e6049" xsi:nil="true"/>
    <lcf76f155ced4ddcb4097134ff3c332f xmlns="1c478e85-8130-4c67-8ee4-8bdf1c0e6049">
      <Terms xmlns="http://schemas.microsoft.com/office/infopath/2007/PartnerControls"/>
    </lcf76f155ced4ddcb4097134ff3c332f>
    <TaxCatchAll xmlns="9f0ac7ce-5f57-4ea0-9af7-01d4f3f1cca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4C4409-357E-4163-B178-E92954DA66AA}">
  <ds:schemaRefs>
    <ds:schemaRef ds:uri="http://schemas.openxmlformats.org/officeDocument/2006/bibliography"/>
  </ds:schemaRefs>
</ds:datastoreItem>
</file>

<file path=customXml/itemProps2.xml><?xml version="1.0" encoding="utf-8"?>
<ds:datastoreItem xmlns:ds="http://schemas.openxmlformats.org/officeDocument/2006/customXml" ds:itemID="{1C076802-A9C7-40A8-B6AD-9961742676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a5968-9419-4033-b9de-7ffe8168468e"/>
    <ds:schemaRef ds:uri="1c478e85-8130-4c67-8ee4-8bdf1c0e6049"/>
    <ds:schemaRef ds:uri="9f0ac7ce-5f57-4ea0-9af7-01d4f3f1c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49A7DF-DC8D-4ADD-90B3-8FD70EAD7BF2}">
  <ds:schemaRefs>
    <ds:schemaRef ds:uri="9f0ac7ce-5f57-4ea0-9af7-01d4f3f1ccae"/>
    <ds:schemaRef ds:uri="801a5968-9419-4033-b9de-7ffe8168468e"/>
    <ds:schemaRef ds:uri="http://schemas.microsoft.com/office/2006/metadata/properties"/>
    <ds:schemaRef ds:uri="http://purl.org/dc/dcmitype/"/>
    <ds:schemaRef ds:uri="http://schemas.microsoft.com/office/2006/documentManagement/types"/>
    <ds:schemaRef ds:uri="1c478e85-8130-4c67-8ee4-8bdf1c0e6049"/>
    <ds:schemaRef ds:uri="http://purl.org/dc/elements/1.1/"/>
    <ds:schemaRef ds:uri="http://www.w3.org/XML/1998/namespace"/>
    <ds:schemaRef ds:uri="http://schemas.openxmlformats.org/package/2006/metadata/core-properties"/>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E16CD6C8-C5B5-4ECF-9796-D518D4C302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22</Pages>
  <Words>8495</Words>
  <Characters>48428</Characters>
  <Application>Microsoft Office Word</Application>
  <DocSecurity>0</DocSecurity>
  <Lines>403</Lines>
  <Paragraphs>113</Paragraphs>
  <ScaleCrop>false</ScaleCrop>
  <Company>ServiceFirst</Company>
  <LinksUpToDate>false</LinksUpToDate>
  <CharactersWithSpaces>56810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2022-23 Budget Paper No. 1 - Budget Statement - Chapter 4 - Revenue</dc:title>
  <dc:subject/>
  <dc:creator>The Treasury</dc:creator>
  <cp:keywords/>
  <dc:description/>
  <cp:lastModifiedBy>Melissa Power</cp:lastModifiedBy>
  <cp:revision>34</cp:revision>
  <cp:lastPrinted>2022-06-17T14:23:00Z</cp:lastPrinted>
  <dcterms:created xsi:type="dcterms:W3CDTF">2022-06-18T02:12:00Z</dcterms:created>
  <dcterms:modified xsi:type="dcterms:W3CDTF">2022-06-19T03:28:00Z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A3579467</vt:lpwstr>
  </property>
  <property fmtid="{D5CDD505-2E9C-101B-9397-08002B2CF9AE}" pid="4" name="Objective-Title">
    <vt:lpwstr>Attach A 2017-18 Budget structure</vt:lpwstr>
  </property>
  <property fmtid="{D5CDD505-2E9C-101B-9397-08002B2CF9AE}" pid="5" name="Objective-Comment">
    <vt:lpwstr/>
  </property>
  <property fmtid="{D5CDD505-2E9C-101B-9397-08002B2CF9AE}" pid="6" name="Objective-CreationStamp">
    <vt:filetime>2017-03-27T03:59:36Z</vt:filetime>
  </property>
  <property fmtid="{D5CDD505-2E9C-101B-9397-08002B2CF9AE}" pid="7" name="Objective-IsApproved">
    <vt:bool>true</vt:bool>
  </property>
  <property fmtid="{D5CDD505-2E9C-101B-9397-08002B2CF9AE}" pid="8" name="Objective-IsPublished">
    <vt:bool>true</vt:bool>
  </property>
  <property fmtid="{D5CDD505-2E9C-101B-9397-08002B2CF9AE}" pid="9" name="Objective-DatePublished">
    <vt:lpwstr/>
  </property>
  <property fmtid="{D5CDD505-2E9C-101B-9397-08002B2CF9AE}" pid="10" name="Objective-ModificationStamp">
    <vt:filetime>2017-03-27T04:25:52Z</vt:filetime>
  </property>
  <property fmtid="{D5CDD505-2E9C-101B-9397-08002B2CF9AE}" pid="11" name="Objective-Owner">
    <vt:lpwstr>Nathan Pringle</vt:lpwstr>
  </property>
  <property fmtid="{D5CDD505-2E9C-101B-9397-08002B2CF9AE}" pid="12" name="Objective-Path">
    <vt:lpwstr>Objective Global Folder:1. Treasury:1. Information Management Structure (TR):CORPORATE GROUP:Executive &amp; Ministerial Services (EMS):Advice &amp; Representations:Briefings &amp; Submissions (Workflow Case Files):Internally Initiated Briefs - Fiscal &amp; Economic Grou</vt:lpwstr>
  </property>
  <property fmtid="{D5CDD505-2E9C-101B-9397-08002B2CF9AE}" pid="13" name="Objective-Parent">
    <vt:lpwstr>2017-18 Budget Structure - P17/1484</vt:lpwstr>
  </property>
  <property fmtid="{D5CDD505-2E9C-101B-9397-08002B2CF9AE}" pid="14" name="Objective-State">
    <vt:lpwstr>Being Drafted</vt:lpwstr>
  </property>
  <property fmtid="{D5CDD505-2E9C-101B-9397-08002B2CF9AE}" pid="15" name="Objective-Version">
    <vt:lpwstr>0.2</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Vital Record [system]">
    <vt:lpwstr>No</vt:lpwstr>
  </property>
  <property fmtid="{D5CDD505-2E9C-101B-9397-08002B2CF9AE}" pid="22" name="Objective-GIPA [system]">
    <vt:lpwstr>No</vt:lpwstr>
  </property>
  <property fmtid="{D5CDD505-2E9C-101B-9397-08002B2CF9AE}" pid="23" name="Objective-Additional Search Tags [system]">
    <vt:lpwstr/>
  </property>
  <property fmtid="{D5CDD505-2E9C-101B-9397-08002B2CF9AE}" pid="24" name="ContentTypeId">
    <vt:lpwstr>0x010100F02F16F1AFBDE54EBD2685E90FE1922F</vt:lpwstr>
  </property>
  <property fmtid="{D5CDD505-2E9C-101B-9397-08002B2CF9AE}" pid="25" name="AuthorIds_UIVersion_1024">
    <vt:lpwstr>6</vt:lpwstr>
  </property>
  <property fmtid="{D5CDD505-2E9C-101B-9397-08002B2CF9AE}" pid="26" name="MediaServiceImageTags">
    <vt:lpwstr/>
  </property>
</Properties>
</file>