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6.xml" ContentType="application/vnd.ms-office.classificationlabels+xml"/>
  <Override PartName="/docMetadata/LabelInfo11.xml" ContentType="application/vnd.ms-office.classificationlabels+xml"/>
  <Override PartName="/docMetadata/LabelInfo19.xml" ContentType="application/vnd.ms-office.classificationlabels+xml"/>
  <Override PartName="/docMetadata/LabelInfo32.xml" ContentType="application/vnd.ms-office.classificationlabels+xml"/>
  <Override PartName="/docMetadata/LabelInfo14.xml" ContentType="application/vnd.ms-office.classificationlabels+xml"/>
  <Override PartName="/docMetadata/LabelInfo27.xml" ContentType="application/vnd.ms-office.classificationlabels+xml"/>
  <Override PartName="/docMetadata/LabelInfo36.xml" ContentType="application/vnd.ms-office.classificationlabels+xml"/>
  <Override PartName="/docMetadata/LabelInfo40.xml" ContentType="application/vnd.ms-office.classificationlabels+xml"/>
  <Override PartName="/docMetadata/LabelInfo1.xml" ContentType="application/vnd.ms-office.classificationlabels+xml"/>
  <Override PartName="/docMetadata/LabelInfo9.xml" ContentType="application/vnd.ms-office.classificationlabels+xml"/>
  <Override PartName="/docMetadata/LabelInfo22.xml" ContentType="application/vnd.ms-office.classificationlabels+xml"/>
  <Override PartName="/docMetadata/LabelInfo0.xml" ContentType="application/vnd.ms-office.classificationlabels+xml"/>
  <Override PartName="/docMetadata/LabelInfo5.xml" ContentType="application/vnd.ms-office.classificationlabels+xml"/>
  <Override PartName="/docMetadata/LabelInfo17.xml" ContentType="application/vnd.ms-office.classificationlabels+xml"/>
  <Override PartName="/docMetadata/LabelInfo25.xml" ContentType="application/vnd.ms-office.classificationlabels+xml"/>
  <Override PartName="/docMetadata/LabelInfo30.xml" ContentType="application/vnd.ms-office.classificationlabels+xml"/>
  <Override PartName="/docMetadata/LabelInfo34.xml" ContentType="application/vnd.ms-office.classificationlabels+xml"/>
  <Override PartName="/docMetadata/LabelInfo39.xml" ContentType="application/vnd.ms-office.classificationlabels+xml"/>
  <Override PartName="/docMetadata/LabelInfo8.xml" ContentType="application/vnd.ms-office.classificationlabels+xml"/>
  <Override PartName="/docMetadata/LabelInfo15.xml" ContentType="application/vnd.ms-office.classificationlabels+xml"/>
  <Override PartName="/docMetadata/LabelInfo21.xml" ContentType="application/vnd.ms-office.classificationlabels+xml"/>
  <Override PartName="/docMetadata/LabelInfo28.xml" ContentType="application/vnd.ms-office.classificationlabels+xml"/>
  <Override PartName="/docMetadata/LabelInfo20.xml" ContentType="application/vnd.ms-office.classificationlabels+xml"/>
  <Override PartName="/docMetadata/LabelInfo4.xml" ContentType="application/vnd.ms-office.classificationlabels+xml"/>
  <Override PartName="/docMetadata/LabelInfo23.xml" ContentType="application/vnd.ms-office.classificationlabels+xml"/>
  <Override PartName="/docMetadata/LabelInfo38.xml" ContentType="application/vnd.ms-office.classificationlabels+xml"/>
  <Override PartName="/docMetadata/LabelInfo33.xml" ContentType="application/vnd.ms-office.classificationlabels+xml"/>
  <Override PartName="/docMetadata/LabelInfo29.xml" ContentType="application/vnd.ms-office.classificationlabels+xml"/>
  <Override PartName="/docMetadata/LabelInfo24.xml" ContentType="application/vnd.ms-office.classificationlabels+xml"/>
  <Override PartName="/docMetadata/LabelInfo16.xml" ContentType="application/vnd.ms-office.classificationlabels+xml"/>
  <Override PartName="/docMetadata/LabelInfo12.xml" ContentType="application/vnd.ms-office.classificationlabels+xml"/>
  <Override PartName="/docMetadata/LabelInfo7.xml" ContentType="application/vnd.ms-office.classificationlabels+xml"/>
  <Override PartName="/docMetadata/LabelInfo37.xml" ContentType="application/vnd.ms-office.classificationlabels+xml"/>
  <Override PartName="/docMetadata/LabelInfo2.xml" ContentType="application/vnd.ms-office.classificationlabels+xml"/>
  <Override PartName="/docMetadata/LabelInfo.xml" ContentType="application/vnd.ms-office.classificationlabels+xml"/>
  <Override PartName="/docMetadata/LabelInfo3.xml" ContentType="application/vnd.ms-office.classificationlabels+xml"/>
  <Override PartName="/docMetadata/LabelInfo10.xml" ContentType="application/vnd.ms-office.classificationlabels+xml"/>
  <Override PartName="/docMetadata/LabelInfo18.xml" ContentType="application/vnd.ms-office.classificationlabels+xml"/>
  <Override PartName="/docMetadata/LabelInfo26.xml" ContentType="application/vnd.ms-office.classificationlabels+xml"/>
  <Override PartName="/docMetadata/LabelInfo31.xml" ContentType="application/vnd.ms-office.classificationlabels+xml"/>
  <Override PartName="/docMetadata/LabelInfo13.xml" ContentType="application/vnd.ms-office.classificationlabels+xml"/>
  <Override PartName="/docMetadata/LabelInfo35.xml" ContentType="application/vnd.ms-office.classificationlabels+xml"/>
</Types>
</file>

<file path=_rels/.rels><?xml version="1.0" encoding="UTF-8" standalone="yes"?>
<Relationships xmlns="http://schemas.openxmlformats.org/package/2006/relationships"><Relationship Id="rId13" Type="http://schemas.microsoft.com/office/2020/02/relationships/classificationlabels" Target="docMetadata/LabelInfo6.xml"/><Relationship Id="rId18" Type="http://schemas.microsoft.com/office/2020/02/relationships/classificationlabels" Target="docMetadata/LabelInfo11.xml"/><Relationship Id="rId26" Type="http://schemas.microsoft.com/office/2020/02/relationships/classificationlabels" Target="docMetadata/LabelInfo19.xml"/><Relationship Id="rId39" Type="http://schemas.microsoft.com/office/2020/02/relationships/classificationlabels" Target="docMetadata/LabelInfo32.xml"/><Relationship Id="rId21" Type="http://schemas.microsoft.com/office/2020/02/relationships/classificationlabels" Target="docMetadata/LabelInfo14.xml"/><Relationship Id="rId34" Type="http://schemas.microsoft.com/office/2020/02/relationships/classificationlabels" Target="docMetadata/LabelInfo27.xml"/><Relationship Id="rId42" Type="http://schemas.microsoft.com/office/2020/02/relationships/classificationlabels" Target="docMetadata/LabelInfo36.xml"/><Relationship Id="rId47" Type="http://schemas.microsoft.com/office/2020/02/relationships/classificationlabels" Target="docMetadata/LabelInfo40.xml"/><Relationship Id="rId7" Type="http://schemas.microsoft.com/office/2020/02/relationships/classificationlabels" Target="docMetadata/LabelInfo1.xml"/><Relationship Id="rId2" Type="http://schemas.openxmlformats.org/package/2006/relationships/metadata/core-properties" Target="docProps/core.xml"/><Relationship Id="rId16" Type="http://schemas.microsoft.com/office/2020/02/relationships/classificationlabels" Target="docMetadata/LabelInfo9.xml"/><Relationship Id="rId29" Type="http://schemas.microsoft.com/office/2020/02/relationships/classificationlabels" Target="docMetadata/LabelInfo22.xml"/><Relationship Id="rId1" Type="http://schemas.openxmlformats.org/officeDocument/2006/relationships/officeDocument" Target="word/document.xml"/><Relationship Id="rId6" Type="http://schemas.microsoft.com/office/2020/02/relationships/classificationlabels" Target="docMetadata/LabelInfo0.xml"/><Relationship Id="rId11" Type="http://schemas.microsoft.com/office/2020/02/relationships/classificationlabels" Target="docMetadata/LabelInfo5.xml"/><Relationship Id="rId24" Type="http://schemas.microsoft.com/office/2020/02/relationships/classificationlabels" Target="docMetadata/LabelInfo17.xml"/><Relationship Id="rId32" Type="http://schemas.microsoft.com/office/2020/02/relationships/classificationlabels" Target="docMetadata/LabelInfo25.xml"/><Relationship Id="rId37" Type="http://schemas.microsoft.com/office/2020/02/relationships/classificationlabels" Target="docMetadata/LabelInfo30.xml"/><Relationship Id="rId40" Type="http://schemas.microsoft.com/office/2020/02/relationships/classificationlabels" Target="docMetadata/LabelInfo34.xml"/><Relationship Id="rId45" Type="http://schemas.microsoft.com/office/2020/02/relationships/classificationlabels" Target="docMetadata/LabelInfo39.xml"/><Relationship Id="rId15" Type="http://schemas.microsoft.com/office/2020/02/relationships/classificationlabels" Target="docMetadata/LabelInfo8.xml"/><Relationship Id="rId23" Type="http://schemas.microsoft.com/office/2020/02/relationships/classificationlabels" Target="docMetadata/LabelInfo15.xml"/><Relationship Id="rId28" Type="http://schemas.microsoft.com/office/2020/02/relationships/classificationlabels" Target="docMetadata/LabelInfo21.xml"/><Relationship Id="rId36" Type="http://schemas.microsoft.com/office/2020/02/relationships/classificationlabels" Target="docMetadata/LabelInfo28.xml"/><Relationship Id="rId19" Type="http://schemas.microsoft.com/office/2020/02/relationships/classificationlabels" Target="docMetadata/LabelInfo20.xml"/><Relationship Id="rId10" Type="http://schemas.microsoft.com/office/2020/02/relationships/classificationlabels" Target="docMetadata/LabelInfo4.xml"/><Relationship Id="rId31" Type="http://schemas.microsoft.com/office/2020/02/relationships/classificationlabels" Target="docMetadata/LabelInfo23.xml"/><Relationship Id="rId44" Type="http://schemas.microsoft.com/office/2020/02/relationships/classificationlabels" Target="docMetadata/LabelInfo38.xml"/><Relationship Id="rId4" Type="http://schemas.openxmlformats.org/officeDocument/2006/relationships/custom-properties" Target="docProps/custom.xml"/><Relationship Id="rId27" Type="http://schemas.microsoft.com/office/2020/02/relationships/classificationlabels" Target="docMetadata/LabelInfo33.xml"/><Relationship Id="rId35" Type="http://schemas.microsoft.com/office/2020/02/relationships/classificationlabels" Target="docMetadata/LabelInfo29.xml"/><Relationship Id="rId30" Type="http://schemas.microsoft.com/office/2020/02/relationships/classificationlabels" Target="docMetadata/LabelInfo24.xml"/><Relationship Id="rId22" Type="http://schemas.microsoft.com/office/2020/02/relationships/classificationlabels" Target="docMetadata/LabelInfo16.xml"/><Relationship Id="rId14" Type="http://schemas.microsoft.com/office/2020/02/relationships/classificationlabels" Target="docMetadata/LabelInfo12.xml"/><Relationship Id="rId9" Type="http://schemas.microsoft.com/office/2020/02/relationships/classificationlabels" Target="docMetadata/LabelInfo7.xml"/><Relationship Id="rId43" Type="http://schemas.microsoft.com/office/2020/02/relationships/classificationlabels" Target="docMetadata/LabelInfo37.xml"/><Relationship Id="rId8" Type="http://schemas.microsoft.com/office/2020/02/relationships/classificationlabels" Target="docMetadata/LabelInfo2.xml"/><Relationship Id="rId3" Type="http://schemas.openxmlformats.org/officeDocument/2006/relationships/extended-properties" Target="docProps/app.xml"/><Relationship Id="rId46" Type="http://schemas.microsoft.com/office/2020/02/relationships/classificationlabels" Target="docMetadata/LabelInfo.xml"/><Relationship Id="rId12" Type="http://schemas.microsoft.com/office/2020/02/relationships/classificationlabels" Target="docMetadata/LabelInfo3.xml"/><Relationship Id="rId17" Type="http://schemas.microsoft.com/office/2020/02/relationships/classificationlabels" Target="docMetadata/LabelInfo10.xml"/><Relationship Id="rId25" Type="http://schemas.microsoft.com/office/2020/02/relationships/classificationlabels" Target="docMetadata/LabelInfo18.xml"/><Relationship Id="rId33" Type="http://schemas.microsoft.com/office/2020/02/relationships/classificationlabels" Target="docMetadata/LabelInfo26.xml"/><Relationship Id="rId38" Type="http://schemas.microsoft.com/office/2020/02/relationships/classificationlabels" Target="docMetadata/LabelInfo31.xml"/><Relationship Id="rId20" Type="http://schemas.microsoft.com/office/2020/02/relationships/classificationlabels" Target="docMetadata/LabelInfo13.xml"/><Relationship Id="rId41" Type="http://schemas.microsoft.com/office/2020/02/relationships/classificationlabels" Target="docMetadata/LabelInfo35.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AEB5E" w14:textId="0D810FB1" w:rsidR="00A63D1D" w:rsidRPr="0011239F" w:rsidRDefault="009A3C08" w:rsidP="008F7540">
      <w:pPr>
        <w:pStyle w:val="Heading1"/>
        <w:rPr>
          <w:rFonts w:eastAsia="Arial"/>
        </w:rPr>
      </w:pPr>
      <w:r w:rsidRPr="0011239F">
        <w:t>2</w:t>
      </w:r>
      <w:r w:rsidR="004D606F" w:rsidRPr="0011239F">
        <w:t xml:space="preserve">. </w:t>
      </w:r>
      <w:r w:rsidR="00FA09EC" w:rsidRPr="0011239F">
        <w:tab/>
      </w:r>
      <w:r w:rsidR="00D33D6D" w:rsidRPr="008F7540">
        <w:t>EDUCATION</w:t>
      </w:r>
      <w:r w:rsidR="00621ABC" w:rsidRPr="0011239F">
        <w:t xml:space="preserve"> </w:t>
      </w:r>
      <w:r w:rsidR="00A63D1D" w:rsidRPr="00220E20">
        <w:t>CLUSTER</w:t>
      </w:r>
    </w:p>
    <w:p w14:paraId="74043476" w14:textId="0A6949DE" w:rsidR="00A63D1D" w:rsidRPr="0011239F" w:rsidRDefault="00A63D1D" w:rsidP="00C36202">
      <w:pPr>
        <w:pStyle w:val="Heading2"/>
      </w:pPr>
      <w:bookmarkStart w:id="0" w:name="_Toc511769333"/>
      <w:r w:rsidRPr="00026B37">
        <w:t>Introduction</w:t>
      </w:r>
      <w:bookmarkEnd w:id="0"/>
    </w:p>
    <w:tbl>
      <w:tblPr>
        <w:tblpPr w:leftFromText="180" w:rightFromText="180" w:vertAnchor="text" w:horzAnchor="margin" w:tblpXSpec="right" w:tblpY="23"/>
        <w:tblW w:w="1692" w:type="pct"/>
        <w:shd w:val="clear" w:color="auto" w:fill="F2F2F2" w:themeFill="background1" w:themeFillShade="F2"/>
        <w:tblCellMar>
          <w:left w:w="115" w:type="dxa"/>
          <w:right w:w="115" w:type="dxa"/>
        </w:tblCellMar>
        <w:tblLook w:val="04A0" w:firstRow="1" w:lastRow="0" w:firstColumn="1" w:lastColumn="0" w:noHBand="0" w:noVBand="1"/>
        <w:tblCaption w:val="Education Cluster"/>
      </w:tblPr>
      <w:tblGrid>
        <w:gridCol w:w="1086"/>
        <w:gridCol w:w="968"/>
        <w:gridCol w:w="1208"/>
      </w:tblGrid>
      <w:tr w:rsidR="001D4BC9" w:rsidRPr="0011239F" w14:paraId="3EEE1C17" w14:textId="77777777" w:rsidTr="39F64A45">
        <w:trPr>
          <w:cantSplit/>
          <w:trHeight w:val="1010"/>
        </w:trPr>
        <w:tc>
          <w:tcPr>
            <w:tcW w:w="1665" w:type="pct"/>
            <w:shd w:val="clear" w:color="auto" w:fill="F2F2F2" w:themeFill="background1" w:themeFillShade="F2"/>
            <w:vAlign w:val="center"/>
          </w:tcPr>
          <w:p w14:paraId="605D7F5D" w14:textId="77777777" w:rsidR="001D4BC9" w:rsidRPr="0011239F" w:rsidRDefault="00D122DC" w:rsidP="001D4BC9">
            <w:pPr>
              <w:spacing w:before="120" w:after="120"/>
              <w:rPr>
                <w:rFonts w:cs="Arial"/>
              </w:rPr>
            </w:pPr>
            <w:bookmarkStart w:id="1" w:name="_Hlk514514902"/>
            <w:r w:rsidRPr="0011239F">
              <w:rPr>
                <w:rFonts w:cs="Arial"/>
                <w:noProof/>
                <w:lang w:eastAsia="en-AU"/>
              </w:rPr>
              <w:drawing>
                <wp:inline distT="0" distB="0" distL="0" distR="0" wp14:anchorId="6084DAE0" wp14:editId="63CDA05C">
                  <wp:extent cx="518160" cy="518160"/>
                  <wp:effectExtent l="0" t="0" r="0" b="0"/>
                  <wp:docPr id="6" name="Picture 6" descr="H:\Documents\Downloads\BP3 icons-V02-Expense.png"/>
                  <wp:cNvGraphicFramePr/>
                  <a:graphic xmlns:a="http://schemas.openxmlformats.org/drawingml/2006/main">
                    <a:graphicData uri="http://schemas.openxmlformats.org/drawingml/2006/picture">
                      <pic:pic xmlns:pic="http://schemas.openxmlformats.org/drawingml/2006/picture">
                        <pic:nvPicPr>
                          <pic:cNvPr id="6" name="Picture 6" descr="H:\Documents\Downloads\BP3 icons-V02-Expense.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solidFill>
                            <a:srgbClr val="F2F2F2"/>
                          </a:solidFill>
                          <a:ln>
                            <a:noFill/>
                          </a:ln>
                        </pic:spPr>
                      </pic:pic>
                    </a:graphicData>
                  </a:graphic>
                </wp:inline>
              </w:drawing>
            </w:r>
          </w:p>
        </w:tc>
        <w:tc>
          <w:tcPr>
            <w:tcW w:w="1484" w:type="pct"/>
            <w:shd w:val="clear" w:color="auto" w:fill="F2F2F2" w:themeFill="background1" w:themeFillShade="F2"/>
            <w:vAlign w:val="center"/>
          </w:tcPr>
          <w:p w14:paraId="7DEBED38" w14:textId="5D8AD3D5" w:rsidR="001D4BC9" w:rsidRPr="0011239F" w:rsidRDefault="001D4BC9" w:rsidP="00B1009C">
            <w:pPr>
              <w:spacing w:before="120" w:after="120"/>
              <w:jc w:val="center"/>
              <w:rPr>
                <w:rFonts w:cs="Arial"/>
                <w:color w:val="00ABE6"/>
                <w:sz w:val="18"/>
                <w:szCs w:val="18"/>
              </w:rPr>
            </w:pPr>
            <w:r w:rsidRPr="008B4AB3">
              <w:rPr>
                <w:rFonts w:cs="Arial"/>
                <w:color w:val="00ABE6"/>
                <w:sz w:val="18"/>
                <w:szCs w:val="18"/>
              </w:rPr>
              <w:t>$</w:t>
            </w:r>
            <w:r w:rsidR="00002652" w:rsidRPr="008B4AB3">
              <w:rPr>
                <w:rFonts w:cs="Arial"/>
                <w:color w:val="00ABE6"/>
                <w:sz w:val="18"/>
                <w:szCs w:val="18"/>
              </w:rPr>
              <w:t>19.</w:t>
            </w:r>
            <w:r w:rsidR="00383258" w:rsidRPr="008B4AB3">
              <w:rPr>
                <w:rFonts w:cs="Arial"/>
                <w:color w:val="00ABE6"/>
                <w:sz w:val="18"/>
                <w:szCs w:val="18"/>
              </w:rPr>
              <w:t>9</w:t>
            </w:r>
            <w:r w:rsidR="0064170B" w:rsidRPr="008B4AB3">
              <w:rPr>
                <w:rFonts w:cs="Arial"/>
                <w:color w:val="00ABE6"/>
                <w:sz w:val="18"/>
                <w:szCs w:val="18"/>
              </w:rPr>
              <w:t xml:space="preserve"> </w:t>
            </w:r>
            <w:r w:rsidR="007C4D52" w:rsidRPr="008B4AB3">
              <w:rPr>
                <w:rFonts w:cs="Arial"/>
                <w:color w:val="00ABE6"/>
                <w:sz w:val="18"/>
                <w:szCs w:val="18"/>
              </w:rPr>
              <w:br/>
            </w:r>
            <w:r w:rsidRPr="008B4AB3">
              <w:rPr>
                <w:rFonts w:cs="Arial"/>
                <w:color w:val="00ABE6"/>
                <w:sz w:val="18"/>
                <w:szCs w:val="18"/>
              </w:rPr>
              <w:t>billion</w:t>
            </w:r>
          </w:p>
        </w:tc>
        <w:tc>
          <w:tcPr>
            <w:tcW w:w="1852" w:type="pct"/>
            <w:shd w:val="clear" w:color="auto" w:fill="F2F2F2" w:themeFill="background1" w:themeFillShade="F2"/>
            <w:vAlign w:val="center"/>
          </w:tcPr>
          <w:p w14:paraId="5EF886C3" w14:textId="77777777" w:rsidR="001D4BC9" w:rsidRPr="0011239F" w:rsidRDefault="001D4BC9" w:rsidP="001D4BC9">
            <w:pPr>
              <w:rPr>
                <w:rFonts w:cs="Arial"/>
                <w:color w:val="00ABE6"/>
                <w:sz w:val="18"/>
                <w:szCs w:val="18"/>
              </w:rPr>
            </w:pPr>
            <w:r w:rsidRPr="0011239F">
              <w:rPr>
                <w:rFonts w:cs="Arial"/>
                <w:color w:val="00ABE6"/>
                <w:sz w:val="18"/>
                <w:szCs w:val="18"/>
              </w:rPr>
              <w:t>Recurrent</w:t>
            </w:r>
          </w:p>
          <w:p w14:paraId="7F56C5C5" w14:textId="1F375881" w:rsidR="001D4BC9" w:rsidRPr="0011239F" w:rsidRDefault="001D4BC9" w:rsidP="001D4BC9">
            <w:pPr>
              <w:rPr>
                <w:rFonts w:cs="Arial"/>
                <w:color w:val="00ABE6"/>
                <w:sz w:val="18"/>
                <w:szCs w:val="18"/>
              </w:rPr>
            </w:pPr>
            <w:r w:rsidRPr="0011239F">
              <w:rPr>
                <w:rFonts w:cs="Arial"/>
                <w:color w:val="00ABE6"/>
                <w:sz w:val="18"/>
                <w:szCs w:val="18"/>
              </w:rPr>
              <w:t xml:space="preserve">Expenses </w:t>
            </w:r>
            <w:r w:rsidRPr="0011239F">
              <w:rPr>
                <w:rFonts w:cs="Arial"/>
                <w:color w:val="00ABE6"/>
                <w:sz w:val="18"/>
                <w:szCs w:val="18"/>
              </w:rPr>
              <w:br/>
            </w:r>
            <w:r w:rsidR="006D4B0D" w:rsidRPr="0011239F">
              <w:rPr>
                <w:rFonts w:cs="Arial"/>
                <w:color w:val="00ABE6"/>
                <w:sz w:val="18"/>
                <w:szCs w:val="18"/>
              </w:rPr>
              <w:t>20</w:t>
            </w:r>
            <w:r w:rsidR="0064170B">
              <w:rPr>
                <w:rFonts w:cs="Arial"/>
                <w:color w:val="00ABE6"/>
                <w:sz w:val="18"/>
                <w:szCs w:val="18"/>
              </w:rPr>
              <w:t>20</w:t>
            </w:r>
            <w:r w:rsidR="006D4B0D" w:rsidRPr="0011239F">
              <w:rPr>
                <w:rFonts w:cs="Arial"/>
                <w:color w:val="00ABE6"/>
                <w:sz w:val="18"/>
                <w:szCs w:val="18"/>
              </w:rPr>
              <w:t>-2</w:t>
            </w:r>
            <w:r w:rsidR="0064170B">
              <w:rPr>
                <w:rFonts w:cs="Arial"/>
                <w:color w:val="00ABE6"/>
                <w:sz w:val="18"/>
                <w:szCs w:val="18"/>
              </w:rPr>
              <w:t>1</w:t>
            </w:r>
          </w:p>
        </w:tc>
      </w:tr>
      <w:tr w:rsidR="001D4BC9" w:rsidRPr="0011239F" w14:paraId="5C328435" w14:textId="77777777" w:rsidTr="39F64A45">
        <w:trPr>
          <w:cantSplit/>
          <w:trHeight w:val="1010"/>
        </w:trPr>
        <w:tc>
          <w:tcPr>
            <w:tcW w:w="1665" w:type="pct"/>
            <w:shd w:val="clear" w:color="auto" w:fill="F2F2F2" w:themeFill="background1" w:themeFillShade="F2"/>
            <w:vAlign w:val="center"/>
          </w:tcPr>
          <w:p w14:paraId="4FB86C35" w14:textId="77777777" w:rsidR="001D4BC9" w:rsidRPr="0011239F" w:rsidRDefault="00D122DC" w:rsidP="001D4BC9">
            <w:pPr>
              <w:spacing w:before="120" w:after="120"/>
              <w:rPr>
                <w:rFonts w:cs="Arial"/>
                <w:noProof/>
                <w:lang w:eastAsia="en-AU"/>
              </w:rPr>
            </w:pPr>
            <w:r w:rsidRPr="0011239F">
              <w:rPr>
                <w:rFonts w:cs="Arial"/>
                <w:noProof/>
                <w:lang w:eastAsia="en-AU"/>
              </w:rPr>
              <w:drawing>
                <wp:inline distT="0" distB="0" distL="0" distR="0" wp14:anchorId="628DD338" wp14:editId="75ECF776">
                  <wp:extent cx="525145" cy="525145"/>
                  <wp:effectExtent l="0" t="0" r="8255" b="8255"/>
                  <wp:docPr id="2" name="Picture 2" descr="H:\Documents\Downloads\BP3 icons-V02-Capital Expenditure 03.png"/>
                  <wp:cNvGraphicFramePr/>
                  <a:graphic xmlns:a="http://schemas.openxmlformats.org/drawingml/2006/main">
                    <a:graphicData uri="http://schemas.openxmlformats.org/drawingml/2006/picture">
                      <pic:pic xmlns:pic="http://schemas.openxmlformats.org/drawingml/2006/picture">
                        <pic:nvPicPr>
                          <pic:cNvPr id="8" name="Picture 8" descr="H:\Documents\Downloads\BP3 icons-V02-Capital Expenditure 03.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solidFill>
                            <a:srgbClr val="F2F2F2"/>
                          </a:solidFill>
                          <a:ln>
                            <a:noFill/>
                          </a:ln>
                        </pic:spPr>
                      </pic:pic>
                    </a:graphicData>
                  </a:graphic>
                </wp:inline>
              </w:drawing>
            </w:r>
          </w:p>
        </w:tc>
        <w:tc>
          <w:tcPr>
            <w:tcW w:w="1484" w:type="pct"/>
            <w:shd w:val="clear" w:color="auto" w:fill="F2F2F2" w:themeFill="background1" w:themeFillShade="F2"/>
            <w:vAlign w:val="center"/>
          </w:tcPr>
          <w:p w14:paraId="711BFC86" w14:textId="31ED780F" w:rsidR="001D4BC9" w:rsidRPr="0011239F" w:rsidRDefault="00F94AEE" w:rsidP="00B1009C">
            <w:pPr>
              <w:spacing w:before="120" w:after="120"/>
              <w:jc w:val="center"/>
              <w:rPr>
                <w:rFonts w:cs="Arial"/>
                <w:color w:val="00ABE6"/>
                <w:sz w:val="18"/>
                <w:szCs w:val="18"/>
              </w:rPr>
            </w:pPr>
            <w:r w:rsidRPr="00944D55">
              <w:rPr>
                <w:rFonts w:cs="Arial"/>
                <w:color w:val="00ABE6"/>
                <w:sz w:val="18"/>
                <w:szCs w:val="18"/>
              </w:rPr>
              <w:t>$</w:t>
            </w:r>
            <w:r w:rsidR="00002652" w:rsidRPr="00944D55">
              <w:rPr>
                <w:rFonts w:cs="Arial"/>
                <w:color w:val="00ABE6"/>
                <w:sz w:val="18"/>
                <w:szCs w:val="18"/>
              </w:rPr>
              <w:t>2.</w:t>
            </w:r>
            <w:r w:rsidR="002E06D9" w:rsidRPr="00944D55">
              <w:rPr>
                <w:rFonts w:cs="Arial"/>
                <w:color w:val="00ABE6"/>
                <w:sz w:val="18"/>
                <w:szCs w:val="18"/>
              </w:rPr>
              <w:t>8</w:t>
            </w:r>
            <w:r w:rsidR="0064170B" w:rsidRPr="00944D55">
              <w:rPr>
                <w:rFonts w:cs="Arial"/>
                <w:color w:val="00ABE6"/>
                <w:sz w:val="18"/>
                <w:szCs w:val="18"/>
              </w:rPr>
              <w:t xml:space="preserve"> </w:t>
            </w:r>
            <w:r w:rsidR="001D4BC9" w:rsidRPr="00944D55">
              <w:rPr>
                <w:rFonts w:cs="Arial"/>
                <w:color w:val="00ABE6"/>
                <w:sz w:val="18"/>
                <w:szCs w:val="18"/>
              </w:rPr>
              <w:br/>
              <w:t>billion</w:t>
            </w:r>
          </w:p>
        </w:tc>
        <w:tc>
          <w:tcPr>
            <w:tcW w:w="1852" w:type="pct"/>
            <w:shd w:val="clear" w:color="auto" w:fill="F2F2F2" w:themeFill="background1" w:themeFillShade="F2"/>
            <w:vAlign w:val="center"/>
          </w:tcPr>
          <w:p w14:paraId="59B3A7A0" w14:textId="7FA4EEB7" w:rsidR="001D4BC9" w:rsidRPr="0011239F" w:rsidRDefault="001D4BC9" w:rsidP="001D4BC9">
            <w:pPr>
              <w:rPr>
                <w:rFonts w:cs="Arial"/>
                <w:color w:val="00ABE6"/>
                <w:sz w:val="18"/>
                <w:szCs w:val="18"/>
              </w:rPr>
            </w:pPr>
            <w:r w:rsidRPr="0011239F">
              <w:rPr>
                <w:rFonts w:cs="Arial"/>
                <w:color w:val="00ABE6"/>
                <w:sz w:val="18"/>
                <w:szCs w:val="18"/>
              </w:rPr>
              <w:t xml:space="preserve">Capital </w:t>
            </w:r>
            <w:r w:rsidR="005073C0" w:rsidRPr="0011239F">
              <w:rPr>
                <w:rFonts w:cs="Arial"/>
                <w:color w:val="00ABE6"/>
                <w:sz w:val="18"/>
                <w:szCs w:val="18"/>
              </w:rPr>
              <w:br/>
            </w:r>
            <w:r w:rsidRPr="0011239F">
              <w:rPr>
                <w:rFonts w:cs="Arial"/>
                <w:color w:val="00ABE6"/>
                <w:sz w:val="18"/>
                <w:szCs w:val="18"/>
              </w:rPr>
              <w:t xml:space="preserve">Expenditure </w:t>
            </w:r>
            <w:r w:rsidR="006D4B0D" w:rsidRPr="0011239F">
              <w:rPr>
                <w:rFonts w:cs="Arial"/>
                <w:color w:val="00ABE6"/>
                <w:sz w:val="18"/>
                <w:szCs w:val="18"/>
              </w:rPr>
              <w:t>20</w:t>
            </w:r>
            <w:r w:rsidR="0064170B">
              <w:rPr>
                <w:rFonts w:cs="Arial"/>
                <w:color w:val="00ABE6"/>
                <w:sz w:val="18"/>
                <w:szCs w:val="18"/>
              </w:rPr>
              <w:t>20</w:t>
            </w:r>
            <w:r w:rsidR="006D4B0D" w:rsidRPr="0011239F">
              <w:rPr>
                <w:rFonts w:cs="Arial"/>
                <w:color w:val="00ABE6"/>
                <w:sz w:val="18"/>
                <w:szCs w:val="18"/>
              </w:rPr>
              <w:t>-2</w:t>
            </w:r>
            <w:r w:rsidR="0064170B">
              <w:rPr>
                <w:rFonts w:cs="Arial"/>
                <w:color w:val="00ABE6"/>
                <w:sz w:val="18"/>
                <w:szCs w:val="18"/>
              </w:rPr>
              <w:t>1</w:t>
            </w:r>
          </w:p>
        </w:tc>
      </w:tr>
    </w:tbl>
    <w:p w14:paraId="5583FF83" w14:textId="098A5C0A" w:rsidR="008D5BCC" w:rsidRPr="00DF2797" w:rsidRDefault="008D5BCC" w:rsidP="00DF2797">
      <w:pPr>
        <w:pStyle w:val="BodyText"/>
      </w:pPr>
      <w:bookmarkStart w:id="2" w:name="_Hlk515375251"/>
      <w:bookmarkEnd w:id="1"/>
      <w:r w:rsidRPr="00DF2797">
        <w:t xml:space="preserve">The Education </w:t>
      </w:r>
      <w:r w:rsidR="00B82297">
        <w:t>C</w:t>
      </w:r>
      <w:r w:rsidRPr="00DF2797">
        <w:t xml:space="preserve">luster </w:t>
      </w:r>
      <w:r w:rsidR="005F2051">
        <w:t xml:space="preserve">administers and delivers lifelong education and training services for </w:t>
      </w:r>
      <w:r w:rsidR="00C445D8" w:rsidRPr="00DF2797">
        <w:t>NSW</w:t>
      </w:r>
      <w:r w:rsidRPr="00DF2797">
        <w:t xml:space="preserve"> students</w:t>
      </w:r>
      <w:r w:rsidR="0020737A" w:rsidRPr="00DF2797">
        <w:t>, workers</w:t>
      </w:r>
      <w:r w:rsidR="0005622F" w:rsidRPr="00DF2797">
        <w:t xml:space="preserve"> and industry</w:t>
      </w:r>
      <w:r w:rsidRPr="00DF2797">
        <w:t xml:space="preserve">. This </w:t>
      </w:r>
      <w:r w:rsidR="005F2051">
        <w:t>spans</w:t>
      </w:r>
      <w:r w:rsidRPr="00DF2797">
        <w:t xml:space="preserve"> the early childhood education and care sector, </w:t>
      </w:r>
      <w:r w:rsidR="002C26BF" w:rsidRPr="00DF2797">
        <w:t>government and non-government schools</w:t>
      </w:r>
      <w:r w:rsidRPr="00DF2797">
        <w:t xml:space="preserve">, and the vocational education and training sector. </w:t>
      </w:r>
    </w:p>
    <w:p w14:paraId="78DB6C6E" w14:textId="77777777" w:rsidR="00112DB9" w:rsidRDefault="00112DB9" w:rsidP="00112DB9">
      <w:pPr>
        <w:pStyle w:val="BodyText"/>
      </w:pPr>
    </w:p>
    <w:p w14:paraId="598A33AE" w14:textId="041A60FF" w:rsidR="000437B2" w:rsidRDefault="000437B2" w:rsidP="00220E20"/>
    <w:p w14:paraId="40A4E79A" w14:textId="089B5536" w:rsidR="00B97865" w:rsidRDefault="00001D87" w:rsidP="00E27C10">
      <w:pPr>
        <w:pStyle w:val="Heading3"/>
        <w:rPr>
          <w:rFonts w:cs="Arial"/>
        </w:rPr>
      </w:pPr>
      <w:r w:rsidRPr="0011239F">
        <w:rPr>
          <w:rFonts w:cs="Arial"/>
        </w:rPr>
        <w:t xml:space="preserve">State Outcomes </w:t>
      </w:r>
      <w:r w:rsidR="00636FAE" w:rsidRPr="0011239F">
        <w:rPr>
          <w:rFonts w:cs="Arial"/>
        </w:rPr>
        <w:t xml:space="preserve">to be </w:t>
      </w:r>
      <w:r w:rsidRPr="0011239F">
        <w:rPr>
          <w:rFonts w:cs="Arial"/>
        </w:rPr>
        <w:t xml:space="preserve">delivered by the Education </w:t>
      </w:r>
      <w:r w:rsidR="00F00D53">
        <w:rPr>
          <w:rFonts w:cs="Arial"/>
        </w:rPr>
        <w:t>C</w:t>
      </w:r>
      <w:r w:rsidRPr="0011239F">
        <w:rPr>
          <w:rFonts w:cs="Arial"/>
        </w:rPr>
        <w:t>luster</w:t>
      </w:r>
      <w:bookmarkEnd w:id="2"/>
    </w:p>
    <w:tbl>
      <w:tblPr>
        <w:tblW w:w="9873" w:type="dxa"/>
        <w:tblLook w:val="04A0" w:firstRow="1" w:lastRow="0" w:firstColumn="1" w:lastColumn="0" w:noHBand="0" w:noVBand="1"/>
        <w:tblCaption w:val="State Outcomes to be delivered by the Education cluster"/>
        <w:tblDescription w:val="State Outcomes to be delivered by the Education Cluster"/>
      </w:tblPr>
      <w:tblGrid>
        <w:gridCol w:w="5102"/>
        <w:gridCol w:w="236"/>
        <w:gridCol w:w="4535"/>
      </w:tblGrid>
      <w:tr w:rsidR="00A95062" w:rsidRPr="0011239F" w14:paraId="54E28241" w14:textId="77777777" w:rsidTr="00A95062">
        <w:trPr>
          <w:trHeight w:val="408"/>
        </w:trPr>
        <w:tc>
          <w:tcPr>
            <w:tcW w:w="5102" w:type="dxa"/>
            <w:vMerge w:val="restart"/>
            <w:tcBorders>
              <w:top w:val="nil"/>
              <w:left w:val="nil"/>
              <w:bottom w:val="nil"/>
              <w:right w:val="nil"/>
            </w:tcBorders>
            <w:shd w:val="clear" w:color="auto" w:fill="002664"/>
            <w:vAlign w:val="center"/>
            <w:hideMark/>
          </w:tcPr>
          <w:p w14:paraId="636A2322" w14:textId="43369413" w:rsidR="00F95BC2" w:rsidRPr="0011239F" w:rsidRDefault="00F95BC2" w:rsidP="001A6CE7">
            <w:pPr>
              <w:jc w:val="center"/>
              <w:rPr>
                <w:rFonts w:cs="Arial"/>
                <w:b/>
                <w:bCs/>
                <w:color w:val="FFFFFF"/>
                <w:sz w:val="22"/>
                <w:szCs w:val="22"/>
              </w:rPr>
            </w:pPr>
            <w:bookmarkStart w:id="3" w:name="_Hlk514693442"/>
            <w:bookmarkStart w:id="4" w:name="_Hlk514697968"/>
            <w:r w:rsidRPr="00D92897">
              <w:rPr>
                <w:rFonts w:cs="Arial"/>
                <w:b/>
                <w:bCs/>
                <w:color w:val="FFFFFF"/>
                <w:sz w:val="22"/>
                <w:szCs w:val="22"/>
                <w:lang w:eastAsia="en-AU"/>
              </w:rPr>
              <w:t>State Outcomes</w:t>
            </w:r>
            <w:r w:rsidRPr="00D92897">
              <w:rPr>
                <w:rFonts w:cs="Arial"/>
                <w:b/>
                <w:bCs/>
                <w:color w:val="FFFFFF"/>
                <w:sz w:val="22"/>
                <w:szCs w:val="22"/>
                <w:lang w:eastAsia="en-AU"/>
              </w:rPr>
              <w:br/>
            </w:r>
            <w:r w:rsidRPr="00D92897">
              <w:rPr>
                <w:rFonts w:cs="Arial"/>
                <w:color w:val="FFFFFF"/>
                <w:sz w:val="22"/>
                <w:szCs w:val="22"/>
                <w:lang w:eastAsia="en-AU"/>
              </w:rPr>
              <w:t xml:space="preserve">What the </w:t>
            </w:r>
            <w:r w:rsidR="001F2038">
              <w:rPr>
                <w:rFonts w:cs="Arial"/>
                <w:color w:val="FFFFFF"/>
                <w:sz w:val="22"/>
                <w:szCs w:val="22"/>
                <w:lang w:eastAsia="en-AU"/>
              </w:rPr>
              <w:t>C</w:t>
            </w:r>
            <w:r w:rsidRPr="00D92897">
              <w:rPr>
                <w:rFonts w:cs="Arial"/>
                <w:color w:val="FFFFFF"/>
                <w:sz w:val="22"/>
                <w:szCs w:val="22"/>
                <w:lang w:eastAsia="en-AU"/>
              </w:rPr>
              <w:t>luster is delivering for people and business</w:t>
            </w:r>
          </w:p>
        </w:tc>
        <w:tc>
          <w:tcPr>
            <w:tcW w:w="236" w:type="dxa"/>
            <w:vMerge w:val="restart"/>
            <w:tcBorders>
              <w:top w:val="nil"/>
              <w:left w:val="nil"/>
              <w:bottom w:val="nil"/>
              <w:right w:val="nil"/>
            </w:tcBorders>
            <w:shd w:val="clear" w:color="auto" w:fill="FFFFFF" w:themeFill="background1"/>
            <w:vAlign w:val="center"/>
            <w:hideMark/>
          </w:tcPr>
          <w:p w14:paraId="79D2B4F3" w14:textId="77777777" w:rsidR="00F95BC2" w:rsidRPr="00A95062" w:rsidRDefault="00F95BC2" w:rsidP="001A6CE7">
            <w:pPr>
              <w:jc w:val="center"/>
              <w:rPr>
                <w:color w:val="FFFFFF"/>
                <w:sz w:val="6"/>
                <w:szCs w:val="6"/>
              </w:rPr>
            </w:pPr>
            <w:r w:rsidRPr="00A95062">
              <w:rPr>
                <w:rFonts w:cs="Arial"/>
                <w:color w:val="FFFFFF"/>
                <w:sz w:val="6"/>
                <w:szCs w:val="6"/>
                <w:lang w:eastAsia="en-AU"/>
              </w:rPr>
              <w:t> </w:t>
            </w:r>
          </w:p>
        </w:tc>
        <w:tc>
          <w:tcPr>
            <w:tcW w:w="4535" w:type="dxa"/>
            <w:vMerge w:val="restart"/>
            <w:tcBorders>
              <w:top w:val="nil"/>
              <w:left w:val="nil"/>
              <w:bottom w:val="nil"/>
              <w:right w:val="nil"/>
            </w:tcBorders>
            <w:shd w:val="clear" w:color="auto" w:fill="002664"/>
            <w:vAlign w:val="center"/>
            <w:hideMark/>
          </w:tcPr>
          <w:p w14:paraId="2374DA2C" w14:textId="516B3305" w:rsidR="00F95BC2" w:rsidRPr="0011239F" w:rsidRDefault="00F95BC2" w:rsidP="001A6CE7">
            <w:pPr>
              <w:jc w:val="center"/>
              <w:rPr>
                <w:rFonts w:cs="Arial"/>
                <w:b/>
                <w:bCs/>
                <w:color w:val="FFFFFF"/>
                <w:sz w:val="22"/>
                <w:szCs w:val="22"/>
              </w:rPr>
            </w:pPr>
            <w:r w:rsidRPr="00D92897">
              <w:rPr>
                <w:rFonts w:cs="Arial"/>
                <w:b/>
                <w:bCs/>
                <w:color w:val="FFFFFF"/>
                <w:sz w:val="22"/>
                <w:szCs w:val="22"/>
                <w:lang w:eastAsia="en-AU"/>
              </w:rPr>
              <w:t>Example Programs</w:t>
            </w:r>
            <w:r w:rsidR="00A15CE0" w:rsidRPr="00A15CE0">
              <w:rPr>
                <w:rFonts w:ascii="Arial Bold" w:hAnsi="Arial Bold" w:cs="Arial"/>
                <w:b/>
                <w:bCs/>
                <w:color w:val="FFFFFF"/>
                <w:sz w:val="22"/>
                <w:szCs w:val="22"/>
                <w:vertAlign w:val="superscript"/>
                <w:lang w:eastAsia="en-AU"/>
              </w:rPr>
              <w:t>(a)</w:t>
            </w:r>
            <w:r w:rsidRPr="00D92897">
              <w:rPr>
                <w:rFonts w:cs="Arial"/>
                <w:b/>
                <w:bCs/>
                <w:color w:val="FFFFFF"/>
                <w:sz w:val="22"/>
                <w:szCs w:val="22"/>
                <w:lang w:eastAsia="en-AU"/>
              </w:rPr>
              <w:t xml:space="preserve">  </w:t>
            </w:r>
            <w:r w:rsidRPr="00D92897">
              <w:rPr>
                <w:rFonts w:cs="Arial"/>
                <w:b/>
                <w:bCs/>
                <w:color w:val="FFFFFF"/>
                <w:sz w:val="22"/>
                <w:szCs w:val="22"/>
                <w:lang w:eastAsia="en-AU"/>
              </w:rPr>
              <w:br/>
            </w:r>
            <w:r w:rsidRPr="00D92897">
              <w:rPr>
                <w:rFonts w:cs="Arial"/>
                <w:color w:val="FFFFFF"/>
                <w:sz w:val="22"/>
                <w:szCs w:val="22"/>
                <w:lang w:eastAsia="en-AU"/>
              </w:rPr>
              <w:t xml:space="preserve">underway to support delivery of </w:t>
            </w:r>
            <w:r w:rsidR="004218D9">
              <w:rPr>
                <w:rFonts w:cs="Arial"/>
                <w:color w:val="FFFFFF"/>
                <w:sz w:val="22"/>
                <w:szCs w:val="22"/>
                <w:lang w:eastAsia="en-AU"/>
              </w:rPr>
              <w:t>O</w:t>
            </w:r>
            <w:r w:rsidRPr="00D92897">
              <w:rPr>
                <w:rFonts w:cs="Arial"/>
                <w:color w:val="FFFFFF"/>
                <w:sz w:val="22"/>
                <w:szCs w:val="22"/>
                <w:lang w:eastAsia="en-AU"/>
              </w:rPr>
              <w:t>utcomes</w:t>
            </w:r>
          </w:p>
        </w:tc>
      </w:tr>
      <w:tr w:rsidR="00A95062" w:rsidRPr="0011239F" w14:paraId="2FAD0DA7" w14:textId="77777777" w:rsidTr="00A95062">
        <w:trPr>
          <w:trHeight w:val="408"/>
        </w:trPr>
        <w:tc>
          <w:tcPr>
            <w:tcW w:w="5102" w:type="dxa"/>
            <w:vMerge/>
            <w:shd w:val="clear" w:color="auto" w:fill="auto"/>
            <w:vAlign w:val="center"/>
            <w:hideMark/>
          </w:tcPr>
          <w:p w14:paraId="10ABE144" w14:textId="77777777" w:rsidR="00F95BC2" w:rsidRPr="00FC4E65" w:rsidRDefault="00F95BC2" w:rsidP="001A6CE7">
            <w:pPr>
              <w:rPr>
                <w:b/>
                <w:color w:val="FFFFFF"/>
                <w:sz w:val="22"/>
              </w:rPr>
            </w:pPr>
          </w:p>
        </w:tc>
        <w:tc>
          <w:tcPr>
            <w:tcW w:w="236" w:type="dxa"/>
            <w:vMerge/>
            <w:shd w:val="clear" w:color="auto" w:fill="auto"/>
            <w:vAlign w:val="center"/>
            <w:hideMark/>
          </w:tcPr>
          <w:p w14:paraId="2CEDA587" w14:textId="77777777" w:rsidR="00F95BC2" w:rsidRPr="00A95062" w:rsidRDefault="00F95BC2" w:rsidP="001A6CE7">
            <w:pPr>
              <w:rPr>
                <w:color w:val="FFFFFF"/>
                <w:sz w:val="6"/>
                <w:szCs w:val="6"/>
              </w:rPr>
            </w:pPr>
          </w:p>
        </w:tc>
        <w:tc>
          <w:tcPr>
            <w:tcW w:w="4535" w:type="dxa"/>
            <w:vMerge/>
            <w:shd w:val="clear" w:color="auto" w:fill="auto"/>
            <w:vAlign w:val="center"/>
            <w:hideMark/>
          </w:tcPr>
          <w:p w14:paraId="33F3EBE2" w14:textId="77777777" w:rsidR="00F95BC2" w:rsidRPr="00FC4E65" w:rsidRDefault="00F95BC2" w:rsidP="001A6CE7">
            <w:pPr>
              <w:rPr>
                <w:b/>
                <w:color w:val="FFFFFF"/>
                <w:sz w:val="22"/>
              </w:rPr>
            </w:pPr>
          </w:p>
        </w:tc>
      </w:tr>
      <w:bookmarkEnd w:id="3"/>
      <w:tr w:rsidR="00A95062" w:rsidRPr="00D92897" w14:paraId="6996AEB2" w14:textId="77777777" w:rsidTr="00A95062">
        <w:trPr>
          <w:trHeight w:val="108"/>
        </w:trPr>
        <w:tc>
          <w:tcPr>
            <w:tcW w:w="5102" w:type="dxa"/>
            <w:tcBorders>
              <w:top w:val="nil"/>
              <w:left w:val="nil"/>
              <w:bottom w:val="nil"/>
              <w:right w:val="nil"/>
            </w:tcBorders>
            <w:shd w:val="clear" w:color="auto" w:fill="FFFFFF" w:themeFill="background1"/>
            <w:vAlign w:val="center"/>
            <w:hideMark/>
          </w:tcPr>
          <w:p w14:paraId="1CF17D43" w14:textId="77777777" w:rsidR="00F95BC2" w:rsidRPr="00D92897" w:rsidRDefault="00F95BC2" w:rsidP="001A6CE7">
            <w:pPr>
              <w:jc w:val="center"/>
              <w:rPr>
                <w:rFonts w:cs="Arial"/>
                <w:color w:val="000000"/>
                <w:sz w:val="4"/>
                <w:szCs w:val="4"/>
                <w:lang w:eastAsia="en-AU"/>
              </w:rPr>
            </w:pPr>
            <w:r w:rsidRPr="00D92897">
              <w:rPr>
                <w:rFonts w:cs="Arial"/>
                <w:color w:val="000000"/>
                <w:sz w:val="4"/>
                <w:szCs w:val="4"/>
                <w:lang w:eastAsia="en-AU"/>
              </w:rPr>
              <w:t> </w:t>
            </w:r>
          </w:p>
        </w:tc>
        <w:tc>
          <w:tcPr>
            <w:tcW w:w="236" w:type="dxa"/>
            <w:tcBorders>
              <w:top w:val="nil"/>
              <w:left w:val="nil"/>
              <w:bottom w:val="nil"/>
              <w:right w:val="nil"/>
            </w:tcBorders>
            <w:shd w:val="clear" w:color="auto" w:fill="FFFFFF" w:themeFill="background1"/>
            <w:vAlign w:val="center"/>
            <w:hideMark/>
          </w:tcPr>
          <w:p w14:paraId="775F32A7" w14:textId="77777777" w:rsidR="00F95BC2" w:rsidRPr="00A95062" w:rsidRDefault="00F95BC2" w:rsidP="001A6CE7">
            <w:pPr>
              <w:jc w:val="center"/>
              <w:rPr>
                <w:rFonts w:cs="Arial"/>
                <w:sz w:val="6"/>
                <w:szCs w:val="6"/>
                <w:lang w:eastAsia="en-AU"/>
              </w:rPr>
            </w:pPr>
            <w:r w:rsidRPr="00A95062">
              <w:rPr>
                <w:rFonts w:cs="Arial"/>
                <w:sz w:val="6"/>
                <w:szCs w:val="6"/>
                <w:lang w:eastAsia="en-AU"/>
              </w:rPr>
              <w:t> </w:t>
            </w:r>
          </w:p>
        </w:tc>
        <w:tc>
          <w:tcPr>
            <w:tcW w:w="4535" w:type="dxa"/>
            <w:tcBorders>
              <w:top w:val="nil"/>
              <w:left w:val="nil"/>
              <w:bottom w:val="nil"/>
              <w:right w:val="nil"/>
            </w:tcBorders>
            <w:shd w:val="clear" w:color="auto" w:fill="FFFFFF" w:themeFill="background1"/>
            <w:vAlign w:val="center"/>
            <w:hideMark/>
          </w:tcPr>
          <w:p w14:paraId="1A271D2B" w14:textId="77777777" w:rsidR="00F95BC2" w:rsidRPr="00D92897" w:rsidRDefault="00F95BC2" w:rsidP="001A6CE7">
            <w:pPr>
              <w:jc w:val="center"/>
              <w:rPr>
                <w:rFonts w:cs="Arial"/>
                <w:color w:val="FF0000"/>
                <w:sz w:val="4"/>
                <w:szCs w:val="4"/>
                <w:lang w:eastAsia="en-AU"/>
              </w:rPr>
            </w:pPr>
            <w:r w:rsidRPr="00D92897">
              <w:rPr>
                <w:rFonts w:cs="Arial"/>
                <w:color w:val="FF0000"/>
                <w:sz w:val="4"/>
                <w:szCs w:val="4"/>
                <w:lang w:eastAsia="en-AU"/>
              </w:rPr>
              <w:t> </w:t>
            </w:r>
          </w:p>
        </w:tc>
      </w:tr>
      <w:tr w:rsidR="00A95062" w:rsidRPr="0011239F" w14:paraId="690393D7" w14:textId="77777777" w:rsidTr="00CD7070">
        <w:trPr>
          <w:trHeight w:val="992"/>
        </w:trPr>
        <w:tc>
          <w:tcPr>
            <w:tcW w:w="5102" w:type="dxa"/>
            <w:tcBorders>
              <w:top w:val="nil"/>
              <w:left w:val="nil"/>
              <w:bottom w:val="nil"/>
              <w:right w:val="nil"/>
            </w:tcBorders>
            <w:shd w:val="clear" w:color="auto" w:fill="BAE4FC"/>
            <w:vAlign w:val="center"/>
            <w:hideMark/>
          </w:tcPr>
          <w:p w14:paraId="54B8C5B8" w14:textId="77777777" w:rsidR="00F95BC2" w:rsidRPr="00397E4A" w:rsidRDefault="00F95BC2" w:rsidP="00F55024">
            <w:pPr>
              <w:spacing w:before="8" w:after="80"/>
              <w:ind w:right="-301"/>
              <w:rPr>
                <w:rFonts w:eastAsiaTheme="minorHAnsi" w:cs="Arial"/>
                <w:b/>
              </w:rPr>
            </w:pPr>
            <w:r>
              <w:rPr>
                <w:rFonts w:eastAsiaTheme="minorHAnsi"/>
                <w:b/>
              </w:rPr>
              <w:t xml:space="preserve">1. </w:t>
            </w:r>
            <w:r w:rsidRPr="00FC4E65">
              <w:rPr>
                <w:rFonts w:eastAsiaTheme="minorHAnsi"/>
                <w:b/>
              </w:rPr>
              <w:t>Best start in life for young children</w:t>
            </w:r>
          </w:p>
          <w:p w14:paraId="75D6D242" w14:textId="77777777" w:rsidR="00F95BC2" w:rsidRDefault="00F95BC2" w:rsidP="003A3889">
            <w:pPr>
              <w:rPr>
                <w:rFonts w:cs="Arial"/>
              </w:rPr>
            </w:pPr>
            <w:r>
              <w:rPr>
                <w:rFonts w:cs="Arial"/>
              </w:rPr>
              <w:t>A</w:t>
            </w:r>
            <w:r w:rsidRPr="0079627C">
              <w:rPr>
                <w:rFonts w:cs="Arial"/>
              </w:rPr>
              <w:t xml:space="preserve"> sustainable, accessible, high-quality early childhood education sector.</w:t>
            </w:r>
          </w:p>
          <w:p w14:paraId="24E8CCC6" w14:textId="77777777" w:rsidR="00080772" w:rsidRDefault="00080772" w:rsidP="003A3889">
            <w:pPr>
              <w:rPr>
                <w:rFonts w:cs="Arial"/>
              </w:rPr>
            </w:pPr>
          </w:p>
          <w:p w14:paraId="631FABB5" w14:textId="68728BEE" w:rsidR="00080772" w:rsidRPr="0079627C" w:rsidRDefault="00080772" w:rsidP="003A3889">
            <w:pPr>
              <w:rPr>
                <w:rFonts w:cs="Arial"/>
              </w:rPr>
            </w:pPr>
            <w:r w:rsidRPr="003A20F8">
              <w:rPr>
                <w:rFonts w:cs="Arial"/>
                <w:i/>
                <w:iCs/>
              </w:rPr>
              <w:t>2020-21 investment: $</w:t>
            </w:r>
            <w:r w:rsidR="005B5A4F" w:rsidRPr="003804B8">
              <w:rPr>
                <w:rFonts w:cs="Arial"/>
                <w:i/>
                <w:iCs/>
              </w:rPr>
              <w:t>667.6</w:t>
            </w:r>
            <w:r w:rsidRPr="003804B8">
              <w:rPr>
                <w:rFonts w:cs="Arial"/>
                <w:i/>
                <w:iCs/>
              </w:rPr>
              <w:t xml:space="preserve"> million</w:t>
            </w:r>
            <w:r w:rsidRPr="003A20F8">
              <w:rPr>
                <w:rFonts w:cs="Arial"/>
                <w:i/>
                <w:iCs/>
              </w:rPr>
              <w:t xml:space="preserve"> recurrent expenses </w:t>
            </w:r>
          </w:p>
        </w:tc>
        <w:tc>
          <w:tcPr>
            <w:tcW w:w="236" w:type="dxa"/>
            <w:tcBorders>
              <w:top w:val="nil"/>
              <w:left w:val="nil"/>
              <w:bottom w:val="nil"/>
              <w:right w:val="nil"/>
            </w:tcBorders>
            <w:shd w:val="clear" w:color="auto" w:fill="FFFFFF" w:themeFill="background1"/>
            <w:vAlign w:val="center"/>
            <w:hideMark/>
          </w:tcPr>
          <w:p w14:paraId="510B3B0F" w14:textId="77777777" w:rsidR="00F95BC2" w:rsidRPr="00A95062" w:rsidRDefault="00F95BC2" w:rsidP="001A6CE7">
            <w:pPr>
              <w:rPr>
                <w:color w:val="A6A6A6"/>
                <w:sz w:val="6"/>
                <w:szCs w:val="6"/>
              </w:rPr>
            </w:pPr>
            <w:r w:rsidRPr="00A95062">
              <w:rPr>
                <w:rFonts w:cs="Arial"/>
                <w:color w:val="A6A6A6"/>
                <w:sz w:val="6"/>
                <w:szCs w:val="6"/>
                <w:lang w:eastAsia="en-AU"/>
              </w:rPr>
              <w:t> </w:t>
            </w:r>
          </w:p>
        </w:tc>
        <w:tc>
          <w:tcPr>
            <w:tcW w:w="4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E59567" w14:textId="77777777" w:rsidR="00F95BC2" w:rsidRPr="004F2778" w:rsidRDefault="00F95BC2" w:rsidP="00CD7070">
            <w:pPr>
              <w:pStyle w:val="ListParagraph"/>
              <w:numPr>
                <w:ilvl w:val="0"/>
                <w:numId w:val="13"/>
              </w:numPr>
              <w:rPr>
                <w:rFonts w:cs="Arial"/>
              </w:rPr>
            </w:pPr>
            <w:r w:rsidRPr="004F2778">
              <w:rPr>
                <w:rFonts w:cs="Arial"/>
              </w:rPr>
              <w:t>Start Strong</w:t>
            </w:r>
          </w:p>
          <w:p w14:paraId="20A159ED" w14:textId="452CBE0A" w:rsidR="00F95BC2" w:rsidRPr="0054184D" w:rsidRDefault="00F95BC2" w:rsidP="00CD7070">
            <w:pPr>
              <w:pStyle w:val="ListParagraph"/>
              <w:numPr>
                <w:ilvl w:val="0"/>
                <w:numId w:val="13"/>
              </w:numPr>
            </w:pPr>
            <w:r w:rsidRPr="004F2778">
              <w:rPr>
                <w:rFonts w:cs="Arial"/>
              </w:rPr>
              <w:t xml:space="preserve">Regulatory and support services aiming to deliver access to quality early childhood </w:t>
            </w:r>
            <w:r w:rsidRPr="0079627C" w:rsidDel="004F2778">
              <w:rPr>
                <w:rFonts w:cs="Arial"/>
              </w:rPr>
              <w:t>education</w:t>
            </w:r>
          </w:p>
        </w:tc>
      </w:tr>
      <w:tr w:rsidR="00A95062" w:rsidRPr="0011239F" w14:paraId="709AD293" w14:textId="77777777" w:rsidTr="00A95062">
        <w:trPr>
          <w:trHeight w:val="108"/>
        </w:trPr>
        <w:tc>
          <w:tcPr>
            <w:tcW w:w="5102" w:type="dxa"/>
            <w:tcBorders>
              <w:top w:val="nil"/>
              <w:left w:val="nil"/>
              <w:bottom w:val="nil"/>
              <w:right w:val="nil"/>
            </w:tcBorders>
            <w:shd w:val="clear" w:color="auto" w:fill="FFFFFF" w:themeFill="background1"/>
            <w:hideMark/>
          </w:tcPr>
          <w:p w14:paraId="494B8888" w14:textId="77777777" w:rsidR="00F95BC2" w:rsidRPr="00FC4E65" w:rsidRDefault="00F95BC2" w:rsidP="001A6CE7">
            <w:pPr>
              <w:rPr>
                <w:color w:val="A6A6A6"/>
                <w:sz w:val="4"/>
              </w:rPr>
            </w:pPr>
            <w:r w:rsidRPr="006F4D0C">
              <w:rPr>
                <w:rFonts w:cs="Arial"/>
                <w:color w:val="A6A6A6"/>
                <w:sz w:val="4"/>
                <w:szCs w:val="4"/>
                <w:lang w:eastAsia="en-AU"/>
              </w:rPr>
              <w:t> </w:t>
            </w:r>
          </w:p>
        </w:tc>
        <w:tc>
          <w:tcPr>
            <w:tcW w:w="236" w:type="dxa"/>
            <w:tcBorders>
              <w:top w:val="nil"/>
              <w:left w:val="nil"/>
              <w:bottom w:val="nil"/>
              <w:right w:val="nil"/>
            </w:tcBorders>
            <w:shd w:val="clear" w:color="auto" w:fill="FFFFFF" w:themeFill="background1"/>
            <w:vAlign w:val="center"/>
            <w:hideMark/>
          </w:tcPr>
          <w:p w14:paraId="71C192AF" w14:textId="77777777" w:rsidR="00F95BC2" w:rsidRPr="00A95062" w:rsidRDefault="00F95BC2" w:rsidP="001A6CE7">
            <w:pPr>
              <w:jc w:val="center"/>
              <w:rPr>
                <w:color w:val="A6A6A6"/>
                <w:sz w:val="6"/>
                <w:szCs w:val="6"/>
              </w:rPr>
            </w:pPr>
            <w:r w:rsidRPr="00A95062">
              <w:rPr>
                <w:rFonts w:cs="Arial"/>
                <w:color w:val="A6A6A6"/>
                <w:sz w:val="6"/>
                <w:szCs w:val="6"/>
                <w:lang w:eastAsia="en-AU"/>
              </w:rPr>
              <w:t> </w:t>
            </w:r>
          </w:p>
        </w:tc>
        <w:tc>
          <w:tcPr>
            <w:tcW w:w="4535" w:type="dxa"/>
            <w:tcBorders>
              <w:top w:val="nil"/>
              <w:left w:val="nil"/>
              <w:bottom w:val="nil"/>
              <w:right w:val="nil"/>
            </w:tcBorders>
            <w:shd w:val="clear" w:color="auto" w:fill="FFFFFF" w:themeFill="background1"/>
            <w:vAlign w:val="center"/>
            <w:hideMark/>
          </w:tcPr>
          <w:p w14:paraId="2A253624" w14:textId="77777777" w:rsidR="00F95BC2" w:rsidRPr="00FC4E65" w:rsidRDefault="00F95BC2" w:rsidP="00E2498A">
            <w:pPr>
              <w:rPr>
                <w:color w:val="A6A6A6"/>
                <w:sz w:val="4"/>
              </w:rPr>
            </w:pPr>
            <w:r w:rsidRPr="006F4D0C">
              <w:rPr>
                <w:rFonts w:cs="Arial"/>
                <w:color w:val="A6A6A6"/>
                <w:sz w:val="4"/>
                <w:szCs w:val="4"/>
                <w:lang w:eastAsia="en-AU"/>
              </w:rPr>
              <w:t> </w:t>
            </w:r>
          </w:p>
        </w:tc>
      </w:tr>
      <w:tr w:rsidR="00A95062" w:rsidRPr="0011239F" w14:paraId="52DB5F06" w14:textId="77777777" w:rsidTr="003A3889">
        <w:trPr>
          <w:trHeight w:val="1345"/>
        </w:trPr>
        <w:tc>
          <w:tcPr>
            <w:tcW w:w="5102" w:type="dxa"/>
            <w:tcBorders>
              <w:top w:val="nil"/>
              <w:left w:val="nil"/>
              <w:bottom w:val="nil"/>
              <w:right w:val="nil"/>
            </w:tcBorders>
            <w:shd w:val="clear" w:color="auto" w:fill="EBF7FE"/>
            <w:vAlign w:val="center"/>
            <w:hideMark/>
          </w:tcPr>
          <w:p w14:paraId="7E8D46E3" w14:textId="77777777" w:rsidR="00F95BC2" w:rsidRPr="00B53B71" w:rsidRDefault="00F95BC2" w:rsidP="00F55024">
            <w:pPr>
              <w:spacing w:before="8" w:after="80"/>
              <w:ind w:right="-301"/>
              <w:rPr>
                <w:rFonts w:cs="Arial"/>
                <w:b/>
                <w:lang w:eastAsia="en-AU"/>
              </w:rPr>
            </w:pPr>
            <w:r>
              <w:rPr>
                <w:b/>
              </w:rPr>
              <w:t xml:space="preserve">2. </w:t>
            </w:r>
            <w:r w:rsidRPr="00FC4E65">
              <w:rPr>
                <w:b/>
              </w:rPr>
              <w:t xml:space="preserve">Educational foundations for </w:t>
            </w:r>
            <w:r w:rsidRPr="00FC4E65">
              <w:rPr>
                <w:rFonts w:eastAsiaTheme="minorHAnsi"/>
                <w:b/>
              </w:rPr>
              <w:t>success</w:t>
            </w:r>
          </w:p>
          <w:p w14:paraId="52321222" w14:textId="77777777" w:rsidR="00F95BC2" w:rsidRDefault="00F95BC2" w:rsidP="003A3889">
            <w:pPr>
              <w:rPr>
                <w:rFonts w:cs="Arial"/>
              </w:rPr>
            </w:pPr>
            <w:r>
              <w:rPr>
                <w:rFonts w:cs="Arial"/>
              </w:rPr>
              <w:t>A</w:t>
            </w:r>
            <w:r w:rsidRPr="0079627C">
              <w:rPr>
                <w:rFonts w:cs="Arial"/>
              </w:rPr>
              <w:t xml:space="preserve"> high standard of education for all children and young people in public and non-government schools.</w:t>
            </w:r>
          </w:p>
          <w:p w14:paraId="0B979906" w14:textId="77777777" w:rsidR="002C0F94" w:rsidRDefault="002C0F94" w:rsidP="003A3889">
            <w:pPr>
              <w:rPr>
                <w:rFonts w:cs="Arial"/>
                <w:bCs/>
              </w:rPr>
            </w:pPr>
          </w:p>
          <w:p w14:paraId="5858E848" w14:textId="41ABF22D" w:rsidR="002C0F94" w:rsidRPr="0079627C" w:rsidRDefault="002C0F94" w:rsidP="003A3889">
            <w:pPr>
              <w:rPr>
                <w:rFonts w:cs="Arial"/>
                <w:bCs/>
              </w:rPr>
            </w:pPr>
            <w:r w:rsidRPr="003A20F8">
              <w:rPr>
                <w:rFonts w:cs="Arial"/>
                <w:i/>
                <w:iCs/>
              </w:rPr>
              <w:t>2020-21 investment: $</w:t>
            </w:r>
            <w:r w:rsidR="00526EF0" w:rsidRPr="0067354B">
              <w:rPr>
                <w:rFonts w:cs="Arial"/>
                <w:i/>
                <w:iCs/>
              </w:rPr>
              <w:t>16.4</w:t>
            </w:r>
            <w:r w:rsidRPr="0067354B">
              <w:rPr>
                <w:rFonts w:cs="Arial"/>
                <w:i/>
                <w:iCs/>
              </w:rPr>
              <w:t xml:space="preserve"> </w:t>
            </w:r>
            <w:r w:rsidR="00526EF0" w:rsidRPr="0067354B">
              <w:rPr>
                <w:rFonts w:cs="Arial"/>
                <w:i/>
                <w:iCs/>
              </w:rPr>
              <w:t>b</w:t>
            </w:r>
            <w:r w:rsidRPr="0067354B">
              <w:rPr>
                <w:rFonts w:cs="Arial"/>
                <w:i/>
                <w:iCs/>
              </w:rPr>
              <w:t>illion</w:t>
            </w:r>
            <w:r w:rsidRPr="003A20F8">
              <w:rPr>
                <w:rFonts w:cs="Arial"/>
                <w:i/>
                <w:iCs/>
              </w:rPr>
              <w:t xml:space="preserve"> recurrent expenses &amp; $</w:t>
            </w:r>
            <w:r w:rsidR="00964C9D">
              <w:rPr>
                <w:rFonts w:cs="Arial"/>
                <w:i/>
                <w:iCs/>
              </w:rPr>
              <w:t>2.</w:t>
            </w:r>
            <w:r w:rsidR="00D240FA">
              <w:rPr>
                <w:rFonts w:cs="Arial"/>
                <w:i/>
                <w:iCs/>
              </w:rPr>
              <w:t>5</w:t>
            </w:r>
            <w:r w:rsidR="00964C9D">
              <w:rPr>
                <w:rFonts w:cs="Arial"/>
                <w:i/>
                <w:iCs/>
              </w:rPr>
              <w:t xml:space="preserve"> </w:t>
            </w:r>
            <w:r w:rsidR="006E384E">
              <w:rPr>
                <w:rFonts w:cs="Arial"/>
                <w:i/>
                <w:iCs/>
              </w:rPr>
              <w:t>b</w:t>
            </w:r>
            <w:r w:rsidR="00964C9D">
              <w:rPr>
                <w:rFonts w:cs="Arial"/>
                <w:i/>
                <w:iCs/>
              </w:rPr>
              <w:t>illion</w:t>
            </w:r>
            <w:r w:rsidRPr="003A20F8">
              <w:rPr>
                <w:rFonts w:cs="Arial"/>
                <w:i/>
                <w:iCs/>
              </w:rPr>
              <w:t xml:space="preserve"> capital expenditure</w:t>
            </w:r>
          </w:p>
        </w:tc>
        <w:tc>
          <w:tcPr>
            <w:tcW w:w="236" w:type="dxa"/>
            <w:tcBorders>
              <w:top w:val="nil"/>
              <w:left w:val="nil"/>
              <w:bottom w:val="nil"/>
              <w:right w:val="nil"/>
            </w:tcBorders>
            <w:shd w:val="clear" w:color="auto" w:fill="FFFFFF" w:themeFill="background1"/>
            <w:vAlign w:val="center"/>
            <w:hideMark/>
          </w:tcPr>
          <w:p w14:paraId="65D3FE80" w14:textId="77777777" w:rsidR="00F95BC2" w:rsidRPr="00A95062" w:rsidRDefault="00F95BC2" w:rsidP="001A6CE7">
            <w:pPr>
              <w:jc w:val="center"/>
              <w:rPr>
                <w:color w:val="A6A6A6"/>
                <w:sz w:val="6"/>
                <w:szCs w:val="6"/>
              </w:rPr>
            </w:pPr>
            <w:r w:rsidRPr="00A95062">
              <w:rPr>
                <w:rFonts w:cs="Arial"/>
                <w:color w:val="A6A6A6"/>
                <w:sz w:val="6"/>
                <w:szCs w:val="6"/>
                <w:lang w:eastAsia="en-AU"/>
              </w:rPr>
              <w:t> </w:t>
            </w:r>
          </w:p>
        </w:tc>
        <w:tc>
          <w:tcPr>
            <w:tcW w:w="4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D7675E" w14:textId="77777777" w:rsidR="00F95BC2" w:rsidRDefault="00F95BC2" w:rsidP="001B77CD">
            <w:pPr>
              <w:pStyle w:val="ListParagraph"/>
              <w:numPr>
                <w:ilvl w:val="0"/>
                <w:numId w:val="15"/>
              </w:numPr>
              <w:ind w:left="360"/>
              <w:rPr>
                <w:rFonts w:cs="Arial"/>
              </w:rPr>
            </w:pPr>
            <w:r w:rsidRPr="001C7087">
              <w:rPr>
                <w:rFonts w:cs="Arial"/>
              </w:rPr>
              <w:t>Teaching and learning in public schools aiming to improve student outcomes</w:t>
            </w:r>
          </w:p>
          <w:p w14:paraId="32A54615" w14:textId="77777777" w:rsidR="00F95BC2" w:rsidRDefault="00F95BC2" w:rsidP="001B77CD">
            <w:pPr>
              <w:pStyle w:val="ListParagraph"/>
              <w:numPr>
                <w:ilvl w:val="0"/>
                <w:numId w:val="15"/>
              </w:numPr>
              <w:ind w:left="360"/>
            </w:pPr>
            <w:r w:rsidRPr="001D0429">
              <w:rPr>
                <w:rFonts w:cs="Arial"/>
              </w:rPr>
              <w:t>Construction of new schools</w:t>
            </w:r>
            <w:r>
              <w:rPr>
                <w:rFonts w:cs="Arial"/>
              </w:rPr>
              <w:t xml:space="preserve"> and</w:t>
            </w:r>
            <w:r w:rsidRPr="001D0429">
              <w:rPr>
                <w:rFonts w:cs="Arial"/>
              </w:rPr>
              <w:t xml:space="preserve"> major upgrades </w:t>
            </w:r>
          </w:p>
          <w:p w14:paraId="097E71AB" w14:textId="77777777" w:rsidR="00F95BC2" w:rsidRPr="0054184D" w:rsidRDefault="00F95BC2" w:rsidP="001B77CD">
            <w:pPr>
              <w:pStyle w:val="ListParagraph"/>
              <w:numPr>
                <w:ilvl w:val="0"/>
                <w:numId w:val="15"/>
              </w:numPr>
              <w:spacing w:after="0"/>
              <w:ind w:left="360"/>
            </w:pPr>
            <w:r>
              <w:t>Non-government school funding</w:t>
            </w:r>
          </w:p>
        </w:tc>
      </w:tr>
      <w:tr w:rsidR="00A95062" w:rsidRPr="0011239F" w14:paraId="35BA0FDC" w14:textId="77777777" w:rsidTr="00A95062">
        <w:trPr>
          <w:trHeight w:val="105"/>
        </w:trPr>
        <w:tc>
          <w:tcPr>
            <w:tcW w:w="5102" w:type="dxa"/>
            <w:tcBorders>
              <w:top w:val="nil"/>
              <w:left w:val="nil"/>
              <w:bottom w:val="nil"/>
              <w:right w:val="nil"/>
            </w:tcBorders>
            <w:shd w:val="clear" w:color="auto" w:fill="FFFFFF" w:themeFill="background1"/>
            <w:vAlign w:val="center"/>
            <w:hideMark/>
          </w:tcPr>
          <w:p w14:paraId="44D941F8" w14:textId="77777777" w:rsidR="00F95BC2" w:rsidRPr="00FC4E65" w:rsidRDefault="00F95BC2" w:rsidP="001A6CE7">
            <w:pPr>
              <w:jc w:val="center"/>
              <w:rPr>
                <w:color w:val="A6A6A6"/>
                <w:sz w:val="4"/>
              </w:rPr>
            </w:pPr>
            <w:r w:rsidRPr="006F4D0C">
              <w:rPr>
                <w:rFonts w:cs="Arial"/>
                <w:color w:val="A6A6A6"/>
                <w:sz w:val="4"/>
                <w:szCs w:val="4"/>
                <w:lang w:eastAsia="en-AU"/>
              </w:rPr>
              <w:t> </w:t>
            </w:r>
          </w:p>
        </w:tc>
        <w:tc>
          <w:tcPr>
            <w:tcW w:w="236" w:type="dxa"/>
            <w:tcBorders>
              <w:top w:val="nil"/>
              <w:left w:val="nil"/>
              <w:bottom w:val="nil"/>
              <w:right w:val="nil"/>
            </w:tcBorders>
            <w:shd w:val="clear" w:color="auto" w:fill="FFFFFF" w:themeFill="background1"/>
            <w:vAlign w:val="center"/>
            <w:hideMark/>
          </w:tcPr>
          <w:p w14:paraId="5DC4AA4C" w14:textId="77777777" w:rsidR="00F95BC2" w:rsidRPr="00A95062" w:rsidRDefault="00F95BC2" w:rsidP="001A6CE7">
            <w:pPr>
              <w:jc w:val="center"/>
              <w:rPr>
                <w:color w:val="A6A6A6"/>
                <w:sz w:val="6"/>
                <w:szCs w:val="6"/>
              </w:rPr>
            </w:pPr>
            <w:r w:rsidRPr="00A95062">
              <w:rPr>
                <w:rFonts w:cs="Arial"/>
                <w:color w:val="A6A6A6"/>
                <w:sz w:val="6"/>
                <w:szCs w:val="6"/>
                <w:lang w:eastAsia="en-AU"/>
              </w:rPr>
              <w:t> </w:t>
            </w:r>
          </w:p>
        </w:tc>
        <w:tc>
          <w:tcPr>
            <w:tcW w:w="4535" w:type="dxa"/>
            <w:tcBorders>
              <w:top w:val="nil"/>
              <w:left w:val="nil"/>
              <w:bottom w:val="nil"/>
              <w:right w:val="nil"/>
            </w:tcBorders>
            <w:shd w:val="clear" w:color="auto" w:fill="FFFFFF" w:themeFill="background1"/>
            <w:vAlign w:val="center"/>
            <w:hideMark/>
          </w:tcPr>
          <w:p w14:paraId="5CC61254" w14:textId="77777777" w:rsidR="00F95BC2" w:rsidRPr="00FC4E65" w:rsidRDefault="00F95BC2" w:rsidP="00E2498A">
            <w:pPr>
              <w:rPr>
                <w:color w:val="A6A6A6"/>
                <w:sz w:val="4"/>
              </w:rPr>
            </w:pPr>
            <w:r w:rsidRPr="006F4D0C">
              <w:rPr>
                <w:rFonts w:cs="Arial"/>
                <w:color w:val="A6A6A6"/>
                <w:sz w:val="4"/>
                <w:szCs w:val="4"/>
                <w:lang w:eastAsia="en-AU"/>
              </w:rPr>
              <w:t> </w:t>
            </w:r>
          </w:p>
        </w:tc>
      </w:tr>
      <w:tr w:rsidR="00A95062" w:rsidRPr="0011239F" w14:paraId="089F400A" w14:textId="77777777" w:rsidTr="003A3889">
        <w:trPr>
          <w:trHeight w:val="794"/>
        </w:trPr>
        <w:tc>
          <w:tcPr>
            <w:tcW w:w="5102" w:type="dxa"/>
            <w:tcBorders>
              <w:top w:val="nil"/>
              <w:left w:val="nil"/>
              <w:bottom w:val="nil"/>
              <w:right w:val="nil"/>
            </w:tcBorders>
            <w:shd w:val="clear" w:color="auto" w:fill="BAE4FC"/>
            <w:vAlign w:val="center"/>
            <w:hideMark/>
          </w:tcPr>
          <w:p w14:paraId="3DFF419D" w14:textId="77777777" w:rsidR="00F95BC2" w:rsidRPr="001B48A4" w:rsidRDefault="00F95BC2" w:rsidP="00F55024">
            <w:pPr>
              <w:spacing w:before="8" w:after="80"/>
              <w:ind w:right="-301"/>
              <w:rPr>
                <w:rFonts w:eastAsiaTheme="minorHAnsi" w:cs="Arial"/>
                <w:b/>
                <w:bCs/>
                <w:szCs w:val="21"/>
              </w:rPr>
            </w:pPr>
            <w:r>
              <w:rPr>
                <w:rFonts w:eastAsiaTheme="minorHAnsi"/>
                <w:b/>
              </w:rPr>
              <w:t xml:space="preserve">3. </w:t>
            </w:r>
            <w:r w:rsidRPr="00FC4E65">
              <w:rPr>
                <w:rFonts w:eastAsiaTheme="minorHAnsi"/>
                <w:b/>
              </w:rPr>
              <w:t>Skilled and employable workforce</w:t>
            </w:r>
          </w:p>
          <w:p w14:paraId="3C4F1B03" w14:textId="77777777" w:rsidR="00F95BC2" w:rsidRDefault="00F95BC2" w:rsidP="003A3889">
            <w:pPr>
              <w:rPr>
                <w:rFonts w:cs="Arial"/>
              </w:rPr>
            </w:pPr>
            <w:r w:rsidRPr="0079627C">
              <w:rPr>
                <w:rFonts w:cs="Arial"/>
              </w:rPr>
              <w:t xml:space="preserve">A highly skilled and adaptable workforce that contributes to the </w:t>
            </w:r>
            <w:r>
              <w:rPr>
                <w:rFonts w:cs="Arial"/>
              </w:rPr>
              <w:t xml:space="preserve">State’s </w:t>
            </w:r>
            <w:r w:rsidRPr="0079627C">
              <w:rPr>
                <w:rFonts w:cs="Arial"/>
              </w:rPr>
              <w:t>prosperity and productivity.</w:t>
            </w:r>
          </w:p>
          <w:p w14:paraId="4DB192A2" w14:textId="77777777" w:rsidR="002C0F94" w:rsidRDefault="002C0F94" w:rsidP="003A3889">
            <w:pPr>
              <w:rPr>
                <w:rFonts w:cs="Arial"/>
              </w:rPr>
            </w:pPr>
          </w:p>
          <w:p w14:paraId="7DF52191" w14:textId="785DADFE" w:rsidR="002C0F94" w:rsidRPr="0079627C" w:rsidRDefault="002C0F94" w:rsidP="003A3889">
            <w:pPr>
              <w:rPr>
                <w:rFonts w:cs="Arial"/>
              </w:rPr>
            </w:pPr>
            <w:r w:rsidRPr="003A20F8">
              <w:rPr>
                <w:rFonts w:cs="Arial"/>
                <w:i/>
                <w:iCs/>
              </w:rPr>
              <w:t>2020-21 investment: $</w:t>
            </w:r>
            <w:r w:rsidR="00F9691C">
              <w:rPr>
                <w:rFonts w:cs="Arial"/>
                <w:i/>
                <w:iCs/>
              </w:rPr>
              <w:t>2.7 billion</w:t>
            </w:r>
            <w:r w:rsidRPr="003A20F8">
              <w:rPr>
                <w:rFonts w:cs="Arial"/>
                <w:i/>
                <w:iCs/>
              </w:rPr>
              <w:t xml:space="preserve"> recurrent expenses &amp; $</w:t>
            </w:r>
            <w:r w:rsidR="00CA33BD">
              <w:rPr>
                <w:rFonts w:cs="Arial"/>
                <w:i/>
                <w:iCs/>
              </w:rPr>
              <w:t>280.1 million</w:t>
            </w:r>
            <w:r w:rsidRPr="003A20F8">
              <w:rPr>
                <w:rFonts w:cs="Arial"/>
                <w:i/>
                <w:iCs/>
              </w:rPr>
              <w:t xml:space="preserve"> capital expenditure</w:t>
            </w:r>
          </w:p>
        </w:tc>
        <w:tc>
          <w:tcPr>
            <w:tcW w:w="236" w:type="dxa"/>
            <w:tcBorders>
              <w:top w:val="nil"/>
              <w:left w:val="nil"/>
              <w:bottom w:val="nil"/>
              <w:right w:val="nil"/>
            </w:tcBorders>
            <w:shd w:val="clear" w:color="auto" w:fill="FFFFFF" w:themeFill="background1"/>
            <w:vAlign w:val="center"/>
            <w:hideMark/>
          </w:tcPr>
          <w:p w14:paraId="4015C2E5" w14:textId="77777777" w:rsidR="00F95BC2" w:rsidRPr="00A95062" w:rsidRDefault="00F95BC2" w:rsidP="001A6CE7">
            <w:pPr>
              <w:jc w:val="center"/>
              <w:rPr>
                <w:color w:val="A6A6A6"/>
                <w:sz w:val="6"/>
                <w:szCs w:val="6"/>
              </w:rPr>
            </w:pPr>
            <w:r w:rsidRPr="00A95062">
              <w:rPr>
                <w:rFonts w:cs="Arial"/>
                <w:color w:val="A6A6A6"/>
                <w:sz w:val="6"/>
                <w:szCs w:val="6"/>
                <w:lang w:eastAsia="en-AU"/>
              </w:rPr>
              <w:t> </w:t>
            </w:r>
          </w:p>
        </w:tc>
        <w:tc>
          <w:tcPr>
            <w:tcW w:w="4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2918D" w14:textId="77777777" w:rsidR="00F95BC2" w:rsidRDefault="00F95BC2" w:rsidP="001B77CD">
            <w:pPr>
              <w:pStyle w:val="ListParagraph"/>
              <w:numPr>
                <w:ilvl w:val="0"/>
                <w:numId w:val="16"/>
              </w:numPr>
              <w:rPr>
                <w:rFonts w:cs="Arial"/>
              </w:rPr>
            </w:pPr>
            <w:r w:rsidRPr="001C7087">
              <w:rPr>
                <w:rFonts w:cs="Arial"/>
              </w:rPr>
              <w:t>Smart and Skilled</w:t>
            </w:r>
          </w:p>
          <w:p w14:paraId="17F69735" w14:textId="77777777" w:rsidR="00F95BC2" w:rsidRDefault="00F95BC2" w:rsidP="001B77CD">
            <w:pPr>
              <w:pStyle w:val="ListParagraph"/>
              <w:numPr>
                <w:ilvl w:val="0"/>
                <w:numId w:val="16"/>
              </w:numPr>
              <w:rPr>
                <w:rFonts w:cs="Arial"/>
              </w:rPr>
            </w:pPr>
            <w:r>
              <w:rPr>
                <w:rFonts w:cs="Arial"/>
              </w:rPr>
              <w:t>Skilling for Recovery fee-free training courses</w:t>
            </w:r>
          </w:p>
          <w:p w14:paraId="6A137C95" w14:textId="77777777" w:rsidR="00F95BC2" w:rsidRPr="00AF4DD4" w:rsidRDefault="00F95BC2" w:rsidP="001B77CD">
            <w:pPr>
              <w:pStyle w:val="ListParagraph"/>
              <w:numPr>
                <w:ilvl w:val="0"/>
                <w:numId w:val="16"/>
              </w:numPr>
              <w:spacing w:after="0"/>
              <w:rPr>
                <w:rFonts w:cs="Arial"/>
              </w:rPr>
            </w:pPr>
            <w:r>
              <w:rPr>
                <w:rFonts w:cs="Arial"/>
              </w:rPr>
              <w:t>Regulatory and support services aiming to deliver a viable and high-quality vocational education and training sector</w:t>
            </w:r>
          </w:p>
        </w:tc>
      </w:tr>
      <w:tr w:rsidR="00A95062" w:rsidRPr="008E2377" w14:paraId="4E898F0E" w14:textId="77777777" w:rsidTr="00A95062">
        <w:trPr>
          <w:trHeight w:val="108"/>
        </w:trPr>
        <w:tc>
          <w:tcPr>
            <w:tcW w:w="5102" w:type="dxa"/>
            <w:tcBorders>
              <w:top w:val="nil"/>
              <w:left w:val="nil"/>
              <w:bottom w:val="nil"/>
              <w:right w:val="nil"/>
            </w:tcBorders>
            <w:shd w:val="clear" w:color="auto" w:fill="FFFFFF" w:themeFill="background1"/>
            <w:vAlign w:val="center"/>
            <w:hideMark/>
          </w:tcPr>
          <w:p w14:paraId="6068864A" w14:textId="77777777" w:rsidR="00F95BC2" w:rsidRPr="008E2377" w:rsidRDefault="00F95BC2" w:rsidP="001A6CE7">
            <w:pPr>
              <w:jc w:val="center"/>
              <w:rPr>
                <w:color w:val="A6A6A6"/>
                <w:sz w:val="4"/>
                <w:szCs w:val="4"/>
              </w:rPr>
            </w:pPr>
            <w:r w:rsidRPr="008E2377">
              <w:rPr>
                <w:rFonts w:cs="Arial"/>
                <w:color w:val="A6A6A6"/>
                <w:sz w:val="4"/>
                <w:szCs w:val="4"/>
                <w:lang w:eastAsia="en-AU"/>
              </w:rPr>
              <w:t> </w:t>
            </w:r>
          </w:p>
        </w:tc>
        <w:tc>
          <w:tcPr>
            <w:tcW w:w="236" w:type="dxa"/>
            <w:tcBorders>
              <w:top w:val="nil"/>
              <w:left w:val="nil"/>
              <w:bottom w:val="nil"/>
              <w:right w:val="nil"/>
            </w:tcBorders>
            <w:shd w:val="clear" w:color="auto" w:fill="FFFFFF" w:themeFill="background1"/>
            <w:vAlign w:val="center"/>
            <w:hideMark/>
          </w:tcPr>
          <w:p w14:paraId="24F4A9BD" w14:textId="77777777" w:rsidR="00F95BC2" w:rsidRPr="00A95062" w:rsidRDefault="00F95BC2" w:rsidP="001A6CE7">
            <w:pPr>
              <w:jc w:val="center"/>
              <w:rPr>
                <w:color w:val="A6A6A6"/>
                <w:sz w:val="6"/>
                <w:szCs w:val="6"/>
              </w:rPr>
            </w:pPr>
            <w:r w:rsidRPr="00A95062">
              <w:rPr>
                <w:rFonts w:cs="Arial"/>
                <w:color w:val="A6A6A6"/>
                <w:sz w:val="6"/>
                <w:szCs w:val="6"/>
                <w:lang w:eastAsia="en-AU"/>
              </w:rPr>
              <w:t> </w:t>
            </w:r>
          </w:p>
        </w:tc>
        <w:tc>
          <w:tcPr>
            <w:tcW w:w="4535" w:type="dxa"/>
            <w:tcBorders>
              <w:top w:val="nil"/>
              <w:left w:val="nil"/>
              <w:bottom w:val="nil"/>
              <w:right w:val="nil"/>
            </w:tcBorders>
            <w:shd w:val="clear" w:color="auto" w:fill="FFFFFF" w:themeFill="background1"/>
            <w:vAlign w:val="center"/>
            <w:hideMark/>
          </w:tcPr>
          <w:p w14:paraId="59207DDE" w14:textId="77777777" w:rsidR="00F95BC2" w:rsidRPr="008E2377" w:rsidRDefault="00F95BC2" w:rsidP="00E2498A">
            <w:pPr>
              <w:rPr>
                <w:color w:val="A6A6A6"/>
                <w:sz w:val="4"/>
                <w:szCs w:val="4"/>
              </w:rPr>
            </w:pPr>
            <w:r w:rsidRPr="008E2377">
              <w:rPr>
                <w:rFonts w:cs="Arial"/>
                <w:color w:val="A6A6A6"/>
                <w:sz w:val="4"/>
                <w:szCs w:val="4"/>
                <w:lang w:eastAsia="en-AU"/>
              </w:rPr>
              <w:t> </w:t>
            </w:r>
          </w:p>
        </w:tc>
      </w:tr>
      <w:tr w:rsidR="00A95062" w:rsidRPr="0011239F" w14:paraId="771B3481" w14:textId="77777777" w:rsidTr="003A3889">
        <w:trPr>
          <w:trHeight w:val="1928"/>
        </w:trPr>
        <w:tc>
          <w:tcPr>
            <w:tcW w:w="5102" w:type="dxa"/>
            <w:tcBorders>
              <w:top w:val="nil"/>
              <w:left w:val="nil"/>
              <w:bottom w:val="nil"/>
              <w:right w:val="nil"/>
            </w:tcBorders>
            <w:shd w:val="clear" w:color="auto" w:fill="EBF7FE"/>
            <w:vAlign w:val="center"/>
            <w:hideMark/>
          </w:tcPr>
          <w:p w14:paraId="0E41EB06" w14:textId="77777777" w:rsidR="00F95BC2" w:rsidRPr="000174BF" w:rsidRDefault="00F95BC2" w:rsidP="00F55024">
            <w:pPr>
              <w:spacing w:before="8" w:after="80"/>
              <w:ind w:right="-301"/>
              <w:rPr>
                <w:rFonts w:cs="Arial"/>
                <w:b/>
              </w:rPr>
            </w:pPr>
            <w:r>
              <w:rPr>
                <w:b/>
              </w:rPr>
              <w:t xml:space="preserve">4. </w:t>
            </w:r>
            <w:r w:rsidRPr="00FC4E65">
              <w:rPr>
                <w:b/>
              </w:rPr>
              <w:t>High-quality standards for schooling</w:t>
            </w:r>
          </w:p>
          <w:p w14:paraId="3765B088" w14:textId="77777777" w:rsidR="00F95BC2" w:rsidRDefault="00F95BC2" w:rsidP="003A3889">
            <w:pPr>
              <w:rPr>
                <w:rFonts w:cs="Arial"/>
              </w:rPr>
            </w:pPr>
            <w:r>
              <w:rPr>
                <w:rFonts w:cs="Arial"/>
              </w:rPr>
              <w:t>High-quality</w:t>
            </w:r>
            <w:r w:rsidRPr="0079627C">
              <w:rPr>
                <w:rFonts w:cs="Arial"/>
              </w:rPr>
              <w:t xml:space="preserve"> standards for schooling</w:t>
            </w:r>
            <w:r>
              <w:rPr>
                <w:rFonts w:cs="Arial"/>
              </w:rPr>
              <w:t xml:space="preserve"> in New South Wales</w:t>
            </w:r>
            <w:r w:rsidRPr="0079627C">
              <w:rPr>
                <w:rFonts w:cs="Arial"/>
              </w:rPr>
              <w:t xml:space="preserve"> through the regulation of schooling, accreditation of early childhood, primary and secondary teachers, and provision of quality curriculum, assessment and certification by the NSW Education Standards Authority.</w:t>
            </w:r>
          </w:p>
          <w:p w14:paraId="481C1143" w14:textId="77777777" w:rsidR="002C0F94" w:rsidRDefault="002C0F94" w:rsidP="003A3889">
            <w:pPr>
              <w:rPr>
                <w:rFonts w:cs="Arial"/>
                <w:bCs/>
              </w:rPr>
            </w:pPr>
          </w:p>
          <w:p w14:paraId="25D92D86" w14:textId="4DE1A409" w:rsidR="002C0F94" w:rsidRPr="0079627C" w:rsidRDefault="002C0F94" w:rsidP="003A3889">
            <w:pPr>
              <w:rPr>
                <w:rFonts w:cs="Arial"/>
                <w:bCs/>
              </w:rPr>
            </w:pPr>
            <w:r w:rsidRPr="003A20F8">
              <w:rPr>
                <w:rFonts w:cs="Arial"/>
                <w:i/>
                <w:iCs/>
              </w:rPr>
              <w:t>2020-21 investment: $</w:t>
            </w:r>
            <w:r w:rsidR="00C546A4" w:rsidRPr="0067354B">
              <w:rPr>
                <w:rFonts w:cs="Arial"/>
                <w:i/>
                <w:iCs/>
              </w:rPr>
              <w:t>171.5</w:t>
            </w:r>
            <w:r w:rsidRPr="0067354B">
              <w:rPr>
                <w:rFonts w:cs="Arial"/>
                <w:i/>
                <w:iCs/>
              </w:rPr>
              <w:t xml:space="preserve"> million</w:t>
            </w:r>
            <w:r w:rsidRPr="003A20F8">
              <w:rPr>
                <w:rFonts w:cs="Arial"/>
                <w:i/>
                <w:iCs/>
              </w:rPr>
              <w:t xml:space="preserve"> recurrent expenses &amp; $</w:t>
            </w:r>
            <w:r w:rsidR="009C1C3C" w:rsidRPr="0067354B">
              <w:rPr>
                <w:rFonts w:cs="Arial"/>
                <w:i/>
                <w:iCs/>
              </w:rPr>
              <w:t>45.9</w:t>
            </w:r>
            <w:r w:rsidRPr="0067354B">
              <w:rPr>
                <w:rFonts w:cs="Arial"/>
                <w:i/>
                <w:iCs/>
              </w:rPr>
              <w:t xml:space="preserve"> million</w:t>
            </w:r>
            <w:r w:rsidRPr="003A20F8">
              <w:rPr>
                <w:rFonts w:cs="Arial"/>
                <w:i/>
                <w:iCs/>
              </w:rPr>
              <w:t xml:space="preserve"> capital expenditure</w:t>
            </w:r>
          </w:p>
        </w:tc>
        <w:tc>
          <w:tcPr>
            <w:tcW w:w="236" w:type="dxa"/>
            <w:tcBorders>
              <w:top w:val="nil"/>
              <w:left w:val="nil"/>
              <w:bottom w:val="nil"/>
              <w:right w:val="nil"/>
            </w:tcBorders>
            <w:shd w:val="clear" w:color="auto" w:fill="FFFFFF" w:themeFill="background1"/>
            <w:vAlign w:val="center"/>
            <w:hideMark/>
          </w:tcPr>
          <w:p w14:paraId="17B42F05" w14:textId="77777777" w:rsidR="00F95BC2" w:rsidRPr="00A95062" w:rsidRDefault="00F95BC2" w:rsidP="001A6CE7">
            <w:pPr>
              <w:jc w:val="center"/>
              <w:rPr>
                <w:color w:val="A6A6A6"/>
                <w:sz w:val="6"/>
                <w:szCs w:val="6"/>
              </w:rPr>
            </w:pPr>
            <w:r w:rsidRPr="00A95062">
              <w:rPr>
                <w:rFonts w:cs="Arial"/>
                <w:color w:val="A6A6A6"/>
                <w:sz w:val="6"/>
                <w:szCs w:val="6"/>
                <w:lang w:eastAsia="en-AU"/>
              </w:rPr>
              <w:t> </w:t>
            </w:r>
          </w:p>
        </w:tc>
        <w:tc>
          <w:tcPr>
            <w:tcW w:w="4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7C9546" w14:textId="77777777" w:rsidR="00F95BC2" w:rsidRDefault="00F95BC2" w:rsidP="001B77CD">
            <w:pPr>
              <w:pStyle w:val="ListParagraph"/>
              <w:numPr>
                <w:ilvl w:val="0"/>
                <w:numId w:val="14"/>
              </w:numPr>
              <w:rPr>
                <w:rFonts w:cs="Arial"/>
                <w:lang w:eastAsia="en-AU"/>
              </w:rPr>
            </w:pPr>
            <w:r w:rsidRPr="4218B3B1">
              <w:rPr>
                <w:rFonts w:cs="Arial"/>
                <w:lang w:eastAsia="en-AU"/>
              </w:rPr>
              <w:t xml:space="preserve">Assessment </w:t>
            </w:r>
            <w:r>
              <w:rPr>
                <w:rFonts w:cs="Arial"/>
                <w:lang w:eastAsia="en-AU"/>
              </w:rPr>
              <w:t>s</w:t>
            </w:r>
            <w:r w:rsidRPr="4218B3B1">
              <w:rPr>
                <w:rFonts w:cs="Arial"/>
                <w:lang w:eastAsia="en-AU"/>
              </w:rPr>
              <w:t>tandards</w:t>
            </w:r>
          </w:p>
          <w:p w14:paraId="2477A30E" w14:textId="77777777" w:rsidR="00F95BC2" w:rsidRDefault="00F95BC2" w:rsidP="001B77CD">
            <w:pPr>
              <w:pStyle w:val="ListParagraph"/>
              <w:numPr>
                <w:ilvl w:val="0"/>
                <w:numId w:val="14"/>
              </w:numPr>
              <w:rPr>
                <w:rFonts w:cs="Arial"/>
                <w:lang w:eastAsia="en-AU"/>
              </w:rPr>
            </w:pPr>
            <w:r w:rsidRPr="4218B3B1">
              <w:rPr>
                <w:rFonts w:cs="Arial"/>
                <w:lang w:eastAsia="en-AU"/>
              </w:rPr>
              <w:t xml:space="preserve">Curriculum </w:t>
            </w:r>
            <w:r>
              <w:rPr>
                <w:rFonts w:cs="Arial"/>
                <w:lang w:eastAsia="en-AU"/>
              </w:rPr>
              <w:t>s</w:t>
            </w:r>
            <w:r w:rsidRPr="4218B3B1">
              <w:rPr>
                <w:rFonts w:cs="Arial"/>
                <w:lang w:eastAsia="en-AU"/>
              </w:rPr>
              <w:t>tandards</w:t>
            </w:r>
          </w:p>
          <w:p w14:paraId="1CB7170C" w14:textId="77777777" w:rsidR="00F95BC2" w:rsidRPr="00D92897" w:rsidRDefault="00F95BC2" w:rsidP="001B77CD">
            <w:pPr>
              <w:pStyle w:val="ListParagraph"/>
              <w:numPr>
                <w:ilvl w:val="0"/>
                <w:numId w:val="14"/>
              </w:numPr>
              <w:rPr>
                <w:rFonts w:cs="Arial"/>
                <w:lang w:eastAsia="en-AU"/>
              </w:rPr>
            </w:pPr>
            <w:r w:rsidRPr="4218B3B1">
              <w:rPr>
                <w:rFonts w:cs="Arial"/>
                <w:lang w:eastAsia="en-AU"/>
              </w:rPr>
              <w:t xml:space="preserve">Teacher </w:t>
            </w:r>
            <w:r>
              <w:rPr>
                <w:rFonts w:cs="Arial"/>
                <w:lang w:eastAsia="en-AU"/>
              </w:rPr>
              <w:t>s</w:t>
            </w:r>
            <w:r w:rsidRPr="4218B3B1">
              <w:rPr>
                <w:rFonts w:cs="Arial"/>
                <w:lang w:eastAsia="en-AU"/>
              </w:rPr>
              <w:t>tandards</w:t>
            </w:r>
          </w:p>
          <w:p w14:paraId="36FBDB5C" w14:textId="289F25D5" w:rsidR="00F95BC2" w:rsidRPr="0054184D" w:rsidRDefault="00F95BC2" w:rsidP="001B77CD">
            <w:pPr>
              <w:pStyle w:val="ListParagraph"/>
              <w:numPr>
                <w:ilvl w:val="0"/>
                <w:numId w:val="14"/>
              </w:numPr>
            </w:pPr>
            <w:r w:rsidRPr="4218B3B1">
              <w:rPr>
                <w:rFonts w:cs="Arial"/>
                <w:lang w:eastAsia="en-AU"/>
              </w:rPr>
              <w:t xml:space="preserve">School </w:t>
            </w:r>
            <w:r>
              <w:rPr>
                <w:rFonts w:cs="Arial"/>
                <w:lang w:eastAsia="en-AU"/>
              </w:rPr>
              <w:t>s</w:t>
            </w:r>
            <w:r w:rsidRPr="4218B3B1">
              <w:rPr>
                <w:rFonts w:cs="Arial"/>
                <w:lang w:eastAsia="en-AU"/>
              </w:rPr>
              <w:t>tandards</w:t>
            </w:r>
          </w:p>
        </w:tc>
      </w:tr>
      <w:bookmarkEnd w:id="4"/>
    </w:tbl>
    <w:p w14:paraId="26619F68" w14:textId="77777777" w:rsidR="007D723A" w:rsidRPr="007D723A" w:rsidRDefault="007D723A" w:rsidP="00F95BC2">
      <w:pPr>
        <w:rPr>
          <w:rFonts w:cs="Arial"/>
          <w:sz w:val="6"/>
          <w:szCs w:val="6"/>
        </w:rPr>
      </w:pPr>
    </w:p>
    <w:p w14:paraId="69BA4221" w14:textId="3124266D" w:rsidR="00F95BC2" w:rsidRPr="00A95062" w:rsidRDefault="00F95BC2" w:rsidP="001B77CD">
      <w:pPr>
        <w:pStyle w:val="ListParagraph"/>
        <w:numPr>
          <w:ilvl w:val="0"/>
          <w:numId w:val="20"/>
        </w:numPr>
        <w:ind w:left="284" w:hanging="284"/>
        <w:rPr>
          <w:rFonts w:cs="Arial"/>
          <w:sz w:val="17"/>
          <w:szCs w:val="17"/>
        </w:rPr>
      </w:pPr>
      <w:r w:rsidRPr="00A95062">
        <w:rPr>
          <w:rFonts w:cs="Arial"/>
          <w:sz w:val="17"/>
          <w:szCs w:val="17"/>
        </w:rPr>
        <w:t xml:space="preserve">Note that Programs are being further refined as the </w:t>
      </w:r>
      <w:r w:rsidRPr="005B1027">
        <w:rPr>
          <w:rFonts w:cs="Arial"/>
          <w:i/>
          <w:iCs/>
          <w:sz w:val="17"/>
          <w:szCs w:val="17"/>
        </w:rPr>
        <w:t>outcome and performance framework</w:t>
      </w:r>
      <w:r w:rsidRPr="00A95062">
        <w:rPr>
          <w:rFonts w:cs="Arial"/>
          <w:sz w:val="17"/>
          <w:szCs w:val="17"/>
        </w:rPr>
        <w:t xml:space="preserve"> continues to mature</w:t>
      </w:r>
      <w:r w:rsidR="00E212FA">
        <w:rPr>
          <w:rFonts w:cs="Arial"/>
          <w:sz w:val="17"/>
          <w:szCs w:val="17"/>
        </w:rPr>
        <w:t>.</w:t>
      </w:r>
      <w:r w:rsidRPr="00A95062">
        <w:rPr>
          <w:rFonts w:cs="Arial"/>
          <w:sz w:val="17"/>
          <w:szCs w:val="17"/>
        </w:rPr>
        <w:t xml:space="preserve"> </w:t>
      </w:r>
    </w:p>
    <w:p w14:paraId="5AEB9FCB" w14:textId="0FCB6C9C" w:rsidR="00F95BC2" w:rsidRDefault="00F95BC2">
      <w:pPr>
        <w:rPr>
          <w:rFonts w:eastAsiaTheme="minorHAnsi" w:cs="Arial"/>
          <w:sz w:val="23"/>
          <w:szCs w:val="23"/>
        </w:rPr>
      </w:pPr>
      <w:r>
        <w:rPr>
          <w:rFonts w:eastAsiaTheme="minorHAnsi" w:cs="Arial"/>
          <w:sz w:val="23"/>
          <w:szCs w:val="23"/>
        </w:rPr>
        <w:br w:type="page"/>
      </w:r>
    </w:p>
    <w:p w14:paraId="2F446253" w14:textId="5F3A10C1" w:rsidR="00655D86" w:rsidRDefault="00655D86" w:rsidP="00C36202">
      <w:pPr>
        <w:pStyle w:val="Heading2"/>
        <w:rPr>
          <w:rFonts w:ascii="Arial" w:hAnsi="Arial" w:cs="Arial"/>
        </w:rPr>
      </w:pPr>
      <w:r>
        <w:rPr>
          <w:rFonts w:ascii="Arial" w:hAnsi="Arial" w:cs="Arial"/>
        </w:rPr>
        <w:lastRenderedPageBreak/>
        <w:t xml:space="preserve">Overview of </w:t>
      </w:r>
      <w:r w:rsidR="00CF637D">
        <w:rPr>
          <w:rFonts w:ascii="Arial" w:hAnsi="Arial" w:cs="Arial"/>
        </w:rPr>
        <w:t>C</w:t>
      </w:r>
      <w:r>
        <w:rPr>
          <w:rFonts w:ascii="Arial" w:hAnsi="Arial" w:cs="Arial"/>
        </w:rPr>
        <w:t>luste</w:t>
      </w:r>
      <w:r w:rsidR="007A0734">
        <w:rPr>
          <w:rFonts w:ascii="Arial" w:hAnsi="Arial" w:cs="Arial"/>
        </w:rPr>
        <w:t>r</w:t>
      </w:r>
      <w:r>
        <w:rPr>
          <w:rFonts w:ascii="Arial" w:hAnsi="Arial" w:cs="Arial"/>
        </w:rPr>
        <w:t xml:space="preserve"> expenses by State Outcome</w:t>
      </w:r>
    </w:p>
    <w:p w14:paraId="59149F10" w14:textId="1DFB2D66" w:rsidR="009246DE" w:rsidRPr="00FA617D" w:rsidRDefault="00655D86" w:rsidP="00470B39">
      <w:pPr>
        <w:pStyle w:val="BodyText"/>
      </w:pPr>
      <w:r>
        <w:t xml:space="preserve">A </w:t>
      </w:r>
      <w:r w:rsidRPr="00FA617D">
        <w:t>summary of expenses by State Outcome is provided in the chart</w:t>
      </w:r>
      <w:r w:rsidR="00286773" w:rsidRPr="00FA617D">
        <w:t>s</w:t>
      </w:r>
      <w:r w:rsidRPr="00FA617D">
        <w:t xml:space="preserve"> below.</w:t>
      </w:r>
    </w:p>
    <w:p w14:paraId="11921D72" w14:textId="58B8415D" w:rsidR="003A47B5" w:rsidRPr="00FA617D" w:rsidRDefault="003A47B5" w:rsidP="00856CB2">
      <w:pPr>
        <w:pStyle w:val="Chart2X"/>
      </w:pPr>
      <w:r w:rsidRPr="00FA617D">
        <w:t>Recurrent</w:t>
      </w:r>
      <w:r w:rsidR="00655D86" w:rsidRPr="00300852">
        <w:t xml:space="preserve"> expenses by </w:t>
      </w:r>
      <w:r w:rsidR="00D019F6">
        <w:t>O</w:t>
      </w:r>
      <w:r w:rsidRPr="00FA617D">
        <w:t>utcome</w:t>
      </w:r>
      <w:r w:rsidR="00655D86" w:rsidRPr="00300852">
        <w:t xml:space="preserve"> 2020-21 </w:t>
      </w:r>
      <w:r w:rsidRPr="00FA617D">
        <w:t xml:space="preserve">(dollars </w:t>
      </w:r>
      <w:r w:rsidR="00655D86" w:rsidRPr="00300852">
        <w:t xml:space="preserve">and </w:t>
      </w:r>
      <w:r w:rsidRPr="00FA617D">
        <w:t>%)</w:t>
      </w:r>
    </w:p>
    <w:p w14:paraId="026AAD46" w14:textId="6D7AD3F0" w:rsidR="00086E8B" w:rsidRPr="00333E85" w:rsidRDefault="00577E26">
      <w:pPr>
        <w:rPr>
          <w:rFonts w:cs="Arial"/>
        </w:rPr>
      </w:pPr>
      <w:r>
        <w:rPr>
          <w:noProof/>
        </w:rPr>
        <w:drawing>
          <wp:inline distT="0" distB="0" distL="0" distR="0" wp14:anchorId="1C218AC3" wp14:editId="2C67B3EA">
            <wp:extent cx="5612556" cy="2667000"/>
            <wp:effectExtent l="0" t="0" r="7620" b="0"/>
            <wp:docPr id="20" name="Picture 20" descr="Chart 2.1: Recurrent expenses by Outcome 2020-21 (dollars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3">
                      <a:extLst>
                        <a:ext uri="{28A0092B-C50C-407E-A947-70E740481C1C}">
                          <a14:useLocalDpi xmlns:a14="http://schemas.microsoft.com/office/drawing/2010/main" val="0"/>
                        </a:ext>
                      </a:extLst>
                    </a:blip>
                    <a:stretch>
                      <a:fillRect/>
                    </a:stretch>
                  </pic:blipFill>
                  <pic:spPr>
                    <a:xfrm>
                      <a:off x="0" y="0"/>
                      <a:ext cx="5612556" cy="2667000"/>
                    </a:xfrm>
                    <a:prstGeom prst="rect">
                      <a:avLst/>
                    </a:prstGeom>
                  </pic:spPr>
                </pic:pic>
              </a:graphicData>
            </a:graphic>
          </wp:inline>
        </w:drawing>
      </w:r>
    </w:p>
    <w:p w14:paraId="357DB61F" w14:textId="77777777" w:rsidR="00281C34" w:rsidRPr="00815855" w:rsidRDefault="00281C34" w:rsidP="00B06A84">
      <w:pPr>
        <w:rPr>
          <w:sz w:val="6"/>
          <w:szCs w:val="6"/>
        </w:rPr>
      </w:pPr>
    </w:p>
    <w:p w14:paraId="24DFA8DC" w14:textId="0441A4DD" w:rsidR="00815855" w:rsidRPr="00726268" w:rsidRDefault="00815855" w:rsidP="00815855">
      <w:pPr>
        <w:rPr>
          <w:rFonts w:cs="Arial"/>
          <w:sz w:val="17"/>
          <w:szCs w:val="17"/>
        </w:rPr>
      </w:pPr>
      <w:r w:rsidRPr="00726268">
        <w:rPr>
          <w:rFonts w:cs="Arial"/>
          <w:sz w:val="17"/>
          <w:szCs w:val="17"/>
        </w:rPr>
        <w:t>Note: The sum of percentages does not equal one hundred due to rounding.</w:t>
      </w:r>
    </w:p>
    <w:p w14:paraId="335DD7BD" w14:textId="77777777" w:rsidR="00815855" w:rsidRDefault="00815855" w:rsidP="00815855">
      <w:pPr>
        <w:rPr>
          <w:rFonts w:cs="Arial"/>
          <w:color w:val="000000"/>
          <w:sz w:val="17"/>
          <w:szCs w:val="17"/>
          <w:lang w:eastAsia="en-AU"/>
        </w:rPr>
      </w:pPr>
    </w:p>
    <w:p w14:paraId="322A4301" w14:textId="58704DE9" w:rsidR="00815855" w:rsidRPr="00800366" w:rsidRDefault="00815855" w:rsidP="00800366">
      <w:pPr>
        <w:pStyle w:val="ListParagraph"/>
        <w:numPr>
          <w:ilvl w:val="0"/>
          <w:numId w:val="35"/>
        </w:numPr>
        <w:spacing w:after="0" w:line="240" w:lineRule="auto"/>
        <w:ind w:left="357" w:hanging="357"/>
        <w:rPr>
          <w:rFonts w:eastAsia="Times New Roman" w:cs="Arial"/>
          <w:color w:val="000000"/>
          <w:sz w:val="17"/>
          <w:szCs w:val="17"/>
          <w:lang w:eastAsia="en-AU"/>
        </w:rPr>
      </w:pPr>
      <w:r w:rsidRPr="00800366">
        <w:rPr>
          <w:rFonts w:eastAsia="Times New Roman" w:cs="Arial"/>
          <w:color w:val="000000"/>
          <w:sz w:val="17"/>
          <w:szCs w:val="17"/>
          <w:lang w:eastAsia="en-AU"/>
        </w:rPr>
        <w:t>Grouped for presentation purposes, “Other State Outcomes” comprises:</w:t>
      </w:r>
    </w:p>
    <w:p w14:paraId="1A5952EF" w14:textId="616FEFB9" w:rsidR="00815855" w:rsidRPr="00F54F1E" w:rsidRDefault="00815855" w:rsidP="00800366">
      <w:pPr>
        <w:pStyle w:val="ListParagraph"/>
        <w:numPr>
          <w:ilvl w:val="0"/>
          <w:numId w:val="34"/>
        </w:numPr>
        <w:autoSpaceDE w:val="0"/>
        <w:autoSpaceDN w:val="0"/>
        <w:adjustRightInd w:val="0"/>
        <w:rPr>
          <w:rFonts w:cs="Arial"/>
          <w:color w:val="000000"/>
          <w:sz w:val="17"/>
          <w:szCs w:val="17"/>
          <w:lang w:eastAsia="zh-TW"/>
        </w:rPr>
      </w:pPr>
      <w:r w:rsidRPr="00F54F1E">
        <w:rPr>
          <w:rFonts w:cs="Arial"/>
          <w:color w:val="000000"/>
          <w:sz w:val="17"/>
          <w:szCs w:val="17"/>
          <w:lang w:eastAsia="zh-TW"/>
        </w:rPr>
        <w:t>Best start in life for young children</w:t>
      </w:r>
    </w:p>
    <w:p w14:paraId="6811A003" w14:textId="0F168244" w:rsidR="00815855" w:rsidRPr="00800366" w:rsidRDefault="00815855" w:rsidP="00800366">
      <w:pPr>
        <w:pStyle w:val="ListParagraph"/>
        <w:numPr>
          <w:ilvl w:val="0"/>
          <w:numId w:val="34"/>
        </w:numPr>
        <w:autoSpaceDE w:val="0"/>
        <w:autoSpaceDN w:val="0"/>
        <w:adjustRightInd w:val="0"/>
        <w:rPr>
          <w:rFonts w:cs="Arial"/>
          <w:color w:val="000000"/>
          <w:sz w:val="17"/>
          <w:szCs w:val="17"/>
          <w:lang w:eastAsia="zh-TW"/>
        </w:rPr>
      </w:pPr>
      <w:r w:rsidRPr="00F54F1E">
        <w:rPr>
          <w:rFonts w:cs="Arial"/>
          <w:color w:val="000000"/>
          <w:sz w:val="17"/>
          <w:szCs w:val="17"/>
          <w:lang w:eastAsia="zh-TW"/>
        </w:rPr>
        <w:t>High</w:t>
      </w:r>
      <w:r w:rsidR="00F203F1">
        <w:rPr>
          <w:rFonts w:cs="Arial"/>
          <w:color w:val="000000"/>
          <w:sz w:val="17"/>
          <w:szCs w:val="17"/>
          <w:lang w:eastAsia="zh-TW"/>
        </w:rPr>
        <w:t>-</w:t>
      </w:r>
      <w:r w:rsidR="00D019F6">
        <w:rPr>
          <w:rFonts w:cs="Arial"/>
          <w:color w:val="000000"/>
          <w:sz w:val="17"/>
          <w:szCs w:val="17"/>
          <w:lang w:eastAsia="zh-TW"/>
        </w:rPr>
        <w:t>q</w:t>
      </w:r>
      <w:r w:rsidRPr="00F54F1E">
        <w:rPr>
          <w:rFonts w:cs="Arial"/>
          <w:color w:val="000000"/>
          <w:sz w:val="17"/>
          <w:szCs w:val="17"/>
          <w:lang w:eastAsia="zh-TW"/>
        </w:rPr>
        <w:t>uality standards for schooling in NSW</w:t>
      </w:r>
      <w:r w:rsidR="00D019F6">
        <w:rPr>
          <w:rFonts w:cs="Arial"/>
          <w:color w:val="000000"/>
          <w:sz w:val="17"/>
          <w:szCs w:val="17"/>
          <w:lang w:eastAsia="zh-TW"/>
        </w:rPr>
        <w:t>.</w:t>
      </w:r>
    </w:p>
    <w:p w14:paraId="1A15D97E" w14:textId="77777777" w:rsidR="00815855" w:rsidRDefault="00815855" w:rsidP="00B06A84"/>
    <w:p w14:paraId="07271E61" w14:textId="214ECC68" w:rsidR="00655D86" w:rsidRPr="00470B39" w:rsidRDefault="00F34B72" w:rsidP="00856CB2">
      <w:pPr>
        <w:pStyle w:val="Chart2X"/>
      </w:pPr>
      <w:r w:rsidRPr="00470B39">
        <w:t>Capital expenditure</w:t>
      </w:r>
      <w:r w:rsidR="00655D86" w:rsidRPr="00470B39">
        <w:t xml:space="preserve"> by </w:t>
      </w:r>
      <w:r w:rsidR="00D019F6">
        <w:t>O</w:t>
      </w:r>
      <w:r w:rsidR="00655D86" w:rsidRPr="00470B39">
        <w:t>utcome 2020</w:t>
      </w:r>
      <w:r w:rsidR="000C7BA1" w:rsidRPr="00470B39">
        <w:t>-</w:t>
      </w:r>
      <w:r w:rsidR="00655D86" w:rsidRPr="00470B39">
        <w:t xml:space="preserve">21 </w:t>
      </w:r>
      <w:r w:rsidRPr="00470B39">
        <w:t>(dollars and %)</w:t>
      </w:r>
    </w:p>
    <w:p w14:paraId="19232089" w14:textId="4671DB34" w:rsidR="00815855" w:rsidRDefault="00621DB6" w:rsidP="00815855">
      <w:pPr>
        <w:rPr>
          <w:lang w:val="en-US"/>
        </w:rPr>
      </w:pPr>
      <w:r>
        <w:rPr>
          <w:noProof/>
          <w:lang w:eastAsia="en-AU"/>
        </w:rPr>
        <mc:AlternateContent>
          <mc:Choice Requires="wps">
            <w:drawing>
              <wp:anchor distT="0" distB="0" distL="114300" distR="114300" simplePos="0" relativeHeight="251658240" behindDoc="0" locked="0" layoutInCell="1" allowOverlap="1" wp14:anchorId="52ADFFEC" wp14:editId="0BB6946E">
                <wp:simplePos x="0" y="0"/>
                <wp:positionH relativeFrom="column">
                  <wp:posOffset>2234260</wp:posOffset>
                </wp:positionH>
                <wp:positionV relativeFrom="paragraph">
                  <wp:posOffset>93980</wp:posOffset>
                </wp:positionV>
                <wp:extent cx="359004" cy="277978"/>
                <wp:effectExtent l="0" t="0" r="0" b="0"/>
                <wp:wrapNone/>
                <wp:docPr id="3" name="Text Box 3"/>
                <wp:cNvGraphicFramePr/>
                <a:graphic xmlns:a="http://schemas.openxmlformats.org/drawingml/2006/main">
                  <a:graphicData uri="http://schemas.microsoft.com/office/word/2010/wordprocessingShape">
                    <wps:wsp>
                      <wps:cNvSpPr txBox="1"/>
                      <wps:spPr>
                        <a:xfrm>
                          <a:off x="0" y="0"/>
                          <a:ext cx="359004" cy="277978"/>
                        </a:xfrm>
                        <a:prstGeom prst="rect">
                          <a:avLst/>
                        </a:prstGeom>
                        <a:noFill/>
                        <a:ln w="6350">
                          <a:noFill/>
                        </a:ln>
                      </wps:spPr>
                      <wps:txbx>
                        <w:txbxContent>
                          <w:p w14:paraId="458F32AF" w14:textId="4C7DBFB2" w:rsidR="00621DB6" w:rsidRPr="00621DB6" w:rsidRDefault="00621DB6">
                            <w:pPr>
                              <w:rPr>
                                <w:color w:val="595959" w:themeColor="text1" w:themeTint="A6"/>
                                <w:sz w:val="12"/>
                                <w:szCs w:val="12"/>
                              </w:rPr>
                            </w:pPr>
                            <w:r w:rsidRPr="00621DB6">
                              <w:rPr>
                                <w:color w:val="595959" w:themeColor="text1" w:themeTint="A6"/>
                                <w:sz w:val="12"/>
                                <w:szCs w:val="1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2ADFFEC" id="_x0000_t202" coordsize="21600,21600" o:spt="202" path="m,l,21600r21600,l21600,xe">
                <v:stroke joinstyle="miter"/>
                <v:path gradientshapeok="t" o:connecttype="rect"/>
              </v:shapetype>
              <v:shape id="Text Box 3" o:spid="_x0000_s1026" type="#_x0000_t202" style="position:absolute;margin-left:175.95pt;margin-top:7.4pt;width:28.25pt;height:2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fiLQIAAFAEAAAOAAAAZHJzL2Uyb0RvYy54bWysVE1v2zAMvQ/YfxB0X+x8NY0Rp8haZBgQ&#10;tAWSoWdFlmIDlqhJSuzs14+SnTTodhp2USiSJsX3HrN4aFVNTsK6CnROh4OUEqE5FJU+5PTHbv3l&#10;nhLnmS5YDVrk9CwcfVh+/rRoTCZGUEJdCEuwiHZZY3Jaem+yJHG8FIq5ARihMSjBKubxag9JYVmD&#10;1VWdjNL0LmnAFsYCF86h96kL0mWsL6Xg/kVKJzypc4pv8/G08dyHM1kuWHawzJQV75/B/uEVilUa&#10;m15LPTHPyNFWf5RSFbfgQPoBB5WAlBUXcQacZph+mGZbMiPiLAiOM1eY3P8ry59Pr5ZURU7HlGim&#10;kKKdaD35Ci0ZB3Qa4zJM2hpM8y26keWL36EzDN1Kq8IvjkMwjjifr9iGYhyd4+k8TSeUcAyNZrP5&#10;7D5USd4/Ntb5bwIUCUZOLVIXEWWnjfNd6iUl9NKwruo60ldr0uT0bjxN4wfXCBavNfYII3RPDZZv&#10;920/1x6KM45loZOFM3xdYfMNc/6VWdQBToLa9i94yBqwCfQWJSXYX3/zh3ykB6OUNKirnLqfR2YF&#10;JfV3jcTNh5NJEGK8TKazEV7sbWR/G9FH9Qgo3SFukeHRDPm+vpjSgnrDFViFrhhimmPvnPqL+eg7&#10;teMKcbFaxSSUnmF+o7eGh9IBzgDtrn1j1vT4eyTuGS4KZNkHGrrcjojV0YOsIkcB4A7VHneUbWS5&#10;X7GwF7f3mPX+R7D8DQAA//8DAFBLAwQUAAYACAAAACEAP5lp8OEAAAAJAQAADwAAAGRycy9kb3du&#10;cmV2LnhtbEyPQUvDQBCF74L/YRnBm920JiVNsyklUATRQ2sv3jbZaRLMzsbsto3+eseTHof38eZ7&#10;+Wayvbjg6DtHCuazCARS7UxHjYLj2+4hBeGDJqN7R6jgCz1situbXGfGXWmPl0NoBJeQz7SCNoQh&#10;k9LXLVrtZ25A4uzkRqsDn2MjzaivXG57uYiipbS6I/7Q6gHLFuuPw9kqeC53r3pfLWz63ZdPL6ft&#10;8Hl8T5S6v5u2axABp/AHw68+q0PBTpU7k/GiV/CYzFeMchDzBAbiKI1BVAqSdAmyyOX/BcUPAAAA&#10;//8DAFBLAQItABQABgAIAAAAIQC2gziS/gAAAOEBAAATAAAAAAAAAAAAAAAAAAAAAABbQ29udGVu&#10;dF9UeXBlc10ueG1sUEsBAi0AFAAGAAgAAAAhADj9If/WAAAAlAEAAAsAAAAAAAAAAAAAAAAALwEA&#10;AF9yZWxzLy5yZWxzUEsBAi0AFAAGAAgAAAAhAK5El+ItAgAAUAQAAA4AAAAAAAAAAAAAAAAALgIA&#10;AGRycy9lMm9Eb2MueG1sUEsBAi0AFAAGAAgAAAAhAD+ZafDhAAAACQEAAA8AAAAAAAAAAAAAAAAA&#10;hwQAAGRycy9kb3ducmV2LnhtbFBLBQYAAAAABAAEAPMAAACVBQAAAAA=&#10;" filled="f" stroked="f" strokeweight=".5pt">
                <v:textbox>
                  <w:txbxContent>
                    <w:p w14:paraId="458F32AF" w14:textId="4C7DBFB2" w:rsidR="00621DB6" w:rsidRPr="00621DB6" w:rsidRDefault="00621DB6">
                      <w:pPr>
                        <w:rPr>
                          <w:color w:val="595959" w:themeColor="text1" w:themeTint="A6"/>
                          <w:sz w:val="12"/>
                          <w:szCs w:val="12"/>
                        </w:rPr>
                      </w:pPr>
                      <w:r w:rsidRPr="00621DB6">
                        <w:rPr>
                          <w:color w:val="595959" w:themeColor="text1" w:themeTint="A6"/>
                          <w:sz w:val="12"/>
                          <w:szCs w:val="12"/>
                        </w:rPr>
                        <w:t>(a)</w:t>
                      </w:r>
                    </w:p>
                  </w:txbxContent>
                </v:textbox>
              </v:shape>
            </w:pict>
          </mc:Fallback>
        </mc:AlternateContent>
      </w:r>
      <w:r w:rsidR="00815855">
        <w:rPr>
          <w:noProof/>
          <w:lang w:eastAsia="en-AU"/>
        </w:rPr>
        <w:drawing>
          <wp:inline distT="0" distB="0" distL="0" distR="0" wp14:anchorId="18F327E5" wp14:editId="2B2B74ED">
            <wp:extent cx="5713761" cy="2683828"/>
            <wp:effectExtent l="0" t="0" r="1270" b="2540"/>
            <wp:docPr id="16" name="Picture 16" descr="Chart 2.2: Capital expenditure by Outcome 2020-21 (dollars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4">
                      <a:extLst>
                        <a:ext uri="{28A0092B-C50C-407E-A947-70E740481C1C}">
                          <a14:useLocalDpi xmlns:a14="http://schemas.microsoft.com/office/drawing/2010/main" val="0"/>
                        </a:ext>
                      </a:extLst>
                    </a:blip>
                    <a:stretch>
                      <a:fillRect/>
                    </a:stretch>
                  </pic:blipFill>
                  <pic:spPr>
                    <a:xfrm>
                      <a:off x="0" y="0"/>
                      <a:ext cx="5713761" cy="2683828"/>
                    </a:xfrm>
                    <a:prstGeom prst="rect">
                      <a:avLst/>
                    </a:prstGeom>
                  </pic:spPr>
                </pic:pic>
              </a:graphicData>
            </a:graphic>
          </wp:inline>
        </w:drawing>
      </w:r>
    </w:p>
    <w:p w14:paraId="1EEBF4DE" w14:textId="2EB76DC8" w:rsidR="00815855" w:rsidRPr="00CF3A47" w:rsidRDefault="00815855" w:rsidP="00CF3A47">
      <w:pPr>
        <w:pStyle w:val="ListParagraph"/>
        <w:numPr>
          <w:ilvl w:val="0"/>
          <w:numId w:val="36"/>
        </w:numPr>
        <w:spacing w:after="0" w:line="240" w:lineRule="auto"/>
        <w:ind w:left="357" w:hanging="357"/>
        <w:rPr>
          <w:rFonts w:eastAsia="Times New Roman" w:cs="Arial"/>
          <w:color w:val="000000"/>
          <w:sz w:val="17"/>
          <w:szCs w:val="17"/>
          <w:lang w:eastAsia="en-AU"/>
        </w:rPr>
      </w:pPr>
      <w:r w:rsidRPr="00CF3A47">
        <w:rPr>
          <w:rFonts w:eastAsia="Times New Roman" w:cs="Arial"/>
          <w:color w:val="000000"/>
          <w:sz w:val="17"/>
          <w:szCs w:val="17"/>
          <w:lang w:eastAsia="en-AU"/>
        </w:rPr>
        <w:t>Grouped for presentation purposes, “Other State Outcomes” comprises:</w:t>
      </w:r>
    </w:p>
    <w:p w14:paraId="55CCF458" w14:textId="4D1939ED" w:rsidR="00815855" w:rsidRPr="00A11784" w:rsidRDefault="00815855" w:rsidP="00CF3A47">
      <w:pPr>
        <w:pStyle w:val="ListParagraph"/>
        <w:numPr>
          <w:ilvl w:val="0"/>
          <w:numId w:val="34"/>
        </w:numPr>
        <w:autoSpaceDE w:val="0"/>
        <w:autoSpaceDN w:val="0"/>
        <w:adjustRightInd w:val="0"/>
        <w:rPr>
          <w:rFonts w:cs="Arial"/>
          <w:color w:val="000000"/>
          <w:sz w:val="17"/>
          <w:szCs w:val="17"/>
          <w:lang w:eastAsia="zh-TW"/>
        </w:rPr>
      </w:pPr>
      <w:r w:rsidRPr="00A11784">
        <w:rPr>
          <w:rFonts w:cs="Arial"/>
          <w:color w:val="000000"/>
          <w:sz w:val="17"/>
          <w:szCs w:val="17"/>
          <w:lang w:eastAsia="zh-TW"/>
        </w:rPr>
        <w:t>High</w:t>
      </w:r>
      <w:r w:rsidR="00F203F1">
        <w:rPr>
          <w:rFonts w:cs="Arial"/>
          <w:color w:val="000000"/>
          <w:sz w:val="17"/>
          <w:szCs w:val="17"/>
          <w:lang w:eastAsia="zh-TW"/>
        </w:rPr>
        <w:t>-</w:t>
      </w:r>
      <w:r w:rsidR="008200F3">
        <w:rPr>
          <w:rFonts w:cs="Arial"/>
          <w:color w:val="000000"/>
          <w:sz w:val="17"/>
          <w:szCs w:val="17"/>
          <w:lang w:eastAsia="zh-TW"/>
        </w:rPr>
        <w:t>q</w:t>
      </w:r>
      <w:r w:rsidRPr="00A11784">
        <w:rPr>
          <w:rFonts w:cs="Arial"/>
          <w:color w:val="000000"/>
          <w:sz w:val="17"/>
          <w:szCs w:val="17"/>
          <w:lang w:eastAsia="zh-TW"/>
        </w:rPr>
        <w:t>uality standards for schooling in NSW</w:t>
      </w:r>
    </w:p>
    <w:p w14:paraId="32C6C44A" w14:textId="3D796510" w:rsidR="00815855" w:rsidRPr="00CF3A47" w:rsidRDefault="00815855" w:rsidP="00CF3A47">
      <w:pPr>
        <w:pStyle w:val="ListParagraph"/>
        <w:numPr>
          <w:ilvl w:val="0"/>
          <w:numId w:val="34"/>
        </w:numPr>
        <w:autoSpaceDE w:val="0"/>
        <w:autoSpaceDN w:val="0"/>
        <w:adjustRightInd w:val="0"/>
        <w:rPr>
          <w:rFonts w:cs="Arial"/>
          <w:color w:val="000000"/>
          <w:sz w:val="17"/>
          <w:szCs w:val="17"/>
          <w:lang w:eastAsia="zh-TW"/>
        </w:rPr>
      </w:pPr>
      <w:r w:rsidRPr="00A11784">
        <w:rPr>
          <w:rFonts w:cs="Arial"/>
          <w:color w:val="000000"/>
          <w:sz w:val="17"/>
          <w:szCs w:val="17"/>
          <w:lang w:eastAsia="zh-TW"/>
        </w:rPr>
        <w:t>Skilled and employable workforce</w:t>
      </w:r>
      <w:r w:rsidR="002C1F09">
        <w:rPr>
          <w:rFonts w:cs="Arial"/>
          <w:color w:val="000000"/>
          <w:sz w:val="17"/>
          <w:szCs w:val="17"/>
          <w:lang w:eastAsia="zh-TW"/>
        </w:rPr>
        <w:t>.</w:t>
      </w:r>
    </w:p>
    <w:p w14:paraId="6578F86B" w14:textId="5F7B01D8" w:rsidR="00655D86" w:rsidRDefault="00655D86">
      <w:pPr>
        <w:rPr>
          <w:rFonts w:eastAsiaTheme="minorHAnsi" w:cs="Arial"/>
          <w:sz w:val="23"/>
          <w:szCs w:val="23"/>
        </w:rPr>
      </w:pPr>
      <w:r>
        <w:br w:type="page"/>
      </w:r>
    </w:p>
    <w:p w14:paraId="4D0B1693" w14:textId="02C72853" w:rsidR="000D308F" w:rsidRDefault="00EC5E75" w:rsidP="00CF3A47">
      <w:pPr>
        <w:pStyle w:val="Heading2"/>
      </w:pPr>
      <w:r>
        <w:lastRenderedPageBreak/>
        <w:t xml:space="preserve">Outcome 1: </w:t>
      </w:r>
      <w:r w:rsidR="00720646">
        <w:t>Best start in life for young children</w:t>
      </w:r>
    </w:p>
    <w:tbl>
      <w:tblPr>
        <w:tblpPr w:leftFromText="180" w:rightFromText="180" w:vertAnchor="text" w:horzAnchor="margin" w:tblpXSpec="right" w:tblpY="643"/>
        <w:tblW w:w="1716" w:type="pct"/>
        <w:shd w:val="clear" w:color="auto" w:fill="F2F2F2" w:themeFill="background1" w:themeFillShade="F2"/>
        <w:tblCellMar>
          <w:left w:w="115" w:type="dxa"/>
          <w:right w:w="115" w:type="dxa"/>
        </w:tblCellMar>
        <w:tblLook w:val="04A0" w:firstRow="1" w:lastRow="0" w:firstColumn="1" w:lastColumn="0" w:noHBand="0" w:noVBand="1"/>
      </w:tblPr>
      <w:tblGrid>
        <w:gridCol w:w="1144"/>
        <w:gridCol w:w="967"/>
        <w:gridCol w:w="1197"/>
      </w:tblGrid>
      <w:tr w:rsidR="000D308F" w:rsidRPr="00F8244B" w14:paraId="73F58A43" w14:textId="77777777" w:rsidTr="39F64A45">
        <w:trPr>
          <w:cantSplit/>
          <w:trHeight w:val="784"/>
        </w:trPr>
        <w:tc>
          <w:tcPr>
            <w:tcW w:w="1729" w:type="pct"/>
            <w:shd w:val="clear" w:color="auto" w:fill="F2F2F2" w:themeFill="background1" w:themeFillShade="F2"/>
            <w:vAlign w:val="center"/>
          </w:tcPr>
          <w:p w14:paraId="3D6DE60F" w14:textId="77777777" w:rsidR="000D308F" w:rsidRPr="00F8244B" w:rsidRDefault="000D308F" w:rsidP="00720646">
            <w:pPr>
              <w:spacing w:before="120" w:after="120"/>
              <w:rPr>
                <w:rFonts w:cs="Arial"/>
                <w:sz w:val="23"/>
                <w:szCs w:val="23"/>
              </w:rPr>
            </w:pPr>
            <w:r w:rsidRPr="00F8244B">
              <w:rPr>
                <w:rFonts w:cs="Arial"/>
                <w:noProof/>
                <w:lang w:eastAsia="en-AU"/>
              </w:rPr>
              <w:drawing>
                <wp:inline distT="0" distB="0" distL="0" distR="0" wp14:anchorId="12ACCA6D" wp14:editId="09DE83F4">
                  <wp:extent cx="518160" cy="518160"/>
                  <wp:effectExtent l="0" t="0" r="0" b="0"/>
                  <wp:docPr id="1" name="Picture 1" descr="H:\Documents\Downloads\BP3 icons-V02-Expense.png"/>
                  <wp:cNvGraphicFramePr/>
                  <a:graphic xmlns:a="http://schemas.openxmlformats.org/drawingml/2006/main">
                    <a:graphicData uri="http://schemas.openxmlformats.org/drawingml/2006/picture">
                      <pic:pic xmlns:pic="http://schemas.openxmlformats.org/drawingml/2006/picture">
                        <pic:nvPicPr>
                          <pic:cNvPr id="6" name="Picture 6" descr="H:\Documents\Downloads\BP3 icons-V02-Expense.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solidFill>
                            <a:srgbClr val="F2F2F2"/>
                          </a:solidFill>
                          <a:ln>
                            <a:noFill/>
                          </a:ln>
                        </pic:spPr>
                      </pic:pic>
                    </a:graphicData>
                  </a:graphic>
                </wp:inline>
              </w:drawing>
            </w:r>
          </w:p>
        </w:tc>
        <w:tc>
          <w:tcPr>
            <w:tcW w:w="1462" w:type="pct"/>
            <w:shd w:val="clear" w:color="auto" w:fill="F2F2F2" w:themeFill="background1" w:themeFillShade="F2"/>
            <w:vAlign w:val="center"/>
          </w:tcPr>
          <w:p w14:paraId="3C1FB36D" w14:textId="7277D9A9" w:rsidR="000D308F" w:rsidRPr="00F8244B" w:rsidRDefault="000D308F" w:rsidP="00720646">
            <w:pPr>
              <w:spacing w:before="120" w:after="120"/>
              <w:jc w:val="center"/>
              <w:rPr>
                <w:rFonts w:cs="Arial"/>
                <w:color w:val="00ABE6"/>
                <w:sz w:val="18"/>
                <w:szCs w:val="18"/>
              </w:rPr>
            </w:pPr>
            <w:r w:rsidRPr="00907EA8">
              <w:rPr>
                <w:rFonts w:cs="Arial"/>
                <w:color w:val="00ABE6"/>
                <w:sz w:val="18"/>
                <w:szCs w:val="18"/>
              </w:rPr>
              <w:t>$</w:t>
            </w:r>
            <w:r w:rsidR="00611817" w:rsidRPr="00907EA8">
              <w:rPr>
                <w:rFonts w:cs="Arial"/>
                <w:color w:val="00ABE6"/>
                <w:sz w:val="18"/>
                <w:szCs w:val="18"/>
              </w:rPr>
              <w:t>667.6</w:t>
            </w:r>
            <w:r w:rsidRPr="00907EA8">
              <w:rPr>
                <w:rFonts w:cs="Arial"/>
                <w:color w:val="00ABE6"/>
                <w:sz w:val="18"/>
                <w:szCs w:val="18"/>
              </w:rPr>
              <w:t xml:space="preserve"> </w:t>
            </w:r>
            <w:r w:rsidR="00FF1800" w:rsidRPr="00907EA8">
              <w:rPr>
                <w:rFonts w:cs="Arial"/>
                <w:color w:val="00ABE6"/>
                <w:sz w:val="18"/>
                <w:szCs w:val="18"/>
              </w:rPr>
              <w:t>m</w:t>
            </w:r>
            <w:r w:rsidRPr="00907EA8">
              <w:rPr>
                <w:rFonts w:cs="Arial"/>
                <w:color w:val="00ABE6"/>
                <w:sz w:val="18"/>
                <w:szCs w:val="18"/>
              </w:rPr>
              <w:t>illion</w:t>
            </w:r>
          </w:p>
        </w:tc>
        <w:tc>
          <w:tcPr>
            <w:tcW w:w="1809" w:type="pct"/>
            <w:shd w:val="clear" w:color="auto" w:fill="F2F2F2" w:themeFill="background1" w:themeFillShade="F2"/>
            <w:vAlign w:val="center"/>
          </w:tcPr>
          <w:p w14:paraId="27333E9B" w14:textId="77777777" w:rsidR="000D308F" w:rsidRPr="00F8244B" w:rsidRDefault="000D308F" w:rsidP="00720646">
            <w:pPr>
              <w:rPr>
                <w:rFonts w:cs="Arial"/>
                <w:color w:val="00ABE6"/>
                <w:sz w:val="18"/>
                <w:szCs w:val="18"/>
              </w:rPr>
            </w:pPr>
            <w:r w:rsidRPr="00F8244B">
              <w:rPr>
                <w:rFonts w:cs="Arial"/>
                <w:color w:val="00ABE6"/>
                <w:sz w:val="18"/>
                <w:szCs w:val="18"/>
              </w:rPr>
              <w:t>Recurrent</w:t>
            </w:r>
            <w:r w:rsidRPr="00F8244B">
              <w:rPr>
                <w:rFonts w:cs="Arial"/>
                <w:color w:val="00ABE6"/>
                <w:sz w:val="18"/>
                <w:szCs w:val="18"/>
              </w:rPr>
              <w:br/>
              <w:t xml:space="preserve">Expenses </w:t>
            </w:r>
            <w:r w:rsidRPr="00F8244B">
              <w:rPr>
                <w:rFonts w:cs="Arial"/>
                <w:color w:val="00ABE6"/>
                <w:sz w:val="18"/>
                <w:szCs w:val="18"/>
              </w:rPr>
              <w:br/>
              <w:t>20</w:t>
            </w:r>
            <w:r>
              <w:rPr>
                <w:rFonts w:cs="Arial"/>
                <w:color w:val="00ABE6"/>
                <w:sz w:val="18"/>
                <w:szCs w:val="18"/>
              </w:rPr>
              <w:t>20</w:t>
            </w:r>
            <w:r w:rsidRPr="00F8244B">
              <w:rPr>
                <w:rFonts w:cs="Arial"/>
                <w:color w:val="00ABE6"/>
                <w:sz w:val="18"/>
                <w:szCs w:val="18"/>
              </w:rPr>
              <w:t>-2</w:t>
            </w:r>
            <w:r>
              <w:rPr>
                <w:rFonts w:cs="Arial"/>
                <w:color w:val="00ABE6"/>
                <w:sz w:val="18"/>
                <w:szCs w:val="18"/>
              </w:rPr>
              <w:t>1</w:t>
            </w:r>
          </w:p>
        </w:tc>
      </w:tr>
    </w:tbl>
    <w:p w14:paraId="4FADCF9E" w14:textId="77777777" w:rsidR="00E633CC" w:rsidRPr="003A0DAC" w:rsidRDefault="00E633CC" w:rsidP="00E633CC">
      <w:pPr>
        <w:pStyle w:val="Heading3"/>
        <w:rPr>
          <w:rFonts w:cs="Arial"/>
        </w:rPr>
      </w:pPr>
      <w:r w:rsidRPr="003A0DAC">
        <w:rPr>
          <w:rFonts w:cs="Arial"/>
        </w:rPr>
        <w:t>State Outcome overview and 2020-21 investment</w:t>
      </w:r>
    </w:p>
    <w:p w14:paraId="7F7E5B33" w14:textId="3646339F" w:rsidR="0079627C" w:rsidRDefault="00872668" w:rsidP="00170213">
      <w:pPr>
        <w:pStyle w:val="BodyText"/>
      </w:pPr>
      <w:r>
        <w:t>Investments</w:t>
      </w:r>
      <w:r w:rsidR="00720646" w:rsidRPr="0079627C">
        <w:t xml:space="preserve"> under this State Outcome support a sustainable, accessible, high-quality early childhood education sector. </w:t>
      </w:r>
    </w:p>
    <w:p w14:paraId="6D89FC82" w14:textId="6733B7D0" w:rsidR="0079627C" w:rsidRPr="0079627C" w:rsidRDefault="0079627C" w:rsidP="00170213">
      <w:pPr>
        <w:pStyle w:val="BodyText"/>
      </w:pPr>
      <w:r w:rsidRPr="0079627C">
        <w:t xml:space="preserve">Children who participate in a quality early childhood education program are more likely to arrive at school equipped with the social, cognitive and emotional skills they need to engage in learning. The </w:t>
      </w:r>
      <w:r>
        <w:t xml:space="preserve">NSW Department of Education </w:t>
      </w:r>
      <w:r w:rsidRPr="0079627C">
        <w:t xml:space="preserve">monitors, supports and regulates early childhood education services in </w:t>
      </w:r>
      <w:r w:rsidR="00774968">
        <w:t xml:space="preserve">New </w:t>
      </w:r>
      <w:r w:rsidRPr="0079627C">
        <w:t>S</w:t>
      </w:r>
      <w:r w:rsidR="00774968">
        <w:t xml:space="preserve">outh </w:t>
      </w:r>
      <w:r w:rsidRPr="0079627C">
        <w:t>W</w:t>
      </w:r>
      <w:r w:rsidR="00774968">
        <w:t>ales</w:t>
      </w:r>
      <w:r w:rsidRPr="0079627C">
        <w:t xml:space="preserve">, and works to ensure the delivery of quality early childhood education </w:t>
      </w:r>
      <w:r w:rsidR="00917DFD">
        <w:t xml:space="preserve">services </w:t>
      </w:r>
      <w:r w:rsidRPr="0079627C">
        <w:t xml:space="preserve">for children </w:t>
      </w:r>
      <w:r w:rsidR="00DB444A">
        <w:t>in the years before school</w:t>
      </w:r>
      <w:r w:rsidRPr="0079627C">
        <w:t>.</w:t>
      </w:r>
    </w:p>
    <w:p w14:paraId="12ABAA94" w14:textId="50CC579C" w:rsidR="00E633CC" w:rsidRPr="000101AC" w:rsidRDefault="00E633CC" w:rsidP="00E633CC">
      <w:pPr>
        <w:pStyle w:val="Heading3"/>
        <w:rPr>
          <w:rFonts w:cs="Arial"/>
        </w:rPr>
      </w:pPr>
      <w:r w:rsidRPr="000101AC">
        <w:rPr>
          <w:rFonts w:cs="Arial"/>
        </w:rPr>
        <w:t xml:space="preserve">2020-21 </w:t>
      </w:r>
      <w:r w:rsidR="007371B9">
        <w:rPr>
          <w:rFonts w:cs="Arial"/>
        </w:rPr>
        <w:t xml:space="preserve">State Outcome </w:t>
      </w:r>
      <w:r w:rsidRPr="000101AC">
        <w:rPr>
          <w:rFonts w:cs="Arial"/>
        </w:rPr>
        <w:t xml:space="preserve">Budget </w:t>
      </w:r>
      <w:r w:rsidR="00F175D4">
        <w:rPr>
          <w:rFonts w:cs="Arial"/>
        </w:rPr>
        <w:t>h</w:t>
      </w:r>
      <w:r w:rsidRPr="000101AC">
        <w:rPr>
          <w:rFonts w:cs="Arial"/>
        </w:rPr>
        <w:t xml:space="preserve">ighlights </w:t>
      </w:r>
      <w:bookmarkStart w:id="5" w:name="_Hlk7525578"/>
    </w:p>
    <w:bookmarkEnd w:id="5"/>
    <w:p w14:paraId="6AD03C80" w14:textId="0CBEFDB5" w:rsidR="00576BFA" w:rsidRPr="008D3DAB" w:rsidRDefault="00576BFA" w:rsidP="00DF2797">
      <w:pPr>
        <w:pStyle w:val="BodyText"/>
      </w:pPr>
      <w:r w:rsidRPr="008D3DAB">
        <w:t xml:space="preserve">In 2020-21, the </w:t>
      </w:r>
      <w:r>
        <w:t>Education</w:t>
      </w:r>
      <w:r w:rsidRPr="008D3DAB">
        <w:t xml:space="preserve"> </w:t>
      </w:r>
      <w:r w:rsidR="00CF637D">
        <w:t>C</w:t>
      </w:r>
      <w:r w:rsidRPr="006F6CD0">
        <w:t xml:space="preserve">luster </w:t>
      </w:r>
      <w:r w:rsidRPr="00D95F82">
        <w:t xml:space="preserve">will </w:t>
      </w:r>
      <w:r w:rsidRPr="007F2C1E">
        <w:t>invest $</w:t>
      </w:r>
      <w:r w:rsidR="00460340" w:rsidRPr="007F2C1E">
        <w:t>667.6 m</w:t>
      </w:r>
      <w:r w:rsidRPr="007F2C1E">
        <w:t xml:space="preserve">illion </w:t>
      </w:r>
      <w:r w:rsidR="00100558" w:rsidRPr="007F2C1E">
        <w:t xml:space="preserve">in this </w:t>
      </w:r>
      <w:r w:rsidR="00F175D4">
        <w:t>O</w:t>
      </w:r>
      <w:r w:rsidR="00100558" w:rsidRPr="007F2C1E">
        <w:t>utcome</w:t>
      </w:r>
      <w:r w:rsidRPr="00D95F82">
        <w:t>, including</w:t>
      </w:r>
      <w:r w:rsidR="004849AB" w:rsidRPr="00D95F82">
        <w:t>:</w:t>
      </w:r>
    </w:p>
    <w:p w14:paraId="6559D2DE" w14:textId="61F5F195" w:rsidR="00581BFE" w:rsidRPr="00F406B6" w:rsidRDefault="00BA7366" w:rsidP="00E82D44">
      <w:pPr>
        <w:pStyle w:val="Bullet1"/>
        <w:rPr>
          <w:bCs w:val="0"/>
        </w:rPr>
      </w:pPr>
      <w:r w:rsidRPr="00F406B6">
        <w:t xml:space="preserve">the </w:t>
      </w:r>
      <w:r w:rsidR="00581BFE" w:rsidRPr="00F406B6">
        <w:t xml:space="preserve">Start Strong program to support preschool education across New South Wales, in both community preschools and long day care centres. Funding support </w:t>
      </w:r>
      <w:r w:rsidR="00D75691" w:rsidRPr="00F406B6">
        <w:t>is delivered for</w:t>
      </w:r>
      <w:r w:rsidR="00581BFE" w:rsidRPr="00F406B6">
        <w:t xml:space="preserve"> all three and four-year-</w:t>
      </w:r>
      <w:proofErr w:type="spellStart"/>
      <w:r w:rsidR="00581BFE" w:rsidRPr="00F406B6">
        <w:t>olds</w:t>
      </w:r>
      <w:proofErr w:type="spellEnd"/>
      <w:r w:rsidR="00581BFE" w:rsidRPr="00F406B6">
        <w:t xml:space="preserve"> in community preschools to provide universal access to two years of early childhood education</w:t>
      </w:r>
      <w:r w:rsidR="00D75691" w:rsidRPr="00F406B6">
        <w:t>,</w:t>
      </w:r>
      <w:r w:rsidR="00581BFE" w:rsidRPr="00F406B6">
        <w:t xml:space="preserve"> and continuing a commitment made in the 2018-19 Budget</w:t>
      </w:r>
    </w:p>
    <w:p w14:paraId="145EBC5A" w14:textId="5185E9B6" w:rsidR="00BA7366" w:rsidRPr="00F406B6" w:rsidRDefault="00BA7366" w:rsidP="00F7286F">
      <w:pPr>
        <w:pStyle w:val="Bullet1"/>
        <w:rPr>
          <w:bCs w:val="0"/>
        </w:rPr>
      </w:pPr>
      <w:r w:rsidRPr="00F406B6">
        <w:t xml:space="preserve">continued funding to support the COVID-19 free preschool program for community and mobile preschools in Terms 3 and 4 </w:t>
      </w:r>
      <w:r w:rsidR="00F175D4">
        <w:t xml:space="preserve">in </w:t>
      </w:r>
      <w:r w:rsidRPr="00F406B6">
        <w:t xml:space="preserve">2020, </w:t>
      </w:r>
      <w:r w:rsidR="00852BCD" w:rsidRPr="00F406B6">
        <w:t xml:space="preserve">and </w:t>
      </w:r>
      <w:r w:rsidRPr="00F406B6">
        <w:t>up to $120</w:t>
      </w:r>
      <w:r w:rsidR="00C33D30" w:rsidRPr="00F406B6">
        <w:t>.0</w:t>
      </w:r>
      <w:r w:rsidRPr="00F406B6">
        <w:t xml:space="preserve"> million for the extension of the COVID-19 free </w:t>
      </w:r>
      <w:r w:rsidRPr="00F7286F">
        <w:t>preschool</w:t>
      </w:r>
      <w:r w:rsidRPr="00F406B6">
        <w:t xml:space="preserve"> program for community and mobile preschools </w:t>
      </w:r>
      <w:r w:rsidR="001C3791" w:rsidRPr="00F406B6">
        <w:t>through to the end of</w:t>
      </w:r>
      <w:r w:rsidRPr="00F406B6">
        <w:t xml:space="preserve"> 2021</w:t>
      </w:r>
      <w:r w:rsidR="008770DD" w:rsidRPr="00F406B6">
        <w:t>,</w:t>
      </w:r>
      <w:r w:rsidRPr="00F406B6">
        <w:t xml:space="preserve"> providing fee relief for families and certainty for the NSW preschool sector to respond to the impact of the COVID-19 pandemic</w:t>
      </w:r>
    </w:p>
    <w:p w14:paraId="06A310BD" w14:textId="0CECE754" w:rsidR="00B83DBB" w:rsidRPr="0002098F" w:rsidRDefault="0002098F" w:rsidP="00B639D7">
      <w:pPr>
        <w:pStyle w:val="Bullet1"/>
        <w:ind w:left="357" w:hanging="357"/>
        <w:rPr>
          <w:bCs w:val="0"/>
        </w:rPr>
      </w:pPr>
      <w:r w:rsidRPr="00F406B6">
        <w:t>$6.0 million over two years to deliver the Working Towards Quality Support Program in conjunction with the Australian Children’s Education and Care Quality Authority</w:t>
      </w:r>
    </w:p>
    <w:p w14:paraId="7DB079CA" w14:textId="4DF7F9B2" w:rsidR="00BA7366" w:rsidRPr="00F406B6" w:rsidRDefault="00BA7366" w:rsidP="00863312">
      <w:pPr>
        <w:pStyle w:val="Bullet1"/>
        <w:ind w:left="357" w:hanging="357"/>
        <w:rPr>
          <w:bCs w:val="0"/>
        </w:rPr>
      </w:pPr>
      <w:r w:rsidRPr="00F406B6">
        <w:t>continuation of capital works funding to support the creation of additional community preschool places</w:t>
      </w:r>
      <w:r w:rsidR="00472AB2">
        <w:t>.</w:t>
      </w:r>
      <w:r w:rsidRPr="00F406B6">
        <w:t xml:space="preserve"> </w:t>
      </w:r>
    </w:p>
    <w:p w14:paraId="57E87B5A" w14:textId="77777777" w:rsidR="00E633CC" w:rsidRPr="00DC6435" w:rsidRDefault="00E633CC" w:rsidP="00E633CC">
      <w:pPr>
        <w:pStyle w:val="Heading3"/>
        <w:rPr>
          <w:rFonts w:cs="Arial"/>
        </w:rPr>
      </w:pPr>
      <w:r w:rsidRPr="00DC6435">
        <w:rPr>
          <w:rFonts w:cs="Arial"/>
        </w:rPr>
        <w:t xml:space="preserve">Key performance insights </w:t>
      </w:r>
    </w:p>
    <w:p w14:paraId="4DB577A6" w14:textId="61DA626A" w:rsidR="00300852" w:rsidRPr="00DF4C60" w:rsidRDefault="00300852" w:rsidP="00FC6904">
      <w:pPr>
        <w:pStyle w:val="BodyText"/>
      </w:pPr>
      <w:bookmarkStart w:id="6" w:name="_Toc516321120"/>
      <w:r>
        <w:t>This section provides analysis and insights on key Outcome Indicators for this State Outcome.</w:t>
      </w:r>
    </w:p>
    <w:p w14:paraId="06EF3A22" w14:textId="47E0BC35" w:rsidR="004F0E71" w:rsidRPr="000C6128" w:rsidRDefault="004F0E71" w:rsidP="00F4600D">
      <w:pPr>
        <w:pStyle w:val="Heading4"/>
      </w:pPr>
      <w:r w:rsidRPr="00AA6B31">
        <w:t>Children enrolled in an early childhood education program in the year before school</w:t>
      </w:r>
    </w:p>
    <w:p w14:paraId="5909E53F" w14:textId="0EEC84A7" w:rsidR="00300852" w:rsidRPr="00DC357D" w:rsidRDefault="004F0E71" w:rsidP="00DC357D">
      <w:pPr>
        <w:pStyle w:val="BodyText"/>
        <w:rPr>
          <w:szCs w:val="16"/>
        </w:rPr>
      </w:pPr>
      <w:r w:rsidRPr="004F0E71">
        <w:t xml:space="preserve">This </w:t>
      </w:r>
      <w:r>
        <w:t>Outcome Indicator</w:t>
      </w:r>
      <w:r w:rsidRPr="004F0E71">
        <w:t xml:space="preserve"> is consistent with benchmarks under the National Partnership Agreement on Universal Access to Early Childhood Education, with a</w:t>
      </w:r>
      <w:r w:rsidR="00472AB2">
        <w:t>n enrolment</w:t>
      </w:r>
      <w:r w:rsidRPr="004F0E71">
        <w:t xml:space="preserve"> target of 95</w:t>
      </w:r>
      <w:r w:rsidR="00841B10">
        <w:t xml:space="preserve"> per cent</w:t>
      </w:r>
      <w:r w:rsidRPr="004F0E71">
        <w:t xml:space="preserve"> by 2022. </w:t>
      </w:r>
    </w:p>
    <w:p w14:paraId="574A5EE6" w14:textId="16F36DE6" w:rsidR="003F1566" w:rsidRPr="00C65CEF" w:rsidRDefault="00595AD8" w:rsidP="00C65CEF">
      <w:pPr>
        <w:pStyle w:val="BodyText"/>
        <w:rPr>
          <w:szCs w:val="16"/>
        </w:rPr>
      </w:pPr>
      <w:r>
        <w:t>Perfor</w:t>
      </w:r>
      <w:r w:rsidR="00C366BA">
        <w:t>mance against this indicato</w:t>
      </w:r>
      <w:r w:rsidR="00CD4867">
        <w:t xml:space="preserve">r </w:t>
      </w:r>
      <w:r w:rsidR="00CF769A">
        <w:t xml:space="preserve">has improved and </w:t>
      </w:r>
      <w:r w:rsidR="007B1953">
        <w:t xml:space="preserve">is on track to meet the target. </w:t>
      </w:r>
      <w:r w:rsidR="004F0E71" w:rsidRPr="00DC357D">
        <w:t>Participation</w:t>
      </w:r>
      <w:r w:rsidR="004F0E71" w:rsidRPr="004F0E71">
        <w:t xml:space="preserve"> in early childhood education for 600 hours in the year before school increased to 94.5</w:t>
      </w:r>
      <w:r w:rsidR="00841B10">
        <w:t xml:space="preserve"> per cent</w:t>
      </w:r>
      <w:r w:rsidR="004F0E71">
        <w:t xml:space="preserve"> in 2019</w:t>
      </w:r>
      <w:r w:rsidR="004F0E71" w:rsidRPr="004F0E71">
        <w:t xml:space="preserve">. This is the </w:t>
      </w:r>
      <w:r w:rsidR="004F0E71">
        <w:t>S</w:t>
      </w:r>
      <w:r w:rsidR="004F0E71" w:rsidRPr="004F0E71">
        <w:t>tate’s highest-ever result against this indicator</w:t>
      </w:r>
      <w:r w:rsidR="006104DE" w:rsidRPr="006104DE">
        <w:t xml:space="preserve"> and is the largest increase since 2016 compared to other jurisdictions.</w:t>
      </w:r>
      <w:r w:rsidR="003F1566">
        <w:t xml:space="preserve"> </w:t>
      </w:r>
    </w:p>
    <w:p w14:paraId="725BD610" w14:textId="0DBC4CF9" w:rsidR="00C5745C" w:rsidRDefault="004F0E71" w:rsidP="00C65CEF">
      <w:pPr>
        <w:pStyle w:val="BodyText"/>
      </w:pPr>
      <w:r w:rsidRPr="004F0E71">
        <w:t xml:space="preserve">The </w:t>
      </w:r>
      <w:r w:rsidRPr="00A35750">
        <w:rPr>
          <w:i/>
        </w:rPr>
        <w:t xml:space="preserve">NSW </w:t>
      </w:r>
      <w:r w:rsidR="00267861" w:rsidRPr="00A35750">
        <w:rPr>
          <w:i/>
        </w:rPr>
        <w:t>Government’s Start Strong program</w:t>
      </w:r>
      <w:r w:rsidR="00267861">
        <w:t xml:space="preserve"> </w:t>
      </w:r>
      <w:r w:rsidR="00267861" w:rsidRPr="00267861">
        <w:t>is a needs-based funding investment aimed at making 600 hours</w:t>
      </w:r>
      <w:r w:rsidR="00267861">
        <w:t xml:space="preserve"> </w:t>
      </w:r>
      <w:r w:rsidR="00267861" w:rsidRPr="00267861">
        <w:t>of preschool participation more affordable</w:t>
      </w:r>
      <w:r w:rsidR="00BA7366">
        <w:t xml:space="preserve"> in the year before full-time school</w:t>
      </w:r>
      <w:r w:rsidR="00267861" w:rsidRPr="00267861">
        <w:t xml:space="preserve">. </w:t>
      </w:r>
      <w:r w:rsidR="00BA7366">
        <w:t>S</w:t>
      </w:r>
      <w:r w:rsidR="00267861" w:rsidRPr="00267861">
        <w:t xml:space="preserve">upport is </w:t>
      </w:r>
      <w:r w:rsidR="00BA7366">
        <w:t xml:space="preserve">also available for </w:t>
      </w:r>
      <w:r w:rsidR="00267861" w:rsidRPr="00267861">
        <w:t>three-year-</w:t>
      </w:r>
      <w:proofErr w:type="spellStart"/>
      <w:r w:rsidR="00267861" w:rsidRPr="00267861">
        <w:t>old</w:t>
      </w:r>
      <w:r w:rsidR="00BA7366">
        <w:t>s</w:t>
      </w:r>
      <w:proofErr w:type="spellEnd"/>
      <w:r w:rsidR="00BA7366">
        <w:t>, with a focus on</w:t>
      </w:r>
      <w:r w:rsidR="00267861" w:rsidRPr="00267861">
        <w:t xml:space="preserve"> </w:t>
      </w:r>
      <w:r w:rsidR="00BA7366">
        <w:t xml:space="preserve">children </w:t>
      </w:r>
      <w:r w:rsidR="00267861" w:rsidRPr="00267861">
        <w:t xml:space="preserve">from Aboriginal and low-income families </w:t>
      </w:r>
      <w:r w:rsidR="00267861">
        <w:t xml:space="preserve">and </w:t>
      </w:r>
      <w:r w:rsidR="00267861" w:rsidRPr="00267861">
        <w:t>children with</w:t>
      </w:r>
      <w:r w:rsidR="00267861">
        <w:t xml:space="preserve"> </w:t>
      </w:r>
      <w:r w:rsidR="006029E4">
        <w:t xml:space="preserve">a </w:t>
      </w:r>
      <w:r w:rsidR="00267861" w:rsidRPr="00267861">
        <w:t>disability.</w:t>
      </w:r>
    </w:p>
    <w:p w14:paraId="50A26C0C" w14:textId="77777777" w:rsidR="00C5745C" w:rsidRDefault="00C5745C">
      <w:pPr>
        <w:rPr>
          <w:rFonts w:eastAsiaTheme="minorHAnsi" w:cs="Arial"/>
          <w:bCs/>
          <w:sz w:val="23"/>
        </w:rPr>
      </w:pPr>
      <w:r>
        <w:br w:type="page"/>
      </w:r>
    </w:p>
    <w:p w14:paraId="5C1E2297" w14:textId="209A0E71" w:rsidR="006828D0" w:rsidRPr="00C65CEF" w:rsidRDefault="00A6412D" w:rsidP="003533B0">
      <w:pPr>
        <w:pStyle w:val="Chart2X"/>
        <w:ind w:left="1134" w:hanging="1134"/>
      </w:pPr>
      <w:r w:rsidRPr="00C65CEF">
        <w:lastRenderedPageBreak/>
        <w:t>Proportion</w:t>
      </w:r>
      <w:r w:rsidR="006828D0" w:rsidRPr="00C65CEF">
        <w:t xml:space="preserve"> of children who are enrolled in an early childhood education program for at least 600 hours in the year before school</w:t>
      </w:r>
    </w:p>
    <w:p w14:paraId="0EA8DB13" w14:textId="6BEC0DE3" w:rsidR="004006FA" w:rsidRDefault="002D4B33" w:rsidP="00F7286F">
      <w:pPr>
        <w:autoSpaceDE w:val="0"/>
        <w:autoSpaceDN w:val="0"/>
        <w:adjustRightInd w:val="0"/>
        <w:jc w:val="center"/>
        <w:rPr>
          <w:rFonts w:cs="Arial"/>
          <w:sz w:val="23"/>
          <w:szCs w:val="23"/>
        </w:rPr>
      </w:pPr>
      <w:r>
        <w:rPr>
          <w:noProof/>
          <w:lang w:eastAsia="en-AU"/>
        </w:rPr>
        <w:drawing>
          <wp:inline distT="0" distB="0" distL="0" distR="0" wp14:anchorId="34ABBEB0" wp14:editId="7D2B14CC">
            <wp:extent cx="4678680" cy="2489835"/>
            <wp:effectExtent l="0" t="0" r="0" b="0"/>
            <wp:docPr id="7" name="Chart 7" descr="Chart 2.3: Proportion of children who are enrolled in an early childhood education program for at least 600 hours in the year before school">
              <a:extLst xmlns:a="http://schemas.openxmlformats.org/drawingml/2006/main">
                <a:ext uri="{FF2B5EF4-FFF2-40B4-BE49-F238E27FC236}">
                  <a16:creationId xmlns:a16="http://schemas.microsoft.com/office/drawing/2014/main" id="{5C972DBE-BF03-4613-B89F-C4AB7D099D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69087BE" w14:textId="01E9EB43" w:rsidR="00771967" w:rsidRPr="009F132E" w:rsidRDefault="002D4B33" w:rsidP="00FC4E65">
      <w:pPr>
        <w:rPr>
          <w:rFonts w:cs="Arial"/>
          <w:iCs/>
          <w:sz w:val="17"/>
          <w:szCs w:val="17"/>
        </w:rPr>
      </w:pPr>
      <w:r w:rsidRPr="009F132E">
        <w:rPr>
          <w:rFonts w:cs="Arial"/>
          <w:iCs/>
          <w:sz w:val="17"/>
          <w:szCs w:val="17"/>
        </w:rPr>
        <w:t>Note: Data sourced from Australian Bureau of Statistics (ABS), Preschool Education, Australia.</w:t>
      </w:r>
    </w:p>
    <w:p w14:paraId="666392CD" w14:textId="77777777" w:rsidR="004F0E71" w:rsidRDefault="004F0E71" w:rsidP="003533B0"/>
    <w:p w14:paraId="15513707" w14:textId="7B9CD72A" w:rsidR="004F0E71" w:rsidRPr="000C6128" w:rsidRDefault="004F0E71" w:rsidP="003533B0">
      <w:pPr>
        <w:pStyle w:val="Heading4"/>
      </w:pPr>
      <w:r w:rsidRPr="00AA6B31">
        <w:t>Early childhood education services rated as meeting or exceeding the National Quality Standard</w:t>
      </w:r>
    </w:p>
    <w:p w14:paraId="6900ADBE" w14:textId="24D912B1" w:rsidR="004E0141" w:rsidRDefault="004E0141" w:rsidP="00035434">
      <w:pPr>
        <w:pStyle w:val="BodyText"/>
      </w:pPr>
      <w:r w:rsidRPr="004F0E71">
        <w:t xml:space="preserve">The </w:t>
      </w:r>
      <w:r>
        <w:t>NSW Department of Education</w:t>
      </w:r>
      <w:r w:rsidRPr="004F0E71">
        <w:t xml:space="preserve"> </w:t>
      </w:r>
      <w:r>
        <w:t>monitors</w:t>
      </w:r>
      <w:r w:rsidRPr="004F0E71">
        <w:t xml:space="preserve"> compliance with legislative requirements, investigate</w:t>
      </w:r>
      <w:r>
        <w:t>s</w:t>
      </w:r>
      <w:r w:rsidRPr="004F0E71">
        <w:t xml:space="preserve"> complaints and respond</w:t>
      </w:r>
      <w:r>
        <w:t>s</w:t>
      </w:r>
      <w:r w:rsidRPr="004F0E71">
        <w:t xml:space="preserve"> to incidents.</w:t>
      </w:r>
    </w:p>
    <w:p w14:paraId="53E9D3F7" w14:textId="3BEF46BD" w:rsidR="00D75691" w:rsidRDefault="004E0141" w:rsidP="00035434">
      <w:pPr>
        <w:pStyle w:val="BodyText"/>
      </w:pPr>
      <w:r>
        <w:t xml:space="preserve">Performance </w:t>
      </w:r>
      <w:r w:rsidR="002C70A7">
        <w:t xml:space="preserve">against this indicator </w:t>
      </w:r>
      <w:r w:rsidR="00911A59">
        <w:t xml:space="preserve">is on track to meet </w:t>
      </w:r>
      <w:r w:rsidR="00D13677">
        <w:t xml:space="preserve">the target. </w:t>
      </w:r>
      <w:r w:rsidR="004F0E71" w:rsidRPr="004F0E71">
        <w:t xml:space="preserve">Since the introduction of the National Quality Standard </w:t>
      </w:r>
      <w:r w:rsidR="004F0E71">
        <w:t xml:space="preserve">(NQS) </w:t>
      </w:r>
      <w:r w:rsidR="004F0E71" w:rsidRPr="004F0E71">
        <w:t>in 2012, there has been an overall quality improvement in the sector in N</w:t>
      </w:r>
      <w:r w:rsidR="00CC6645">
        <w:t xml:space="preserve">ew </w:t>
      </w:r>
      <w:r w:rsidR="004F0E71" w:rsidRPr="004F0E71">
        <w:t>S</w:t>
      </w:r>
      <w:r w:rsidR="00CC6645">
        <w:t xml:space="preserve">outh </w:t>
      </w:r>
      <w:r w:rsidR="004F0E71" w:rsidRPr="004F0E71">
        <w:t>W</w:t>
      </w:r>
      <w:r w:rsidR="00CC6645">
        <w:t>ales</w:t>
      </w:r>
      <w:r w:rsidR="004F0E71" w:rsidRPr="004F0E71">
        <w:t xml:space="preserve">. In </w:t>
      </w:r>
      <w:r w:rsidR="004F0E71">
        <w:t>June 2020, the proportion of services meeting or exceeding the NQS increased to 77.2</w:t>
      </w:r>
      <w:r w:rsidR="005C098E">
        <w:t xml:space="preserve"> per cent</w:t>
      </w:r>
      <w:r w:rsidR="004F0E71" w:rsidRPr="004F0E71">
        <w:t xml:space="preserve">. </w:t>
      </w:r>
    </w:p>
    <w:p w14:paraId="5965D590" w14:textId="74F2E746" w:rsidR="004F0E71" w:rsidRDefault="00C02B32" w:rsidP="00035434">
      <w:pPr>
        <w:pStyle w:val="BodyText"/>
      </w:pPr>
      <w:r w:rsidRPr="00C02B32">
        <w:t>T</w:t>
      </w:r>
      <w:r w:rsidR="00604174">
        <w:t xml:space="preserve">o support ongoing </w:t>
      </w:r>
      <w:r w:rsidR="00A270F2">
        <w:t xml:space="preserve">service quality </w:t>
      </w:r>
      <w:r w:rsidR="00604174">
        <w:t>improvement</w:t>
      </w:r>
      <w:r w:rsidR="009216D1">
        <w:t>,</w:t>
      </w:r>
      <w:r w:rsidR="00604174">
        <w:t xml:space="preserve"> t</w:t>
      </w:r>
      <w:r w:rsidRPr="00C02B32">
        <w:t xml:space="preserve">he </w:t>
      </w:r>
      <w:r w:rsidR="001B6932">
        <w:t>D</w:t>
      </w:r>
      <w:r w:rsidRPr="00C02B32">
        <w:t xml:space="preserve">epartment is delivering a number of programs including the </w:t>
      </w:r>
      <w:r w:rsidRPr="00F52C89">
        <w:rPr>
          <w:i/>
        </w:rPr>
        <w:t xml:space="preserve">Working Towards Quality Support Program </w:t>
      </w:r>
      <w:r w:rsidRPr="00024CA9">
        <w:rPr>
          <w:iCs/>
        </w:rPr>
        <w:t>and the</w:t>
      </w:r>
      <w:r w:rsidRPr="00F52C89">
        <w:rPr>
          <w:i/>
        </w:rPr>
        <w:t xml:space="preserve"> Quality Ratings </w:t>
      </w:r>
      <w:r w:rsidR="00AB0AE5">
        <w:rPr>
          <w:i/>
        </w:rPr>
        <w:t>Initiative</w:t>
      </w:r>
      <w:r w:rsidRPr="00C02B32">
        <w:t xml:space="preserve">, </w:t>
      </w:r>
      <w:r w:rsidR="00D75691">
        <w:t>which will</w:t>
      </w:r>
      <w:r w:rsidRPr="00C02B32">
        <w:t xml:space="preserve"> improv</w:t>
      </w:r>
      <w:r w:rsidR="00D75691">
        <w:t xml:space="preserve">e </w:t>
      </w:r>
      <w:r w:rsidRPr="00C02B32">
        <w:t xml:space="preserve">family awareness of </w:t>
      </w:r>
      <w:r w:rsidR="00D75691">
        <w:t>service</w:t>
      </w:r>
      <w:r w:rsidRPr="00C02B32">
        <w:t xml:space="preserve"> quality through a visual ratings display.</w:t>
      </w:r>
    </w:p>
    <w:p w14:paraId="0B21F19F" w14:textId="2D772E41" w:rsidR="0020430B" w:rsidRPr="00035434" w:rsidRDefault="00A6412D" w:rsidP="00856CB2">
      <w:pPr>
        <w:pStyle w:val="Chart2X"/>
        <w:ind w:left="1276" w:hanging="1276"/>
        <w:rPr>
          <w:i w:val="0"/>
        </w:rPr>
      </w:pPr>
      <w:r w:rsidRPr="00035434">
        <w:t xml:space="preserve">Proportion </w:t>
      </w:r>
      <w:r w:rsidR="0020430B" w:rsidRPr="00035434">
        <w:t>of early childhood education services rated as meeting or exceeding the National Quality Standard</w:t>
      </w:r>
    </w:p>
    <w:p w14:paraId="3B185C24" w14:textId="7D638143" w:rsidR="006828D0" w:rsidRDefault="00445591" w:rsidP="00F7286F">
      <w:pPr>
        <w:autoSpaceDE w:val="0"/>
        <w:autoSpaceDN w:val="0"/>
        <w:adjustRightInd w:val="0"/>
        <w:jc w:val="center"/>
        <w:rPr>
          <w:rFonts w:cs="Arial"/>
          <w:sz w:val="23"/>
          <w:szCs w:val="23"/>
        </w:rPr>
      </w:pPr>
      <w:r>
        <w:rPr>
          <w:noProof/>
          <w:lang w:eastAsia="en-AU"/>
        </w:rPr>
        <w:drawing>
          <wp:inline distT="0" distB="0" distL="0" distR="0" wp14:anchorId="714C9291" wp14:editId="24F47275">
            <wp:extent cx="4678680" cy="2244090"/>
            <wp:effectExtent l="0" t="0" r="0" b="0"/>
            <wp:docPr id="17" name="Chart 17" descr="Chart 2.4: Proportion of early childhood education services rated as meeting or exceeding the National Quality Standard">
              <a:extLst xmlns:a="http://schemas.openxmlformats.org/drawingml/2006/main">
                <a:ext uri="{FF2B5EF4-FFF2-40B4-BE49-F238E27FC236}">
                  <a16:creationId xmlns:a16="http://schemas.microsoft.com/office/drawing/2014/main" id="{08E1885F-ACAD-46F5-9E37-7B453E0667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AA8FEBE" w14:textId="5600671B" w:rsidR="00073B74" w:rsidRPr="00D24EE1" w:rsidRDefault="006E1736">
      <w:pPr>
        <w:rPr>
          <w:rFonts w:cs="Arial"/>
          <w:iCs/>
          <w:sz w:val="17"/>
          <w:szCs w:val="17"/>
        </w:rPr>
      </w:pPr>
      <w:r w:rsidRPr="00D24EE1">
        <w:rPr>
          <w:rFonts w:cs="Arial"/>
          <w:iCs/>
          <w:sz w:val="17"/>
          <w:szCs w:val="17"/>
        </w:rPr>
        <w:t>Note: Data sourced from the Australian Children’s Education and Care Quality Authority (ACECQA)</w:t>
      </w:r>
      <w:r w:rsidR="00B37F72" w:rsidRPr="00D24EE1">
        <w:rPr>
          <w:rFonts w:cs="Arial"/>
          <w:iCs/>
          <w:sz w:val="17"/>
          <w:szCs w:val="17"/>
        </w:rPr>
        <w:t>.</w:t>
      </w:r>
    </w:p>
    <w:p w14:paraId="72E7AA3E" w14:textId="77777777" w:rsidR="00C96D16" w:rsidRPr="00852CC4" w:rsidRDefault="00C96D16" w:rsidP="00FC4E65">
      <w:pPr>
        <w:rPr>
          <w:rFonts w:cs="Arial"/>
          <w:i/>
          <w:color w:val="000000"/>
          <w:sz w:val="17"/>
          <w:szCs w:val="17"/>
          <w:lang w:eastAsia="en-AU"/>
        </w:rPr>
      </w:pPr>
    </w:p>
    <w:p w14:paraId="24157B65" w14:textId="77777777" w:rsidR="008F7540" w:rsidRDefault="008F7540">
      <w:pPr>
        <w:rPr>
          <w:rFonts w:ascii="Arial Bold" w:hAnsi="Arial Bold" w:cs="Arial"/>
          <w:b/>
          <w:kern w:val="28"/>
          <w:sz w:val="26"/>
          <w:szCs w:val="36"/>
        </w:rPr>
      </w:pPr>
      <w:bookmarkStart w:id="7" w:name="_Hlk7526001"/>
      <w:r>
        <w:rPr>
          <w:rFonts w:cs="Arial"/>
        </w:rPr>
        <w:br w:type="page"/>
      </w:r>
    </w:p>
    <w:p w14:paraId="2873FC72" w14:textId="383538AF" w:rsidR="00E633CC" w:rsidRPr="00DC6435" w:rsidRDefault="007C644A" w:rsidP="00E633CC">
      <w:pPr>
        <w:pStyle w:val="Heading3"/>
        <w:rPr>
          <w:rFonts w:cs="Arial"/>
        </w:rPr>
      </w:pPr>
      <w:r>
        <w:rPr>
          <w:rFonts w:cs="Arial"/>
        </w:rPr>
        <w:lastRenderedPageBreak/>
        <w:t>P</w:t>
      </w:r>
      <w:r w:rsidR="00E633CC">
        <w:rPr>
          <w:rFonts w:cs="Arial"/>
        </w:rPr>
        <w:t xml:space="preserve">erformance indicators for this </w:t>
      </w:r>
      <w:r w:rsidR="003B4CE3">
        <w:rPr>
          <w:rFonts w:cs="Arial"/>
        </w:rPr>
        <w:t>O</w:t>
      </w:r>
      <w:r w:rsidR="00E633CC">
        <w:rPr>
          <w:rFonts w:cs="Arial"/>
        </w:rPr>
        <w:t>utcome</w:t>
      </w:r>
    </w:p>
    <w:tbl>
      <w:tblPr>
        <w:tblW w:w="9656" w:type="dxa"/>
        <w:tblLook w:val="04A0" w:firstRow="1" w:lastRow="0" w:firstColumn="1" w:lastColumn="0" w:noHBand="0" w:noVBand="1"/>
        <w:tblCaption w:val="Performance indicators for this Outcome"/>
      </w:tblPr>
      <w:tblGrid>
        <w:gridCol w:w="6537"/>
        <w:gridCol w:w="737"/>
        <w:gridCol w:w="1191"/>
        <w:gridCol w:w="1191"/>
      </w:tblGrid>
      <w:tr w:rsidR="002B6D9B" w:rsidRPr="000B3341" w14:paraId="33F9C9EB" w14:textId="77777777" w:rsidTr="0077355F">
        <w:trPr>
          <w:trHeight w:val="283"/>
        </w:trPr>
        <w:tc>
          <w:tcPr>
            <w:tcW w:w="6537" w:type="dxa"/>
            <w:vMerge w:val="restart"/>
            <w:tcBorders>
              <w:top w:val="nil"/>
              <w:left w:val="nil"/>
              <w:bottom w:val="nil"/>
              <w:right w:val="nil"/>
            </w:tcBorders>
            <w:shd w:val="clear" w:color="auto" w:fill="00426F"/>
            <w:noWrap/>
            <w:vAlign w:val="center"/>
            <w:hideMark/>
          </w:tcPr>
          <w:p w14:paraId="1756AD3E" w14:textId="77777777" w:rsidR="002B6D9B" w:rsidRPr="000B3341" w:rsidRDefault="002B6D9B" w:rsidP="002B6D9B">
            <w:pPr>
              <w:rPr>
                <w:rFonts w:cs="Arial"/>
                <w:b/>
                <w:bCs/>
                <w:color w:val="FFFFFF"/>
                <w:sz w:val="18"/>
                <w:szCs w:val="18"/>
                <w:lang w:eastAsia="en-AU"/>
              </w:rPr>
            </w:pPr>
            <w:bookmarkStart w:id="8" w:name="_1664772742"/>
            <w:bookmarkEnd w:id="6"/>
            <w:bookmarkEnd w:id="7"/>
            <w:bookmarkEnd w:id="8"/>
            <w:r w:rsidRPr="000B3341">
              <w:rPr>
                <w:rFonts w:cs="Arial"/>
                <w:b/>
                <w:bCs/>
                <w:color w:val="FFFFFF"/>
                <w:sz w:val="18"/>
                <w:szCs w:val="18"/>
                <w:lang w:eastAsia="en-AU"/>
              </w:rPr>
              <w:t>Outcome Indicators</w:t>
            </w:r>
          </w:p>
        </w:tc>
        <w:tc>
          <w:tcPr>
            <w:tcW w:w="737" w:type="dxa"/>
            <w:vMerge w:val="restart"/>
            <w:tcBorders>
              <w:top w:val="nil"/>
              <w:left w:val="nil"/>
              <w:bottom w:val="nil"/>
              <w:right w:val="nil"/>
            </w:tcBorders>
            <w:shd w:val="clear" w:color="auto" w:fill="00426F"/>
            <w:noWrap/>
            <w:vAlign w:val="center"/>
            <w:hideMark/>
          </w:tcPr>
          <w:p w14:paraId="7340E130" w14:textId="77777777" w:rsidR="002B6D9B" w:rsidRPr="000B3341" w:rsidRDefault="002B6D9B" w:rsidP="002B6D9B">
            <w:pPr>
              <w:jc w:val="center"/>
              <w:rPr>
                <w:rFonts w:cs="Arial"/>
                <w:b/>
                <w:bCs/>
                <w:color w:val="FFFFFF"/>
                <w:sz w:val="18"/>
                <w:szCs w:val="18"/>
                <w:lang w:eastAsia="en-AU"/>
              </w:rPr>
            </w:pPr>
            <w:r w:rsidRPr="000B3341">
              <w:rPr>
                <w:rFonts w:cs="Arial"/>
                <w:b/>
                <w:bCs/>
                <w:color w:val="FFFFFF"/>
                <w:sz w:val="18"/>
                <w:szCs w:val="18"/>
                <w:lang w:eastAsia="en-AU"/>
              </w:rPr>
              <w:t>Units</w:t>
            </w:r>
          </w:p>
        </w:tc>
        <w:tc>
          <w:tcPr>
            <w:tcW w:w="1191" w:type="dxa"/>
            <w:tcBorders>
              <w:top w:val="nil"/>
              <w:left w:val="nil"/>
              <w:bottom w:val="nil"/>
              <w:right w:val="nil"/>
            </w:tcBorders>
            <w:shd w:val="clear" w:color="auto" w:fill="00426F"/>
            <w:noWrap/>
            <w:vAlign w:val="bottom"/>
            <w:hideMark/>
          </w:tcPr>
          <w:p w14:paraId="1B0BDB16" w14:textId="77777777" w:rsidR="002B6D9B" w:rsidRPr="000B3341" w:rsidRDefault="002B6D9B" w:rsidP="002B6D9B">
            <w:pPr>
              <w:jc w:val="center"/>
              <w:rPr>
                <w:rFonts w:cs="Arial"/>
                <w:b/>
                <w:bCs/>
                <w:color w:val="FFFFFF"/>
                <w:sz w:val="18"/>
                <w:szCs w:val="18"/>
                <w:lang w:eastAsia="en-AU"/>
              </w:rPr>
            </w:pPr>
            <w:r w:rsidRPr="000B3341">
              <w:rPr>
                <w:rFonts w:cs="Arial"/>
                <w:b/>
                <w:bCs/>
                <w:color w:val="FFFFFF"/>
                <w:sz w:val="18"/>
                <w:szCs w:val="18"/>
                <w:lang w:eastAsia="en-AU"/>
              </w:rPr>
              <w:t>2019-20</w:t>
            </w:r>
          </w:p>
        </w:tc>
        <w:tc>
          <w:tcPr>
            <w:tcW w:w="1191" w:type="dxa"/>
            <w:tcBorders>
              <w:top w:val="nil"/>
              <w:left w:val="nil"/>
              <w:bottom w:val="nil"/>
              <w:right w:val="nil"/>
            </w:tcBorders>
            <w:shd w:val="clear" w:color="auto" w:fill="00426F"/>
            <w:noWrap/>
            <w:vAlign w:val="bottom"/>
            <w:hideMark/>
          </w:tcPr>
          <w:p w14:paraId="30E09D28" w14:textId="77777777" w:rsidR="002B6D9B" w:rsidRPr="000B3341" w:rsidRDefault="002B6D9B" w:rsidP="002B6D9B">
            <w:pPr>
              <w:jc w:val="center"/>
              <w:rPr>
                <w:rFonts w:cs="Arial"/>
                <w:b/>
                <w:bCs/>
                <w:color w:val="FFFFFF"/>
                <w:sz w:val="18"/>
                <w:szCs w:val="18"/>
                <w:lang w:eastAsia="en-AU"/>
              </w:rPr>
            </w:pPr>
            <w:r w:rsidRPr="000B3341">
              <w:rPr>
                <w:rFonts w:cs="Arial"/>
                <w:b/>
                <w:bCs/>
                <w:color w:val="FFFFFF"/>
                <w:sz w:val="18"/>
                <w:szCs w:val="18"/>
                <w:lang w:eastAsia="en-AU"/>
              </w:rPr>
              <w:t>2020-21</w:t>
            </w:r>
          </w:p>
        </w:tc>
      </w:tr>
      <w:tr w:rsidR="002B6D9B" w:rsidRPr="002B6D9B" w14:paraId="45BD903D" w14:textId="77777777" w:rsidTr="0077355F">
        <w:trPr>
          <w:trHeight w:val="283"/>
        </w:trPr>
        <w:tc>
          <w:tcPr>
            <w:tcW w:w="6537" w:type="dxa"/>
            <w:vMerge/>
            <w:tcBorders>
              <w:top w:val="nil"/>
              <w:left w:val="nil"/>
              <w:bottom w:val="nil"/>
              <w:right w:val="nil"/>
            </w:tcBorders>
            <w:shd w:val="clear" w:color="auto" w:fill="00426F"/>
            <w:vAlign w:val="center"/>
            <w:hideMark/>
          </w:tcPr>
          <w:p w14:paraId="10C413AA" w14:textId="77777777" w:rsidR="002B6D9B" w:rsidRPr="0073249E" w:rsidRDefault="002B6D9B" w:rsidP="002B6D9B">
            <w:pPr>
              <w:rPr>
                <w:rFonts w:cs="Arial"/>
                <w:b/>
                <w:color w:val="FFFFFF"/>
                <w:sz w:val="18"/>
                <w:szCs w:val="18"/>
                <w:lang w:eastAsia="en-AU"/>
              </w:rPr>
            </w:pPr>
          </w:p>
        </w:tc>
        <w:tc>
          <w:tcPr>
            <w:tcW w:w="737" w:type="dxa"/>
            <w:vMerge/>
            <w:tcBorders>
              <w:top w:val="nil"/>
              <w:left w:val="nil"/>
              <w:bottom w:val="nil"/>
              <w:right w:val="nil"/>
            </w:tcBorders>
            <w:shd w:val="clear" w:color="auto" w:fill="00426F"/>
            <w:vAlign w:val="center"/>
            <w:hideMark/>
          </w:tcPr>
          <w:p w14:paraId="4D332BB0" w14:textId="77777777" w:rsidR="002B6D9B" w:rsidRPr="0073249E" w:rsidRDefault="002B6D9B" w:rsidP="002B6D9B">
            <w:pPr>
              <w:rPr>
                <w:rFonts w:cs="Arial"/>
                <w:b/>
                <w:color w:val="FFFFFF"/>
                <w:sz w:val="18"/>
                <w:szCs w:val="18"/>
                <w:lang w:eastAsia="en-AU"/>
              </w:rPr>
            </w:pPr>
          </w:p>
        </w:tc>
        <w:tc>
          <w:tcPr>
            <w:tcW w:w="1191" w:type="dxa"/>
            <w:tcBorders>
              <w:top w:val="nil"/>
              <w:left w:val="nil"/>
              <w:bottom w:val="nil"/>
              <w:right w:val="nil"/>
            </w:tcBorders>
            <w:shd w:val="clear" w:color="auto" w:fill="00426F"/>
            <w:noWrap/>
            <w:hideMark/>
          </w:tcPr>
          <w:p w14:paraId="3F1FCAFD" w14:textId="77777777" w:rsidR="002B6D9B" w:rsidRPr="0073249E" w:rsidRDefault="002B6D9B" w:rsidP="002B6D9B">
            <w:pPr>
              <w:jc w:val="center"/>
              <w:rPr>
                <w:rFonts w:cs="Arial"/>
                <w:b/>
                <w:color w:val="FFFFFF"/>
                <w:sz w:val="18"/>
                <w:szCs w:val="18"/>
                <w:lang w:eastAsia="en-AU"/>
              </w:rPr>
            </w:pPr>
            <w:r w:rsidRPr="0073249E">
              <w:rPr>
                <w:rFonts w:cs="Arial"/>
                <w:b/>
                <w:color w:val="FFFFFF"/>
                <w:sz w:val="18"/>
                <w:szCs w:val="18"/>
                <w:lang w:eastAsia="en-AU"/>
              </w:rPr>
              <w:t>Actual</w:t>
            </w:r>
          </w:p>
        </w:tc>
        <w:tc>
          <w:tcPr>
            <w:tcW w:w="1191" w:type="dxa"/>
            <w:tcBorders>
              <w:top w:val="nil"/>
              <w:left w:val="nil"/>
              <w:bottom w:val="nil"/>
              <w:right w:val="nil"/>
            </w:tcBorders>
            <w:shd w:val="clear" w:color="auto" w:fill="00426F"/>
            <w:noWrap/>
            <w:hideMark/>
          </w:tcPr>
          <w:p w14:paraId="41BB33C3" w14:textId="77777777" w:rsidR="002B6D9B" w:rsidRPr="0073249E" w:rsidRDefault="002B6D9B" w:rsidP="002B6D9B">
            <w:pPr>
              <w:jc w:val="center"/>
              <w:rPr>
                <w:rFonts w:cs="Arial"/>
                <w:b/>
                <w:color w:val="FFFFFF"/>
                <w:sz w:val="18"/>
                <w:szCs w:val="18"/>
                <w:lang w:eastAsia="en-AU"/>
              </w:rPr>
            </w:pPr>
            <w:r w:rsidRPr="0073249E">
              <w:rPr>
                <w:rFonts w:cs="Arial"/>
                <w:b/>
                <w:color w:val="FFFFFF"/>
                <w:sz w:val="18"/>
                <w:szCs w:val="18"/>
                <w:lang w:eastAsia="en-AU"/>
              </w:rPr>
              <w:t>Forecast</w:t>
            </w:r>
          </w:p>
        </w:tc>
      </w:tr>
      <w:tr w:rsidR="002B6D9B" w:rsidRPr="002B6D9B" w14:paraId="22DE8237" w14:textId="77777777" w:rsidTr="0077355F">
        <w:trPr>
          <w:trHeight w:val="469"/>
        </w:trPr>
        <w:tc>
          <w:tcPr>
            <w:tcW w:w="6537" w:type="dxa"/>
            <w:tcBorders>
              <w:top w:val="nil"/>
              <w:left w:val="nil"/>
              <w:bottom w:val="nil"/>
              <w:right w:val="nil"/>
            </w:tcBorders>
            <w:shd w:val="clear" w:color="auto" w:fill="auto"/>
            <w:vAlign w:val="bottom"/>
            <w:hideMark/>
          </w:tcPr>
          <w:p w14:paraId="7363D6C6" w14:textId="77777777" w:rsidR="002B6D9B" w:rsidRPr="002B6D9B" w:rsidRDefault="002B6D9B" w:rsidP="002B6D9B">
            <w:pPr>
              <w:rPr>
                <w:rFonts w:cs="Arial"/>
                <w:color w:val="000000"/>
                <w:sz w:val="16"/>
                <w:szCs w:val="16"/>
                <w:lang w:eastAsia="en-AU"/>
              </w:rPr>
            </w:pPr>
            <w:r w:rsidRPr="002B6D9B">
              <w:rPr>
                <w:rFonts w:cs="Arial"/>
                <w:color w:val="000000"/>
                <w:sz w:val="16"/>
                <w:szCs w:val="16"/>
                <w:lang w:eastAsia="en-AU"/>
              </w:rPr>
              <w:t>Proportion of children who are enrolled in an early childhood education program for at least 600 hours in the year before school</w:t>
            </w:r>
            <w:r w:rsidRPr="002B6D9B">
              <w:rPr>
                <w:rFonts w:cs="Arial"/>
                <w:color w:val="000000"/>
                <w:sz w:val="16"/>
                <w:szCs w:val="16"/>
                <w:vertAlign w:val="superscript"/>
                <w:lang w:eastAsia="en-AU"/>
              </w:rPr>
              <w:t>(a)</w:t>
            </w:r>
          </w:p>
        </w:tc>
        <w:tc>
          <w:tcPr>
            <w:tcW w:w="737" w:type="dxa"/>
            <w:tcBorders>
              <w:top w:val="nil"/>
              <w:left w:val="nil"/>
              <w:bottom w:val="nil"/>
              <w:right w:val="nil"/>
            </w:tcBorders>
            <w:shd w:val="clear" w:color="auto" w:fill="auto"/>
            <w:noWrap/>
            <w:vAlign w:val="bottom"/>
            <w:hideMark/>
          </w:tcPr>
          <w:p w14:paraId="58335E5E" w14:textId="77777777" w:rsidR="002B6D9B" w:rsidRPr="002B6D9B" w:rsidRDefault="002B6D9B" w:rsidP="002B6D9B">
            <w:pPr>
              <w:jc w:val="center"/>
              <w:rPr>
                <w:rFonts w:cs="Arial"/>
                <w:color w:val="000000"/>
                <w:sz w:val="16"/>
                <w:szCs w:val="16"/>
                <w:lang w:eastAsia="en-AU"/>
              </w:rPr>
            </w:pPr>
            <w:r w:rsidRPr="002B6D9B">
              <w:rPr>
                <w:rFonts w:cs="Arial"/>
                <w:color w:val="000000"/>
                <w:sz w:val="16"/>
                <w:szCs w:val="16"/>
                <w:lang w:eastAsia="en-AU"/>
              </w:rPr>
              <w:t>%</w:t>
            </w:r>
          </w:p>
        </w:tc>
        <w:tc>
          <w:tcPr>
            <w:tcW w:w="1191" w:type="dxa"/>
            <w:tcBorders>
              <w:top w:val="nil"/>
              <w:left w:val="nil"/>
              <w:bottom w:val="nil"/>
              <w:right w:val="nil"/>
            </w:tcBorders>
            <w:shd w:val="clear" w:color="auto" w:fill="auto"/>
            <w:noWrap/>
            <w:vAlign w:val="bottom"/>
            <w:hideMark/>
          </w:tcPr>
          <w:p w14:paraId="45B8207A" w14:textId="77777777" w:rsidR="002B6D9B" w:rsidRPr="002B6D9B" w:rsidRDefault="002B6D9B" w:rsidP="0077355F">
            <w:pPr>
              <w:ind w:right="170"/>
              <w:jc w:val="right"/>
              <w:rPr>
                <w:rFonts w:cs="Arial"/>
                <w:color w:val="000000"/>
                <w:sz w:val="16"/>
                <w:szCs w:val="16"/>
                <w:lang w:eastAsia="en-AU"/>
              </w:rPr>
            </w:pPr>
            <w:r w:rsidRPr="002B6D9B">
              <w:rPr>
                <w:rFonts w:cs="Arial"/>
                <w:color w:val="000000"/>
                <w:sz w:val="16"/>
                <w:szCs w:val="16"/>
                <w:lang w:eastAsia="en-AU"/>
              </w:rPr>
              <w:t xml:space="preserve">94.5 </w:t>
            </w:r>
          </w:p>
        </w:tc>
        <w:tc>
          <w:tcPr>
            <w:tcW w:w="1191" w:type="dxa"/>
            <w:tcBorders>
              <w:top w:val="nil"/>
              <w:left w:val="nil"/>
              <w:bottom w:val="nil"/>
              <w:right w:val="nil"/>
            </w:tcBorders>
            <w:shd w:val="clear" w:color="auto" w:fill="auto"/>
            <w:noWrap/>
            <w:vAlign w:val="bottom"/>
            <w:hideMark/>
          </w:tcPr>
          <w:p w14:paraId="43C2CA7A" w14:textId="77777777" w:rsidR="002B6D9B" w:rsidRPr="002B6D9B" w:rsidRDefault="002B6D9B" w:rsidP="0077355F">
            <w:pPr>
              <w:ind w:right="170"/>
              <w:jc w:val="right"/>
              <w:rPr>
                <w:rFonts w:cs="Arial"/>
                <w:color w:val="000000"/>
                <w:sz w:val="16"/>
                <w:szCs w:val="16"/>
                <w:lang w:eastAsia="en-AU"/>
              </w:rPr>
            </w:pPr>
            <w:r w:rsidRPr="002B6D9B">
              <w:rPr>
                <w:rFonts w:cs="Arial"/>
                <w:color w:val="000000"/>
                <w:sz w:val="16"/>
                <w:szCs w:val="16"/>
                <w:lang w:eastAsia="en-AU"/>
              </w:rPr>
              <w:t xml:space="preserve">94.6 </w:t>
            </w:r>
          </w:p>
        </w:tc>
      </w:tr>
      <w:tr w:rsidR="002B6D9B" w:rsidRPr="002B6D9B" w14:paraId="70E59F64" w14:textId="77777777" w:rsidTr="0077355F">
        <w:trPr>
          <w:trHeight w:val="462"/>
        </w:trPr>
        <w:tc>
          <w:tcPr>
            <w:tcW w:w="6537" w:type="dxa"/>
            <w:tcBorders>
              <w:top w:val="nil"/>
              <w:left w:val="nil"/>
              <w:bottom w:val="nil"/>
              <w:right w:val="nil"/>
            </w:tcBorders>
            <w:shd w:val="clear" w:color="auto" w:fill="auto"/>
            <w:vAlign w:val="bottom"/>
            <w:hideMark/>
          </w:tcPr>
          <w:p w14:paraId="4D362DEE" w14:textId="77777777" w:rsidR="002B6D9B" w:rsidRPr="002B6D9B" w:rsidRDefault="002B6D9B" w:rsidP="002B6D9B">
            <w:pPr>
              <w:rPr>
                <w:rFonts w:cs="Arial"/>
                <w:color w:val="000000"/>
                <w:sz w:val="16"/>
                <w:szCs w:val="16"/>
                <w:lang w:eastAsia="en-AU"/>
              </w:rPr>
            </w:pPr>
            <w:r w:rsidRPr="002B6D9B">
              <w:rPr>
                <w:rFonts w:cs="Arial"/>
                <w:color w:val="000000"/>
                <w:sz w:val="16"/>
                <w:szCs w:val="16"/>
                <w:lang w:eastAsia="en-AU"/>
              </w:rPr>
              <w:t>Proportion of enrolled Aboriginal children who are enrolled in an early childhood education program for at least 600 hours in the year before school</w:t>
            </w:r>
            <w:r w:rsidRPr="002B6D9B">
              <w:rPr>
                <w:rFonts w:cs="Arial"/>
                <w:color w:val="000000"/>
                <w:sz w:val="16"/>
                <w:szCs w:val="16"/>
                <w:vertAlign w:val="superscript"/>
                <w:lang w:eastAsia="en-AU"/>
              </w:rPr>
              <w:t>(a)</w:t>
            </w:r>
          </w:p>
        </w:tc>
        <w:tc>
          <w:tcPr>
            <w:tcW w:w="737" w:type="dxa"/>
            <w:tcBorders>
              <w:top w:val="nil"/>
              <w:left w:val="nil"/>
              <w:bottom w:val="nil"/>
              <w:right w:val="nil"/>
            </w:tcBorders>
            <w:shd w:val="clear" w:color="auto" w:fill="auto"/>
            <w:noWrap/>
            <w:vAlign w:val="bottom"/>
            <w:hideMark/>
          </w:tcPr>
          <w:p w14:paraId="328CD4E9" w14:textId="77777777" w:rsidR="002B6D9B" w:rsidRPr="002B6D9B" w:rsidRDefault="002B6D9B" w:rsidP="002B6D9B">
            <w:pPr>
              <w:jc w:val="center"/>
              <w:rPr>
                <w:rFonts w:cs="Arial"/>
                <w:color w:val="000000"/>
                <w:sz w:val="16"/>
                <w:szCs w:val="16"/>
                <w:lang w:eastAsia="en-AU"/>
              </w:rPr>
            </w:pPr>
            <w:r w:rsidRPr="002B6D9B">
              <w:rPr>
                <w:rFonts w:cs="Arial"/>
                <w:color w:val="000000"/>
                <w:sz w:val="16"/>
                <w:szCs w:val="16"/>
                <w:lang w:eastAsia="en-AU"/>
              </w:rPr>
              <w:t>%</w:t>
            </w:r>
          </w:p>
        </w:tc>
        <w:tc>
          <w:tcPr>
            <w:tcW w:w="1191" w:type="dxa"/>
            <w:tcBorders>
              <w:top w:val="nil"/>
              <w:left w:val="nil"/>
              <w:bottom w:val="nil"/>
              <w:right w:val="nil"/>
            </w:tcBorders>
            <w:shd w:val="clear" w:color="auto" w:fill="auto"/>
            <w:noWrap/>
            <w:vAlign w:val="bottom"/>
            <w:hideMark/>
          </w:tcPr>
          <w:p w14:paraId="5FD0B321" w14:textId="77777777" w:rsidR="002B6D9B" w:rsidRPr="002B6D9B" w:rsidRDefault="002B6D9B" w:rsidP="0077355F">
            <w:pPr>
              <w:ind w:right="170"/>
              <w:jc w:val="right"/>
              <w:rPr>
                <w:rFonts w:cs="Arial"/>
                <w:color w:val="000000"/>
                <w:sz w:val="16"/>
                <w:szCs w:val="16"/>
                <w:lang w:eastAsia="en-AU"/>
              </w:rPr>
            </w:pPr>
            <w:r w:rsidRPr="002B6D9B">
              <w:rPr>
                <w:rFonts w:cs="Arial"/>
                <w:color w:val="000000"/>
                <w:sz w:val="16"/>
                <w:szCs w:val="16"/>
                <w:lang w:eastAsia="en-AU"/>
              </w:rPr>
              <w:t xml:space="preserve">93.8 </w:t>
            </w:r>
          </w:p>
        </w:tc>
        <w:tc>
          <w:tcPr>
            <w:tcW w:w="1191" w:type="dxa"/>
            <w:tcBorders>
              <w:top w:val="nil"/>
              <w:left w:val="nil"/>
              <w:bottom w:val="nil"/>
              <w:right w:val="nil"/>
            </w:tcBorders>
            <w:shd w:val="clear" w:color="auto" w:fill="auto"/>
            <w:noWrap/>
            <w:vAlign w:val="bottom"/>
            <w:hideMark/>
          </w:tcPr>
          <w:p w14:paraId="6474D393" w14:textId="77777777" w:rsidR="002B6D9B" w:rsidRPr="002B6D9B" w:rsidRDefault="002B6D9B" w:rsidP="0077355F">
            <w:pPr>
              <w:ind w:right="170"/>
              <w:jc w:val="right"/>
              <w:rPr>
                <w:rFonts w:cs="Arial"/>
                <w:color w:val="000000"/>
                <w:sz w:val="16"/>
                <w:szCs w:val="16"/>
                <w:lang w:eastAsia="en-AU"/>
              </w:rPr>
            </w:pPr>
            <w:r w:rsidRPr="002B6D9B">
              <w:rPr>
                <w:rFonts w:cs="Arial"/>
                <w:color w:val="000000"/>
                <w:sz w:val="16"/>
                <w:szCs w:val="16"/>
                <w:lang w:eastAsia="en-AU"/>
              </w:rPr>
              <w:t xml:space="preserve">93.9 </w:t>
            </w:r>
          </w:p>
        </w:tc>
      </w:tr>
      <w:tr w:rsidR="002B6D9B" w:rsidRPr="002B6D9B" w14:paraId="30C7B0B3" w14:textId="77777777" w:rsidTr="0077355F">
        <w:trPr>
          <w:trHeight w:val="521"/>
        </w:trPr>
        <w:tc>
          <w:tcPr>
            <w:tcW w:w="6537" w:type="dxa"/>
            <w:tcBorders>
              <w:top w:val="nil"/>
              <w:left w:val="nil"/>
              <w:bottom w:val="nil"/>
              <w:right w:val="nil"/>
            </w:tcBorders>
            <w:shd w:val="clear" w:color="auto" w:fill="auto"/>
            <w:vAlign w:val="bottom"/>
            <w:hideMark/>
          </w:tcPr>
          <w:p w14:paraId="3420BC3C" w14:textId="77777777" w:rsidR="002B6D9B" w:rsidRPr="002B6D9B" w:rsidRDefault="002B6D9B" w:rsidP="002B6D9B">
            <w:pPr>
              <w:rPr>
                <w:rFonts w:cs="Arial"/>
                <w:color w:val="000000"/>
                <w:sz w:val="16"/>
                <w:szCs w:val="16"/>
                <w:lang w:eastAsia="en-AU"/>
              </w:rPr>
            </w:pPr>
            <w:r w:rsidRPr="002B6D9B">
              <w:rPr>
                <w:rFonts w:cs="Arial"/>
                <w:color w:val="000000"/>
                <w:sz w:val="16"/>
                <w:szCs w:val="16"/>
                <w:lang w:eastAsia="en-AU"/>
              </w:rPr>
              <w:t>Proportion of enrolled vulnerable and disadvantaged children who are enrolled in an early childhood education program for at least 600 hours in the year before school</w:t>
            </w:r>
            <w:r w:rsidRPr="002B6D9B">
              <w:rPr>
                <w:rFonts w:cs="Arial"/>
                <w:color w:val="000000"/>
                <w:sz w:val="16"/>
                <w:szCs w:val="16"/>
                <w:vertAlign w:val="superscript"/>
                <w:lang w:eastAsia="en-AU"/>
              </w:rPr>
              <w:t>(a)</w:t>
            </w:r>
          </w:p>
        </w:tc>
        <w:tc>
          <w:tcPr>
            <w:tcW w:w="737" w:type="dxa"/>
            <w:tcBorders>
              <w:top w:val="nil"/>
              <w:left w:val="nil"/>
              <w:bottom w:val="nil"/>
              <w:right w:val="nil"/>
            </w:tcBorders>
            <w:shd w:val="clear" w:color="auto" w:fill="auto"/>
            <w:noWrap/>
            <w:vAlign w:val="bottom"/>
            <w:hideMark/>
          </w:tcPr>
          <w:p w14:paraId="66E21BD7" w14:textId="77777777" w:rsidR="002B6D9B" w:rsidRPr="002B6D9B" w:rsidRDefault="002B6D9B" w:rsidP="002B6D9B">
            <w:pPr>
              <w:jc w:val="center"/>
              <w:rPr>
                <w:rFonts w:cs="Arial"/>
                <w:color w:val="000000"/>
                <w:sz w:val="16"/>
                <w:szCs w:val="16"/>
                <w:lang w:eastAsia="en-AU"/>
              </w:rPr>
            </w:pPr>
            <w:r w:rsidRPr="002B6D9B">
              <w:rPr>
                <w:rFonts w:cs="Arial"/>
                <w:color w:val="000000"/>
                <w:sz w:val="16"/>
                <w:szCs w:val="16"/>
                <w:lang w:eastAsia="en-AU"/>
              </w:rPr>
              <w:t>%</w:t>
            </w:r>
          </w:p>
        </w:tc>
        <w:tc>
          <w:tcPr>
            <w:tcW w:w="1191" w:type="dxa"/>
            <w:tcBorders>
              <w:top w:val="nil"/>
              <w:left w:val="nil"/>
              <w:bottom w:val="nil"/>
              <w:right w:val="nil"/>
            </w:tcBorders>
            <w:shd w:val="clear" w:color="auto" w:fill="auto"/>
            <w:noWrap/>
            <w:vAlign w:val="bottom"/>
            <w:hideMark/>
          </w:tcPr>
          <w:p w14:paraId="0B530357" w14:textId="77777777" w:rsidR="002B6D9B" w:rsidRPr="002B6D9B" w:rsidRDefault="002B6D9B" w:rsidP="0077355F">
            <w:pPr>
              <w:ind w:right="170"/>
              <w:jc w:val="right"/>
              <w:rPr>
                <w:rFonts w:cs="Arial"/>
                <w:color w:val="000000"/>
                <w:sz w:val="16"/>
                <w:szCs w:val="16"/>
                <w:lang w:eastAsia="en-AU"/>
              </w:rPr>
            </w:pPr>
            <w:r w:rsidRPr="002B6D9B">
              <w:rPr>
                <w:rFonts w:cs="Arial"/>
                <w:color w:val="000000"/>
                <w:sz w:val="16"/>
                <w:szCs w:val="16"/>
                <w:lang w:eastAsia="en-AU"/>
              </w:rPr>
              <w:t xml:space="preserve">91.4 </w:t>
            </w:r>
          </w:p>
        </w:tc>
        <w:tc>
          <w:tcPr>
            <w:tcW w:w="1191" w:type="dxa"/>
            <w:tcBorders>
              <w:top w:val="nil"/>
              <w:left w:val="nil"/>
              <w:bottom w:val="nil"/>
              <w:right w:val="nil"/>
            </w:tcBorders>
            <w:shd w:val="clear" w:color="auto" w:fill="auto"/>
            <w:noWrap/>
            <w:vAlign w:val="bottom"/>
            <w:hideMark/>
          </w:tcPr>
          <w:p w14:paraId="0AB3DA3B" w14:textId="77777777" w:rsidR="002B6D9B" w:rsidRPr="002B6D9B" w:rsidRDefault="002B6D9B" w:rsidP="0077355F">
            <w:pPr>
              <w:ind w:right="170"/>
              <w:jc w:val="right"/>
              <w:rPr>
                <w:rFonts w:cs="Arial"/>
                <w:color w:val="000000"/>
                <w:sz w:val="16"/>
                <w:szCs w:val="16"/>
                <w:lang w:eastAsia="en-AU"/>
              </w:rPr>
            </w:pPr>
            <w:r w:rsidRPr="002B6D9B">
              <w:rPr>
                <w:rFonts w:cs="Arial"/>
                <w:color w:val="000000"/>
                <w:sz w:val="16"/>
                <w:szCs w:val="16"/>
                <w:lang w:eastAsia="en-AU"/>
              </w:rPr>
              <w:t xml:space="preserve">92.5 </w:t>
            </w:r>
          </w:p>
        </w:tc>
      </w:tr>
      <w:tr w:rsidR="002B6D9B" w:rsidRPr="002B6D9B" w14:paraId="07CF2EBF" w14:textId="77777777" w:rsidTr="0077355F">
        <w:trPr>
          <w:trHeight w:val="480"/>
        </w:trPr>
        <w:tc>
          <w:tcPr>
            <w:tcW w:w="6537" w:type="dxa"/>
            <w:tcBorders>
              <w:top w:val="nil"/>
              <w:left w:val="nil"/>
              <w:bottom w:val="nil"/>
              <w:right w:val="nil"/>
            </w:tcBorders>
            <w:shd w:val="clear" w:color="auto" w:fill="auto"/>
            <w:vAlign w:val="bottom"/>
            <w:hideMark/>
          </w:tcPr>
          <w:p w14:paraId="77D27D65" w14:textId="77777777" w:rsidR="002B6D9B" w:rsidRPr="002B6D9B" w:rsidRDefault="002B6D9B" w:rsidP="002B6D9B">
            <w:pPr>
              <w:rPr>
                <w:rFonts w:cs="Arial"/>
                <w:color w:val="000000"/>
                <w:sz w:val="16"/>
                <w:szCs w:val="16"/>
                <w:lang w:eastAsia="en-AU"/>
              </w:rPr>
            </w:pPr>
            <w:r w:rsidRPr="002B6D9B">
              <w:rPr>
                <w:rFonts w:cs="Arial"/>
                <w:color w:val="000000"/>
                <w:sz w:val="16"/>
                <w:szCs w:val="16"/>
                <w:lang w:eastAsia="en-AU"/>
              </w:rPr>
              <w:t>Proportion of early childhood education services rated as meeting or exceeding the National Quality Standard</w:t>
            </w:r>
            <w:r w:rsidRPr="002B6D9B">
              <w:rPr>
                <w:rFonts w:cs="Arial"/>
                <w:color w:val="000000"/>
                <w:sz w:val="16"/>
                <w:szCs w:val="16"/>
                <w:vertAlign w:val="superscript"/>
                <w:lang w:eastAsia="en-AU"/>
              </w:rPr>
              <w:t>(b)</w:t>
            </w:r>
          </w:p>
        </w:tc>
        <w:tc>
          <w:tcPr>
            <w:tcW w:w="737" w:type="dxa"/>
            <w:tcBorders>
              <w:top w:val="nil"/>
              <w:left w:val="nil"/>
              <w:bottom w:val="nil"/>
              <w:right w:val="nil"/>
            </w:tcBorders>
            <w:shd w:val="clear" w:color="auto" w:fill="auto"/>
            <w:noWrap/>
            <w:vAlign w:val="bottom"/>
            <w:hideMark/>
          </w:tcPr>
          <w:p w14:paraId="612178A3" w14:textId="77777777" w:rsidR="002B6D9B" w:rsidRPr="002B6D9B" w:rsidRDefault="002B6D9B" w:rsidP="002B6D9B">
            <w:pPr>
              <w:jc w:val="center"/>
              <w:rPr>
                <w:rFonts w:cs="Arial"/>
                <w:color w:val="000000"/>
                <w:sz w:val="16"/>
                <w:szCs w:val="16"/>
                <w:lang w:eastAsia="en-AU"/>
              </w:rPr>
            </w:pPr>
            <w:r w:rsidRPr="002B6D9B">
              <w:rPr>
                <w:rFonts w:cs="Arial"/>
                <w:color w:val="000000"/>
                <w:sz w:val="16"/>
                <w:szCs w:val="16"/>
                <w:lang w:eastAsia="en-AU"/>
              </w:rPr>
              <w:t>%</w:t>
            </w:r>
          </w:p>
        </w:tc>
        <w:tc>
          <w:tcPr>
            <w:tcW w:w="1191" w:type="dxa"/>
            <w:tcBorders>
              <w:top w:val="nil"/>
              <w:left w:val="nil"/>
              <w:bottom w:val="nil"/>
              <w:right w:val="nil"/>
            </w:tcBorders>
            <w:shd w:val="clear" w:color="auto" w:fill="auto"/>
            <w:noWrap/>
            <w:vAlign w:val="bottom"/>
            <w:hideMark/>
          </w:tcPr>
          <w:p w14:paraId="5C1DE340" w14:textId="77777777" w:rsidR="002B6D9B" w:rsidRPr="002B6D9B" w:rsidRDefault="002B6D9B" w:rsidP="0077355F">
            <w:pPr>
              <w:ind w:right="170"/>
              <w:jc w:val="right"/>
              <w:rPr>
                <w:rFonts w:cs="Arial"/>
                <w:color w:val="000000"/>
                <w:sz w:val="16"/>
                <w:szCs w:val="16"/>
                <w:lang w:eastAsia="en-AU"/>
              </w:rPr>
            </w:pPr>
            <w:r w:rsidRPr="002B6D9B">
              <w:rPr>
                <w:rFonts w:cs="Arial"/>
                <w:color w:val="000000"/>
                <w:sz w:val="16"/>
                <w:szCs w:val="16"/>
                <w:lang w:eastAsia="en-AU"/>
              </w:rPr>
              <w:t xml:space="preserve">74.3 </w:t>
            </w:r>
          </w:p>
        </w:tc>
        <w:tc>
          <w:tcPr>
            <w:tcW w:w="1191" w:type="dxa"/>
            <w:tcBorders>
              <w:top w:val="nil"/>
              <w:left w:val="nil"/>
              <w:bottom w:val="nil"/>
              <w:right w:val="nil"/>
            </w:tcBorders>
            <w:shd w:val="clear" w:color="auto" w:fill="auto"/>
            <w:noWrap/>
            <w:vAlign w:val="bottom"/>
            <w:hideMark/>
          </w:tcPr>
          <w:p w14:paraId="01A3E685" w14:textId="77777777" w:rsidR="002B6D9B" w:rsidRPr="002B6D9B" w:rsidRDefault="002B6D9B" w:rsidP="0077355F">
            <w:pPr>
              <w:ind w:right="170"/>
              <w:jc w:val="right"/>
              <w:rPr>
                <w:rFonts w:cs="Arial"/>
                <w:color w:val="000000"/>
                <w:sz w:val="16"/>
                <w:szCs w:val="16"/>
                <w:lang w:eastAsia="en-AU"/>
              </w:rPr>
            </w:pPr>
            <w:r w:rsidRPr="002B6D9B">
              <w:rPr>
                <w:rFonts w:cs="Arial"/>
                <w:color w:val="000000"/>
                <w:sz w:val="16"/>
                <w:szCs w:val="16"/>
                <w:lang w:eastAsia="en-AU"/>
              </w:rPr>
              <w:t xml:space="preserve">77.4 </w:t>
            </w:r>
          </w:p>
        </w:tc>
      </w:tr>
    </w:tbl>
    <w:p w14:paraId="3D9218FA" w14:textId="77777777" w:rsidR="0073249E" w:rsidRPr="0073249E" w:rsidRDefault="0073249E">
      <w:pPr>
        <w:rPr>
          <w:rFonts w:eastAsiaTheme="minorEastAsia" w:cs="Arial"/>
          <w:sz w:val="6"/>
          <w:szCs w:val="6"/>
          <w:lang w:eastAsia="en-AU"/>
        </w:rPr>
      </w:pPr>
    </w:p>
    <w:p w14:paraId="0DBD43F6" w14:textId="033A4314" w:rsidR="0073249E" w:rsidRPr="0073249E" w:rsidRDefault="0073249E">
      <w:pPr>
        <w:rPr>
          <w:rFonts w:eastAsiaTheme="minorEastAsia" w:cs="Arial"/>
          <w:sz w:val="23"/>
          <w:szCs w:val="23"/>
          <w:lang w:eastAsia="en-AU"/>
        </w:rPr>
      </w:pPr>
      <w:r w:rsidRPr="00F24ADB">
        <w:rPr>
          <w:rFonts w:cs="Arial"/>
          <w:color w:val="000000"/>
          <w:sz w:val="16"/>
          <w:szCs w:val="16"/>
          <w:lang w:eastAsia="en-AU"/>
        </w:rPr>
        <w:t>Notes</w:t>
      </w:r>
    </w:p>
    <w:p w14:paraId="58A1FB03" w14:textId="2F1EA8FB" w:rsidR="0073249E" w:rsidRPr="0073249E" w:rsidRDefault="0073249E" w:rsidP="0073249E">
      <w:pPr>
        <w:ind w:left="357" w:hanging="357"/>
        <w:rPr>
          <w:rFonts w:eastAsiaTheme="minorEastAsia" w:cs="Arial"/>
          <w:sz w:val="23"/>
          <w:szCs w:val="23"/>
          <w:lang w:eastAsia="en-AU"/>
        </w:rPr>
      </w:pPr>
      <w:r w:rsidRPr="00245311">
        <w:rPr>
          <w:rFonts w:cs="Arial"/>
          <w:sz w:val="17"/>
          <w:szCs w:val="17"/>
        </w:rPr>
        <w:t xml:space="preserve">(a) </w:t>
      </w:r>
      <w:r>
        <w:rPr>
          <w:rFonts w:cs="Arial"/>
          <w:sz w:val="17"/>
          <w:szCs w:val="17"/>
        </w:rPr>
        <w:tab/>
      </w:r>
      <w:r w:rsidRPr="00245311">
        <w:rPr>
          <w:rFonts w:cs="Arial"/>
          <w:sz w:val="17"/>
          <w:szCs w:val="17"/>
        </w:rPr>
        <w:t>2019-20 actuals and 2020-21 forecasts refer to the 2019 and 2020 school years, respectively. Data sourced from Australian Bureau of Statistics (ABS), Preschool Education, Australia.</w:t>
      </w:r>
    </w:p>
    <w:p w14:paraId="5A1AD305" w14:textId="041967CC" w:rsidR="0073249E" w:rsidRPr="0073249E" w:rsidRDefault="0073249E" w:rsidP="0073249E">
      <w:pPr>
        <w:ind w:left="357" w:hanging="357"/>
        <w:rPr>
          <w:rFonts w:eastAsiaTheme="minorEastAsia" w:cs="Arial"/>
          <w:sz w:val="23"/>
          <w:szCs w:val="23"/>
          <w:lang w:eastAsia="en-AU"/>
        </w:rPr>
      </w:pPr>
      <w:r w:rsidRPr="003C18AF">
        <w:rPr>
          <w:rFonts w:cs="Arial"/>
          <w:sz w:val="17"/>
          <w:szCs w:val="17"/>
        </w:rPr>
        <w:t>(b)</w:t>
      </w:r>
      <w:r>
        <w:rPr>
          <w:rFonts w:cs="Arial"/>
          <w:sz w:val="17"/>
          <w:szCs w:val="17"/>
        </w:rPr>
        <w:tab/>
      </w:r>
      <w:r w:rsidRPr="003C18AF">
        <w:rPr>
          <w:rFonts w:cs="Arial"/>
          <w:sz w:val="17"/>
          <w:szCs w:val="17"/>
        </w:rPr>
        <w:t>Data sourced from the Australian Children’s Education and Care Quality Authority (ACECQA). 2019-20 actual as at Dec</w:t>
      </w:r>
      <w:r w:rsidR="007F5761">
        <w:rPr>
          <w:rFonts w:cs="Arial"/>
          <w:sz w:val="17"/>
          <w:szCs w:val="17"/>
        </w:rPr>
        <w:t>ember</w:t>
      </w:r>
      <w:r w:rsidRPr="003C18AF">
        <w:rPr>
          <w:rFonts w:cs="Arial"/>
          <w:sz w:val="17"/>
          <w:szCs w:val="17"/>
        </w:rPr>
        <w:t xml:space="preserve"> 2019.</w:t>
      </w:r>
    </w:p>
    <w:p w14:paraId="206C6EEC" w14:textId="5927775B" w:rsidR="00791039" w:rsidRPr="0073249E" w:rsidRDefault="00791039">
      <w:pPr>
        <w:rPr>
          <w:rFonts w:eastAsiaTheme="minorEastAsia" w:cs="Arial"/>
          <w:sz w:val="23"/>
          <w:szCs w:val="23"/>
          <w:lang w:eastAsia="en-AU"/>
        </w:rPr>
      </w:pPr>
      <w:r w:rsidRPr="0073249E">
        <w:rPr>
          <w:rFonts w:eastAsiaTheme="minorEastAsia" w:cs="Arial"/>
          <w:sz w:val="23"/>
          <w:szCs w:val="23"/>
          <w:lang w:eastAsia="en-AU"/>
        </w:rPr>
        <w:br w:type="page"/>
      </w:r>
    </w:p>
    <w:p w14:paraId="6F8F7F87" w14:textId="577D0333" w:rsidR="00E633CC" w:rsidRPr="00E633CC" w:rsidRDefault="001B0392" w:rsidP="00E633CC">
      <w:pPr>
        <w:pStyle w:val="Heading2"/>
        <w:rPr>
          <w:rFonts w:ascii="Arial" w:hAnsi="Arial" w:cs="Arial"/>
        </w:rPr>
      </w:pPr>
      <w:r>
        <w:rPr>
          <w:rFonts w:ascii="Arial" w:hAnsi="Arial" w:cs="Arial"/>
        </w:rPr>
        <w:lastRenderedPageBreak/>
        <w:t xml:space="preserve">Outcome 2: </w:t>
      </w:r>
      <w:r w:rsidR="00985B4E">
        <w:rPr>
          <w:rFonts w:ascii="Arial" w:hAnsi="Arial" w:cs="Arial"/>
        </w:rPr>
        <w:t>Educational foundations for success</w:t>
      </w:r>
    </w:p>
    <w:tbl>
      <w:tblPr>
        <w:tblpPr w:leftFromText="180" w:rightFromText="180" w:vertAnchor="text" w:horzAnchor="margin" w:tblpXSpec="right" w:tblpY="694"/>
        <w:tblW w:w="1716" w:type="pct"/>
        <w:shd w:val="clear" w:color="auto" w:fill="F2F2F2" w:themeFill="background1" w:themeFillShade="F2"/>
        <w:tblCellMar>
          <w:left w:w="115" w:type="dxa"/>
          <w:right w:w="115" w:type="dxa"/>
        </w:tblCellMar>
        <w:tblLook w:val="04A0" w:firstRow="1" w:lastRow="0" w:firstColumn="1" w:lastColumn="0" w:noHBand="0" w:noVBand="1"/>
      </w:tblPr>
      <w:tblGrid>
        <w:gridCol w:w="1144"/>
        <w:gridCol w:w="967"/>
        <w:gridCol w:w="1197"/>
      </w:tblGrid>
      <w:tr w:rsidR="00E633CC" w:rsidRPr="00F8244B" w14:paraId="7082D07F" w14:textId="77777777" w:rsidTr="00A922EA">
        <w:trPr>
          <w:cantSplit/>
          <w:trHeight w:val="784"/>
        </w:trPr>
        <w:tc>
          <w:tcPr>
            <w:tcW w:w="1729" w:type="pct"/>
            <w:shd w:val="clear" w:color="auto" w:fill="F2F2F2" w:themeFill="background1" w:themeFillShade="F2"/>
            <w:vAlign w:val="center"/>
          </w:tcPr>
          <w:p w14:paraId="6F1C50E8" w14:textId="77777777" w:rsidR="00E633CC" w:rsidRPr="00F8244B" w:rsidRDefault="00E633CC" w:rsidP="004D0F7B">
            <w:pPr>
              <w:spacing w:before="120" w:after="120"/>
              <w:rPr>
                <w:rFonts w:cs="Arial"/>
                <w:sz w:val="23"/>
                <w:szCs w:val="23"/>
              </w:rPr>
            </w:pPr>
            <w:r w:rsidRPr="00F8244B">
              <w:rPr>
                <w:rFonts w:cs="Arial"/>
                <w:noProof/>
                <w:lang w:eastAsia="en-AU"/>
              </w:rPr>
              <w:drawing>
                <wp:inline distT="0" distB="0" distL="0" distR="0" wp14:anchorId="7C272762" wp14:editId="051EDEDB">
                  <wp:extent cx="518160" cy="518160"/>
                  <wp:effectExtent l="0" t="0" r="0" b="0"/>
                  <wp:docPr id="11" name="Picture 11" descr="H:\Documents\Downloads\BP3 icons-V02-Expense.png"/>
                  <wp:cNvGraphicFramePr/>
                  <a:graphic xmlns:a="http://schemas.openxmlformats.org/drawingml/2006/main">
                    <a:graphicData uri="http://schemas.openxmlformats.org/drawingml/2006/picture">
                      <pic:pic xmlns:pic="http://schemas.openxmlformats.org/drawingml/2006/picture">
                        <pic:nvPicPr>
                          <pic:cNvPr id="6" name="Picture 6" descr="H:\Documents\Downloads\BP3 icons-V02-Expense.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solidFill>
                            <a:srgbClr val="F2F2F2"/>
                          </a:solidFill>
                          <a:ln>
                            <a:noFill/>
                          </a:ln>
                        </pic:spPr>
                      </pic:pic>
                    </a:graphicData>
                  </a:graphic>
                </wp:inline>
              </w:drawing>
            </w:r>
          </w:p>
        </w:tc>
        <w:tc>
          <w:tcPr>
            <w:tcW w:w="1462" w:type="pct"/>
            <w:shd w:val="clear" w:color="auto" w:fill="F2F2F2" w:themeFill="background1" w:themeFillShade="F2"/>
            <w:vAlign w:val="center"/>
          </w:tcPr>
          <w:p w14:paraId="2C58BFA8" w14:textId="7C28CEC4" w:rsidR="00E633CC" w:rsidRPr="00F8244B" w:rsidRDefault="00E633CC" w:rsidP="004D0F7B">
            <w:pPr>
              <w:spacing w:before="120" w:after="120"/>
              <w:jc w:val="center"/>
              <w:rPr>
                <w:rFonts w:cs="Arial"/>
                <w:color w:val="00ABE6"/>
                <w:sz w:val="18"/>
                <w:szCs w:val="18"/>
              </w:rPr>
            </w:pPr>
            <w:r w:rsidRPr="00F8244B">
              <w:rPr>
                <w:rFonts w:cs="Arial"/>
                <w:color w:val="00ABE6"/>
                <w:sz w:val="18"/>
                <w:szCs w:val="18"/>
              </w:rPr>
              <w:t>$</w:t>
            </w:r>
            <w:r w:rsidR="008C40D3" w:rsidRPr="000E7DFF">
              <w:rPr>
                <w:rFonts w:cs="Arial"/>
                <w:color w:val="00ABE6"/>
                <w:sz w:val="18"/>
                <w:szCs w:val="18"/>
              </w:rPr>
              <w:t>16.</w:t>
            </w:r>
            <w:r w:rsidR="003F2853" w:rsidRPr="000E7DFF">
              <w:rPr>
                <w:rFonts w:cs="Arial"/>
                <w:color w:val="00ABE6"/>
                <w:sz w:val="18"/>
                <w:szCs w:val="18"/>
              </w:rPr>
              <w:t>4</w:t>
            </w:r>
            <w:r w:rsidRPr="000E7DFF">
              <w:rPr>
                <w:rFonts w:cs="Arial"/>
                <w:color w:val="00ABE6"/>
                <w:sz w:val="18"/>
                <w:szCs w:val="18"/>
              </w:rPr>
              <w:t xml:space="preserve"> billion</w:t>
            </w:r>
          </w:p>
        </w:tc>
        <w:tc>
          <w:tcPr>
            <w:tcW w:w="1809" w:type="pct"/>
            <w:shd w:val="clear" w:color="auto" w:fill="F2F2F2" w:themeFill="background1" w:themeFillShade="F2"/>
            <w:vAlign w:val="center"/>
          </w:tcPr>
          <w:p w14:paraId="63BD4EBF" w14:textId="77777777" w:rsidR="00E633CC" w:rsidRPr="00F8244B" w:rsidRDefault="00E633CC" w:rsidP="004D0F7B">
            <w:pPr>
              <w:rPr>
                <w:rFonts w:cs="Arial"/>
                <w:color w:val="00ABE6"/>
                <w:sz w:val="18"/>
                <w:szCs w:val="18"/>
              </w:rPr>
            </w:pPr>
            <w:r w:rsidRPr="00F8244B">
              <w:rPr>
                <w:rFonts w:cs="Arial"/>
                <w:color w:val="00ABE6"/>
                <w:sz w:val="18"/>
                <w:szCs w:val="18"/>
              </w:rPr>
              <w:t>Recurrent</w:t>
            </w:r>
            <w:r w:rsidRPr="00F8244B">
              <w:rPr>
                <w:rFonts w:cs="Arial"/>
                <w:color w:val="00ABE6"/>
                <w:sz w:val="18"/>
                <w:szCs w:val="18"/>
              </w:rPr>
              <w:br/>
              <w:t xml:space="preserve">Expenses </w:t>
            </w:r>
            <w:r w:rsidRPr="00F8244B">
              <w:rPr>
                <w:rFonts w:cs="Arial"/>
                <w:color w:val="00ABE6"/>
                <w:sz w:val="18"/>
                <w:szCs w:val="18"/>
              </w:rPr>
              <w:br/>
              <w:t>20</w:t>
            </w:r>
            <w:r>
              <w:rPr>
                <w:rFonts w:cs="Arial"/>
                <w:color w:val="00ABE6"/>
                <w:sz w:val="18"/>
                <w:szCs w:val="18"/>
              </w:rPr>
              <w:t>20</w:t>
            </w:r>
            <w:r w:rsidRPr="00F8244B">
              <w:rPr>
                <w:rFonts w:cs="Arial"/>
                <w:color w:val="00ABE6"/>
                <w:sz w:val="18"/>
                <w:szCs w:val="18"/>
              </w:rPr>
              <w:t>-2</w:t>
            </w:r>
            <w:r>
              <w:rPr>
                <w:rFonts w:cs="Arial"/>
                <w:color w:val="00ABE6"/>
                <w:sz w:val="18"/>
                <w:szCs w:val="18"/>
              </w:rPr>
              <w:t>1</w:t>
            </w:r>
          </w:p>
        </w:tc>
      </w:tr>
      <w:tr w:rsidR="00E633CC" w:rsidRPr="00F8244B" w14:paraId="6FB48A36" w14:textId="77777777" w:rsidTr="00A922EA">
        <w:trPr>
          <w:cantSplit/>
          <w:trHeight w:val="784"/>
        </w:trPr>
        <w:tc>
          <w:tcPr>
            <w:tcW w:w="1729" w:type="pct"/>
            <w:shd w:val="clear" w:color="auto" w:fill="F2F2F2" w:themeFill="background1" w:themeFillShade="F2"/>
            <w:vAlign w:val="center"/>
          </w:tcPr>
          <w:p w14:paraId="6585938B" w14:textId="77777777" w:rsidR="00E633CC" w:rsidRPr="00F8244B" w:rsidRDefault="00E633CC" w:rsidP="004D0F7B">
            <w:pPr>
              <w:spacing w:before="120" w:after="120"/>
              <w:rPr>
                <w:rFonts w:cs="Arial"/>
                <w:noProof/>
                <w:sz w:val="23"/>
                <w:szCs w:val="23"/>
                <w:lang w:eastAsia="en-AU"/>
              </w:rPr>
            </w:pPr>
            <w:r w:rsidRPr="00F8244B">
              <w:rPr>
                <w:rFonts w:cs="Arial"/>
                <w:noProof/>
                <w:lang w:eastAsia="en-AU"/>
              </w:rPr>
              <w:drawing>
                <wp:inline distT="0" distB="0" distL="0" distR="0" wp14:anchorId="0C581B9A" wp14:editId="2B27A496">
                  <wp:extent cx="525145" cy="525145"/>
                  <wp:effectExtent l="0" t="0" r="8255" b="8255"/>
                  <wp:docPr id="12" name="Picture 12" descr="H:\Documents\Downloads\BP3 icons-V02-Capital Expenditure 03.png"/>
                  <wp:cNvGraphicFramePr/>
                  <a:graphic xmlns:a="http://schemas.openxmlformats.org/drawingml/2006/main">
                    <a:graphicData uri="http://schemas.openxmlformats.org/drawingml/2006/picture">
                      <pic:pic xmlns:pic="http://schemas.openxmlformats.org/drawingml/2006/picture">
                        <pic:nvPicPr>
                          <pic:cNvPr id="8" name="Picture 8" descr="H:\Documents\Downloads\BP3 icons-V02-Capital Expenditure 03.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solidFill>
                            <a:srgbClr val="F2F2F2"/>
                          </a:solidFill>
                          <a:ln>
                            <a:noFill/>
                          </a:ln>
                        </pic:spPr>
                      </pic:pic>
                    </a:graphicData>
                  </a:graphic>
                </wp:inline>
              </w:drawing>
            </w:r>
          </w:p>
        </w:tc>
        <w:tc>
          <w:tcPr>
            <w:tcW w:w="1462" w:type="pct"/>
            <w:shd w:val="clear" w:color="auto" w:fill="F2F2F2" w:themeFill="background1" w:themeFillShade="F2"/>
            <w:vAlign w:val="center"/>
          </w:tcPr>
          <w:p w14:paraId="507A1BA1" w14:textId="530183C4" w:rsidR="00E633CC" w:rsidRPr="00F8244B" w:rsidRDefault="00E633CC" w:rsidP="004D0F7B">
            <w:pPr>
              <w:spacing w:before="120" w:after="120"/>
              <w:jc w:val="center"/>
              <w:rPr>
                <w:rFonts w:cs="Arial"/>
                <w:color w:val="00ABE6"/>
                <w:sz w:val="18"/>
                <w:szCs w:val="18"/>
              </w:rPr>
            </w:pPr>
            <w:r w:rsidRPr="000E7DFF">
              <w:rPr>
                <w:rFonts w:cs="Arial"/>
                <w:color w:val="00ABE6"/>
                <w:sz w:val="18"/>
                <w:szCs w:val="18"/>
              </w:rPr>
              <w:t>$</w:t>
            </w:r>
            <w:r w:rsidR="0060178A" w:rsidRPr="000E7DFF">
              <w:rPr>
                <w:rFonts w:cs="Arial"/>
                <w:color w:val="00ABE6"/>
                <w:sz w:val="18"/>
                <w:szCs w:val="18"/>
              </w:rPr>
              <w:t>2</w:t>
            </w:r>
            <w:r w:rsidR="00233ED5" w:rsidRPr="000E7DFF">
              <w:rPr>
                <w:rFonts w:cs="Arial"/>
                <w:color w:val="00ABE6"/>
                <w:sz w:val="18"/>
                <w:szCs w:val="18"/>
              </w:rPr>
              <w:t>.</w:t>
            </w:r>
            <w:r w:rsidR="003F2853" w:rsidRPr="000E7DFF">
              <w:rPr>
                <w:rFonts w:cs="Arial"/>
                <w:color w:val="00ABE6"/>
                <w:sz w:val="18"/>
                <w:szCs w:val="18"/>
              </w:rPr>
              <w:t>5</w:t>
            </w:r>
            <w:r w:rsidR="00233ED5" w:rsidRPr="000E7DFF">
              <w:rPr>
                <w:rFonts w:cs="Arial"/>
                <w:color w:val="00ABE6"/>
                <w:sz w:val="18"/>
                <w:szCs w:val="18"/>
              </w:rPr>
              <w:t xml:space="preserve"> b</w:t>
            </w:r>
            <w:r w:rsidRPr="000E7DFF">
              <w:rPr>
                <w:rFonts w:cs="Arial"/>
                <w:color w:val="00ABE6"/>
                <w:sz w:val="18"/>
                <w:szCs w:val="18"/>
              </w:rPr>
              <w:t>illion</w:t>
            </w:r>
          </w:p>
        </w:tc>
        <w:tc>
          <w:tcPr>
            <w:tcW w:w="1809" w:type="pct"/>
            <w:shd w:val="clear" w:color="auto" w:fill="F2F2F2" w:themeFill="background1" w:themeFillShade="F2"/>
            <w:vAlign w:val="center"/>
          </w:tcPr>
          <w:p w14:paraId="7782CB0C" w14:textId="77777777" w:rsidR="00E633CC" w:rsidRPr="00F8244B" w:rsidRDefault="00E633CC" w:rsidP="004D0F7B">
            <w:pPr>
              <w:rPr>
                <w:rFonts w:cs="Arial"/>
                <w:color w:val="00ABE6"/>
                <w:sz w:val="18"/>
                <w:szCs w:val="18"/>
              </w:rPr>
            </w:pPr>
            <w:r w:rsidRPr="00F8244B">
              <w:rPr>
                <w:rFonts w:cs="Arial"/>
                <w:color w:val="00ABE6"/>
                <w:sz w:val="18"/>
                <w:szCs w:val="18"/>
              </w:rPr>
              <w:t>Capital</w:t>
            </w:r>
            <w:r w:rsidRPr="00F8244B">
              <w:rPr>
                <w:rFonts w:cs="Arial"/>
                <w:color w:val="00ABE6"/>
                <w:sz w:val="18"/>
                <w:szCs w:val="18"/>
              </w:rPr>
              <w:br/>
              <w:t>Expenditure</w:t>
            </w:r>
            <w:r w:rsidRPr="00F8244B">
              <w:rPr>
                <w:rFonts w:cs="Arial"/>
                <w:color w:val="00ABE6"/>
                <w:sz w:val="18"/>
                <w:szCs w:val="18"/>
              </w:rPr>
              <w:br/>
              <w:t>20</w:t>
            </w:r>
            <w:r>
              <w:rPr>
                <w:rFonts w:cs="Arial"/>
                <w:color w:val="00ABE6"/>
                <w:sz w:val="18"/>
                <w:szCs w:val="18"/>
              </w:rPr>
              <w:t>20</w:t>
            </w:r>
            <w:r w:rsidRPr="00F8244B">
              <w:rPr>
                <w:rFonts w:cs="Arial"/>
                <w:color w:val="00ABE6"/>
                <w:sz w:val="18"/>
                <w:szCs w:val="18"/>
              </w:rPr>
              <w:t>-2</w:t>
            </w:r>
            <w:r>
              <w:rPr>
                <w:rFonts w:cs="Arial"/>
                <w:color w:val="00ABE6"/>
                <w:sz w:val="18"/>
                <w:szCs w:val="18"/>
              </w:rPr>
              <w:t>1</w:t>
            </w:r>
          </w:p>
        </w:tc>
      </w:tr>
    </w:tbl>
    <w:p w14:paraId="215655FD" w14:textId="5ADF44DB" w:rsidR="00E633CC" w:rsidRPr="003A0DAC" w:rsidRDefault="00E633CC" w:rsidP="00E633CC">
      <w:pPr>
        <w:pStyle w:val="Heading3"/>
        <w:rPr>
          <w:rFonts w:cs="Arial"/>
        </w:rPr>
      </w:pPr>
      <w:r>
        <w:rPr>
          <w:rFonts w:cs="Arial"/>
        </w:rPr>
        <w:t>S</w:t>
      </w:r>
      <w:r w:rsidRPr="003A0DAC">
        <w:rPr>
          <w:rFonts w:cs="Arial"/>
        </w:rPr>
        <w:t>tate Outcome overview and 2020-21 investment</w:t>
      </w:r>
    </w:p>
    <w:p w14:paraId="102776F9" w14:textId="34FBAD38" w:rsidR="00A91EE9" w:rsidRDefault="00872668" w:rsidP="00776ECC">
      <w:pPr>
        <w:pStyle w:val="BodyText"/>
      </w:pPr>
      <w:r>
        <w:t>Investments</w:t>
      </w:r>
      <w:r w:rsidR="002A750F" w:rsidRPr="00591CE0">
        <w:t xml:space="preserve"> under this State Outcome support a high standard of education for all children and young people in public and non-government schools</w:t>
      </w:r>
      <w:r w:rsidR="00A91EE9">
        <w:t xml:space="preserve">. </w:t>
      </w:r>
    </w:p>
    <w:p w14:paraId="3990999B" w14:textId="56BDAFB7" w:rsidR="005007A9" w:rsidRPr="005007A9" w:rsidRDefault="00A91EE9" w:rsidP="00776ECC">
      <w:pPr>
        <w:pStyle w:val="BodyText"/>
      </w:pPr>
      <w:r w:rsidRPr="00A91EE9">
        <w:t xml:space="preserve">The NSW Department of Education is the largest provider of education in Australia. </w:t>
      </w:r>
      <w:r>
        <w:t>It</w:t>
      </w:r>
      <w:r w:rsidRPr="00A91EE9">
        <w:t xml:space="preserve"> deliver</w:t>
      </w:r>
      <w:r>
        <w:t>s</w:t>
      </w:r>
      <w:r w:rsidR="00E70EF8">
        <w:t xml:space="preserve"> </w:t>
      </w:r>
      <w:r w:rsidRPr="00A91EE9">
        <w:t xml:space="preserve">high-quality public education through </w:t>
      </w:r>
      <w:r>
        <w:t>its</w:t>
      </w:r>
      <w:r w:rsidRPr="00A91EE9">
        <w:t xml:space="preserve"> network of</w:t>
      </w:r>
      <w:r>
        <w:t xml:space="preserve"> </w:t>
      </w:r>
      <w:r w:rsidRPr="00A91EE9">
        <w:t xml:space="preserve">2,215 public </w:t>
      </w:r>
      <w:r w:rsidR="006304D3" w:rsidRPr="00A91EE9">
        <w:t>schools</w:t>
      </w:r>
      <w:r w:rsidR="006304D3">
        <w:t xml:space="preserve"> and</w:t>
      </w:r>
      <w:r>
        <w:t xml:space="preserve"> ensures that </w:t>
      </w:r>
      <w:r w:rsidRPr="00A91EE9">
        <w:t xml:space="preserve">school infrastructure </w:t>
      </w:r>
      <w:r>
        <w:t>continues to meet</w:t>
      </w:r>
      <w:r w:rsidRPr="00A91EE9">
        <w:t xml:space="preserve"> the needs of the </w:t>
      </w:r>
      <w:r>
        <w:t>S</w:t>
      </w:r>
      <w:r w:rsidRPr="00A91EE9">
        <w:t>tate’s</w:t>
      </w:r>
      <w:r>
        <w:t xml:space="preserve"> </w:t>
      </w:r>
      <w:r w:rsidRPr="00A91EE9">
        <w:t xml:space="preserve">growing population. </w:t>
      </w:r>
      <w:r>
        <w:t xml:space="preserve">The </w:t>
      </w:r>
      <w:r w:rsidR="005023B6">
        <w:t>D</w:t>
      </w:r>
      <w:r>
        <w:t xml:space="preserve">epartment also </w:t>
      </w:r>
      <w:r w:rsidRPr="00A91EE9">
        <w:t>work</w:t>
      </w:r>
      <w:r>
        <w:t>s</w:t>
      </w:r>
      <w:r w:rsidRPr="00A91EE9">
        <w:t xml:space="preserve"> closely</w:t>
      </w:r>
      <w:r>
        <w:t xml:space="preserve"> </w:t>
      </w:r>
      <w:r w:rsidRPr="00A91EE9">
        <w:t>with the non-government school sector to ensure the delivery of a high-quality and equitable</w:t>
      </w:r>
      <w:r>
        <w:t xml:space="preserve"> </w:t>
      </w:r>
      <w:r w:rsidRPr="00A91EE9">
        <w:t xml:space="preserve">education for all students. </w:t>
      </w:r>
    </w:p>
    <w:p w14:paraId="1CA923C6" w14:textId="2ADB6536" w:rsidR="00E633CC" w:rsidRPr="000101AC" w:rsidRDefault="00E633CC" w:rsidP="00E633CC">
      <w:pPr>
        <w:pStyle w:val="Heading3"/>
        <w:rPr>
          <w:rFonts w:cs="Arial"/>
        </w:rPr>
      </w:pPr>
      <w:r w:rsidRPr="000101AC">
        <w:rPr>
          <w:rFonts w:cs="Arial"/>
        </w:rPr>
        <w:t xml:space="preserve">2020-21 </w:t>
      </w:r>
      <w:r w:rsidR="007371B9">
        <w:rPr>
          <w:rFonts w:cs="Arial"/>
        </w:rPr>
        <w:t xml:space="preserve">State Outcome </w:t>
      </w:r>
      <w:r w:rsidRPr="000101AC">
        <w:rPr>
          <w:rFonts w:cs="Arial"/>
        </w:rPr>
        <w:t xml:space="preserve">Budget </w:t>
      </w:r>
      <w:r w:rsidR="00DB77BE">
        <w:rPr>
          <w:rFonts w:cs="Arial"/>
        </w:rPr>
        <w:t>h</w:t>
      </w:r>
      <w:r w:rsidRPr="000101AC">
        <w:rPr>
          <w:rFonts w:cs="Arial"/>
        </w:rPr>
        <w:t xml:space="preserve">ighlights </w:t>
      </w:r>
    </w:p>
    <w:p w14:paraId="425DAD03" w14:textId="03B2E976" w:rsidR="00E633CC" w:rsidRPr="00165957" w:rsidRDefault="00E633CC" w:rsidP="00DF2797">
      <w:pPr>
        <w:pStyle w:val="BodyText"/>
      </w:pPr>
      <w:r w:rsidRPr="00165957">
        <w:t xml:space="preserve">In 2020-21, the </w:t>
      </w:r>
      <w:r w:rsidR="00CF0C9F" w:rsidRPr="00165957">
        <w:t>Education</w:t>
      </w:r>
      <w:r w:rsidRPr="00165957">
        <w:t xml:space="preserve"> </w:t>
      </w:r>
      <w:r w:rsidR="00CF637D">
        <w:t>C</w:t>
      </w:r>
      <w:r w:rsidRPr="00165957">
        <w:t xml:space="preserve">luster will </w:t>
      </w:r>
      <w:r w:rsidRPr="006708E2">
        <w:t>invest $</w:t>
      </w:r>
      <w:r w:rsidR="00CE12AB" w:rsidRPr="006708E2">
        <w:t xml:space="preserve">18.9 </w:t>
      </w:r>
      <w:r w:rsidRPr="006708E2">
        <w:t>billion ($</w:t>
      </w:r>
      <w:r w:rsidR="006F629F" w:rsidRPr="006708E2">
        <w:t>16.</w:t>
      </w:r>
      <w:r w:rsidR="001A369C" w:rsidRPr="006708E2">
        <w:t>4</w:t>
      </w:r>
      <w:r w:rsidRPr="006708E2">
        <w:t xml:space="preserve"> billion recurrent expenses and $</w:t>
      </w:r>
      <w:r w:rsidR="006F629F" w:rsidRPr="006708E2">
        <w:t>2.</w:t>
      </w:r>
      <w:r w:rsidR="001A369C" w:rsidRPr="006708E2">
        <w:t>5</w:t>
      </w:r>
      <w:r w:rsidRPr="006708E2">
        <w:t xml:space="preserve"> </w:t>
      </w:r>
      <w:r w:rsidR="00A1404F" w:rsidRPr="006708E2">
        <w:t>b</w:t>
      </w:r>
      <w:r w:rsidRPr="006708E2">
        <w:t xml:space="preserve">illion capital expenditure) </w:t>
      </w:r>
      <w:r w:rsidR="00820C7A" w:rsidRPr="006708E2">
        <w:t xml:space="preserve">in this </w:t>
      </w:r>
      <w:r w:rsidR="00DB77BE">
        <w:t>O</w:t>
      </w:r>
      <w:r w:rsidR="00820C7A" w:rsidRPr="006708E2">
        <w:t>utcome</w:t>
      </w:r>
      <w:r w:rsidRPr="006708E2">
        <w:t>, including</w:t>
      </w:r>
      <w:r w:rsidR="004849AB" w:rsidRPr="006708E2">
        <w:t>:</w:t>
      </w:r>
    </w:p>
    <w:p w14:paraId="508A8F88" w14:textId="531CF1FC" w:rsidR="000802CC" w:rsidRDefault="0054460C" w:rsidP="008F3631">
      <w:pPr>
        <w:pStyle w:val="Bullet1"/>
      </w:pPr>
      <w:r>
        <w:t>$</w:t>
      </w:r>
      <w:r w:rsidR="000741B9">
        <w:t>14.9</w:t>
      </w:r>
      <w:r>
        <w:t xml:space="preserve"> billion </w:t>
      </w:r>
      <w:r w:rsidR="00484BF6">
        <w:t xml:space="preserve">recurrent funding </w:t>
      </w:r>
      <w:r>
        <w:t xml:space="preserve">to </w:t>
      </w:r>
      <w:r w:rsidR="0005308B">
        <w:t>support the delivery of primary and secondary education in government schools in 2020-21</w:t>
      </w:r>
      <w:r w:rsidR="006B042E">
        <w:t>, in line with the State’s</w:t>
      </w:r>
      <w:r w:rsidR="00C71251">
        <w:t xml:space="preserve"> commitment under the National School Reform Agreement (NSRA)</w:t>
      </w:r>
      <w:r w:rsidR="0005308B">
        <w:t xml:space="preserve"> </w:t>
      </w:r>
    </w:p>
    <w:p w14:paraId="3FBC54B0" w14:textId="6EC645E2" w:rsidR="008F3631" w:rsidRDefault="00E717AA" w:rsidP="008F3631">
      <w:pPr>
        <w:pStyle w:val="Bullet1"/>
      </w:pPr>
      <w:r w:rsidRPr="00E717AA">
        <w:t>$1.</w:t>
      </w:r>
      <w:r w:rsidR="000741B9">
        <w:t>5</w:t>
      </w:r>
      <w:r w:rsidRPr="00E717AA">
        <w:t xml:space="preserve"> billion to support non-government schools in 2020-21, including funding for non-government school essential capital works under the Building Grants Assistance Scheme</w:t>
      </w:r>
    </w:p>
    <w:p w14:paraId="483B4AFA" w14:textId="18DC2EFA" w:rsidR="00091D28" w:rsidRPr="00FB5327" w:rsidRDefault="00091D28" w:rsidP="004F5D38">
      <w:pPr>
        <w:pStyle w:val="Bullet1"/>
        <w:rPr>
          <w:rFonts w:asciiTheme="minorHAnsi" w:eastAsiaTheme="minorEastAsia" w:hAnsiTheme="minorHAnsi" w:cstheme="minorBidi"/>
        </w:rPr>
      </w:pPr>
      <w:r>
        <w:t>$5</w:t>
      </w:r>
      <w:r w:rsidR="00036ADC">
        <w:t>44.6</w:t>
      </w:r>
      <w:r w:rsidRPr="00C558B5">
        <w:t xml:space="preserve"> million over two years for </w:t>
      </w:r>
      <w:r>
        <w:t xml:space="preserve">shovel-ready </w:t>
      </w:r>
      <w:r w:rsidRPr="00C558B5">
        <w:t>new and accelerated capital works across schools to create jobs and stimulate local economies</w:t>
      </w:r>
    </w:p>
    <w:p w14:paraId="557D1D19" w14:textId="77777777" w:rsidR="00FB5327" w:rsidRPr="00A15A16" w:rsidRDefault="00FB5327" w:rsidP="00FB5327">
      <w:pPr>
        <w:pStyle w:val="Bullet1"/>
      </w:pPr>
      <w:r w:rsidRPr="00FB5327">
        <w:t>$365.8 million capital funding over two years for the Rural Access Gap Direct Intervention program to deliver improved access to digital teaching, learning aids and collaboration tools to</w:t>
      </w:r>
      <w:r w:rsidRPr="00A15A16">
        <w:t xml:space="preserve"> rural and remote schools</w:t>
      </w:r>
    </w:p>
    <w:p w14:paraId="01C613B1" w14:textId="6961D06A" w:rsidR="00983AAC" w:rsidRPr="00FB5327" w:rsidRDefault="00983AAC" w:rsidP="004F5D38">
      <w:pPr>
        <w:pStyle w:val="Bullet1"/>
        <w:rPr>
          <w:rFonts w:asciiTheme="minorHAnsi" w:eastAsiaTheme="minorEastAsia" w:hAnsiTheme="minorHAnsi" w:cstheme="minorBidi"/>
        </w:rPr>
      </w:pPr>
      <w:r w:rsidRPr="00C237FD">
        <w:rPr>
          <w:rFonts w:eastAsia="Arial"/>
        </w:rPr>
        <w:t xml:space="preserve">$337.0 million over the 2021 school year for intensive </w:t>
      </w:r>
      <w:r w:rsidRPr="004F5D38">
        <w:rPr>
          <w:rFonts w:eastAsia="Arial"/>
        </w:rPr>
        <w:t xml:space="preserve">tutoring in all NSW government and some non-government schools to support students in making up lost learning time as a result </w:t>
      </w:r>
      <w:r w:rsidR="00F064C6">
        <w:rPr>
          <w:rFonts w:eastAsia="Arial"/>
        </w:rPr>
        <w:t xml:space="preserve">of </w:t>
      </w:r>
      <w:r w:rsidRPr="004F5D38">
        <w:rPr>
          <w:rFonts w:eastAsia="Arial"/>
        </w:rPr>
        <w:t xml:space="preserve">COVID-19 </w:t>
      </w:r>
      <w:r w:rsidR="00A31E2D">
        <w:rPr>
          <w:rFonts w:eastAsia="Arial"/>
        </w:rPr>
        <w:t xml:space="preserve">impacts and shutdowns </w:t>
      </w:r>
      <w:r w:rsidRPr="004F5D38">
        <w:rPr>
          <w:rFonts w:eastAsia="Arial"/>
        </w:rPr>
        <w:t>in early 2020</w:t>
      </w:r>
    </w:p>
    <w:p w14:paraId="5E5B7228" w14:textId="2B935323" w:rsidR="00FB5327" w:rsidRPr="00A15A16" w:rsidRDefault="00FB5327" w:rsidP="00FB5327">
      <w:pPr>
        <w:pStyle w:val="Bullet1"/>
      </w:pPr>
      <w:r w:rsidRPr="00A15A16">
        <w:t>$240</w:t>
      </w:r>
      <w:r w:rsidR="005B1322">
        <w:t>.0</w:t>
      </w:r>
      <w:r w:rsidRPr="00A15A16">
        <w:t xml:space="preserve"> million over two years</w:t>
      </w:r>
      <w:r w:rsidR="00B10EAF">
        <w:t xml:space="preserve"> of</w:t>
      </w:r>
      <w:r w:rsidRPr="00A15A16">
        <w:t xml:space="preserve"> government co-contributions to both regional and metropolitan schools to support the accelerated delivery of community funded projects and initiatives across government schools</w:t>
      </w:r>
    </w:p>
    <w:p w14:paraId="64354101" w14:textId="03C70D38" w:rsidR="00F44F96" w:rsidRPr="00770963" w:rsidRDefault="00A51C40" w:rsidP="004F5D38">
      <w:pPr>
        <w:pStyle w:val="Bullet1"/>
        <w:rPr>
          <w:rFonts w:asciiTheme="minorHAnsi" w:eastAsiaTheme="minorEastAsia" w:hAnsiTheme="minorHAnsi" w:cstheme="minorBidi"/>
        </w:rPr>
      </w:pPr>
      <w:r>
        <w:rPr>
          <w:rFonts w:eastAsia="Arial"/>
        </w:rPr>
        <w:t xml:space="preserve">funding </w:t>
      </w:r>
      <w:r w:rsidR="00E9267D">
        <w:rPr>
          <w:rFonts w:eastAsia="Arial"/>
        </w:rPr>
        <w:t xml:space="preserve">to pilot deployment of solar PV systems, batteries, demand response </w:t>
      </w:r>
      <w:r w:rsidR="00F31F0F">
        <w:rPr>
          <w:rFonts w:eastAsia="Arial"/>
        </w:rPr>
        <w:t xml:space="preserve">initiatives and electric vehicle </w:t>
      </w:r>
      <w:r w:rsidR="00770963">
        <w:rPr>
          <w:rFonts w:eastAsia="Arial"/>
        </w:rPr>
        <w:t>charge points in NSW Government schools</w:t>
      </w:r>
    </w:p>
    <w:p w14:paraId="7840B0ED" w14:textId="460AE9CE" w:rsidR="00614CE6" w:rsidRDefault="00776ECC" w:rsidP="00614CE6">
      <w:pPr>
        <w:pStyle w:val="Bullet1"/>
      </w:pPr>
      <w:r>
        <w:t>a</w:t>
      </w:r>
      <w:r w:rsidR="00614CE6">
        <w:t xml:space="preserve">n ongoing commitment under the </w:t>
      </w:r>
      <w:r w:rsidR="00614CE6" w:rsidRPr="00165957">
        <w:t xml:space="preserve">NSRA for 2019 to 2023 to deliver needs-based funding to government and non-government schools. Under the NSRA, New South Wales has committed to implement national policy initiatives, and a series of state-based reforms </w:t>
      </w:r>
      <w:r w:rsidR="00614CE6">
        <w:t xml:space="preserve">to improve student learning, teaching and school improvement </w:t>
      </w:r>
      <w:r w:rsidR="00614CE6" w:rsidRPr="00165957">
        <w:t>across government and non-government schools</w:t>
      </w:r>
      <w:r w:rsidR="005023B6">
        <w:t>.</w:t>
      </w:r>
    </w:p>
    <w:p w14:paraId="33F33A80" w14:textId="284AA5B6" w:rsidR="008D0B63" w:rsidRDefault="004E37E6" w:rsidP="00B326D6">
      <w:pPr>
        <w:pStyle w:val="Heading3"/>
        <w:rPr>
          <w:rFonts w:cs="Arial"/>
        </w:rPr>
      </w:pPr>
      <w:r>
        <w:br w:type="page"/>
      </w:r>
      <w:bookmarkStart w:id="9" w:name="_Toc473722853"/>
      <w:bookmarkStart w:id="10" w:name="_Toc511769340"/>
      <w:r w:rsidR="22172D3A" w:rsidRPr="7F10D495">
        <w:rPr>
          <w:rFonts w:cs="Arial"/>
        </w:rPr>
        <w:lastRenderedPageBreak/>
        <w:t xml:space="preserve">Key performance insights </w:t>
      </w:r>
    </w:p>
    <w:p w14:paraId="5A14081D" w14:textId="428DC3B5" w:rsidR="008D0B63" w:rsidRDefault="22172D3A" w:rsidP="7F10D495">
      <w:pPr>
        <w:pStyle w:val="BodyText"/>
        <w:autoSpaceDE w:val="0"/>
        <w:autoSpaceDN w:val="0"/>
        <w:adjustRightInd w:val="0"/>
      </w:pPr>
      <w:r>
        <w:t xml:space="preserve">This section provides analysis and insights on key Outcome Indicators for this State Outcome. </w:t>
      </w:r>
    </w:p>
    <w:p w14:paraId="55B84D19" w14:textId="352E7FB7" w:rsidR="008D0B63" w:rsidRDefault="22172D3A" w:rsidP="00EA669B">
      <w:pPr>
        <w:pStyle w:val="BodyText"/>
      </w:pPr>
      <w:r>
        <w:t xml:space="preserve">NSW Department of Education’s is </w:t>
      </w:r>
      <w:r w:rsidR="00412FCD">
        <w:t xml:space="preserve">developing </w:t>
      </w:r>
      <w:r>
        <w:t>an outcomes-based improvement framework</w:t>
      </w:r>
      <w:r w:rsidR="00412FCD">
        <w:t>, to replace</w:t>
      </w:r>
      <w:r>
        <w:t xml:space="preserve"> </w:t>
      </w:r>
      <w:r w:rsidR="002F2715">
        <w:t xml:space="preserve">the </w:t>
      </w:r>
      <w:r w:rsidR="00412FCD">
        <w:t xml:space="preserve">existing </w:t>
      </w:r>
      <w:r w:rsidR="002F2715">
        <w:t xml:space="preserve">performance </w:t>
      </w:r>
      <w:r w:rsidR="00412FCD">
        <w:t>framework</w:t>
      </w:r>
      <w:r w:rsidR="002F2715">
        <w:t>s</w:t>
      </w:r>
      <w:r>
        <w:t xml:space="preserve">. </w:t>
      </w:r>
      <w:r w:rsidR="00412FCD">
        <w:t>Th</w:t>
      </w:r>
      <w:r w:rsidR="002F2715">
        <w:t>e improved framework will be</w:t>
      </w:r>
      <w:r>
        <w:t xml:space="preserve"> underpinned by ambitious targets for all schools, providing more support to the schools that need it the most, </w:t>
      </w:r>
      <w:r w:rsidR="002F2715">
        <w:t xml:space="preserve">and develops processes for sharing best practice. </w:t>
      </w:r>
    </w:p>
    <w:p w14:paraId="2109EC31" w14:textId="6D1F17A1" w:rsidR="004E3DCA" w:rsidRDefault="004E3DCA" w:rsidP="00EA669B">
      <w:pPr>
        <w:pStyle w:val="Heading4"/>
        <w:rPr>
          <w:sz w:val="20"/>
          <w:szCs w:val="20"/>
        </w:rPr>
      </w:pPr>
      <w:r w:rsidRPr="0054184D">
        <w:t>Public school students in the top two NAPLAN bands for reading and numeracy</w:t>
      </w:r>
    </w:p>
    <w:p w14:paraId="1B80E82D" w14:textId="3ACF98DB" w:rsidR="008D0B63" w:rsidRDefault="00E85954" w:rsidP="00EA669B">
      <w:pPr>
        <w:pStyle w:val="BodyText"/>
      </w:pPr>
      <w:r w:rsidRPr="00E85954">
        <w:t>The NSW Premier’s Priority is to increase the proportion of p</w:t>
      </w:r>
      <w:r w:rsidR="00591CE0" w:rsidRPr="7F10D495">
        <w:t>ublic</w:t>
      </w:r>
      <w:r w:rsidR="00591CE0" w:rsidRPr="00591CE0">
        <w:t xml:space="preserve"> school students in the top two NAPLAN bands for literacy and numeracy by 15</w:t>
      </w:r>
      <w:r w:rsidR="000F35F3">
        <w:t xml:space="preserve"> per cent</w:t>
      </w:r>
      <w:r w:rsidR="00591CE0" w:rsidRPr="00591CE0">
        <w:t xml:space="preserve"> by 2023. </w:t>
      </w:r>
      <w:r w:rsidR="00A91EE9">
        <w:t>This</w:t>
      </w:r>
      <w:r w:rsidR="00591CE0" w:rsidRPr="00591CE0">
        <w:t xml:space="preserve"> </w:t>
      </w:r>
      <w:r w:rsidR="00A91EE9">
        <w:t>would</w:t>
      </w:r>
      <w:r w:rsidR="00591CE0" w:rsidRPr="00591CE0">
        <w:t xml:space="preserve"> be equivalent to increasing the proportion of students in the top two bands to an average of </w:t>
      </w:r>
      <w:r w:rsidR="007C13C7">
        <w:t xml:space="preserve">    </w:t>
      </w:r>
      <w:r w:rsidR="00591CE0" w:rsidRPr="00591CE0">
        <w:t>36.4</w:t>
      </w:r>
      <w:r w:rsidR="000F35F3">
        <w:t xml:space="preserve"> per cent</w:t>
      </w:r>
      <w:r w:rsidR="00591CE0" w:rsidRPr="00591CE0">
        <w:t xml:space="preserve">. </w:t>
      </w:r>
    </w:p>
    <w:p w14:paraId="0A56698E" w14:textId="43280294" w:rsidR="00C52DBC" w:rsidRDefault="008D0B63" w:rsidP="00EA669B">
      <w:pPr>
        <w:pStyle w:val="BodyText"/>
      </w:pPr>
      <w:r>
        <w:t xml:space="preserve">Performance against this </w:t>
      </w:r>
      <w:r w:rsidR="007F46AF">
        <w:t>Premier’s Priority</w:t>
      </w:r>
      <w:r w:rsidR="006708E2">
        <w:t xml:space="preserve"> </w:t>
      </w:r>
      <w:r w:rsidR="007F46AF">
        <w:t>is</w:t>
      </w:r>
      <w:r>
        <w:t xml:space="preserve"> </w:t>
      </w:r>
      <w:r w:rsidR="005E4D27">
        <w:t xml:space="preserve">on track to meet the target. </w:t>
      </w:r>
      <w:r w:rsidR="00591CE0" w:rsidRPr="00591CE0">
        <w:t>In 2019, average results were 32.2</w:t>
      </w:r>
      <w:r w:rsidR="000F35F3">
        <w:t xml:space="preserve"> per cent</w:t>
      </w:r>
      <w:r w:rsidR="00591CE0" w:rsidRPr="00591CE0">
        <w:t>, which is 0.6 percentage points higher than the baseline.</w:t>
      </w:r>
      <w:r w:rsidR="00A91EE9">
        <w:t xml:space="preserve"> </w:t>
      </w:r>
    </w:p>
    <w:p w14:paraId="5C8182C4" w14:textId="1C78963A" w:rsidR="00591CE0" w:rsidRDefault="00C20BF2" w:rsidP="00EA669B">
      <w:pPr>
        <w:pStyle w:val="BodyText"/>
      </w:pPr>
      <w:r>
        <w:t>T</w:t>
      </w:r>
      <w:r w:rsidR="00E45228">
        <w:t xml:space="preserve">he NSW Department of Education </w:t>
      </w:r>
      <w:r w:rsidR="00E45228">
        <w:rPr>
          <w:i/>
          <w:iCs/>
        </w:rPr>
        <w:t>Bump It Up</w:t>
      </w:r>
      <w:r w:rsidR="00D340A8">
        <w:rPr>
          <w:i/>
          <w:iCs/>
        </w:rPr>
        <w:t xml:space="preserve"> </w:t>
      </w:r>
      <w:r w:rsidR="00990FBA">
        <w:t>p</w:t>
      </w:r>
      <w:r w:rsidR="00D340A8">
        <w:t>rogram</w:t>
      </w:r>
      <w:r w:rsidR="00990FBA">
        <w:t xml:space="preserve"> is being expanded state-wide, </w:t>
      </w:r>
      <w:r w:rsidR="00A91EE9">
        <w:t>setting tailored targets in</w:t>
      </w:r>
      <w:r w:rsidR="00A91EE9" w:rsidRPr="00A91EE9">
        <w:t xml:space="preserve"> every </w:t>
      </w:r>
      <w:r w:rsidR="00C52DBC">
        <w:t xml:space="preserve">public </w:t>
      </w:r>
      <w:r w:rsidR="00A91EE9" w:rsidRPr="00A91EE9">
        <w:t>school.</w:t>
      </w:r>
      <w:r w:rsidR="00C52DBC">
        <w:t xml:space="preserve"> The </w:t>
      </w:r>
      <w:r w:rsidR="001218F1">
        <w:t>D</w:t>
      </w:r>
      <w:r w:rsidR="00C52DBC">
        <w:t xml:space="preserve">epartment is </w:t>
      </w:r>
      <w:r w:rsidR="000D0999">
        <w:t>releasing</w:t>
      </w:r>
      <w:r w:rsidR="00C52DBC" w:rsidRPr="00C52DBC">
        <w:t xml:space="preserve"> additional assessments </w:t>
      </w:r>
      <w:r w:rsidR="00C52DBC">
        <w:t>to</w:t>
      </w:r>
      <w:r w:rsidR="00C52DBC" w:rsidRPr="00C52DBC">
        <w:t xml:space="preserve"> help teachers determine students’ </w:t>
      </w:r>
      <w:r w:rsidR="000D0999">
        <w:t xml:space="preserve">learning </w:t>
      </w:r>
      <w:r w:rsidR="004553AF">
        <w:t>progression and</w:t>
      </w:r>
      <w:r w:rsidR="00C52DBC">
        <w:t xml:space="preserve"> </w:t>
      </w:r>
      <w:r w:rsidR="00C52DBC" w:rsidRPr="00C52DBC">
        <w:t>expand</w:t>
      </w:r>
      <w:r w:rsidR="00936839">
        <w:t>ing</w:t>
      </w:r>
      <w:r w:rsidR="00C52DBC" w:rsidRPr="00C52DBC">
        <w:t xml:space="preserve"> professional learning to build teacher knowledge</w:t>
      </w:r>
      <w:r w:rsidR="00C52DBC">
        <w:t xml:space="preserve"> </w:t>
      </w:r>
      <w:r w:rsidR="00C52DBC" w:rsidRPr="00C52DBC">
        <w:t>of literacy and numeracy development, the effective use of data and the implementation of</w:t>
      </w:r>
      <w:r w:rsidR="00C52DBC">
        <w:t xml:space="preserve"> </w:t>
      </w:r>
      <w:r w:rsidR="00C52DBC" w:rsidRPr="00C52DBC">
        <w:t>evidence-based classroom practices</w:t>
      </w:r>
      <w:r w:rsidR="00F11BF4">
        <w:t>.</w:t>
      </w:r>
    </w:p>
    <w:p w14:paraId="303F106B" w14:textId="7339D542" w:rsidR="0069497A" w:rsidRPr="009E437A" w:rsidRDefault="00A6412D" w:rsidP="00856CB2">
      <w:pPr>
        <w:pStyle w:val="Chart2X"/>
        <w:ind w:left="1276" w:hanging="1276"/>
      </w:pPr>
      <w:r w:rsidRPr="009E437A">
        <w:t>Proportion</w:t>
      </w:r>
      <w:r w:rsidR="0069497A" w:rsidRPr="009E437A">
        <w:t xml:space="preserve"> of public school students in the top two NAPLAN bands for reading and numeracy</w:t>
      </w:r>
    </w:p>
    <w:p w14:paraId="34AFBA7A" w14:textId="7B4DB958" w:rsidR="008C46B4" w:rsidRDefault="00CA4B10" w:rsidP="00F7286F">
      <w:pPr>
        <w:autoSpaceDE w:val="0"/>
        <w:autoSpaceDN w:val="0"/>
        <w:adjustRightInd w:val="0"/>
        <w:jc w:val="center"/>
        <w:rPr>
          <w:rFonts w:cs="Arial"/>
          <w:sz w:val="23"/>
          <w:szCs w:val="23"/>
        </w:rPr>
      </w:pPr>
      <w:r>
        <w:rPr>
          <w:noProof/>
          <w:lang w:eastAsia="en-AU"/>
        </w:rPr>
        <w:drawing>
          <wp:inline distT="0" distB="0" distL="0" distR="0" wp14:anchorId="598A5833" wp14:editId="55F62314">
            <wp:extent cx="4678680" cy="2489835"/>
            <wp:effectExtent l="0" t="0" r="0" b="0"/>
            <wp:docPr id="23" name="Chart 23" descr="Chart 2.5: Proportion of public school students in the top two NAPLAN bands for reading and numeracy">
              <a:extLst xmlns:a="http://schemas.openxmlformats.org/drawingml/2006/main">
                <a:ext uri="{FF2B5EF4-FFF2-40B4-BE49-F238E27FC236}">
                  <a16:creationId xmlns:a16="http://schemas.microsoft.com/office/drawing/2014/main" id="{9DCFE232-A9A3-4229-A0CD-902EB0552D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6BB89C3" w14:textId="585AF47D" w:rsidR="008C46B4" w:rsidRPr="00867EEF" w:rsidRDefault="004B2BF0" w:rsidP="00190A1E">
      <w:pPr>
        <w:rPr>
          <w:rFonts w:cs="Arial"/>
          <w:iCs/>
          <w:sz w:val="17"/>
          <w:szCs w:val="17"/>
        </w:rPr>
      </w:pPr>
      <w:r w:rsidRPr="00867EEF">
        <w:rPr>
          <w:rFonts w:cs="Arial"/>
          <w:iCs/>
          <w:sz w:val="17"/>
          <w:szCs w:val="17"/>
        </w:rPr>
        <w:t xml:space="preserve">Note: Data sourced from NSW Department of Education, annual NAPLAN results. </w:t>
      </w:r>
      <w:r w:rsidR="00190A1E" w:rsidRPr="00867EEF">
        <w:rPr>
          <w:rFonts w:cs="Arial"/>
          <w:iCs/>
          <w:sz w:val="17"/>
          <w:szCs w:val="17"/>
        </w:rPr>
        <w:t>Note that Education Ministers made the decision to cancel NAPLAN in 2020 due to the impact of the COVID-19 pandemic. This means that comparative data may not be available for 2020.</w:t>
      </w:r>
    </w:p>
    <w:p w14:paraId="1773C538" w14:textId="77777777" w:rsidR="00073B74" w:rsidRDefault="00073B74" w:rsidP="00A77897"/>
    <w:p w14:paraId="173344D3" w14:textId="3833740C" w:rsidR="00591CE0" w:rsidRPr="00471E9B" w:rsidRDefault="00591CE0" w:rsidP="00A77897">
      <w:pPr>
        <w:pStyle w:val="Heading4"/>
      </w:pPr>
      <w:r w:rsidRPr="00AA6B31">
        <w:t>Aboriginal students attaining Year 12</w:t>
      </w:r>
    </w:p>
    <w:p w14:paraId="7508FE87" w14:textId="77777777" w:rsidR="007F46AF" w:rsidRDefault="00591CE0" w:rsidP="00A77897">
      <w:pPr>
        <w:pStyle w:val="BodyText"/>
      </w:pPr>
      <w:r w:rsidRPr="00591CE0">
        <w:t xml:space="preserve">The Premier’s Priority is to increase the proportion of Aboriginal students attaining </w:t>
      </w:r>
      <w:r w:rsidR="00936839">
        <w:t>Year 12</w:t>
      </w:r>
      <w:r w:rsidRPr="00591CE0">
        <w:t xml:space="preserve"> by 50</w:t>
      </w:r>
      <w:r w:rsidR="000F35F3">
        <w:t xml:space="preserve"> per cent</w:t>
      </w:r>
      <w:r w:rsidRPr="00591CE0">
        <w:t xml:space="preserve"> by 2023, while maintaining their cultural identity. </w:t>
      </w:r>
      <w:r w:rsidR="00936839">
        <w:t>This</w:t>
      </w:r>
      <w:r w:rsidRPr="00591CE0">
        <w:t xml:space="preserve"> will be equivalent to increasing the proportion of Aboriginal students attaining the HSC to 69</w:t>
      </w:r>
      <w:r w:rsidR="000F35F3">
        <w:t xml:space="preserve"> per cent</w:t>
      </w:r>
      <w:r w:rsidRPr="00591CE0">
        <w:t xml:space="preserve">. </w:t>
      </w:r>
    </w:p>
    <w:p w14:paraId="3A87048B" w14:textId="77777777" w:rsidR="00A77897" w:rsidRDefault="00A77897" w:rsidP="00A77897">
      <w:pPr>
        <w:pStyle w:val="BodyText"/>
      </w:pPr>
      <w:r>
        <w:br w:type="page"/>
      </w:r>
    </w:p>
    <w:p w14:paraId="79C5AE31" w14:textId="17C000EF" w:rsidR="001452DB" w:rsidRDefault="007F46AF" w:rsidP="00A77897">
      <w:pPr>
        <w:pStyle w:val="BodyText"/>
      </w:pPr>
      <w:r>
        <w:lastRenderedPageBreak/>
        <w:t>Performance against this Premier’s Priority is</w:t>
      </w:r>
      <w:r w:rsidR="00443CCF">
        <w:t xml:space="preserve"> on track to meet </w:t>
      </w:r>
      <w:r w:rsidR="009A19A6">
        <w:t>the</w:t>
      </w:r>
      <w:r w:rsidR="00443CCF">
        <w:t xml:space="preserve"> target.</w:t>
      </w:r>
      <w:r>
        <w:t xml:space="preserve"> </w:t>
      </w:r>
      <w:r w:rsidR="00591CE0" w:rsidRPr="00591CE0">
        <w:t>Interim results for 2019 indicate that 45</w:t>
      </w:r>
      <w:r w:rsidR="000F35F3">
        <w:t xml:space="preserve"> per cent</w:t>
      </w:r>
      <w:r w:rsidR="00591CE0" w:rsidRPr="00591CE0">
        <w:t xml:space="preserve"> of Aboriginal students in N</w:t>
      </w:r>
      <w:r w:rsidR="00EC7E9E">
        <w:t xml:space="preserve">ew </w:t>
      </w:r>
      <w:r w:rsidR="00591CE0" w:rsidRPr="00591CE0">
        <w:t>S</w:t>
      </w:r>
      <w:r w:rsidR="00EC7E9E">
        <w:t xml:space="preserve">outh </w:t>
      </w:r>
      <w:r w:rsidR="00591CE0" w:rsidRPr="00591CE0">
        <w:t>W</w:t>
      </w:r>
      <w:r w:rsidR="00EC7E9E">
        <w:t>ales</w:t>
      </w:r>
      <w:r w:rsidR="00591CE0" w:rsidRPr="00591CE0">
        <w:t xml:space="preserve"> have achieved the HSC</w:t>
      </w:r>
      <w:r w:rsidR="00936839">
        <w:t xml:space="preserve">. </w:t>
      </w:r>
    </w:p>
    <w:p w14:paraId="1D708007" w14:textId="40EBAE1A" w:rsidR="00591CE0" w:rsidRDefault="001452DB" w:rsidP="00A77897">
      <w:pPr>
        <w:pStyle w:val="BodyText"/>
      </w:pPr>
      <w:r>
        <w:t>This will be further improved through additional focus on performance with a</w:t>
      </w:r>
      <w:r w:rsidR="00936839" w:rsidRPr="00936839">
        <w:t>ll public secondary schools now hav</w:t>
      </w:r>
      <w:r>
        <w:t>ing</w:t>
      </w:r>
      <w:r w:rsidR="00936839" w:rsidRPr="00936839">
        <w:t xml:space="preserve"> targets </w:t>
      </w:r>
      <w:r w:rsidR="00936839">
        <w:t xml:space="preserve">in support of the Premier’s Priority. The </w:t>
      </w:r>
      <w:r w:rsidR="005C1710">
        <w:t>D</w:t>
      </w:r>
      <w:r w:rsidR="004565B7">
        <w:t>epartment</w:t>
      </w:r>
      <w:r w:rsidR="00936839">
        <w:t xml:space="preserve"> has also developed </w:t>
      </w:r>
      <w:r w:rsidR="00C515A3">
        <w:t>five</w:t>
      </w:r>
      <w:r w:rsidR="00C515A3" w:rsidRPr="00936839">
        <w:t xml:space="preserve"> </w:t>
      </w:r>
      <w:r w:rsidR="00936839" w:rsidRPr="00936839">
        <w:t>initiatives in collaboration with the NSW</w:t>
      </w:r>
      <w:r w:rsidR="00111019">
        <w:t xml:space="preserve"> </w:t>
      </w:r>
      <w:r w:rsidR="00936839" w:rsidRPr="00936839">
        <w:t xml:space="preserve">Coalition of Aboriginal Peak Organisations </w:t>
      </w:r>
      <w:r w:rsidR="00936839">
        <w:t>to support Aboriginal students through their final year</w:t>
      </w:r>
      <w:r w:rsidR="00976CCB">
        <w:t>s</w:t>
      </w:r>
      <w:r w:rsidR="00936839">
        <w:t xml:space="preserve"> of school. </w:t>
      </w:r>
      <w:r w:rsidR="00936839" w:rsidRPr="00936839">
        <w:t xml:space="preserve"> </w:t>
      </w:r>
    </w:p>
    <w:p w14:paraId="7E65A06D" w14:textId="78985950" w:rsidR="00DA034B" w:rsidRPr="009A1BCA" w:rsidRDefault="00DA034B" w:rsidP="00856CB2">
      <w:pPr>
        <w:pStyle w:val="Chart2X"/>
        <w:ind w:left="1276" w:hanging="1276"/>
      </w:pPr>
      <w:r w:rsidRPr="00A77897">
        <w:t>Proportion of Aboriginal students attaining Year 12, while maintaining their cultural identity</w:t>
      </w:r>
    </w:p>
    <w:p w14:paraId="3C186A2E" w14:textId="34170316" w:rsidR="00FE65DF" w:rsidRDefault="00A21595" w:rsidP="00F7286F">
      <w:pPr>
        <w:autoSpaceDE w:val="0"/>
        <w:autoSpaceDN w:val="0"/>
        <w:adjustRightInd w:val="0"/>
        <w:jc w:val="center"/>
        <w:rPr>
          <w:rFonts w:cs="Arial"/>
          <w:sz w:val="23"/>
          <w:szCs w:val="23"/>
        </w:rPr>
      </w:pPr>
      <w:r>
        <w:rPr>
          <w:noProof/>
          <w:lang w:eastAsia="en-AU"/>
        </w:rPr>
        <w:drawing>
          <wp:inline distT="0" distB="0" distL="0" distR="0" wp14:anchorId="44C7F2AF" wp14:editId="59E957E8">
            <wp:extent cx="4678680" cy="2489835"/>
            <wp:effectExtent l="0" t="0" r="0" b="0"/>
            <wp:docPr id="24" name="Chart 24" descr="Chart 2.6: Proportion of Aboriginal students attaining Year 12, while maintaining their cultural identity">
              <a:extLst xmlns:a="http://schemas.openxmlformats.org/drawingml/2006/main">
                <a:ext uri="{FF2B5EF4-FFF2-40B4-BE49-F238E27FC236}">
                  <a16:creationId xmlns:a16="http://schemas.microsoft.com/office/drawing/2014/main" id="{D64B293B-D65A-413A-9F64-3D3E207083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0706456" w14:textId="0AC3EE88" w:rsidR="00852CC4" w:rsidRPr="002103DD" w:rsidRDefault="00E31761" w:rsidP="00852CC4">
      <w:pPr>
        <w:rPr>
          <w:rFonts w:cs="Arial"/>
          <w:iCs/>
          <w:sz w:val="17"/>
          <w:szCs w:val="17"/>
        </w:rPr>
      </w:pPr>
      <w:r w:rsidRPr="002103DD">
        <w:rPr>
          <w:rFonts w:cs="Arial"/>
          <w:iCs/>
          <w:sz w:val="17"/>
          <w:szCs w:val="17"/>
        </w:rPr>
        <w:t xml:space="preserve">Note: </w:t>
      </w:r>
      <w:r w:rsidR="00190A1E" w:rsidRPr="002103DD">
        <w:rPr>
          <w:rFonts w:cs="Arial"/>
          <w:iCs/>
          <w:sz w:val="17"/>
          <w:szCs w:val="17"/>
        </w:rPr>
        <w:t xml:space="preserve">Data sourced from NESA and NSW Department of Education. This </w:t>
      </w:r>
      <w:r w:rsidR="008429D4" w:rsidRPr="002103DD">
        <w:rPr>
          <w:rFonts w:cs="Arial"/>
          <w:iCs/>
          <w:sz w:val="17"/>
          <w:szCs w:val="17"/>
        </w:rPr>
        <w:t>Indicator</w:t>
      </w:r>
      <w:r w:rsidR="00190A1E" w:rsidRPr="002103DD">
        <w:rPr>
          <w:rFonts w:cs="Arial"/>
          <w:iCs/>
          <w:sz w:val="17"/>
          <w:szCs w:val="17"/>
        </w:rPr>
        <w:t xml:space="preserve"> refers to all Aboriginal students in NSW (i.e. both government and non-government schools). </w:t>
      </w:r>
      <w:r w:rsidRPr="002103DD">
        <w:rPr>
          <w:rFonts w:cs="Arial"/>
          <w:iCs/>
          <w:sz w:val="17"/>
          <w:szCs w:val="17"/>
        </w:rPr>
        <w:t>See footnote (</w:t>
      </w:r>
      <w:r w:rsidR="00190A1E" w:rsidRPr="002103DD">
        <w:rPr>
          <w:rFonts w:cs="Arial"/>
          <w:iCs/>
          <w:sz w:val="17"/>
          <w:szCs w:val="17"/>
        </w:rPr>
        <w:t>c</w:t>
      </w:r>
      <w:r w:rsidRPr="002103DD">
        <w:rPr>
          <w:rFonts w:cs="Arial"/>
          <w:iCs/>
          <w:sz w:val="17"/>
          <w:szCs w:val="17"/>
        </w:rPr>
        <w:t xml:space="preserve">) in </w:t>
      </w:r>
      <w:r w:rsidR="00BC5D95" w:rsidRPr="002103DD">
        <w:rPr>
          <w:rFonts w:cs="Arial"/>
          <w:iCs/>
          <w:sz w:val="17"/>
          <w:szCs w:val="17"/>
        </w:rPr>
        <w:t>Outcome Indicator</w:t>
      </w:r>
      <w:r w:rsidRPr="002103DD">
        <w:rPr>
          <w:rFonts w:cs="Arial"/>
          <w:iCs/>
          <w:sz w:val="17"/>
          <w:szCs w:val="17"/>
        </w:rPr>
        <w:t xml:space="preserve"> table below for further information</w:t>
      </w:r>
      <w:r w:rsidR="00190A1E" w:rsidRPr="002103DD">
        <w:rPr>
          <w:rFonts w:cs="Arial"/>
          <w:iCs/>
          <w:sz w:val="17"/>
          <w:szCs w:val="17"/>
        </w:rPr>
        <w:t xml:space="preserve"> about the calculation of attainment rates. </w:t>
      </w:r>
    </w:p>
    <w:p w14:paraId="60FC3304" w14:textId="0B8E0ECB" w:rsidR="002D3A3F" w:rsidRPr="002D3A3F" w:rsidRDefault="002D3A3F" w:rsidP="00A77897"/>
    <w:p w14:paraId="64D04C4C" w14:textId="3B00CAC1" w:rsidR="006A63F4" w:rsidRDefault="00C948E8" w:rsidP="006A63F4">
      <w:pPr>
        <w:pStyle w:val="Heading3"/>
        <w:rPr>
          <w:rFonts w:cs="Arial"/>
        </w:rPr>
      </w:pPr>
      <w:r>
        <w:rPr>
          <w:rFonts w:cs="Arial"/>
        </w:rPr>
        <w:t>P</w:t>
      </w:r>
      <w:r w:rsidR="006A63F4">
        <w:rPr>
          <w:rFonts w:cs="Arial"/>
        </w:rPr>
        <w:t xml:space="preserve">erformance indicators for this </w:t>
      </w:r>
      <w:r w:rsidR="003415CD">
        <w:rPr>
          <w:rFonts w:cs="Arial"/>
        </w:rPr>
        <w:t>O</w:t>
      </w:r>
      <w:r w:rsidR="006A63F4">
        <w:rPr>
          <w:rFonts w:cs="Arial"/>
        </w:rPr>
        <w:t>utcome</w:t>
      </w:r>
    </w:p>
    <w:tbl>
      <w:tblPr>
        <w:tblW w:w="9655" w:type="dxa"/>
        <w:tblLook w:val="04A0" w:firstRow="1" w:lastRow="0" w:firstColumn="1" w:lastColumn="0" w:noHBand="0" w:noVBand="1"/>
        <w:tblCaption w:val="Performance indicators for this Outcome"/>
      </w:tblPr>
      <w:tblGrid>
        <w:gridCol w:w="6537"/>
        <w:gridCol w:w="736"/>
        <w:gridCol w:w="1191"/>
        <w:gridCol w:w="1191"/>
      </w:tblGrid>
      <w:tr w:rsidR="00536836" w:rsidRPr="00A77897" w14:paraId="05FF4AB0" w14:textId="77777777" w:rsidTr="0077355F">
        <w:trPr>
          <w:trHeight w:val="283"/>
          <w:tblHeader/>
        </w:trPr>
        <w:tc>
          <w:tcPr>
            <w:tcW w:w="6537" w:type="dxa"/>
            <w:vMerge w:val="restart"/>
            <w:tcBorders>
              <w:top w:val="nil"/>
              <w:left w:val="nil"/>
              <w:bottom w:val="nil"/>
              <w:right w:val="nil"/>
            </w:tcBorders>
            <w:shd w:val="clear" w:color="auto" w:fill="00426F"/>
            <w:noWrap/>
            <w:vAlign w:val="center"/>
            <w:hideMark/>
          </w:tcPr>
          <w:p w14:paraId="2600E8CF" w14:textId="77777777" w:rsidR="00536836" w:rsidRPr="00216E63" w:rsidRDefault="00536836" w:rsidP="00ED09D4">
            <w:pPr>
              <w:rPr>
                <w:rFonts w:cs="Arial"/>
                <w:b/>
                <w:color w:val="FFFFFF"/>
                <w:sz w:val="18"/>
                <w:szCs w:val="18"/>
                <w:lang w:eastAsia="en-AU"/>
              </w:rPr>
            </w:pPr>
            <w:bookmarkStart w:id="11" w:name="_1664772743"/>
            <w:bookmarkEnd w:id="11"/>
            <w:r w:rsidRPr="00216E63">
              <w:rPr>
                <w:rFonts w:cs="Arial"/>
                <w:b/>
                <w:color w:val="FFFFFF"/>
                <w:sz w:val="18"/>
                <w:szCs w:val="18"/>
                <w:lang w:eastAsia="en-AU"/>
              </w:rPr>
              <w:t>Outcome Indicators</w:t>
            </w:r>
            <w:r w:rsidRPr="00216E63">
              <w:rPr>
                <w:rFonts w:cs="Arial"/>
                <w:b/>
                <w:color w:val="FFFFFF"/>
                <w:sz w:val="18"/>
                <w:szCs w:val="18"/>
                <w:vertAlign w:val="superscript"/>
                <w:lang w:eastAsia="en-AU"/>
              </w:rPr>
              <w:t>(a)</w:t>
            </w:r>
          </w:p>
        </w:tc>
        <w:tc>
          <w:tcPr>
            <w:tcW w:w="736" w:type="dxa"/>
            <w:vMerge w:val="restart"/>
            <w:tcBorders>
              <w:top w:val="nil"/>
              <w:left w:val="nil"/>
              <w:bottom w:val="nil"/>
              <w:right w:val="nil"/>
            </w:tcBorders>
            <w:shd w:val="clear" w:color="auto" w:fill="00426F"/>
            <w:noWrap/>
            <w:vAlign w:val="center"/>
            <w:hideMark/>
          </w:tcPr>
          <w:p w14:paraId="0BF013C9" w14:textId="77777777" w:rsidR="00536836" w:rsidRPr="00216E63" w:rsidRDefault="00536836" w:rsidP="00536836">
            <w:pPr>
              <w:jc w:val="center"/>
              <w:rPr>
                <w:rFonts w:cs="Arial"/>
                <w:b/>
                <w:color w:val="FFFFFF"/>
                <w:sz w:val="18"/>
                <w:szCs w:val="18"/>
                <w:lang w:eastAsia="en-AU"/>
              </w:rPr>
            </w:pPr>
            <w:r w:rsidRPr="00216E63">
              <w:rPr>
                <w:rFonts w:cs="Arial"/>
                <w:b/>
                <w:color w:val="FFFFFF"/>
                <w:sz w:val="18"/>
                <w:szCs w:val="18"/>
                <w:lang w:eastAsia="en-AU"/>
              </w:rPr>
              <w:t>Units</w:t>
            </w:r>
          </w:p>
        </w:tc>
        <w:tc>
          <w:tcPr>
            <w:tcW w:w="1191" w:type="dxa"/>
            <w:tcBorders>
              <w:top w:val="nil"/>
              <w:left w:val="nil"/>
              <w:bottom w:val="nil"/>
              <w:right w:val="nil"/>
            </w:tcBorders>
            <w:shd w:val="clear" w:color="auto" w:fill="00426F"/>
            <w:noWrap/>
            <w:vAlign w:val="bottom"/>
            <w:hideMark/>
          </w:tcPr>
          <w:p w14:paraId="1433BD8B" w14:textId="77777777" w:rsidR="00536836" w:rsidRPr="00216E63" w:rsidRDefault="00536836" w:rsidP="00536836">
            <w:pPr>
              <w:jc w:val="center"/>
              <w:rPr>
                <w:rFonts w:cs="Arial"/>
                <w:b/>
                <w:color w:val="FFFFFF"/>
                <w:sz w:val="18"/>
                <w:szCs w:val="18"/>
                <w:lang w:eastAsia="en-AU"/>
              </w:rPr>
            </w:pPr>
            <w:r w:rsidRPr="00216E63">
              <w:rPr>
                <w:rFonts w:cs="Arial"/>
                <w:b/>
                <w:color w:val="FFFFFF"/>
                <w:sz w:val="18"/>
                <w:szCs w:val="18"/>
                <w:lang w:eastAsia="en-AU"/>
              </w:rPr>
              <w:t>2019-20</w:t>
            </w:r>
          </w:p>
        </w:tc>
        <w:tc>
          <w:tcPr>
            <w:tcW w:w="1191" w:type="dxa"/>
            <w:tcBorders>
              <w:top w:val="nil"/>
              <w:left w:val="nil"/>
              <w:bottom w:val="nil"/>
              <w:right w:val="nil"/>
            </w:tcBorders>
            <w:shd w:val="clear" w:color="auto" w:fill="00426F"/>
            <w:noWrap/>
            <w:vAlign w:val="bottom"/>
            <w:hideMark/>
          </w:tcPr>
          <w:p w14:paraId="1FFB47D4" w14:textId="77777777" w:rsidR="00536836" w:rsidRPr="00216E63" w:rsidRDefault="00536836" w:rsidP="00536836">
            <w:pPr>
              <w:jc w:val="center"/>
              <w:rPr>
                <w:rFonts w:cs="Arial"/>
                <w:b/>
                <w:color w:val="FFFFFF"/>
                <w:sz w:val="18"/>
                <w:szCs w:val="18"/>
                <w:lang w:eastAsia="en-AU"/>
              </w:rPr>
            </w:pPr>
            <w:r w:rsidRPr="00216E63">
              <w:rPr>
                <w:rFonts w:cs="Arial"/>
                <w:b/>
                <w:color w:val="FFFFFF"/>
                <w:sz w:val="18"/>
                <w:szCs w:val="18"/>
                <w:lang w:eastAsia="en-AU"/>
              </w:rPr>
              <w:t>2020-21</w:t>
            </w:r>
          </w:p>
        </w:tc>
      </w:tr>
      <w:tr w:rsidR="00536836" w:rsidRPr="00536836" w14:paraId="643B0FAB" w14:textId="77777777" w:rsidTr="0077355F">
        <w:trPr>
          <w:trHeight w:val="283"/>
          <w:tblHeader/>
        </w:trPr>
        <w:tc>
          <w:tcPr>
            <w:tcW w:w="6537" w:type="dxa"/>
            <w:vMerge/>
            <w:tcBorders>
              <w:top w:val="nil"/>
              <w:left w:val="nil"/>
              <w:right w:val="nil"/>
            </w:tcBorders>
            <w:shd w:val="clear" w:color="auto" w:fill="00426F"/>
            <w:vAlign w:val="center"/>
            <w:hideMark/>
          </w:tcPr>
          <w:p w14:paraId="2DE0FE08" w14:textId="77777777" w:rsidR="00536836" w:rsidRPr="00216E63" w:rsidRDefault="00536836" w:rsidP="00536836">
            <w:pPr>
              <w:rPr>
                <w:rFonts w:cs="Arial"/>
                <w:b/>
                <w:color w:val="FFFFFF"/>
                <w:sz w:val="18"/>
                <w:szCs w:val="18"/>
                <w:lang w:eastAsia="en-AU"/>
              </w:rPr>
            </w:pPr>
          </w:p>
        </w:tc>
        <w:tc>
          <w:tcPr>
            <w:tcW w:w="736" w:type="dxa"/>
            <w:vMerge/>
            <w:tcBorders>
              <w:top w:val="nil"/>
              <w:left w:val="nil"/>
              <w:right w:val="nil"/>
            </w:tcBorders>
            <w:shd w:val="clear" w:color="auto" w:fill="00426F"/>
            <w:vAlign w:val="center"/>
            <w:hideMark/>
          </w:tcPr>
          <w:p w14:paraId="2B7E464F" w14:textId="77777777" w:rsidR="00536836" w:rsidRPr="00216E63" w:rsidRDefault="00536836" w:rsidP="00536836">
            <w:pPr>
              <w:rPr>
                <w:rFonts w:cs="Arial"/>
                <w:b/>
                <w:color w:val="FFFFFF"/>
                <w:sz w:val="18"/>
                <w:szCs w:val="18"/>
                <w:lang w:eastAsia="en-AU"/>
              </w:rPr>
            </w:pPr>
          </w:p>
        </w:tc>
        <w:tc>
          <w:tcPr>
            <w:tcW w:w="1191" w:type="dxa"/>
            <w:tcBorders>
              <w:top w:val="nil"/>
              <w:left w:val="nil"/>
              <w:right w:val="nil"/>
            </w:tcBorders>
            <w:shd w:val="clear" w:color="auto" w:fill="00426F"/>
            <w:noWrap/>
            <w:hideMark/>
          </w:tcPr>
          <w:p w14:paraId="265C1087" w14:textId="77777777" w:rsidR="00536836" w:rsidRPr="00216E63" w:rsidRDefault="00536836" w:rsidP="00536836">
            <w:pPr>
              <w:jc w:val="center"/>
              <w:rPr>
                <w:rFonts w:cs="Arial"/>
                <w:b/>
                <w:color w:val="FFFFFF"/>
                <w:sz w:val="18"/>
                <w:szCs w:val="18"/>
                <w:lang w:eastAsia="en-AU"/>
              </w:rPr>
            </w:pPr>
            <w:r w:rsidRPr="00216E63">
              <w:rPr>
                <w:rFonts w:cs="Arial"/>
                <w:b/>
                <w:color w:val="FFFFFF"/>
                <w:sz w:val="18"/>
                <w:szCs w:val="18"/>
                <w:lang w:eastAsia="en-AU"/>
              </w:rPr>
              <w:t>Actual</w:t>
            </w:r>
          </w:p>
        </w:tc>
        <w:tc>
          <w:tcPr>
            <w:tcW w:w="1191" w:type="dxa"/>
            <w:tcBorders>
              <w:top w:val="nil"/>
              <w:left w:val="nil"/>
              <w:right w:val="nil"/>
            </w:tcBorders>
            <w:shd w:val="clear" w:color="auto" w:fill="00426F"/>
            <w:noWrap/>
            <w:hideMark/>
          </w:tcPr>
          <w:p w14:paraId="34F2DDFD" w14:textId="77777777" w:rsidR="00536836" w:rsidRPr="00216E63" w:rsidRDefault="00536836" w:rsidP="00536836">
            <w:pPr>
              <w:jc w:val="center"/>
              <w:rPr>
                <w:rFonts w:cs="Arial"/>
                <w:b/>
                <w:color w:val="FFFFFF"/>
                <w:sz w:val="18"/>
                <w:szCs w:val="18"/>
                <w:lang w:eastAsia="en-AU"/>
              </w:rPr>
            </w:pPr>
            <w:r w:rsidRPr="00216E63">
              <w:rPr>
                <w:rFonts w:cs="Arial"/>
                <w:b/>
                <w:color w:val="FFFFFF"/>
                <w:sz w:val="18"/>
                <w:szCs w:val="18"/>
                <w:lang w:eastAsia="en-AU"/>
              </w:rPr>
              <w:t>Forecast</w:t>
            </w:r>
          </w:p>
        </w:tc>
      </w:tr>
      <w:tr w:rsidR="00536836" w:rsidRPr="00536836" w14:paraId="682D7B0B" w14:textId="77777777" w:rsidTr="0077355F">
        <w:trPr>
          <w:trHeight w:val="252"/>
        </w:trPr>
        <w:tc>
          <w:tcPr>
            <w:tcW w:w="6537" w:type="dxa"/>
            <w:tcBorders>
              <w:top w:val="nil"/>
              <w:left w:val="nil"/>
              <w:bottom w:val="nil"/>
              <w:right w:val="nil"/>
            </w:tcBorders>
            <w:shd w:val="clear" w:color="auto" w:fill="auto"/>
            <w:vAlign w:val="bottom"/>
            <w:hideMark/>
          </w:tcPr>
          <w:p w14:paraId="4FE24CC3" w14:textId="77777777" w:rsidR="00536836" w:rsidRPr="00536836" w:rsidRDefault="00536836" w:rsidP="00536836">
            <w:pPr>
              <w:rPr>
                <w:rFonts w:cs="Arial"/>
                <w:b/>
                <w:bCs/>
                <w:color w:val="000000"/>
                <w:sz w:val="16"/>
                <w:szCs w:val="16"/>
                <w:lang w:eastAsia="en-AU"/>
              </w:rPr>
            </w:pPr>
            <w:r w:rsidRPr="00536836">
              <w:rPr>
                <w:rFonts w:cs="Arial"/>
                <w:b/>
                <w:bCs/>
                <w:color w:val="000000"/>
                <w:sz w:val="16"/>
                <w:szCs w:val="16"/>
                <w:lang w:eastAsia="en-AU"/>
              </w:rPr>
              <w:t>Academic Achievement</w:t>
            </w:r>
          </w:p>
        </w:tc>
        <w:tc>
          <w:tcPr>
            <w:tcW w:w="736" w:type="dxa"/>
            <w:tcBorders>
              <w:top w:val="nil"/>
              <w:left w:val="nil"/>
              <w:bottom w:val="nil"/>
              <w:right w:val="nil"/>
            </w:tcBorders>
            <w:shd w:val="clear" w:color="auto" w:fill="auto"/>
            <w:noWrap/>
            <w:vAlign w:val="bottom"/>
            <w:hideMark/>
          </w:tcPr>
          <w:p w14:paraId="37A7A517" w14:textId="77777777" w:rsidR="00536836" w:rsidRPr="00536836" w:rsidRDefault="00536836" w:rsidP="00E93488">
            <w:pPr>
              <w:jc w:val="center"/>
              <w:rPr>
                <w:rFonts w:cs="Arial"/>
                <w:b/>
                <w:bCs/>
                <w:color w:val="000000"/>
                <w:sz w:val="16"/>
                <w:szCs w:val="16"/>
                <w:lang w:eastAsia="en-AU"/>
              </w:rPr>
            </w:pPr>
          </w:p>
        </w:tc>
        <w:tc>
          <w:tcPr>
            <w:tcW w:w="1191" w:type="dxa"/>
            <w:tcBorders>
              <w:top w:val="nil"/>
              <w:left w:val="nil"/>
              <w:bottom w:val="nil"/>
              <w:right w:val="nil"/>
            </w:tcBorders>
            <w:shd w:val="clear" w:color="auto" w:fill="auto"/>
            <w:noWrap/>
            <w:vAlign w:val="bottom"/>
            <w:hideMark/>
          </w:tcPr>
          <w:p w14:paraId="35752B70" w14:textId="77777777" w:rsidR="00536836" w:rsidRPr="00536836" w:rsidRDefault="00536836" w:rsidP="0077355F">
            <w:pPr>
              <w:ind w:right="170"/>
              <w:jc w:val="right"/>
              <w:rPr>
                <w:lang w:eastAsia="en-AU"/>
              </w:rPr>
            </w:pPr>
          </w:p>
        </w:tc>
        <w:tc>
          <w:tcPr>
            <w:tcW w:w="1191" w:type="dxa"/>
            <w:tcBorders>
              <w:top w:val="nil"/>
              <w:left w:val="nil"/>
              <w:bottom w:val="nil"/>
              <w:right w:val="nil"/>
            </w:tcBorders>
            <w:shd w:val="clear" w:color="auto" w:fill="auto"/>
            <w:noWrap/>
            <w:vAlign w:val="bottom"/>
            <w:hideMark/>
          </w:tcPr>
          <w:p w14:paraId="6B10377C" w14:textId="77777777" w:rsidR="00536836" w:rsidRPr="00536836" w:rsidRDefault="00536836" w:rsidP="0077355F">
            <w:pPr>
              <w:ind w:right="170"/>
              <w:jc w:val="right"/>
              <w:rPr>
                <w:lang w:eastAsia="en-AU"/>
              </w:rPr>
            </w:pPr>
          </w:p>
        </w:tc>
      </w:tr>
      <w:tr w:rsidR="00536836" w:rsidRPr="00536836" w14:paraId="07ED89BC" w14:textId="77777777" w:rsidTr="0077355F">
        <w:trPr>
          <w:trHeight w:val="432"/>
        </w:trPr>
        <w:tc>
          <w:tcPr>
            <w:tcW w:w="6537" w:type="dxa"/>
            <w:tcBorders>
              <w:top w:val="nil"/>
              <w:left w:val="nil"/>
              <w:bottom w:val="nil"/>
              <w:right w:val="nil"/>
            </w:tcBorders>
            <w:shd w:val="clear" w:color="auto" w:fill="auto"/>
            <w:vAlign w:val="bottom"/>
            <w:hideMark/>
          </w:tcPr>
          <w:p w14:paraId="33D63D86" w14:textId="77777777" w:rsidR="00536836" w:rsidRPr="00536836" w:rsidRDefault="00536836" w:rsidP="00536836">
            <w:pPr>
              <w:rPr>
                <w:rFonts w:cs="Arial"/>
                <w:color w:val="000000"/>
                <w:sz w:val="16"/>
                <w:szCs w:val="16"/>
                <w:lang w:eastAsia="en-AU"/>
              </w:rPr>
            </w:pPr>
            <w:r w:rsidRPr="00536836">
              <w:rPr>
                <w:rFonts w:cs="Arial"/>
                <w:color w:val="000000"/>
                <w:sz w:val="16"/>
                <w:szCs w:val="16"/>
                <w:lang w:eastAsia="en-AU"/>
              </w:rPr>
              <w:t xml:space="preserve">Proportion of public school students in the top two NAPLAN bands for reading and numeracy </w:t>
            </w:r>
            <w:r w:rsidRPr="00536836">
              <w:rPr>
                <w:rFonts w:cs="Arial"/>
                <w:color w:val="000000"/>
                <w:sz w:val="16"/>
                <w:szCs w:val="16"/>
                <w:vertAlign w:val="superscript"/>
                <w:lang w:eastAsia="en-AU"/>
              </w:rPr>
              <w:t>(b)</w:t>
            </w:r>
          </w:p>
        </w:tc>
        <w:tc>
          <w:tcPr>
            <w:tcW w:w="736" w:type="dxa"/>
            <w:tcBorders>
              <w:top w:val="nil"/>
              <w:left w:val="nil"/>
              <w:bottom w:val="nil"/>
              <w:right w:val="nil"/>
            </w:tcBorders>
            <w:shd w:val="clear" w:color="auto" w:fill="auto"/>
            <w:noWrap/>
            <w:vAlign w:val="bottom"/>
            <w:hideMark/>
          </w:tcPr>
          <w:p w14:paraId="3D030011" w14:textId="77777777" w:rsidR="00536836" w:rsidRPr="00536836" w:rsidRDefault="00536836" w:rsidP="00B80EC5">
            <w:pPr>
              <w:jc w:val="center"/>
              <w:rPr>
                <w:rFonts w:cs="Arial"/>
                <w:color w:val="000000"/>
                <w:sz w:val="16"/>
                <w:szCs w:val="16"/>
                <w:lang w:eastAsia="en-AU"/>
              </w:rPr>
            </w:pPr>
            <w:r w:rsidRPr="00536836">
              <w:rPr>
                <w:rFonts w:cs="Arial"/>
                <w:color w:val="000000"/>
                <w:sz w:val="16"/>
                <w:szCs w:val="16"/>
                <w:lang w:eastAsia="en-AU"/>
              </w:rPr>
              <w:t>%</w:t>
            </w:r>
          </w:p>
        </w:tc>
        <w:tc>
          <w:tcPr>
            <w:tcW w:w="1191" w:type="dxa"/>
            <w:tcBorders>
              <w:top w:val="nil"/>
              <w:left w:val="nil"/>
              <w:bottom w:val="nil"/>
              <w:right w:val="nil"/>
            </w:tcBorders>
            <w:shd w:val="clear" w:color="auto" w:fill="auto"/>
            <w:noWrap/>
            <w:vAlign w:val="bottom"/>
            <w:hideMark/>
          </w:tcPr>
          <w:p w14:paraId="37266378" w14:textId="77777777" w:rsidR="00536836" w:rsidRPr="00536836" w:rsidRDefault="00536836" w:rsidP="0077355F">
            <w:pPr>
              <w:ind w:right="170"/>
              <w:jc w:val="right"/>
              <w:rPr>
                <w:rFonts w:cs="Arial"/>
                <w:color w:val="000000"/>
                <w:sz w:val="16"/>
                <w:szCs w:val="16"/>
                <w:lang w:eastAsia="en-AU"/>
              </w:rPr>
            </w:pPr>
            <w:r w:rsidRPr="00536836">
              <w:rPr>
                <w:rFonts w:cs="Arial"/>
                <w:color w:val="000000"/>
                <w:sz w:val="16"/>
                <w:szCs w:val="16"/>
                <w:lang w:eastAsia="en-AU"/>
              </w:rPr>
              <w:t xml:space="preserve">32.2 </w:t>
            </w:r>
          </w:p>
        </w:tc>
        <w:tc>
          <w:tcPr>
            <w:tcW w:w="1191" w:type="dxa"/>
            <w:tcBorders>
              <w:top w:val="nil"/>
              <w:left w:val="nil"/>
              <w:bottom w:val="nil"/>
              <w:right w:val="nil"/>
            </w:tcBorders>
            <w:shd w:val="clear" w:color="auto" w:fill="auto"/>
            <w:noWrap/>
            <w:vAlign w:val="bottom"/>
            <w:hideMark/>
          </w:tcPr>
          <w:p w14:paraId="56C2BD85" w14:textId="77777777" w:rsidR="00536836" w:rsidRPr="00536836" w:rsidRDefault="00536836" w:rsidP="0077355F">
            <w:pPr>
              <w:ind w:right="170"/>
              <w:jc w:val="right"/>
              <w:rPr>
                <w:rFonts w:cs="Arial"/>
                <w:color w:val="000000"/>
                <w:sz w:val="16"/>
                <w:szCs w:val="16"/>
                <w:lang w:eastAsia="en-AU"/>
              </w:rPr>
            </w:pPr>
            <w:r w:rsidRPr="00536836">
              <w:rPr>
                <w:rFonts w:cs="Arial"/>
                <w:color w:val="000000"/>
                <w:sz w:val="16"/>
                <w:szCs w:val="16"/>
                <w:lang w:eastAsia="en-AU"/>
              </w:rPr>
              <w:t xml:space="preserve">33.5 </w:t>
            </w:r>
          </w:p>
        </w:tc>
      </w:tr>
      <w:tr w:rsidR="00536836" w:rsidRPr="00536836" w14:paraId="677CD059" w14:textId="77777777" w:rsidTr="0077355F">
        <w:trPr>
          <w:trHeight w:val="408"/>
        </w:trPr>
        <w:tc>
          <w:tcPr>
            <w:tcW w:w="6537" w:type="dxa"/>
            <w:tcBorders>
              <w:top w:val="nil"/>
              <w:left w:val="nil"/>
              <w:bottom w:val="nil"/>
              <w:right w:val="nil"/>
            </w:tcBorders>
            <w:shd w:val="clear" w:color="auto" w:fill="auto"/>
            <w:vAlign w:val="bottom"/>
            <w:hideMark/>
          </w:tcPr>
          <w:p w14:paraId="3EC9B2C9" w14:textId="77777777" w:rsidR="00536836" w:rsidRPr="00536836" w:rsidRDefault="00536836" w:rsidP="00536836">
            <w:pPr>
              <w:rPr>
                <w:rFonts w:cs="Arial"/>
                <w:color w:val="000000"/>
                <w:sz w:val="16"/>
                <w:szCs w:val="16"/>
                <w:lang w:eastAsia="en-AU"/>
              </w:rPr>
            </w:pPr>
            <w:r w:rsidRPr="00536836">
              <w:rPr>
                <w:rFonts w:cs="Arial"/>
                <w:color w:val="000000"/>
                <w:sz w:val="16"/>
                <w:szCs w:val="16"/>
                <w:lang w:eastAsia="en-AU"/>
              </w:rPr>
              <w:t>Proportion of public school students above the national minimum standard for reading and numeracy</w:t>
            </w:r>
          </w:p>
        </w:tc>
        <w:tc>
          <w:tcPr>
            <w:tcW w:w="736" w:type="dxa"/>
            <w:tcBorders>
              <w:top w:val="nil"/>
              <w:left w:val="nil"/>
              <w:bottom w:val="nil"/>
              <w:right w:val="nil"/>
            </w:tcBorders>
            <w:shd w:val="clear" w:color="auto" w:fill="auto"/>
            <w:noWrap/>
            <w:vAlign w:val="bottom"/>
            <w:hideMark/>
          </w:tcPr>
          <w:p w14:paraId="5ADC996B" w14:textId="77777777" w:rsidR="00536836" w:rsidRPr="00536836" w:rsidRDefault="00536836" w:rsidP="00B80EC5">
            <w:pPr>
              <w:jc w:val="center"/>
              <w:rPr>
                <w:rFonts w:cs="Arial"/>
                <w:color w:val="000000"/>
                <w:sz w:val="16"/>
                <w:szCs w:val="16"/>
                <w:lang w:eastAsia="en-AU"/>
              </w:rPr>
            </w:pPr>
            <w:r w:rsidRPr="00536836">
              <w:rPr>
                <w:rFonts w:cs="Arial"/>
                <w:color w:val="000000"/>
                <w:sz w:val="16"/>
                <w:szCs w:val="16"/>
                <w:lang w:eastAsia="en-AU"/>
              </w:rPr>
              <w:t>%</w:t>
            </w:r>
          </w:p>
        </w:tc>
        <w:tc>
          <w:tcPr>
            <w:tcW w:w="1191" w:type="dxa"/>
            <w:tcBorders>
              <w:top w:val="nil"/>
              <w:left w:val="nil"/>
              <w:bottom w:val="nil"/>
              <w:right w:val="nil"/>
            </w:tcBorders>
            <w:shd w:val="clear" w:color="auto" w:fill="auto"/>
            <w:noWrap/>
            <w:vAlign w:val="bottom"/>
            <w:hideMark/>
          </w:tcPr>
          <w:p w14:paraId="5BF673E3" w14:textId="77777777" w:rsidR="00536836" w:rsidRPr="00536836" w:rsidRDefault="00536836" w:rsidP="0077355F">
            <w:pPr>
              <w:ind w:right="170"/>
              <w:jc w:val="right"/>
              <w:rPr>
                <w:rFonts w:cs="Arial"/>
                <w:color w:val="000000"/>
                <w:sz w:val="16"/>
                <w:szCs w:val="16"/>
                <w:lang w:eastAsia="en-AU"/>
              </w:rPr>
            </w:pPr>
            <w:r w:rsidRPr="00536836">
              <w:rPr>
                <w:rFonts w:cs="Arial"/>
                <w:color w:val="000000"/>
                <w:sz w:val="16"/>
                <w:szCs w:val="16"/>
                <w:lang w:eastAsia="en-AU"/>
              </w:rPr>
              <w:t xml:space="preserve">79.5 </w:t>
            </w:r>
          </w:p>
        </w:tc>
        <w:tc>
          <w:tcPr>
            <w:tcW w:w="1191" w:type="dxa"/>
            <w:tcBorders>
              <w:top w:val="nil"/>
              <w:left w:val="nil"/>
              <w:bottom w:val="nil"/>
              <w:right w:val="nil"/>
            </w:tcBorders>
            <w:shd w:val="clear" w:color="auto" w:fill="auto"/>
            <w:noWrap/>
            <w:vAlign w:val="bottom"/>
            <w:hideMark/>
          </w:tcPr>
          <w:p w14:paraId="18C8B963" w14:textId="77777777" w:rsidR="00536836" w:rsidRPr="00536836" w:rsidRDefault="00536836" w:rsidP="0077355F">
            <w:pPr>
              <w:ind w:right="170"/>
              <w:jc w:val="right"/>
              <w:rPr>
                <w:rFonts w:cs="Arial"/>
                <w:color w:val="000000"/>
                <w:sz w:val="16"/>
                <w:szCs w:val="16"/>
                <w:lang w:eastAsia="en-AU"/>
              </w:rPr>
            </w:pPr>
            <w:r w:rsidRPr="00536836">
              <w:rPr>
                <w:rFonts w:cs="Arial"/>
                <w:color w:val="000000"/>
                <w:sz w:val="16"/>
                <w:szCs w:val="16"/>
                <w:lang w:eastAsia="en-AU"/>
              </w:rPr>
              <w:t xml:space="preserve">83.5 </w:t>
            </w:r>
          </w:p>
        </w:tc>
      </w:tr>
      <w:tr w:rsidR="00536836" w:rsidRPr="00536836" w14:paraId="00FC9622" w14:textId="77777777" w:rsidTr="0077355F">
        <w:trPr>
          <w:trHeight w:val="432"/>
        </w:trPr>
        <w:tc>
          <w:tcPr>
            <w:tcW w:w="6537" w:type="dxa"/>
            <w:tcBorders>
              <w:top w:val="nil"/>
              <w:left w:val="nil"/>
              <w:bottom w:val="nil"/>
              <w:right w:val="nil"/>
            </w:tcBorders>
            <w:shd w:val="clear" w:color="auto" w:fill="auto"/>
            <w:vAlign w:val="bottom"/>
            <w:hideMark/>
          </w:tcPr>
          <w:p w14:paraId="3A51C7D0" w14:textId="77777777" w:rsidR="00536836" w:rsidRPr="00536836" w:rsidRDefault="00536836" w:rsidP="00536836">
            <w:pPr>
              <w:rPr>
                <w:rFonts w:cs="Arial"/>
                <w:color w:val="000000"/>
                <w:sz w:val="16"/>
                <w:szCs w:val="16"/>
                <w:lang w:eastAsia="en-AU"/>
              </w:rPr>
            </w:pPr>
            <w:r w:rsidRPr="00536836">
              <w:rPr>
                <w:rFonts w:cs="Arial"/>
                <w:color w:val="000000"/>
                <w:sz w:val="16"/>
                <w:szCs w:val="16"/>
                <w:lang w:eastAsia="en-AU"/>
              </w:rPr>
              <w:t>Proportion of NSW public school students achieving expected growth in reading and numeracy</w:t>
            </w:r>
            <w:r w:rsidRPr="00536836">
              <w:rPr>
                <w:rFonts w:cs="Arial"/>
                <w:color w:val="000000"/>
                <w:sz w:val="16"/>
                <w:szCs w:val="16"/>
                <w:vertAlign w:val="superscript"/>
                <w:lang w:eastAsia="en-AU"/>
              </w:rPr>
              <w:t>(b)</w:t>
            </w:r>
          </w:p>
        </w:tc>
        <w:tc>
          <w:tcPr>
            <w:tcW w:w="736" w:type="dxa"/>
            <w:tcBorders>
              <w:top w:val="nil"/>
              <w:left w:val="nil"/>
              <w:bottom w:val="nil"/>
              <w:right w:val="nil"/>
            </w:tcBorders>
            <w:shd w:val="clear" w:color="auto" w:fill="auto"/>
            <w:noWrap/>
            <w:vAlign w:val="bottom"/>
            <w:hideMark/>
          </w:tcPr>
          <w:p w14:paraId="6E6B5C76" w14:textId="77777777" w:rsidR="00536836" w:rsidRPr="00536836" w:rsidRDefault="00536836" w:rsidP="00B80EC5">
            <w:pPr>
              <w:jc w:val="center"/>
              <w:rPr>
                <w:rFonts w:cs="Arial"/>
                <w:color w:val="000000"/>
                <w:sz w:val="16"/>
                <w:szCs w:val="16"/>
                <w:lang w:eastAsia="en-AU"/>
              </w:rPr>
            </w:pPr>
            <w:r w:rsidRPr="00536836">
              <w:rPr>
                <w:rFonts w:cs="Arial"/>
                <w:color w:val="000000"/>
                <w:sz w:val="16"/>
                <w:szCs w:val="16"/>
                <w:lang w:eastAsia="en-AU"/>
              </w:rPr>
              <w:t>%</w:t>
            </w:r>
          </w:p>
        </w:tc>
        <w:tc>
          <w:tcPr>
            <w:tcW w:w="1191" w:type="dxa"/>
            <w:tcBorders>
              <w:top w:val="nil"/>
              <w:left w:val="nil"/>
              <w:bottom w:val="nil"/>
              <w:right w:val="nil"/>
            </w:tcBorders>
            <w:shd w:val="clear" w:color="auto" w:fill="auto"/>
            <w:noWrap/>
            <w:vAlign w:val="bottom"/>
            <w:hideMark/>
          </w:tcPr>
          <w:p w14:paraId="27C71C45" w14:textId="77777777" w:rsidR="00536836" w:rsidRPr="00536836" w:rsidRDefault="00536836" w:rsidP="0077355F">
            <w:pPr>
              <w:ind w:right="170"/>
              <w:jc w:val="right"/>
              <w:rPr>
                <w:rFonts w:cs="Arial"/>
                <w:color w:val="000000"/>
                <w:sz w:val="16"/>
                <w:szCs w:val="16"/>
                <w:lang w:eastAsia="en-AU"/>
              </w:rPr>
            </w:pPr>
            <w:r w:rsidRPr="00536836">
              <w:rPr>
                <w:rFonts w:cs="Arial"/>
                <w:color w:val="000000"/>
                <w:sz w:val="16"/>
                <w:szCs w:val="16"/>
                <w:lang w:eastAsia="en-AU"/>
              </w:rPr>
              <w:t xml:space="preserve">56.4 </w:t>
            </w:r>
          </w:p>
        </w:tc>
        <w:tc>
          <w:tcPr>
            <w:tcW w:w="1191" w:type="dxa"/>
            <w:tcBorders>
              <w:top w:val="nil"/>
              <w:left w:val="nil"/>
              <w:bottom w:val="nil"/>
              <w:right w:val="nil"/>
            </w:tcBorders>
            <w:shd w:val="clear" w:color="auto" w:fill="auto"/>
            <w:noWrap/>
            <w:vAlign w:val="bottom"/>
            <w:hideMark/>
          </w:tcPr>
          <w:p w14:paraId="1C945138" w14:textId="77777777" w:rsidR="00536836" w:rsidRPr="00536836" w:rsidRDefault="00536836" w:rsidP="0077355F">
            <w:pPr>
              <w:ind w:right="170"/>
              <w:jc w:val="right"/>
              <w:rPr>
                <w:rFonts w:cs="Arial"/>
                <w:color w:val="000000"/>
                <w:sz w:val="16"/>
                <w:szCs w:val="16"/>
                <w:lang w:eastAsia="en-AU"/>
              </w:rPr>
            </w:pPr>
            <w:r w:rsidRPr="00536836">
              <w:rPr>
                <w:rFonts w:cs="Arial"/>
                <w:color w:val="000000"/>
                <w:sz w:val="16"/>
                <w:szCs w:val="16"/>
                <w:lang w:eastAsia="en-AU"/>
              </w:rPr>
              <w:t xml:space="preserve">64.4 </w:t>
            </w:r>
          </w:p>
        </w:tc>
      </w:tr>
      <w:tr w:rsidR="00536836" w:rsidRPr="00536836" w14:paraId="7C0B35F7" w14:textId="77777777" w:rsidTr="0077355F">
        <w:trPr>
          <w:trHeight w:val="252"/>
        </w:trPr>
        <w:tc>
          <w:tcPr>
            <w:tcW w:w="6537" w:type="dxa"/>
            <w:tcBorders>
              <w:top w:val="nil"/>
              <w:left w:val="nil"/>
              <w:bottom w:val="nil"/>
              <w:right w:val="nil"/>
            </w:tcBorders>
            <w:shd w:val="clear" w:color="auto" w:fill="auto"/>
            <w:vAlign w:val="bottom"/>
            <w:hideMark/>
          </w:tcPr>
          <w:p w14:paraId="75184015" w14:textId="77777777" w:rsidR="00536836" w:rsidRPr="00536836" w:rsidRDefault="00536836" w:rsidP="00536836">
            <w:pPr>
              <w:rPr>
                <w:rFonts w:cs="Arial"/>
                <w:b/>
                <w:bCs/>
                <w:color w:val="000000"/>
                <w:sz w:val="16"/>
                <w:szCs w:val="16"/>
                <w:lang w:eastAsia="en-AU"/>
              </w:rPr>
            </w:pPr>
            <w:r w:rsidRPr="00536836">
              <w:rPr>
                <w:rFonts w:cs="Arial"/>
                <w:b/>
                <w:bCs/>
                <w:color w:val="000000"/>
                <w:sz w:val="16"/>
                <w:szCs w:val="16"/>
                <w:lang w:eastAsia="en-AU"/>
              </w:rPr>
              <w:t>Student Wellbeing</w:t>
            </w:r>
          </w:p>
        </w:tc>
        <w:tc>
          <w:tcPr>
            <w:tcW w:w="736" w:type="dxa"/>
            <w:tcBorders>
              <w:top w:val="nil"/>
              <w:left w:val="nil"/>
              <w:bottom w:val="nil"/>
              <w:right w:val="nil"/>
            </w:tcBorders>
            <w:shd w:val="clear" w:color="auto" w:fill="auto"/>
            <w:noWrap/>
            <w:vAlign w:val="bottom"/>
            <w:hideMark/>
          </w:tcPr>
          <w:p w14:paraId="3E5F6C80" w14:textId="77777777" w:rsidR="00536836" w:rsidRPr="00536836" w:rsidRDefault="00536836" w:rsidP="00B80EC5">
            <w:pPr>
              <w:jc w:val="center"/>
              <w:rPr>
                <w:rFonts w:cs="Arial"/>
                <w:b/>
                <w:bCs/>
                <w:color w:val="000000"/>
                <w:sz w:val="16"/>
                <w:szCs w:val="16"/>
                <w:lang w:eastAsia="en-AU"/>
              </w:rPr>
            </w:pPr>
          </w:p>
        </w:tc>
        <w:tc>
          <w:tcPr>
            <w:tcW w:w="1191" w:type="dxa"/>
            <w:tcBorders>
              <w:top w:val="nil"/>
              <w:left w:val="nil"/>
              <w:bottom w:val="nil"/>
              <w:right w:val="nil"/>
            </w:tcBorders>
            <w:shd w:val="clear" w:color="auto" w:fill="auto"/>
            <w:noWrap/>
            <w:vAlign w:val="bottom"/>
            <w:hideMark/>
          </w:tcPr>
          <w:p w14:paraId="6DD24E14" w14:textId="77777777" w:rsidR="00536836" w:rsidRPr="00536836" w:rsidRDefault="00536836" w:rsidP="0077355F">
            <w:pPr>
              <w:ind w:right="170"/>
              <w:jc w:val="right"/>
              <w:rPr>
                <w:lang w:eastAsia="en-AU"/>
              </w:rPr>
            </w:pPr>
          </w:p>
        </w:tc>
        <w:tc>
          <w:tcPr>
            <w:tcW w:w="1191" w:type="dxa"/>
            <w:tcBorders>
              <w:top w:val="nil"/>
              <w:left w:val="nil"/>
              <w:bottom w:val="nil"/>
              <w:right w:val="nil"/>
            </w:tcBorders>
            <w:shd w:val="clear" w:color="auto" w:fill="auto"/>
            <w:noWrap/>
            <w:vAlign w:val="bottom"/>
            <w:hideMark/>
          </w:tcPr>
          <w:p w14:paraId="380A3E77" w14:textId="77777777" w:rsidR="00536836" w:rsidRPr="00536836" w:rsidRDefault="00536836" w:rsidP="0077355F">
            <w:pPr>
              <w:ind w:right="170"/>
              <w:jc w:val="right"/>
              <w:rPr>
                <w:lang w:eastAsia="en-AU"/>
              </w:rPr>
            </w:pPr>
          </w:p>
        </w:tc>
      </w:tr>
      <w:tr w:rsidR="00536836" w:rsidRPr="00536836" w14:paraId="7E5511F3" w14:textId="77777777" w:rsidTr="0077355F">
        <w:trPr>
          <w:trHeight w:val="432"/>
        </w:trPr>
        <w:tc>
          <w:tcPr>
            <w:tcW w:w="6537" w:type="dxa"/>
            <w:tcBorders>
              <w:top w:val="nil"/>
              <w:left w:val="nil"/>
              <w:bottom w:val="nil"/>
              <w:right w:val="nil"/>
            </w:tcBorders>
            <w:shd w:val="clear" w:color="auto" w:fill="auto"/>
            <w:vAlign w:val="bottom"/>
            <w:hideMark/>
          </w:tcPr>
          <w:p w14:paraId="552243A8" w14:textId="77777777" w:rsidR="00536836" w:rsidRPr="00536836" w:rsidRDefault="00536836" w:rsidP="00536836">
            <w:pPr>
              <w:rPr>
                <w:rFonts w:cs="Arial"/>
                <w:color w:val="000000"/>
                <w:sz w:val="16"/>
                <w:szCs w:val="16"/>
                <w:lang w:eastAsia="en-AU"/>
              </w:rPr>
            </w:pPr>
            <w:r w:rsidRPr="00536836">
              <w:rPr>
                <w:rFonts w:cs="Arial"/>
                <w:color w:val="000000"/>
                <w:sz w:val="16"/>
                <w:szCs w:val="16"/>
                <w:lang w:eastAsia="en-AU"/>
              </w:rPr>
              <w:t>Proportion of public school students reporting a sense of belonging, expectations for success and advocacy at school</w:t>
            </w:r>
            <w:r w:rsidRPr="00536836">
              <w:rPr>
                <w:rFonts w:cs="Arial"/>
                <w:color w:val="000000"/>
                <w:sz w:val="16"/>
                <w:szCs w:val="16"/>
                <w:vertAlign w:val="superscript"/>
                <w:lang w:eastAsia="en-AU"/>
              </w:rPr>
              <w:t>(g)</w:t>
            </w:r>
          </w:p>
        </w:tc>
        <w:tc>
          <w:tcPr>
            <w:tcW w:w="736" w:type="dxa"/>
            <w:tcBorders>
              <w:top w:val="nil"/>
              <w:left w:val="nil"/>
              <w:bottom w:val="nil"/>
              <w:right w:val="nil"/>
            </w:tcBorders>
            <w:shd w:val="clear" w:color="auto" w:fill="auto"/>
            <w:noWrap/>
            <w:vAlign w:val="bottom"/>
            <w:hideMark/>
          </w:tcPr>
          <w:p w14:paraId="1E8A78D9" w14:textId="77777777" w:rsidR="00536836" w:rsidRPr="00536836" w:rsidRDefault="00536836" w:rsidP="00B80EC5">
            <w:pPr>
              <w:jc w:val="center"/>
              <w:rPr>
                <w:rFonts w:cs="Arial"/>
                <w:color w:val="000000"/>
                <w:sz w:val="16"/>
                <w:szCs w:val="16"/>
                <w:lang w:eastAsia="en-AU"/>
              </w:rPr>
            </w:pPr>
            <w:r w:rsidRPr="00536836">
              <w:rPr>
                <w:rFonts w:cs="Arial"/>
                <w:color w:val="000000"/>
                <w:sz w:val="16"/>
                <w:szCs w:val="16"/>
                <w:lang w:eastAsia="en-AU"/>
              </w:rPr>
              <w:t>%</w:t>
            </w:r>
          </w:p>
        </w:tc>
        <w:tc>
          <w:tcPr>
            <w:tcW w:w="1191" w:type="dxa"/>
            <w:tcBorders>
              <w:top w:val="nil"/>
              <w:left w:val="nil"/>
              <w:bottom w:val="nil"/>
              <w:right w:val="nil"/>
            </w:tcBorders>
            <w:shd w:val="clear" w:color="auto" w:fill="auto"/>
            <w:noWrap/>
            <w:vAlign w:val="bottom"/>
            <w:hideMark/>
          </w:tcPr>
          <w:p w14:paraId="414AD720" w14:textId="77777777" w:rsidR="00536836" w:rsidRPr="00536836" w:rsidRDefault="00536836" w:rsidP="0077355F">
            <w:pPr>
              <w:ind w:right="170"/>
              <w:jc w:val="right"/>
              <w:rPr>
                <w:rFonts w:cs="Arial"/>
                <w:color w:val="000000"/>
                <w:sz w:val="16"/>
                <w:szCs w:val="16"/>
                <w:lang w:eastAsia="en-AU"/>
              </w:rPr>
            </w:pPr>
          </w:p>
        </w:tc>
        <w:tc>
          <w:tcPr>
            <w:tcW w:w="1191" w:type="dxa"/>
            <w:tcBorders>
              <w:top w:val="nil"/>
              <w:left w:val="nil"/>
              <w:bottom w:val="nil"/>
              <w:right w:val="nil"/>
            </w:tcBorders>
            <w:shd w:val="clear" w:color="auto" w:fill="auto"/>
            <w:noWrap/>
            <w:vAlign w:val="bottom"/>
            <w:hideMark/>
          </w:tcPr>
          <w:p w14:paraId="6F2BCC9A" w14:textId="77777777" w:rsidR="00536836" w:rsidRPr="00536836" w:rsidRDefault="00536836" w:rsidP="0077355F">
            <w:pPr>
              <w:ind w:right="170"/>
              <w:jc w:val="right"/>
              <w:rPr>
                <w:lang w:eastAsia="en-AU"/>
              </w:rPr>
            </w:pPr>
          </w:p>
        </w:tc>
      </w:tr>
      <w:tr w:rsidR="00536836" w:rsidRPr="00536836" w14:paraId="4BC02CD5" w14:textId="77777777" w:rsidTr="0077355F">
        <w:trPr>
          <w:trHeight w:val="204"/>
        </w:trPr>
        <w:tc>
          <w:tcPr>
            <w:tcW w:w="6537" w:type="dxa"/>
            <w:tcBorders>
              <w:top w:val="nil"/>
              <w:left w:val="nil"/>
              <w:bottom w:val="nil"/>
              <w:right w:val="nil"/>
            </w:tcBorders>
            <w:shd w:val="clear" w:color="auto" w:fill="auto"/>
            <w:vAlign w:val="bottom"/>
            <w:hideMark/>
          </w:tcPr>
          <w:p w14:paraId="209E8799" w14:textId="77777777" w:rsidR="00536836" w:rsidRPr="00536836" w:rsidRDefault="00536836" w:rsidP="00536836">
            <w:pPr>
              <w:ind w:firstLineChars="300" w:firstLine="480"/>
              <w:rPr>
                <w:rFonts w:cs="Arial"/>
                <w:color w:val="000000"/>
                <w:sz w:val="16"/>
                <w:szCs w:val="16"/>
                <w:lang w:eastAsia="en-AU"/>
              </w:rPr>
            </w:pPr>
            <w:r w:rsidRPr="00536836">
              <w:rPr>
                <w:rFonts w:cs="Arial"/>
                <w:color w:val="000000"/>
                <w:sz w:val="16"/>
                <w:szCs w:val="16"/>
                <w:lang w:eastAsia="en-AU"/>
              </w:rPr>
              <w:t>% of public school primary students</w:t>
            </w:r>
          </w:p>
        </w:tc>
        <w:tc>
          <w:tcPr>
            <w:tcW w:w="736" w:type="dxa"/>
            <w:tcBorders>
              <w:top w:val="nil"/>
              <w:left w:val="nil"/>
              <w:bottom w:val="nil"/>
              <w:right w:val="nil"/>
            </w:tcBorders>
            <w:shd w:val="clear" w:color="auto" w:fill="auto"/>
            <w:noWrap/>
            <w:vAlign w:val="bottom"/>
            <w:hideMark/>
          </w:tcPr>
          <w:p w14:paraId="7CC4B6D8" w14:textId="77777777" w:rsidR="00536836" w:rsidRPr="00536836" w:rsidRDefault="00536836" w:rsidP="00B80EC5">
            <w:pPr>
              <w:ind w:firstLineChars="300" w:firstLine="480"/>
              <w:jc w:val="center"/>
              <w:rPr>
                <w:rFonts w:cs="Arial"/>
                <w:color w:val="000000"/>
                <w:sz w:val="16"/>
                <w:szCs w:val="16"/>
                <w:lang w:eastAsia="en-AU"/>
              </w:rPr>
            </w:pPr>
          </w:p>
        </w:tc>
        <w:tc>
          <w:tcPr>
            <w:tcW w:w="1191" w:type="dxa"/>
            <w:tcBorders>
              <w:top w:val="nil"/>
              <w:left w:val="nil"/>
              <w:bottom w:val="nil"/>
              <w:right w:val="nil"/>
            </w:tcBorders>
            <w:shd w:val="clear" w:color="auto" w:fill="auto"/>
            <w:noWrap/>
            <w:vAlign w:val="bottom"/>
            <w:hideMark/>
          </w:tcPr>
          <w:p w14:paraId="21A77A80" w14:textId="77777777" w:rsidR="00536836" w:rsidRPr="00536836" w:rsidRDefault="00536836" w:rsidP="0077355F">
            <w:pPr>
              <w:ind w:right="170"/>
              <w:jc w:val="right"/>
              <w:rPr>
                <w:rFonts w:cs="Arial"/>
                <w:sz w:val="16"/>
                <w:szCs w:val="16"/>
                <w:lang w:eastAsia="en-AU"/>
              </w:rPr>
            </w:pPr>
            <w:r w:rsidRPr="00536836">
              <w:rPr>
                <w:rFonts w:cs="Arial"/>
                <w:sz w:val="16"/>
                <w:szCs w:val="16"/>
                <w:lang w:eastAsia="en-AU"/>
              </w:rPr>
              <w:t xml:space="preserve">85.7 </w:t>
            </w:r>
          </w:p>
        </w:tc>
        <w:tc>
          <w:tcPr>
            <w:tcW w:w="1191" w:type="dxa"/>
            <w:tcBorders>
              <w:top w:val="nil"/>
              <w:left w:val="nil"/>
              <w:bottom w:val="nil"/>
              <w:right w:val="nil"/>
            </w:tcBorders>
            <w:shd w:val="clear" w:color="auto" w:fill="auto"/>
            <w:noWrap/>
            <w:vAlign w:val="bottom"/>
            <w:hideMark/>
          </w:tcPr>
          <w:p w14:paraId="3113480F" w14:textId="37B2EFC6" w:rsidR="00536836" w:rsidRPr="00536836" w:rsidRDefault="00536836" w:rsidP="0077355F">
            <w:pPr>
              <w:ind w:right="170"/>
              <w:jc w:val="right"/>
              <w:rPr>
                <w:rFonts w:cs="Arial"/>
                <w:sz w:val="16"/>
                <w:szCs w:val="16"/>
                <w:lang w:eastAsia="en-AU"/>
              </w:rPr>
            </w:pPr>
            <w:r w:rsidRPr="00536836">
              <w:rPr>
                <w:rFonts w:cs="Arial"/>
                <w:sz w:val="16"/>
                <w:szCs w:val="16"/>
                <w:lang w:eastAsia="en-AU"/>
              </w:rPr>
              <w:t xml:space="preserve">85.0 </w:t>
            </w:r>
          </w:p>
        </w:tc>
      </w:tr>
      <w:tr w:rsidR="00536836" w:rsidRPr="00536836" w14:paraId="2389650E" w14:textId="77777777" w:rsidTr="0077355F">
        <w:trPr>
          <w:trHeight w:val="204"/>
        </w:trPr>
        <w:tc>
          <w:tcPr>
            <w:tcW w:w="6537" w:type="dxa"/>
            <w:tcBorders>
              <w:top w:val="nil"/>
              <w:left w:val="nil"/>
              <w:bottom w:val="nil"/>
              <w:right w:val="nil"/>
            </w:tcBorders>
            <w:shd w:val="clear" w:color="auto" w:fill="auto"/>
            <w:vAlign w:val="bottom"/>
            <w:hideMark/>
          </w:tcPr>
          <w:p w14:paraId="2684C8DD" w14:textId="77777777" w:rsidR="00536836" w:rsidRPr="00536836" w:rsidRDefault="00536836" w:rsidP="00536836">
            <w:pPr>
              <w:ind w:firstLineChars="300" w:firstLine="480"/>
              <w:rPr>
                <w:rFonts w:cs="Arial"/>
                <w:color w:val="000000"/>
                <w:sz w:val="16"/>
                <w:szCs w:val="16"/>
                <w:lang w:eastAsia="en-AU"/>
              </w:rPr>
            </w:pPr>
            <w:r w:rsidRPr="00536836">
              <w:rPr>
                <w:rFonts w:cs="Arial"/>
                <w:color w:val="000000"/>
                <w:sz w:val="16"/>
                <w:szCs w:val="16"/>
                <w:lang w:eastAsia="en-AU"/>
              </w:rPr>
              <w:t>% of public school secondary students</w:t>
            </w:r>
          </w:p>
        </w:tc>
        <w:tc>
          <w:tcPr>
            <w:tcW w:w="736" w:type="dxa"/>
            <w:tcBorders>
              <w:top w:val="nil"/>
              <w:left w:val="nil"/>
              <w:bottom w:val="nil"/>
              <w:right w:val="nil"/>
            </w:tcBorders>
            <w:shd w:val="clear" w:color="auto" w:fill="auto"/>
            <w:noWrap/>
            <w:vAlign w:val="bottom"/>
            <w:hideMark/>
          </w:tcPr>
          <w:p w14:paraId="4F1A85D3" w14:textId="77777777" w:rsidR="00536836" w:rsidRPr="00536836" w:rsidRDefault="00536836" w:rsidP="00B80EC5">
            <w:pPr>
              <w:ind w:firstLineChars="300" w:firstLine="480"/>
              <w:jc w:val="center"/>
              <w:rPr>
                <w:rFonts w:cs="Arial"/>
                <w:color w:val="000000"/>
                <w:sz w:val="16"/>
                <w:szCs w:val="16"/>
                <w:lang w:eastAsia="en-AU"/>
              </w:rPr>
            </w:pPr>
          </w:p>
        </w:tc>
        <w:tc>
          <w:tcPr>
            <w:tcW w:w="1191" w:type="dxa"/>
            <w:tcBorders>
              <w:top w:val="nil"/>
              <w:left w:val="nil"/>
              <w:bottom w:val="nil"/>
              <w:right w:val="nil"/>
            </w:tcBorders>
            <w:shd w:val="clear" w:color="auto" w:fill="auto"/>
            <w:noWrap/>
            <w:vAlign w:val="bottom"/>
            <w:hideMark/>
          </w:tcPr>
          <w:p w14:paraId="478CCAB1" w14:textId="77777777" w:rsidR="00536836" w:rsidRPr="00536836" w:rsidRDefault="00536836" w:rsidP="0077355F">
            <w:pPr>
              <w:ind w:right="170"/>
              <w:jc w:val="right"/>
              <w:rPr>
                <w:rFonts w:cs="Arial"/>
                <w:sz w:val="16"/>
                <w:szCs w:val="16"/>
                <w:lang w:eastAsia="en-AU"/>
              </w:rPr>
            </w:pPr>
            <w:r w:rsidRPr="00536836">
              <w:rPr>
                <w:rFonts w:cs="Arial"/>
                <w:sz w:val="16"/>
                <w:szCs w:val="16"/>
                <w:lang w:eastAsia="en-AU"/>
              </w:rPr>
              <w:t xml:space="preserve">64.8 </w:t>
            </w:r>
          </w:p>
        </w:tc>
        <w:tc>
          <w:tcPr>
            <w:tcW w:w="1191" w:type="dxa"/>
            <w:tcBorders>
              <w:top w:val="nil"/>
              <w:left w:val="nil"/>
              <w:bottom w:val="nil"/>
              <w:right w:val="nil"/>
            </w:tcBorders>
            <w:shd w:val="clear" w:color="auto" w:fill="auto"/>
            <w:noWrap/>
            <w:vAlign w:val="bottom"/>
            <w:hideMark/>
          </w:tcPr>
          <w:p w14:paraId="7F48B65F" w14:textId="77777777" w:rsidR="00536836" w:rsidRPr="00536836" w:rsidRDefault="00536836" w:rsidP="0077355F">
            <w:pPr>
              <w:ind w:right="170"/>
              <w:jc w:val="right"/>
              <w:rPr>
                <w:rFonts w:cs="Arial"/>
                <w:sz w:val="16"/>
                <w:szCs w:val="16"/>
                <w:lang w:eastAsia="en-AU"/>
              </w:rPr>
            </w:pPr>
            <w:r w:rsidRPr="00536836">
              <w:rPr>
                <w:rFonts w:cs="Arial"/>
                <w:sz w:val="16"/>
                <w:szCs w:val="16"/>
                <w:lang w:eastAsia="en-AU"/>
              </w:rPr>
              <w:t xml:space="preserve">67.3 </w:t>
            </w:r>
          </w:p>
        </w:tc>
      </w:tr>
      <w:tr w:rsidR="00536836" w:rsidRPr="00536836" w14:paraId="4F463CE1" w14:textId="77777777" w:rsidTr="0077355F">
        <w:trPr>
          <w:trHeight w:val="225"/>
        </w:trPr>
        <w:tc>
          <w:tcPr>
            <w:tcW w:w="6537" w:type="dxa"/>
            <w:tcBorders>
              <w:top w:val="nil"/>
              <w:left w:val="nil"/>
              <w:bottom w:val="nil"/>
              <w:right w:val="nil"/>
            </w:tcBorders>
            <w:shd w:val="clear" w:color="auto" w:fill="auto"/>
            <w:vAlign w:val="bottom"/>
            <w:hideMark/>
          </w:tcPr>
          <w:p w14:paraId="68F69E61" w14:textId="77777777" w:rsidR="00536836" w:rsidRPr="00536836" w:rsidRDefault="00536836" w:rsidP="00536836">
            <w:pPr>
              <w:rPr>
                <w:rFonts w:cs="Arial"/>
                <w:color w:val="000000"/>
                <w:sz w:val="16"/>
                <w:szCs w:val="16"/>
                <w:lang w:eastAsia="en-AU"/>
              </w:rPr>
            </w:pPr>
            <w:r w:rsidRPr="00536836">
              <w:rPr>
                <w:rFonts w:cs="Arial"/>
                <w:color w:val="000000"/>
                <w:sz w:val="16"/>
                <w:szCs w:val="16"/>
                <w:lang w:eastAsia="en-AU"/>
              </w:rPr>
              <w:t>Proportion of public school students attending school at least 90% of the time</w:t>
            </w:r>
            <w:r w:rsidRPr="00536836">
              <w:rPr>
                <w:rFonts w:cs="Arial"/>
                <w:color w:val="000000"/>
                <w:sz w:val="16"/>
                <w:szCs w:val="16"/>
                <w:vertAlign w:val="superscript"/>
                <w:lang w:eastAsia="en-AU"/>
              </w:rPr>
              <w:t>(e)</w:t>
            </w:r>
          </w:p>
        </w:tc>
        <w:tc>
          <w:tcPr>
            <w:tcW w:w="736" w:type="dxa"/>
            <w:tcBorders>
              <w:top w:val="nil"/>
              <w:left w:val="nil"/>
              <w:bottom w:val="nil"/>
              <w:right w:val="nil"/>
            </w:tcBorders>
            <w:shd w:val="clear" w:color="auto" w:fill="auto"/>
            <w:noWrap/>
            <w:vAlign w:val="bottom"/>
            <w:hideMark/>
          </w:tcPr>
          <w:p w14:paraId="5826D657" w14:textId="77777777" w:rsidR="00536836" w:rsidRPr="00536836" w:rsidRDefault="00536836" w:rsidP="00B80EC5">
            <w:pPr>
              <w:jc w:val="center"/>
              <w:rPr>
                <w:rFonts w:cs="Arial"/>
                <w:color w:val="000000"/>
                <w:sz w:val="16"/>
                <w:szCs w:val="16"/>
                <w:lang w:eastAsia="en-AU"/>
              </w:rPr>
            </w:pPr>
            <w:r w:rsidRPr="00536836">
              <w:rPr>
                <w:rFonts w:cs="Arial"/>
                <w:color w:val="000000"/>
                <w:sz w:val="16"/>
                <w:szCs w:val="16"/>
                <w:lang w:eastAsia="en-AU"/>
              </w:rPr>
              <w:t>%</w:t>
            </w:r>
          </w:p>
        </w:tc>
        <w:tc>
          <w:tcPr>
            <w:tcW w:w="1191" w:type="dxa"/>
            <w:tcBorders>
              <w:top w:val="nil"/>
              <w:left w:val="nil"/>
              <w:bottom w:val="nil"/>
              <w:right w:val="nil"/>
            </w:tcBorders>
            <w:shd w:val="clear" w:color="auto" w:fill="auto"/>
            <w:noWrap/>
            <w:vAlign w:val="bottom"/>
            <w:hideMark/>
          </w:tcPr>
          <w:p w14:paraId="64F99F0B" w14:textId="77777777" w:rsidR="00536836" w:rsidRPr="00536836" w:rsidRDefault="00536836" w:rsidP="0077355F">
            <w:pPr>
              <w:ind w:right="170"/>
              <w:jc w:val="right"/>
              <w:rPr>
                <w:rFonts w:cs="Arial"/>
                <w:color w:val="000000"/>
                <w:sz w:val="16"/>
                <w:szCs w:val="16"/>
                <w:lang w:eastAsia="en-AU"/>
              </w:rPr>
            </w:pPr>
          </w:p>
        </w:tc>
        <w:tc>
          <w:tcPr>
            <w:tcW w:w="1191" w:type="dxa"/>
            <w:tcBorders>
              <w:top w:val="nil"/>
              <w:left w:val="nil"/>
              <w:bottom w:val="nil"/>
              <w:right w:val="nil"/>
            </w:tcBorders>
            <w:shd w:val="clear" w:color="auto" w:fill="auto"/>
            <w:noWrap/>
            <w:vAlign w:val="bottom"/>
            <w:hideMark/>
          </w:tcPr>
          <w:p w14:paraId="57576839" w14:textId="77777777" w:rsidR="00536836" w:rsidRPr="00536836" w:rsidRDefault="00536836" w:rsidP="0077355F">
            <w:pPr>
              <w:ind w:right="170"/>
              <w:jc w:val="right"/>
              <w:rPr>
                <w:lang w:eastAsia="en-AU"/>
              </w:rPr>
            </w:pPr>
          </w:p>
        </w:tc>
      </w:tr>
      <w:tr w:rsidR="00536836" w:rsidRPr="00536836" w14:paraId="4446FC38" w14:textId="77777777" w:rsidTr="0077355F">
        <w:trPr>
          <w:trHeight w:val="204"/>
        </w:trPr>
        <w:tc>
          <w:tcPr>
            <w:tcW w:w="6537" w:type="dxa"/>
            <w:tcBorders>
              <w:top w:val="nil"/>
              <w:left w:val="nil"/>
              <w:bottom w:val="nil"/>
              <w:right w:val="nil"/>
            </w:tcBorders>
            <w:shd w:val="clear" w:color="auto" w:fill="auto"/>
            <w:vAlign w:val="bottom"/>
            <w:hideMark/>
          </w:tcPr>
          <w:p w14:paraId="549A6C56" w14:textId="77777777" w:rsidR="00536836" w:rsidRPr="00536836" w:rsidRDefault="00536836" w:rsidP="00536836">
            <w:pPr>
              <w:ind w:firstLineChars="300" w:firstLine="480"/>
              <w:rPr>
                <w:rFonts w:cs="Arial"/>
                <w:color w:val="000000"/>
                <w:sz w:val="16"/>
                <w:szCs w:val="16"/>
                <w:lang w:eastAsia="en-AU"/>
              </w:rPr>
            </w:pPr>
            <w:r w:rsidRPr="00536836">
              <w:rPr>
                <w:rFonts w:cs="Arial"/>
                <w:color w:val="000000"/>
                <w:sz w:val="16"/>
                <w:szCs w:val="16"/>
                <w:lang w:eastAsia="en-AU"/>
              </w:rPr>
              <w:t>% of public school primary students</w:t>
            </w:r>
          </w:p>
        </w:tc>
        <w:tc>
          <w:tcPr>
            <w:tcW w:w="736" w:type="dxa"/>
            <w:tcBorders>
              <w:top w:val="nil"/>
              <w:left w:val="nil"/>
              <w:bottom w:val="nil"/>
              <w:right w:val="nil"/>
            </w:tcBorders>
            <w:shd w:val="clear" w:color="auto" w:fill="auto"/>
            <w:noWrap/>
            <w:vAlign w:val="bottom"/>
            <w:hideMark/>
          </w:tcPr>
          <w:p w14:paraId="433B0EF6" w14:textId="77777777" w:rsidR="00536836" w:rsidRPr="00536836" w:rsidRDefault="00536836" w:rsidP="00B80EC5">
            <w:pPr>
              <w:ind w:firstLineChars="300" w:firstLine="480"/>
              <w:jc w:val="center"/>
              <w:rPr>
                <w:rFonts w:cs="Arial"/>
                <w:color w:val="000000"/>
                <w:sz w:val="16"/>
                <w:szCs w:val="16"/>
                <w:lang w:eastAsia="en-AU"/>
              </w:rPr>
            </w:pPr>
          </w:p>
        </w:tc>
        <w:tc>
          <w:tcPr>
            <w:tcW w:w="1191" w:type="dxa"/>
            <w:tcBorders>
              <w:top w:val="nil"/>
              <w:left w:val="nil"/>
              <w:bottom w:val="nil"/>
              <w:right w:val="nil"/>
            </w:tcBorders>
            <w:shd w:val="clear" w:color="auto" w:fill="auto"/>
            <w:noWrap/>
            <w:vAlign w:val="bottom"/>
            <w:hideMark/>
          </w:tcPr>
          <w:p w14:paraId="4BB9C68A" w14:textId="77777777" w:rsidR="00536836" w:rsidRPr="00536836" w:rsidRDefault="00536836" w:rsidP="0077355F">
            <w:pPr>
              <w:ind w:right="170"/>
              <w:jc w:val="right"/>
              <w:rPr>
                <w:rFonts w:cs="Arial"/>
                <w:color w:val="000000"/>
                <w:sz w:val="16"/>
                <w:szCs w:val="16"/>
                <w:lang w:eastAsia="en-AU"/>
              </w:rPr>
            </w:pPr>
            <w:r w:rsidRPr="00536836">
              <w:rPr>
                <w:rFonts w:cs="Arial"/>
                <w:color w:val="000000"/>
                <w:sz w:val="16"/>
                <w:szCs w:val="16"/>
                <w:lang w:eastAsia="en-AU"/>
              </w:rPr>
              <w:t xml:space="preserve">78.5 </w:t>
            </w:r>
          </w:p>
        </w:tc>
        <w:tc>
          <w:tcPr>
            <w:tcW w:w="1191" w:type="dxa"/>
            <w:tcBorders>
              <w:top w:val="nil"/>
              <w:left w:val="nil"/>
              <w:bottom w:val="nil"/>
              <w:right w:val="nil"/>
            </w:tcBorders>
            <w:shd w:val="clear" w:color="auto" w:fill="auto"/>
            <w:noWrap/>
            <w:vAlign w:val="bottom"/>
            <w:hideMark/>
          </w:tcPr>
          <w:p w14:paraId="31026770" w14:textId="77777777" w:rsidR="00536836" w:rsidRPr="00536836" w:rsidRDefault="00536836" w:rsidP="0077355F">
            <w:pPr>
              <w:ind w:right="170"/>
              <w:jc w:val="right"/>
              <w:rPr>
                <w:rFonts w:cs="Arial"/>
                <w:color w:val="000000"/>
                <w:sz w:val="16"/>
                <w:szCs w:val="16"/>
                <w:lang w:eastAsia="en-AU"/>
              </w:rPr>
            </w:pPr>
            <w:r w:rsidRPr="00536836">
              <w:rPr>
                <w:rFonts w:cs="Arial"/>
                <w:color w:val="000000"/>
                <w:sz w:val="16"/>
                <w:szCs w:val="16"/>
                <w:lang w:eastAsia="en-AU"/>
              </w:rPr>
              <w:t xml:space="preserve">80.7 </w:t>
            </w:r>
          </w:p>
        </w:tc>
      </w:tr>
      <w:tr w:rsidR="00536836" w:rsidRPr="00536836" w14:paraId="421B1361" w14:textId="77777777" w:rsidTr="0077355F">
        <w:trPr>
          <w:trHeight w:val="204"/>
        </w:trPr>
        <w:tc>
          <w:tcPr>
            <w:tcW w:w="6537" w:type="dxa"/>
            <w:tcBorders>
              <w:top w:val="nil"/>
              <w:left w:val="nil"/>
              <w:bottom w:val="nil"/>
              <w:right w:val="nil"/>
            </w:tcBorders>
            <w:shd w:val="clear" w:color="auto" w:fill="auto"/>
            <w:vAlign w:val="bottom"/>
            <w:hideMark/>
          </w:tcPr>
          <w:p w14:paraId="7246C396" w14:textId="77777777" w:rsidR="00536836" w:rsidRPr="00536836" w:rsidRDefault="00536836" w:rsidP="00536836">
            <w:pPr>
              <w:ind w:firstLineChars="300" w:firstLine="480"/>
              <w:rPr>
                <w:rFonts w:cs="Arial"/>
                <w:color w:val="000000"/>
                <w:sz w:val="16"/>
                <w:szCs w:val="16"/>
                <w:lang w:eastAsia="en-AU"/>
              </w:rPr>
            </w:pPr>
            <w:r w:rsidRPr="00536836">
              <w:rPr>
                <w:rFonts w:cs="Arial"/>
                <w:color w:val="000000"/>
                <w:sz w:val="16"/>
                <w:szCs w:val="16"/>
                <w:lang w:eastAsia="en-AU"/>
              </w:rPr>
              <w:t>% of public school secondary students</w:t>
            </w:r>
          </w:p>
        </w:tc>
        <w:tc>
          <w:tcPr>
            <w:tcW w:w="736" w:type="dxa"/>
            <w:tcBorders>
              <w:top w:val="nil"/>
              <w:left w:val="nil"/>
              <w:bottom w:val="nil"/>
              <w:right w:val="nil"/>
            </w:tcBorders>
            <w:shd w:val="clear" w:color="auto" w:fill="auto"/>
            <w:noWrap/>
            <w:vAlign w:val="bottom"/>
            <w:hideMark/>
          </w:tcPr>
          <w:p w14:paraId="1FCA4A21" w14:textId="77777777" w:rsidR="00536836" w:rsidRPr="00536836" w:rsidRDefault="00536836" w:rsidP="00B80EC5">
            <w:pPr>
              <w:ind w:firstLineChars="300" w:firstLine="480"/>
              <w:jc w:val="center"/>
              <w:rPr>
                <w:rFonts w:cs="Arial"/>
                <w:color w:val="000000"/>
                <w:sz w:val="16"/>
                <w:szCs w:val="16"/>
                <w:lang w:eastAsia="en-AU"/>
              </w:rPr>
            </w:pPr>
          </w:p>
        </w:tc>
        <w:tc>
          <w:tcPr>
            <w:tcW w:w="1191" w:type="dxa"/>
            <w:tcBorders>
              <w:top w:val="nil"/>
              <w:left w:val="nil"/>
              <w:bottom w:val="nil"/>
              <w:right w:val="nil"/>
            </w:tcBorders>
            <w:shd w:val="clear" w:color="auto" w:fill="auto"/>
            <w:noWrap/>
            <w:vAlign w:val="bottom"/>
            <w:hideMark/>
          </w:tcPr>
          <w:p w14:paraId="2E8A988D" w14:textId="77777777" w:rsidR="00536836" w:rsidRPr="00536836" w:rsidRDefault="00536836" w:rsidP="0077355F">
            <w:pPr>
              <w:ind w:right="170"/>
              <w:jc w:val="right"/>
              <w:rPr>
                <w:rFonts w:cs="Arial"/>
                <w:color w:val="000000"/>
                <w:sz w:val="16"/>
                <w:szCs w:val="16"/>
                <w:lang w:eastAsia="en-AU"/>
              </w:rPr>
            </w:pPr>
            <w:r w:rsidRPr="00536836">
              <w:rPr>
                <w:rFonts w:cs="Arial"/>
                <w:color w:val="000000"/>
                <w:sz w:val="16"/>
                <w:szCs w:val="16"/>
                <w:lang w:eastAsia="en-AU"/>
              </w:rPr>
              <w:t xml:space="preserve">64.0 </w:t>
            </w:r>
          </w:p>
        </w:tc>
        <w:tc>
          <w:tcPr>
            <w:tcW w:w="1191" w:type="dxa"/>
            <w:tcBorders>
              <w:top w:val="nil"/>
              <w:left w:val="nil"/>
              <w:bottom w:val="nil"/>
              <w:right w:val="nil"/>
            </w:tcBorders>
            <w:shd w:val="clear" w:color="auto" w:fill="auto"/>
            <w:noWrap/>
            <w:vAlign w:val="bottom"/>
            <w:hideMark/>
          </w:tcPr>
          <w:p w14:paraId="160B146B" w14:textId="77777777" w:rsidR="00536836" w:rsidRPr="00536836" w:rsidRDefault="00536836" w:rsidP="0077355F">
            <w:pPr>
              <w:ind w:right="170"/>
              <w:jc w:val="right"/>
              <w:rPr>
                <w:rFonts w:cs="Arial"/>
                <w:color w:val="000000"/>
                <w:sz w:val="16"/>
                <w:szCs w:val="16"/>
                <w:lang w:eastAsia="en-AU"/>
              </w:rPr>
            </w:pPr>
            <w:r w:rsidRPr="00536836">
              <w:rPr>
                <w:rFonts w:cs="Arial"/>
                <w:color w:val="000000"/>
                <w:sz w:val="16"/>
                <w:szCs w:val="16"/>
                <w:lang w:eastAsia="en-AU"/>
              </w:rPr>
              <w:t xml:space="preserve">67.3 </w:t>
            </w:r>
          </w:p>
        </w:tc>
      </w:tr>
      <w:tr w:rsidR="00536836" w:rsidRPr="00536836" w14:paraId="0F9105B7" w14:textId="77777777" w:rsidTr="0077355F">
        <w:trPr>
          <w:trHeight w:val="204"/>
        </w:trPr>
        <w:tc>
          <w:tcPr>
            <w:tcW w:w="6537" w:type="dxa"/>
            <w:tcBorders>
              <w:top w:val="nil"/>
              <w:left w:val="nil"/>
              <w:bottom w:val="nil"/>
              <w:right w:val="nil"/>
            </w:tcBorders>
            <w:shd w:val="clear" w:color="auto" w:fill="auto"/>
            <w:vAlign w:val="bottom"/>
            <w:hideMark/>
          </w:tcPr>
          <w:p w14:paraId="23C34728" w14:textId="77777777" w:rsidR="00536836" w:rsidRPr="00536836" w:rsidRDefault="00536836" w:rsidP="00536836">
            <w:pPr>
              <w:rPr>
                <w:rFonts w:cs="Arial"/>
                <w:b/>
                <w:bCs/>
                <w:color w:val="000000"/>
                <w:sz w:val="16"/>
                <w:szCs w:val="16"/>
                <w:lang w:eastAsia="en-AU"/>
              </w:rPr>
            </w:pPr>
            <w:r w:rsidRPr="00536836">
              <w:rPr>
                <w:rFonts w:cs="Arial"/>
                <w:b/>
                <w:bCs/>
                <w:color w:val="000000"/>
                <w:sz w:val="16"/>
                <w:szCs w:val="16"/>
                <w:lang w:eastAsia="en-AU"/>
              </w:rPr>
              <w:t>Student Equity (Aboriginal Students)</w:t>
            </w:r>
          </w:p>
        </w:tc>
        <w:tc>
          <w:tcPr>
            <w:tcW w:w="736" w:type="dxa"/>
            <w:tcBorders>
              <w:top w:val="nil"/>
              <w:left w:val="nil"/>
              <w:bottom w:val="nil"/>
              <w:right w:val="nil"/>
            </w:tcBorders>
            <w:shd w:val="clear" w:color="auto" w:fill="auto"/>
            <w:noWrap/>
            <w:vAlign w:val="bottom"/>
            <w:hideMark/>
          </w:tcPr>
          <w:p w14:paraId="158D97FC" w14:textId="77777777" w:rsidR="00536836" w:rsidRPr="00536836" w:rsidRDefault="00536836" w:rsidP="00B80EC5">
            <w:pPr>
              <w:jc w:val="center"/>
              <w:rPr>
                <w:rFonts w:cs="Arial"/>
                <w:b/>
                <w:bCs/>
                <w:color w:val="000000"/>
                <w:sz w:val="16"/>
                <w:szCs w:val="16"/>
                <w:lang w:eastAsia="en-AU"/>
              </w:rPr>
            </w:pPr>
          </w:p>
        </w:tc>
        <w:tc>
          <w:tcPr>
            <w:tcW w:w="1191" w:type="dxa"/>
            <w:tcBorders>
              <w:top w:val="nil"/>
              <w:left w:val="nil"/>
              <w:bottom w:val="nil"/>
              <w:right w:val="nil"/>
            </w:tcBorders>
            <w:shd w:val="clear" w:color="auto" w:fill="auto"/>
            <w:noWrap/>
            <w:vAlign w:val="bottom"/>
            <w:hideMark/>
          </w:tcPr>
          <w:p w14:paraId="740C58D7" w14:textId="77777777" w:rsidR="00536836" w:rsidRPr="00536836" w:rsidRDefault="00536836" w:rsidP="0077355F">
            <w:pPr>
              <w:ind w:right="170"/>
              <w:jc w:val="right"/>
              <w:rPr>
                <w:lang w:eastAsia="en-AU"/>
              </w:rPr>
            </w:pPr>
          </w:p>
        </w:tc>
        <w:tc>
          <w:tcPr>
            <w:tcW w:w="1191" w:type="dxa"/>
            <w:tcBorders>
              <w:top w:val="nil"/>
              <w:left w:val="nil"/>
              <w:bottom w:val="nil"/>
              <w:right w:val="nil"/>
            </w:tcBorders>
            <w:shd w:val="clear" w:color="auto" w:fill="auto"/>
            <w:noWrap/>
            <w:vAlign w:val="bottom"/>
            <w:hideMark/>
          </w:tcPr>
          <w:p w14:paraId="18B91616" w14:textId="77777777" w:rsidR="00536836" w:rsidRPr="00536836" w:rsidRDefault="00536836" w:rsidP="0077355F">
            <w:pPr>
              <w:ind w:right="170"/>
              <w:jc w:val="right"/>
              <w:rPr>
                <w:lang w:eastAsia="en-AU"/>
              </w:rPr>
            </w:pPr>
          </w:p>
        </w:tc>
      </w:tr>
      <w:tr w:rsidR="00536836" w:rsidRPr="00536836" w14:paraId="1C413C8D" w14:textId="77777777" w:rsidTr="0077355F">
        <w:trPr>
          <w:trHeight w:val="432"/>
        </w:trPr>
        <w:tc>
          <w:tcPr>
            <w:tcW w:w="6537" w:type="dxa"/>
            <w:tcBorders>
              <w:top w:val="nil"/>
              <w:left w:val="nil"/>
              <w:bottom w:val="nil"/>
              <w:right w:val="nil"/>
            </w:tcBorders>
            <w:shd w:val="clear" w:color="auto" w:fill="auto"/>
            <w:vAlign w:val="bottom"/>
            <w:hideMark/>
          </w:tcPr>
          <w:p w14:paraId="4994E80A" w14:textId="77777777" w:rsidR="00536836" w:rsidRPr="00536836" w:rsidRDefault="00536836" w:rsidP="00536836">
            <w:pPr>
              <w:rPr>
                <w:rFonts w:cs="Arial"/>
                <w:color w:val="000000"/>
                <w:sz w:val="16"/>
                <w:szCs w:val="16"/>
                <w:lang w:eastAsia="en-AU"/>
              </w:rPr>
            </w:pPr>
            <w:r w:rsidRPr="00536836">
              <w:rPr>
                <w:rFonts w:cs="Arial"/>
                <w:color w:val="000000"/>
                <w:sz w:val="16"/>
                <w:szCs w:val="16"/>
                <w:lang w:eastAsia="en-AU"/>
              </w:rPr>
              <w:t>Proportion of Aboriginal students attaining Year 12, while maintaining their cultural identity</w:t>
            </w:r>
            <w:r w:rsidRPr="00536836">
              <w:rPr>
                <w:rFonts w:cs="Arial"/>
                <w:color w:val="000000"/>
                <w:sz w:val="16"/>
                <w:szCs w:val="16"/>
                <w:vertAlign w:val="superscript"/>
                <w:lang w:eastAsia="en-AU"/>
              </w:rPr>
              <w:t>(c)</w:t>
            </w:r>
          </w:p>
        </w:tc>
        <w:tc>
          <w:tcPr>
            <w:tcW w:w="736" w:type="dxa"/>
            <w:tcBorders>
              <w:top w:val="nil"/>
              <w:left w:val="nil"/>
              <w:bottom w:val="nil"/>
              <w:right w:val="nil"/>
            </w:tcBorders>
            <w:shd w:val="clear" w:color="auto" w:fill="auto"/>
            <w:noWrap/>
            <w:vAlign w:val="bottom"/>
            <w:hideMark/>
          </w:tcPr>
          <w:p w14:paraId="7096A810" w14:textId="77777777" w:rsidR="00536836" w:rsidRPr="00536836" w:rsidRDefault="00536836" w:rsidP="00B80EC5">
            <w:pPr>
              <w:jc w:val="center"/>
              <w:rPr>
                <w:rFonts w:cs="Arial"/>
                <w:color w:val="000000"/>
                <w:sz w:val="16"/>
                <w:szCs w:val="16"/>
                <w:lang w:eastAsia="en-AU"/>
              </w:rPr>
            </w:pPr>
            <w:r w:rsidRPr="00536836">
              <w:rPr>
                <w:rFonts w:cs="Arial"/>
                <w:color w:val="000000"/>
                <w:sz w:val="16"/>
                <w:szCs w:val="16"/>
                <w:lang w:eastAsia="en-AU"/>
              </w:rPr>
              <w:t>%</w:t>
            </w:r>
          </w:p>
        </w:tc>
        <w:tc>
          <w:tcPr>
            <w:tcW w:w="1191" w:type="dxa"/>
            <w:tcBorders>
              <w:top w:val="nil"/>
              <w:left w:val="nil"/>
              <w:bottom w:val="nil"/>
              <w:right w:val="nil"/>
            </w:tcBorders>
            <w:shd w:val="clear" w:color="auto" w:fill="auto"/>
            <w:noWrap/>
            <w:vAlign w:val="bottom"/>
            <w:hideMark/>
          </w:tcPr>
          <w:p w14:paraId="5EBA653F" w14:textId="11F0D250" w:rsidR="00536836" w:rsidRPr="00536836" w:rsidRDefault="00536836" w:rsidP="0077355F">
            <w:pPr>
              <w:ind w:right="170"/>
              <w:jc w:val="right"/>
              <w:rPr>
                <w:rFonts w:cs="Arial"/>
                <w:color w:val="000000"/>
                <w:sz w:val="16"/>
                <w:szCs w:val="16"/>
                <w:lang w:eastAsia="en-AU"/>
              </w:rPr>
            </w:pPr>
            <w:r w:rsidRPr="00536836">
              <w:rPr>
                <w:rFonts w:cs="Arial"/>
                <w:color w:val="000000"/>
                <w:sz w:val="16"/>
                <w:szCs w:val="16"/>
                <w:lang w:eastAsia="en-AU"/>
              </w:rPr>
              <w:t xml:space="preserve">45 </w:t>
            </w:r>
          </w:p>
        </w:tc>
        <w:tc>
          <w:tcPr>
            <w:tcW w:w="1191" w:type="dxa"/>
            <w:tcBorders>
              <w:top w:val="nil"/>
              <w:left w:val="nil"/>
              <w:bottom w:val="nil"/>
              <w:right w:val="nil"/>
            </w:tcBorders>
            <w:shd w:val="clear" w:color="auto" w:fill="auto"/>
            <w:noWrap/>
            <w:vAlign w:val="bottom"/>
            <w:hideMark/>
          </w:tcPr>
          <w:p w14:paraId="2FCB1068" w14:textId="2BDF973D" w:rsidR="00536836" w:rsidRPr="00536836" w:rsidRDefault="00536836" w:rsidP="0077355F">
            <w:pPr>
              <w:ind w:right="170"/>
              <w:jc w:val="right"/>
              <w:rPr>
                <w:rFonts w:cs="Arial"/>
                <w:color w:val="000000"/>
                <w:sz w:val="16"/>
                <w:szCs w:val="16"/>
                <w:lang w:eastAsia="en-AU"/>
              </w:rPr>
            </w:pPr>
            <w:r w:rsidRPr="00536836">
              <w:rPr>
                <w:rFonts w:cs="Arial"/>
                <w:color w:val="000000"/>
                <w:sz w:val="16"/>
                <w:szCs w:val="16"/>
                <w:lang w:eastAsia="en-AU"/>
              </w:rPr>
              <w:t xml:space="preserve">46 </w:t>
            </w:r>
          </w:p>
        </w:tc>
      </w:tr>
      <w:tr w:rsidR="00536836" w:rsidRPr="00536836" w14:paraId="752DE809" w14:textId="77777777" w:rsidTr="0077355F">
        <w:trPr>
          <w:trHeight w:val="432"/>
        </w:trPr>
        <w:tc>
          <w:tcPr>
            <w:tcW w:w="6537" w:type="dxa"/>
            <w:tcBorders>
              <w:top w:val="nil"/>
              <w:left w:val="nil"/>
              <w:bottom w:val="nil"/>
              <w:right w:val="nil"/>
            </w:tcBorders>
            <w:shd w:val="clear" w:color="auto" w:fill="auto"/>
            <w:vAlign w:val="bottom"/>
            <w:hideMark/>
          </w:tcPr>
          <w:p w14:paraId="0DBCADBD" w14:textId="77777777" w:rsidR="00536836" w:rsidRPr="00536836" w:rsidRDefault="00536836" w:rsidP="00536836">
            <w:pPr>
              <w:rPr>
                <w:rFonts w:cs="Arial"/>
                <w:color w:val="000000"/>
                <w:sz w:val="16"/>
                <w:szCs w:val="16"/>
                <w:lang w:eastAsia="en-AU"/>
              </w:rPr>
            </w:pPr>
            <w:r w:rsidRPr="00536836">
              <w:rPr>
                <w:rFonts w:cs="Arial"/>
                <w:color w:val="000000"/>
                <w:sz w:val="16"/>
                <w:szCs w:val="16"/>
                <w:lang w:eastAsia="en-AU"/>
              </w:rPr>
              <w:t>Proportion of Aboriginal students in public schools in the top two NAPLAN bands for reading and numeracy</w:t>
            </w:r>
            <w:r w:rsidRPr="00536836">
              <w:rPr>
                <w:rFonts w:cs="Arial"/>
                <w:color w:val="000000"/>
                <w:sz w:val="16"/>
                <w:szCs w:val="16"/>
                <w:vertAlign w:val="superscript"/>
                <w:lang w:eastAsia="en-AU"/>
              </w:rPr>
              <w:t>(b)</w:t>
            </w:r>
          </w:p>
        </w:tc>
        <w:tc>
          <w:tcPr>
            <w:tcW w:w="736" w:type="dxa"/>
            <w:tcBorders>
              <w:top w:val="nil"/>
              <w:left w:val="nil"/>
              <w:bottom w:val="nil"/>
              <w:right w:val="nil"/>
            </w:tcBorders>
            <w:shd w:val="clear" w:color="auto" w:fill="auto"/>
            <w:noWrap/>
            <w:vAlign w:val="bottom"/>
            <w:hideMark/>
          </w:tcPr>
          <w:p w14:paraId="1A61EE33" w14:textId="77777777" w:rsidR="00536836" w:rsidRPr="00536836" w:rsidRDefault="00536836" w:rsidP="00B80EC5">
            <w:pPr>
              <w:jc w:val="center"/>
              <w:rPr>
                <w:rFonts w:cs="Arial"/>
                <w:color w:val="000000"/>
                <w:sz w:val="16"/>
                <w:szCs w:val="16"/>
                <w:lang w:eastAsia="en-AU"/>
              </w:rPr>
            </w:pPr>
            <w:r w:rsidRPr="00536836">
              <w:rPr>
                <w:rFonts w:cs="Arial"/>
                <w:color w:val="000000"/>
                <w:sz w:val="16"/>
                <w:szCs w:val="16"/>
                <w:lang w:eastAsia="en-AU"/>
              </w:rPr>
              <w:t>%</w:t>
            </w:r>
          </w:p>
        </w:tc>
        <w:tc>
          <w:tcPr>
            <w:tcW w:w="1191" w:type="dxa"/>
            <w:tcBorders>
              <w:top w:val="nil"/>
              <w:left w:val="nil"/>
              <w:bottom w:val="nil"/>
              <w:right w:val="nil"/>
            </w:tcBorders>
            <w:shd w:val="clear" w:color="auto" w:fill="auto"/>
            <w:noWrap/>
            <w:vAlign w:val="bottom"/>
            <w:hideMark/>
          </w:tcPr>
          <w:p w14:paraId="39FBD965" w14:textId="77777777" w:rsidR="00536836" w:rsidRPr="00536836" w:rsidRDefault="00536836" w:rsidP="0077355F">
            <w:pPr>
              <w:ind w:right="170"/>
              <w:jc w:val="right"/>
              <w:rPr>
                <w:rFonts w:cs="Arial"/>
                <w:color w:val="000000"/>
                <w:sz w:val="16"/>
                <w:szCs w:val="16"/>
                <w:lang w:eastAsia="en-AU"/>
              </w:rPr>
            </w:pPr>
            <w:r w:rsidRPr="00536836">
              <w:rPr>
                <w:rFonts w:cs="Arial"/>
                <w:color w:val="000000"/>
                <w:sz w:val="16"/>
                <w:szCs w:val="16"/>
                <w:lang w:eastAsia="en-AU"/>
              </w:rPr>
              <w:t xml:space="preserve">10.3 </w:t>
            </w:r>
          </w:p>
        </w:tc>
        <w:tc>
          <w:tcPr>
            <w:tcW w:w="1191" w:type="dxa"/>
            <w:tcBorders>
              <w:top w:val="nil"/>
              <w:left w:val="nil"/>
              <w:bottom w:val="nil"/>
              <w:right w:val="nil"/>
            </w:tcBorders>
            <w:shd w:val="clear" w:color="auto" w:fill="auto"/>
            <w:noWrap/>
            <w:vAlign w:val="bottom"/>
            <w:hideMark/>
          </w:tcPr>
          <w:p w14:paraId="0DCFBA62" w14:textId="77777777" w:rsidR="00536836" w:rsidRPr="00536836" w:rsidRDefault="00536836" w:rsidP="0077355F">
            <w:pPr>
              <w:ind w:right="170"/>
              <w:jc w:val="right"/>
              <w:rPr>
                <w:rFonts w:cs="Arial"/>
                <w:color w:val="000000"/>
                <w:sz w:val="16"/>
                <w:szCs w:val="16"/>
                <w:lang w:eastAsia="en-AU"/>
              </w:rPr>
            </w:pPr>
            <w:r w:rsidRPr="00536836">
              <w:rPr>
                <w:rFonts w:cs="Arial"/>
                <w:color w:val="000000"/>
                <w:sz w:val="16"/>
                <w:szCs w:val="16"/>
                <w:lang w:eastAsia="en-AU"/>
              </w:rPr>
              <w:t xml:space="preserve">12.5 </w:t>
            </w:r>
          </w:p>
        </w:tc>
      </w:tr>
      <w:tr w:rsidR="00536836" w:rsidRPr="00536836" w14:paraId="793F78B0" w14:textId="77777777" w:rsidTr="0077355F">
        <w:trPr>
          <w:trHeight w:val="408"/>
        </w:trPr>
        <w:tc>
          <w:tcPr>
            <w:tcW w:w="6537" w:type="dxa"/>
            <w:tcBorders>
              <w:top w:val="nil"/>
              <w:left w:val="nil"/>
              <w:bottom w:val="nil"/>
              <w:right w:val="nil"/>
            </w:tcBorders>
            <w:shd w:val="clear" w:color="auto" w:fill="auto"/>
            <w:vAlign w:val="bottom"/>
            <w:hideMark/>
          </w:tcPr>
          <w:p w14:paraId="7D2BA870" w14:textId="77777777" w:rsidR="00536836" w:rsidRPr="00536836" w:rsidRDefault="00536836" w:rsidP="00536836">
            <w:pPr>
              <w:rPr>
                <w:rFonts w:cs="Arial"/>
                <w:color w:val="000000"/>
                <w:sz w:val="16"/>
                <w:szCs w:val="16"/>
                <w:lang w:eastAsia="en-AU"/>
              </w:rPr>
            </w:pPr>
            <w:r w:rsidRPr="00536836">
              <w:rPr>
                <w:rFonts w:cs="Arial"/>
                <w:color w:val="000000"/>
                <w:sz w:val="16"/>
                <w:szCs w:val="16"/>
                <w:lang w:eastAsia="en-AU"/>
              </w:rPr>
              <w:t>Proportion of Aboriginal students in public schools above the national minimum standard for reading and numeracy</w:t>
            </w:r>
          </w:p>
        </w:tc>
        <w:tc>
          <w:tcPr>
            <w:tcW w:w="736" w:type="dxa"/>
            <w:tcBorders>
              <w:top w:val="nil"/>
              <w:left w:val="nil"/>
              <w:bottom w:val="nil"/>
              <w:right w:val="nil"/>
            </w:tcBorders>
            <w:shd w:val="clear" w:color="auto" w:fill="auto"/>
            <w:noWrap/>
            <w:vAlign w:val="bottom"/>
            <w:hideMark/>
          </w:tcPr>
          <w:p w14:paraId="0EE9C49B" w14:textId="77777777" w:rsidR="00536836" w:rsidRPr="00536836" w:rsidRDefault="00536836" w:rsidP="00B80EC5">
            <w:pPr>
              <w:jc w:val="center"/>
              <w:rPr>
                <w:rFonts w:cs="Arial"/>
                <w:color w:val="000000"/>
                <w:sz w:val="16"/>
                <w:szCs w:val="16"/>
                <w:lang w:eastAsia="en-AU"/>
              </w:rPr>
            </w:pPr>
            <w:r w:rsidRPr="00536836">
              <w:rPr>
                <w:rFonts w:cs="Arial"/>
                <w:color w:val="000000"/>
                <w:sz w:val="16"/>
                <w:szCs w:val="16"/>
                <w:lang w:eastAsia="en-AU"/>
              </w:rPr>
              <w:t>%</w:t>
            </w:r>
          </w:p>
        </w:tc>
        <w:tc>
          <w:tcPr>
            <w:tcW w:w="1191" w:type="dxa"/>
            <w:tcBorders>
              <w:top w:val="nil"/>
              <w:left w:val="nil"/>
              <w:bottom w:val="nil"/>
              <w:right w:val="nil"/>
            </w:tcBorders>
            <w:shd w:val="clear" w:color="auto" w:fill="auto"/>
            <w:noWrap/>
            <w:vAlign w:val="bottom"/>
            <w:hideMark/>
          </w:tcPr>
          <w:p w14:paraId="392821C9" w14:textId="77777777" w:rsidR="00536836" w:rsidRPr="00536836" w:rsidRDefault="00536836" w:rsidP="0077355F">
            <w:pPr>
              <w:ind w:right="170"/>
              <w:jc w:val="right"/>
              <w:rPr>
                <w:rFonts w:cs="Arial"/>
                <w:color w:val="000000"/>
                <w:sz w:val="16"/>
                <w:szCs w:val="16"/>
                <w:lang w:eastAsia="en-AU"/>
              </w:rPr>
            </w:pPr>
            <w:r w:rsidRPr="00536836">
              <w:rPr>
                <w:rFonts w:cs="Arial"/>
                <w:color w:val="000000"/>
                <w:sz w:val="16"/>
                <w:szCs w:val="16"/>
                <w:lang w:eastAsia="en-AU"/>
              </w:rPr>
              <w:t xml:space="preserve">56.1 </w:t>
            </w:r>
          </w:p>
        </w:tc>
        <w:tc>
          <w:tcPr>
            <w:tcW w:w="1191" w:type="dxa"/>
            <w:tcBorders>
              <w:top w:val="nil"/>
              <w:left w:val="nil"/>
              <w:bottom w:val="nil"/>
              <w:right w:val="nil"/>
            </w:tcBorders>
            <w:shd w:val="clear" w:color="auto" w:fill="auto"/>
            <w:noWrap/>
            <w:vAlign w:val="bottom"/>
            <w:hideMark/>
          </w:tcPr>
          <w:p w14:paraId="53A4EDB1" w14:textId="77777777" w:rsidR="00536836" w:rsidRPr="00536836" w:rsidRDefault="00536836" w:rsidP="0077355F">
            <w:pPr>
              <w:ind w:right="170"/>
              <w:jc w:val="right"/>
              <w:rPr>
                <w:rFonts w:cs="Arial"/>
                <w:color w:val="000000"/>
                <w:sz w:val="16"/>
                <w:szCs w:val="16"/>
                <w:lang w:eastAsia="en-AU"/>
              </w:rPr>
            </w:pPr>
            <w:r w:rsidRPr="00536836">
              <w:rPr>
                <w:rFonts w:cs="Arial"/>
                <w:color w:val="000000"/>
                <w:sz w:val="16"/>
                <w:szCs w:val="16"/>
                <w:lang w:eastAsia="en-AU"/>
              </w:rPr>
              <w:t xml:space="preserve">60.6 </w:t>
            </w:r>
          </w:p>
        </w:tc>
      </w:tr>
      <w:tr w:rsidR="00536836" w:rsidRPr="00536836" w14:paraId="0227F9E6" w14:textId="77777777" w:rsidTr="0077355F">
        <w:trPr>
          <w:trHeight w:val="408"/>
        </w:trPr>
        <w:tc>
          <w:tcPr>
            <w:tcW w:w="6537" w:type="dxa"/>
            <w:tcBorders>
              <w:top w:val="nil"/>
              <w:left w:val="nil"/>
              <w:bottom w:val="nil"/>
              <w:right w:val="nil"/>
            </w:tcBorders>
            <w:shd w:val="clear" w:color="auto" w:fill="auto"/>
            <w:vAlign w:val="bottom"/>
            <w:hideMark/>
          </w:tcPr>
          <w:p w14:paraId="1305EC87" w14:textId="4B0F3C95" w:rsidR="00536836" w:rsidRPr="00536836" w:rsidRDefault="00536836" w:rsidP="0099233D">
            <w:pPr>
              <w:keepNext/>
              <w:keepLines/>
              <w:pageBreakBefore/>
              <w:rPr>
                <w:rFonts w:cs="Arial"/>
                <w:color w:val="000000"/>
                <w:sz w:val="16"/>
                <w:szCs w:val="16"/>
                <w:lang w:eastAsia="en-AU"/>
              </w:rPr>
            </w:pPr>
            <w:r w:rsidRPr="00536836">
              <w:rPr>
                <w:rFonts w:cs="Arial"/>
                <w:color w:val="000000"/>
                <w:sz w:val="16"/>
                <w:szCs w:val="16"/>
                <w:lang w:eastAsia="en-AU"/>
              </w:rPr>
              <w:lastRenderedPageBreak/>
              <w:t>Reduce the gap between Aboriginal and non-Aboriginal students in public schools reporting a sense of belonging, expectations for success and advocacy at school</w:t>
            </w:r>
            <w:r w:rsidR="00691DD6" w:rsidRPr="00691DD6">
              <w:rPr>
                <w:rFonts w:cs="Arial"/>
                <w:color w:val="000000"/>
                <w:sz w:val="16"/>
                <w:szCs w:val="16"/>
                <w:vertAlign w:val="superscript"/>
                <w:lang w:eastAsia="en-AU"/>
              </w:rPr>
              <w:t>(g)</w:t>
            </w:r>
          </w:p>
        </w:tc>
        <w:tc>
          <w:tcPr>
            <w:tcW w:w="736" w:type="dxa"/>
            <w:tcBorders>
              <w:top w:val="nil"/>
              <w:left w:val="nil"/>
              <w:bottom w:val="nil"/>
              <w:right w:val="nil"/>
            </w:tcBorders>
            <w:shd w:val="clear" w:color="auto" w:fill="auto"/>
            <w:noWrap/>
            <w:vAlign w:val="bottom"/>
            <w:hideMark/>
          </w:tcPr>
          <w:p w14:paraId="654FC2CB" w14:textId="77777777" w:rsidR="00536836" w:rsidRPr="00536836" w:rsidRDefault="00536836" w:rsidP="00B80EC5">
            <w:pPr>
              <w:jc w:val="center"/>
              <w:rPr>
                <w:rFonts w:cs="Arial"/>
                <w:color w:val="000000"/>
                <w:sz w:val="16"/>
                <w:szCs w:val="16"/>
                <w:lang w:eastAsia="en-AU"/>
              </w:rPr>
            </w:pPr>
            <w:r w:rsidRPr="00536836">
              <w:rPr>
                <w:rFonts w:cs="Arial"/>
                <w:color w:val="000000"/>
                <w:sz w:val="16"/>
                <w:szCs w:val="16"/>
                <w:lang w:eastAsia="en-AU"/>
              </w:rPr>
              <w:t>%</w:t>
            </w:r>
          </w:p>
        </w:tc>
        <w:tc>
          <w:tcPr>
            <w:tcW w:w="1191" w:type="dxa"/>
            <w:tcBorders>
              <w:top w:val="nil"/>
              <w:left w:val="nil"/>
              <w:bottom w:val="nil"/>
              <w:right w:val="nil"/>
            </w:tcBorders>
            <w:shd w:val="clear" w:color="auto" w:fill="auto"/>
            <w:noWrap/>
            <w:vAlign w:val="bottom"/>
            <w:hideMark/>
          </w:tcPr>
          <w:p w14:paraId="3FF0D816" w14:textId="77777777" w:rsidR="00536836" w:rsidRPr="00536836" w:rsidRDefault="00536836" w:rsidP="0077355F">
            <w:pPr>
              <w:ind w:right="170"/>
              <w:jc w:val="right"/>
              <w:rPr>
                <w:rFonts w:cs="Arial"/>
                <w:color w:val="000000"/>
                <w:sz w:val="16"/>
                <w:szCs w:val="16"/>
                <w:lang w:eastAsia="en-AU"/>
              </w:rPr>
            </w:pPr>
          </w:p>
        </w:tc>
        <w:tc>
          <w:tcPr>
            <w:tcW w:w="1191" w:type="dxa"/>
            <w:tcBorders>
              <w:top w:val="nil"/>
              <w:left w:val="nil"/>
              <w:bottom w:val="nil"/>
              <w:right w:val="nil"/>
            </w:tcBorders>
            <w:shd w:val="clear" w:color="auto" w:fill="auto"/>
            <w:noWrap/>
            <w:vAlign w:val="bottom"/>
            <w:hideMark/>
          </w:tcPr>
          <w:p w14:paraId="159EA4E1" w14:textId="77777777" w:rsidR="00536836" w:rsidRPr="00536836" w:rsidRDefault="00536836" w:rsidP="0077355F">
            <w:pPr>
              <w:ind w:right="170"/>
              <w:jc w:val="right"/>
              <w:rPr>
                <w:lang w:eastAsia="en-AU"/>
              </w:rPr>
            </w:pPr>
          </w:p>
        </w:tc>
      </w:tr>
      <w:tr w:rsidR="00536836" w:rsidRPr="00536836" w14:paraId="54460CFF" w14:textId="77777777" w:rsidTr="0077355F">
        <w:trPr>
          <w:trHeight w:val="204"/>
        </w:trPr>
        <w:tc>
          <w:tcPr>
            <w:tcW w:w="6537" w:type="dxa"/>
            <w:tcBorders>
              <w:top w:val="nil"/>
              <w:left w:val="nil"/>
              <w:bottom w:val="nil"/>
              <w:right w:val="nil"/>
            </w:tcBorders>
            <w:shd w:val="clear" w:color="auto" w:fill="auto"/>
            <w:vAlign w:val="bottom"/>
            <w:hideMark/>
          </w:tcPr>
          <w:p w14:paraId="52AA9BD5" w14:textId="77777777" w:rsidR="00536836" w:rsidRPr="00536836" w:rsidRDefault="00536836" w:rsidP="00536836">
            <w:pPr>
              <w:ind w:firstLineChars="300" w:firstLine="480"/>
              <w:rPr>
                <w:rFonts w:cs="Arial"/>
                <w:color w:val="000000"/>
                <w:sz w:val="16"/>
                <w:szCs w:val="16"/>
                <w:lang w:eastAsia="en-AU"/>
              </w:rPr>
            </w:pPr>
            <w:r w:rsidRPr="00536836">
              <w:rPr>
                <w:rFonts w:cs="Arial"/>
                <w:color w:val="000000"/>
                <w:sz w:val="16"/>
                <w:szCs w:val="16"/>
                <w:lang w:eastAsia="en-AU"/>
              </w:rPr>
              <w:t>Gap between Aboriginal and Non-Aboriginal public primary school</w:t>
            </w:r>
          </w:p>
        </w:tc>
        <w:tc>
          <w:tcPr>
            <w:tcW w:w="736" w:type="dxa"/>
            <w:tcBorders>
              <w:top w:val="nil"/>
              <w:left w:val="nil"/>
              <w:bottom w:val="nil"/>
              <w:right w:val="nil"/>
            </w:tcBorders>
            <w:shd w:val="clear" w:color="auto" w:fill="auto"/>
            <w:noWrap/>
            <w:vAlign w:val="bottom"/>
            <w:hideMark/>
          </w:tcPr>
          <w:p w14:paraId="76292BD2" w14:textId="77777777" w:rsidR="00536836" w:rsidRPr="00536836" w:rsidRDefault="00536836" w:rsidP="00E93488">
            <w:pPr>
              <w:ind w:firstLineChars="300" w:firstLine="480"/>
              <w:jc w:val="center"/>
              <w:rPr>
                <w:rFonts w:cs="Arial"/>
                <w:color w:val="000000"/>
                <w:sz w:val="16"/>
                <w:szCs w:val="16"/>
                <w:lang w:eastAsia="en-AU"/>
              </w:rPr>
            </w:pPr>
          </w:p>
        </w:tc>
        <w:tc>
          <w:tcPr>
            <w:tcW w:w="1191" w:type="dxa"/>
            <w:tcBorders>
              <w:top w:val="nil"/>
              <w:left w:val="nil"/>
              <w:bottom w:val="nil"/>
              <w:right w:val="nil"/>
            </w:tcBorders>
            <w:shd w:val="clear" w:color="auto" w:fill="auto"/>
            <w:noWrap/>
            <w:vAlign w:val="bottom"/>
            <w:hideMark/>
          </w:tcPr>
          <w:p w14:paraId="24830848" w14:textId="77777777" w:rsidR="00536836" w:rsidRPr="00536836" w:rsidRDefault="00536836" w:rsidP="0077355F">
            <w:pPr>
              <w:ind w:right="170"/>
              <w:jc w:val="right"/>
              <w:rPr>
                <w:rFonts w:cs="Arial"/>
                <w:sz w:val="16"/>
                <w:szCs w:val="16"/>
                <w:lang w:eastAsia="en-AU"/>
              </w:rPr>
            </w:pPr>
            <w:r w:rsidRPr="00536836">
              <w:rPr>
                <w:rFonts w:cs="Arial"/>
                <w:sz w:val="16"/>
                <w:szCs w:val="16"/>
                <w:lang w:eastAsia="en-AU"/>
              </w:rPr>
              <w:t xml:space="preserve">3.0 </w:t>
            </w:r>
          </w:p>
        </w:tc>
        <w:tc>
          <w:tcPr>
            <w:tcW w:w="1191" w:type="dxa"/>
            <w:tcBorders>
              <w:top w:val="nil"/>
              <w:left w:val="nil"/>
              <w:bottom w:val="nil"/>
              <w:right w:val="nil"/>
            </w:tcBorders>
            <w:shd w:val="clear" w:color="auto" w:fill="auto"/>
            <w:noWrap/>
            <w:vAlign w:val="bottom"/>
            <w:hideMark/>
          </w:tcPr>
          <w:p w14:paraId="51E188B3" w14:textId="77777777" w:rsidR="00536836" w:rsidRPr="00536836" w:rsidRDefault="00536836" w:rsidP="0077355F">
            <w:pPr>
              <w:ind w:right="170"/>
              <w:jc w:val="right"/>
              <w:rPr>
                <w:rFonts w:cs="Arial"/>
                <w:sz w:val="16"/>
                <w:szCs w:val="16"/>
                <w:lang w:eastAsia="en-AU"/>
              </w:rPr>
            </w:pPr>
            <w:r w:rsidRPr="00536836">
              <w:rPr>
                <w:rFonts w:cs="Arial"/>
                <w:sz w:val="16"/>
                <w:szCs w:val="16"/>
                <w:lang w:eastAsia="en-AU"/>
              </w:rPr>
              <w:t xml:space="preserve">3.1 </w:t>
            </w:r>
          </w:p>
        </w:tc>
      </w:tr>
      <w:tr w:rsidR="00536836" w:rsidRPr="00536836" w14:paraId="3485BD4C" w14:textId="77777777" w:rsidTr="0077355F">
        <w:trPr>
          <w:trHeight w:val="204"/>
        </w:trPr>
        <w:tc>
          <w:tcPr>
            <w:tcW w:w="6537" w:type="dxa"/>
            <w:tcBorders>
              <w:top w:val="nil"/>
              <w:left w:val="nil"/>
              <w:bottom w:val="nil"/>
              <w:right w:val="nil"/>
            </w:tcBorders>
            <w:shd w:val="clear" w:color="auto" w:fill="auto"/>
            <w:vAlign w:val="bottom"/>
            <w:hideMark/>
          </w:tcPr>
          <w:p w14:paraId="1E6D87E7" w14:textId="77777777" w:rsidR="00536836" w:rsidRPr="00536836" w:rsidRDefault="00536836" w:rsidP="00536836">
            <w:pPr>
              <w:ind w:firstLineChars="300" w:firstLine="480"/>
              <w:rPr>
                <w:rFonts w:cs="Arial"/>
                <w:color w:val="000000"/>
                <w:sz w:val="16"/>
                <w:szCs w:val="16"/>
                <w:lang w:eastAsia="en-AU"/>
              </w:rPr>
            </w:pPr>
            <w:r w:rsidRPr="00536836">
              <w:rPr>
                <w:rFonts w:cs="Arial"/>
                <w:color w:val="000000"/>
                <w:sz w:val="16"/>
                <w:szCs w:val="16"/>
                <w:lang w:eastAsia="en-AU"/>
              </w:rPr>
              <w:t>students</w:t>
            </w:r>
          </w:p>
        </w:tc>
        <w:tc>
          <w:tcPr>
            <w:tcW w:w="736" w:type="dxa"/>
            <w:tcBorders>
              <w:top w:val="nil"/>
              <w:left w:val="nil"/>
              <w:bottom w:val="nil"/>
              <w:right w:val="nil"/>
            </w:tcBorders>
            <w:shd w:val="clear" w:color="auto" w:fill="auto"/>
            <w:noWrap/>
            <w:vAlign w:val="bottom"/>
            <w:hideMark/>
          </w:tcPr>
          <w:p w14:paraId="6B0366A8" w14:textId="77777777" w:rsidR="00536836" w:rsidRPr="00536836" w:rsidRDefault="00536836" w:rsidP="00E93488">
            <w:pPr>
              <w:ind w:firstLineChars="300" w:firstLine="480"/>
              <w:jc w:val="center"/>
              <w:rPr>
                <w:rFonts w:cs="Arial"/>
                <w:color w:val="000000"/>
                <w:sz w:val="16"/>
                <w:szCs w:val="16"/>
                <w:lang w:eastAsia="en-AU"/>
              </w:rPr>
            </w:pPr>
          </w:p>
        </w:tc>
        <w:tc>
          <w:tcPr>
            <w:tcW w:w="1191" w:type="dxa"/>
            <w:tcBorders>
              <w:top w:val="nil"/>
              <w:left w:val="nil"/>
              <w:bottom w:val="nil"/>
              <w:right w:val="nil"/>
            </w:tcBorders>
            <w:shd w:val="clear" w:color="auto" w:fill="auto"/>
            <w:noWrap/>
            <w:vAlign w:val="bottom"/>
            <w:hideMark/>
          </w:tcPr>
          <w:p w14:paraId="7C862EA4" w14:textId="77777777" w:rsidR="00536836" w:rsidRPr="00536836" w:rsidRDefault="00536836" w:rsidP="0077355F">
            <w:pPr>
              <w:ind w:right="170"/>
              <w:jc w:val="right"/>
              <w:rPr>
                <w:lang w:eastAsia="en-AU"/>
              </w:rPr>
            </w:pPr>
          </w:p>
        </w:tc>
        <w:tc>
          <w:tcPr>
            <w:tcW w:w="1191" w:type="dxa"/>
            <w:tcBorders>
              <w:top w:val="nil"/>
              <w:left w:val="nil"/>
              <w:bottom w:val="nil"/>
              <w:right w:val="nil"/>
            </w:tcBorders>
            <w:shd w:val="clear" w:color="auto" w:fill="auto"/>
            <w:noWrap/>
            <w:vAlign w:val="bottom"/>
            <w:hideMark/>
          </w:tcPr>
          <w:p w14:paraId="42B85445" w14:textId="77777777" w:rsidR="00536836" w:rsidRPr="00536836" w:rsidRDefault="00536836" w:rsidP="0077355F">
            <w:pPr>
              <w:ind w:right="170"/>
              <w:jc w:val="right"/>
              <w:rPr>
                <w:lang w:eastAsia="en-AU"/>
              </w:rPr>
            </w:pPr>
          </w:p>
        </w:tc>
      </w:tr>
      <w:tr w:rsidR="00536836" w:rsidRPr="00536836" w14:paraId="386C154F" w14:textId="77777777" w:rsidTr="0077355F">
        <w:trPr>
          <w:trHeight w:val="204"/>
        </w:trPr>
        <w:tc>
          <w:tcPr>
            <w:tcW w:w="6537" w:type="dxa"/>
            <w:tcBorders>
              <w:top w:val="nil"/>
              <w:left w:val="nil"/>
              <w:bottom w:val="nil"/>
              <w:right w:val="nil"/>
            </w:tcBorders>
            <w:shd w:val="clear" w:color="auto" w:fill="auto"/>
            <w:vAlign w:val="bottom"/>
            <w:hideMark/>
          </w:tcPr>
          <w:p w14:paraId="09BBEB79" w14:textId="77777777" w:rsidR="00536836" w:rsidRPr="00536836" w:rsidRDefault="00536836" w:rsidP="00536836">
            <w:pPr>
              <w:ind w:firstLineChars="300" w:firstLine="480"/>
              <w:rPr>
                <w:rFonts w:cs="Arial"/>
                <w:color w:val="000000"/>
                <w:sz w:val="16"/>
                <w:szCs w:val="16"/>
                <w:lang w:eastAsia="en-AU"/>
              </w:rPr>
            </w:pPr>
            <w:r w:rsidRPr="00536836">
              <w:rPr>
                <w:rFonts w:cs="Arial"/>
                <w:color w:val="000000"/>
                <w:sz w:val="16"/>
                <w:szCs w:val="16"/>
                <w:lang w:eastAsia="en-AU"/>
              </w:rPr>
              <w:t>Gap between Aboriginal and Non-Aboriginal public secondary school</w:t>
            </w:r>
          </w:p>
        </w:tc>
        <w:tc>
          <w:tcPr>
            <w:tcW w:w="736" w:type="dxa"/>
            <w:tcBorders>
              <w:top w:val="nil"/>
              <w:left w:val="nil"/>
              <w:bottom w:val="nil"/>
              <w:right w:val="nil"/>
            </w:tcBorders>
            <w:shd w:val="clear" w:color="auto" w:fill="auto"/>
            <w:noWrap/>
            <w:vAlign w:val="bottom"/>
            <w:hideMark/>
          </w:tcPr>
          <w:p w14:paraId="094532CA" w14:textId="77777777" w:rsidR="00536836" w:rsidRPr="00536836" w:rsidRDefault="00536836" w:rsidP="00E93488">
            <w:pPr>
              <w:ind w:firstLineChars="300" w:firstLine="480"/>
              <w:jc w:val="center"/>
              <w:rPr>
                <w:rFonts w:cs="Arial"/>
                <w:color w:val="000000"/>
                <w:sz w:val="16"/>
                <w:szCs w:val="16"/>
                <w:lang w:eastAsia="en-AU"/>
              </w:rPr>
            </w:pPr>
          </w:p>
        </w:tc>
        <w:tc>
          <w:tcPr>
            <w:tcW w:w="1191" w:type="dxa"/>
            <w:tcBorders>
              <w:top w:val="nil"/>
              <w:left w:val="nil"/>
              <w:bottom w:val="nil"/>
              <w:right w:val="nil"/>
            </w:tcBorders>
            <w:shd w:val="clear" w:color="auto" w:fill="auto"/>
            <w:noWrap/>
            <w:vAlign w:val="bottom"/>
            <w:hideMark/>
          </w:tcPr>
          <w:p w14:paraId="3EBA1AD7" w14:textId="77777777" w:rsidR="00536836" w:rsidRPr="00536836" w:rsidRDefault="00536836" w:rsidP="0077355F">
            <w:pPr>
              <w:ind w:right="170"/>
              <w:jc w:val="right"/>
              <w:rPr>
                <w:rFonts w:cs="Arial"/>
                <w:sz w:val="16"/>
                <w:szCs w:val="16"/>
                <w:lang w:eastAsia="en-AU"/>
              </w:rPr>
            </w:pPr>
            <w:r w:rsidRPr="00536836">
              <w:rPr>
                <w:rFonts w:cs="Arial"/>
                <w:sz w:val="16"/>
                <w:szCs w:val="16"/>
                <w:lang w:eastAsia="en-AU"/>
              </w:rPr>
              <w:t xml:space="preserve">13.2 </w:t>
            </w:r>
          </w:p>
        </w:tc>
        <w:tc>
          <w:tcPr>
            <w:tcW w:w="1191" w:type="dxa"/>
            <w:tcBorders>
              <w:top w:val="nil"/>
              <w:left w:val="nil"/>
              <w:bottom w:val="nil"/>
              <w:right w:val="nil"/>
            </w:tcBorders>
            <w:shd w:val="clear" w:color="auto" w:fill="auto"/>
            <w:noWrap/>
            <w:vAlign w:val="bottom"/>
            <w:hideMark/>
          </w:tcPr>
          <w:p w14:paraId="04A4916F" w14:textId="77777777" w:rsidR="00536836" w:rsidRPr="00536836" w:rsidRDefault="00536836" w:rsidP="0077355F">
            <w:pPr>
              <w:ind w:right="170"/>
              <w:jc w:val="right"/>
              <w:rPr>
                <w:rFonts w:cs="Arial"/>
                <w:sz w:val="16"/>
                <w:szCs w:val="16"/>
                <w:lang w:eastAsia="en-AU"/>
              </w:rPr>
            </w:pPr>
            <w:r w:rsidRPr="00536836">
              <w:rPr>
                <w:rFonts w:cs="Arial"/>
                <w:sz w:val="16"/>
                <w:szCs w:val="16"/>
                <w:lang w:eastAsia="en-AU"/>
              </w:rPr>
              <w:t xml:space="preserve">13.7 </w:t>
            </w:r>
          </w:p>
        </w:tc>
      </w:tr>
      <w:tr w:rsidR="00536836" w:rsidRPr="00536836" w14:paraId="3A69A6D5" w14:textId="77777777" w:rsidTr="0077355F">
        <w:trPr>
          <w:trHeight w:val="204"/>
        </w:trPr>
        <w:tc>
          <w:tcPr>
            <w:tcW w:w="6537" w:type="dxa"/>
            <w:tcBorders>
              <w:top w:val="nil"/>
              <w:left w:val="nil"/>
              <w:bottom w:val="nil"/>
              <w:right w:val="nil"/>
            </w:tcBorders>
            <w:shd w:val="clear" w:color="auto" w:fill="auto"/>
            <w:vAlign w:val="bottom"/>
            <w:hideMark/>
          </w:tcPr>
          <w:p w14:paraId="257A4434" w14:textId="77777777" w:rsidR="00536836" w:rsidRPr="00536836" w:rsidRDefault="00536836" w:rsidP="00536836">
            <w:pPr>
              <w:ind w:firstLineChars="300" w:firstLine="480"/>
              <w:rPr>
                <w:rFonts w:cs="Arial"/>
                <w:color w:val="000000"/>
                <w:sz w:val="16"/>
                <w:szCs w:val="16"/>
                <w:lang w:eastAsia="en-AU"/>
              </w:rPr>
            </w:pPr>
            <w:r w:rsidRPr="00536836">
              <w:rPr>
                <w:rFonts w:cs="Arial"/>
                <w:color w:val="000000"/>
                <w:sz w:val="16"/>
                <w:szCs w:val="16"/>
                <w:lang w:eastAsia="en-AU"/>
              </w:rPr>
              <w:t>students</w:t>
            </w:r>
          </w:p>
        </w:tc>
        <w:tc>
          <w:tcPr>
            <w:tcW w:w="736" w:type="dxa"/>
            <w:tcBorders>
              <w:top w:val="nil"/>
              <w:left w:val="nil"/>
              <w:bottom w:val="nil"/>
              <w:right w:val="nil"/>
            </w:tcBorders>
            <w:shd w:val="clear" w:color="auto" w:fill="auto"/>
            <w:noWrap/>
            <w:vAlign w:val="bottom"/>
            <w:hideMark/>
          </w:tcPr>
          <w:p w14:paraId="5E9743D3" w14:textId="77777777" w:rsidR="00536836" w:rsidRPr="00536836" w:rsidRDefault="00536836" w:rsidP="00E93488">
            <w:pPr>
              <w:ind w:firstLineChars="300" w:firstLine="480"/>
              <w:jc w:val="center"/>
              <w:rPr>
                <w:rFonts w:cs="Arial"/>
                <w:color w:val="000000"/>
                <w:sz w:val="16"/>
                <w:szCs w:val="16"/>
                <w:lang w:eastAsia="en-AU"/>
              </w:rPr>
            </w:pPr>
          </w:p>
        </w:tc>
        <w:tc>
          <w:tcPr>
            <w:tcW w:w="1191" w:type="dxa"/>
            <w:tcBorders>
              <w:top w:val="nil"/>
              <w:left w:val="nil"/>
              <w:bottom w:val="nil"/>
              <w:right w:val="nil"/>
            </w:tcBorders>
            <w:shd w:val="clear" w:color="auto" w:fill="auto"/>
            <w:noWrap/>
            <w:vAlign w:val="bottom"/>
            <w:hideMark/>
          </w:tcPr>
          <w:p w14:paraId="6C11D3AF" w14:textId="77777777" w:rsidR="00536836" w:rsidRPr="00536836" w:rsidRDefault="00536836" w:rsidP="0077355F">
            <w:pPr>
              <w:ind w:right="170"/>
              <w:jc w:val="right"/>
              <w:rPr>
                <w:lang w:eastAsia="en-AU"/>
              </w:rPr>
            </w:pPr>
          </w:p>
        </w:tc>
        <w:tc>
          <w:tcPr>
            <w:tcW w:w="1191" w:type="dxa"/>
            <w:tcBorders>
              <w:top w:val="nil"/>
              <w:left w:val="nil"/>
              <w:bottom w:val="nil"/>
              <w:right w:val="nil"/>
            </w:tcBorders>
            <w:shd w:val="clear" w:color="auto" w:fill="auto"/>
            <w:noWrap/>
            <w:vAlign w:val="bottom"/>
            <w:hideMark/>
          </w:tcPr>
          <w:p w14:paraId="02F2DF35" w14:textId="77777777" w:rsidR="00536836" w:rsidRPr="00536836" w:rsidRDefault="00536836" w:rsidP="0077355F">
            <w:pPr>
              <w:ind w:right="170"/>
              <w:jc w:val="right"/>
              <w:rPr>
                <w:lang w:eastAsia="en-AU"/>
              </w:rPr>
            </w:pPr>
          </w:p>
        </w:tc>
      </w:tr>
      <w:tr w:rsidR="00536836" w:rsidRPr="00536836" w14:paraId="179F14CC" w14:textId="77777777" w:rsidTr="0077355F">
        <w:trPr>
          <w:trHeight w:val="204"/>
        </w:trPr>
        <w:tc>
          <w:tcPr>
            <w:tcW w:w="6537" w:type="dxa"/>
            <w:tcBorders>
              <w:top w:val="nil"/>
              <w:left w:val="nil"/>
              <w:bottom w:val="nil"/>
              <w:right w:val="nil"/>
            </w:tcBorders>
            <w:shd w:val="clear" w:color="auto" w:fill="auto"/>
            <w:vAlign w:val="bottom"/>
            <w:hideMark/>
          </w:tcPr>
          <w:p w14:paraId="0232042A" w14:textId="77777777" w:rsidR="00536836" w:rsidRPr="00536836" w:rsidRDefault="00536836" w:rsidP="00536836">
            <w:pPr>
              <w:rPr>
                <w:rFonts w:cs="Arial"/>
                <w:b/>
                <w:bCs/>
                <w:color w:val="000000"/>
                <w:sz w:val="16"/>
                <w:szCs w:val="16"/>
                <w:lang w:eastAsia="en-AU"/>
              </w:rPr>
            </w:pPr>
            <w:r w:rsidRPr="00536836">
              <w:rPr>
                <w:rFonts w:cs="Arial"/>
                <w:b/>
                <w:bCs/>
                <w:color w:val="000000"/>
                <w:sz w:val="16"/>
                <w:szCs w:val="16"/>
                <w:lang w:eastAsia="en-AU"/>
              </w:rPr>
              <w:t>Student Equity (Disadvantaged Students)</w:t>
            </w:r>
          </w:p>
        </w:tc>
        <w:tc>
          <w:tcPr>
            <w:tcW w:w="736" w:type="dxa"/>
            <w:tcBorders>
              <w:top w:val="nil"/>
              <w:left w:val="nil"/>
              <w:bottom w:val="nil"/>
              <w:right w:val="nil"/>
            </w:tcBorders>
            <w:shd w:val="clear" w:color="auto" w:fill="auto"/>
            <w:noWrap/>
            <w:vAlign w:val="bottom"/>
            <w:hideMark/>
          </w:tcPr>
          <w:p w14:paraId="53D66E03" w14:textId="77777777" w:rsidR="00536836" w:rsidRPr="00536836" w:rsidRDefault="00536836" w:rsidP="00E93488">
            <w:pPr>
              <w:jc w:val="center"/>
              <w:rPr>
                <w:rFonts w:cs="Arial"/>
                <w:b/>
                <w:bCs/>
                <w:color w:val="000000"/>
                <w:sz w:val="16"/>
                <w:szCs w:val="16"/>
                <w:lang w:eastAsia="en-AU"/>
              </w:rPr>
            </w:pPr>
          </w:p>
        </w:tc>
        <w:tc>
          <w:tcPr>
            <w:tcW w:w="1191" w:type="dxa"/>
            <w:tcBorders>
              <w:top w:val="nil"/>
              <w:left w:val="nil"/>
              <w:bottom w:val="nil"/>
              <w:right w:val="nil"/>
            </w:tcBorders>
            <w:shd w:val="clear" w:color="auto" w:fill="auto"/>
            <w:noWrap/>
            <w:vAlign w:val="bottom"/>
            <w:hideMark/>
          </w:tcPr>
          <w:p w14:paraId="6447501E" w14:textId="77777777" w:rsidR="00536836" w:rsidRPr="00536836" w:rsidRDefault="00536836" w:rsidP="0077355F">
            <w:pPr>
              <w:ind w:right="170"/>
              <w:jc w:val="right"/>
              <w:rPr>
                <w:lang w:eastAsia="en-AU"/>
              </w:rPr>
            </w:pPr>
          </w:p>
        </w:tc>
        <w:tc>
          <w:tcPr>
            <w:tcW w:w="1191" w:type="dxa"/>
            <w:tcBorders>
              <w:top w:val="nil"/>
              <w:left w:val="nil"/>
              <w:bottom w:val="nil"/>
              <w:right w:val="nil"/>
            </w:tcBorders>
            <w:shd w:val="clear" w:color="auto" w:fill="auto"/>
            <w:noWrap/>
            <w:vAlign w:val="bottom"/>
            <w:hideMark/>
          </w:tcPr>
          <w:p w14:paraId="1ED97660" w14:textId="77777777" w:rsidR="00536836" w:rsidRPr="00536836" w:rsidRDefault="00536836" w:rsidP="0077355F">
            <w:pPr>
              <w:ind w:right="170"/>
              <w:jc w:val="right"/>
              <w:rPr>
                <w:lang w:eastAsia="en-AU"/>
              </w:rPr>
            </w:pPr>
          </w:p>
        </w:tc>
      </w:tr>
      <w:tr w:rsidR="00536836" w:rsidRPr="00536836" w14:paraId="5B196ED0" w14:textId="77777777" w:rsidTr="0077355F">
        <w:trPr>
          <w:trHeight w:val="432"/>
        </w:trPr>
        <w:tc>
          <w:tcPr>
            <w:tcW w:w="6537" w:type="dxa"/>
            <w:tcBorders>
              <w:top w:val="nil"/>
              <w:left w:val="nil"/>
              <w:bottom w:val="nil"/>
              <w:right w:val="nil"/>
            </w:tcBorders>
            <w:shd w:val="clear" w:color="auto" w:fill="auto"/>
            <w:vAlign w:val="bottom"/>
            <w:hideMark/>
          </w:tcPr>
          <w:p w14:paraId="4CED9A5E" w14:textId="519CCB55" w:rsidR="00536836" w:rsidRPr="00536836" w:rsidRDefault="00536836" w:rsidP="00536836">
            <w:pPr>
              <w:rPr>
                <w:rFonts w:cs="Arial"/>
                <w:color w:val="000000"/>
                <w:sz w:val="16"/>
                <w:szCs w:val="16"/>
                <w:lang w:eastAsia="en-AU"/>
              </w:rPr>
            </w:pPr>
            <w:r w:rsidRPr="00536836">
              <w:rPr>
                <w:rFonts w:cs="Arial"/>
                <w:color w:val="000000"/>
                <w:sz w:val="16"/>
                <w:szCs w:val="16"/>
                <w:lang w:eastAsia="en-AU"/>
              </w:rPr>
              <w:t>Reduce the gap between the highest and lowest socio-economic status students in public schools in the top two NAPLAN bands for reading and numeracy</w:t>
            </w:r>
            <w:r w:rsidRPr="00536836">
              <w:rPr>
                <w:rFonts w:cs="Arial"/>
                <w:color w:val="000000"/>
                <w:sz w:val="16"/>
                <w:szCs w:val="16"/>
                <w:vertAlign w:val="superscript"/>
                <w:lang w:eastAsia="en-AU"/>
              </w:rPr>
              <w:t>(b)(h)</w:t>
            </w:r>
          </w:p>
        </w:tc>
        <w:tc>
          <w:tcPr>
            <w:tcW w:w="736" w:type="dxa"/>
            <w:tcBorders>
              <w:top w:val="nil"/>
              <w:left w:val="nil"/>
              <w:bottom w:val="nil"/>
              <w:right w:val="nil"/>
            </w:tcBorders>
            <w:shd w:val="clear" w:color="auto" w:fill="auto"/>
            <w:noWrap/>
            <w:vAlign w:val="bottom"/>
            <w:hideMark/>
          </w:tcPr>
          <w:p w14:paraId="5247F432" w14:textId="77777777" w:rsidR="00536836" w:rsidRPr="00536836" w:rsidRDefault="00536836" w:rsidP="00536836">
            <w:pPr>
              <w:jc w:val="center"/>
              <w:rPr>
                <w:rFonts w:cs="Arial"/>
                <w:color w:val="000000"/>
                <w:sz w:val="16"/>
                <w:szCs w:val="16"/>
                <w:lang w:eastAsia="en-AU"/>
              </w:rPr>
            </w:pPr>
            <w:r w:rsidRPr="00536836">
              <w:rPr>
                <w:rFonts w:cs="Arial"/>
                <w:color w:val="000000"/>
                <w:sz w:val="16"/>
                <w:szCs w:val="16"/>
                <w:lang w:eastAsia="en-AU"/>
              </w:rPr>
              <w:t>%</w:t>
            </w:r>
          </w:p>
        </w:tc>
        <w:tc>
          <w:tcPr>
            <w:tcW w:w="1191" w:type="dxa"/>
            <w:tcBorders>
              <w:top w:val="nil"/>
              <w:left w:val="nil"/>
              <w:bottom w:val="nil"/>
              <w:right w:val="nil"/>
            </w:tcBorders>
            <w:shd w:val="clear" w:color="auto" w:fill="auto"/>
            <w:noWrap/>
            <w:vAlign w:val="bottom"/>
            <w:hideMark/>
          </w:tcPr>
          <w:p w14:paraId="2D6FF928" w14:textId="77777777" w:rsidR="00536836" w:rsidRPr="00536836" w:rsidRDefault="00536836" w:rsidP="0077355F">
            <w:pPr>
              <w:ind w:right="170"/>
              <w:jc w:val="right"/>
              <w:rPr>
                <w:rFonts w:cs="Arial"/>
                <w:sz w:val="16"/>
                <w:szCs w:val="16"/>
                <w:lang w:eastAsia="en-AU"/>
              </w:rPr>
            </w:pPr>
            <w:r w:rsidRPr="00536836">
              <w:rPr>
                <w:rFonts w:cs="Arial"/>
                <w:sz w:val="16"/>
                <w:szCs w:val="16"/>
                <w:lang w:eastAsia="en-AU"/>
              </w:rPr>
              <w:t xml:space="preserve">42.4 </w:t>
            </w:r>
          </w:p>
        </w:tc>
        <w:tc>
          <w:tcPr>
            <w:tcW w:w="1191" w:type="dxa"/>
            <w:tcBorders>
              <w:top w:val="nil"/>
              <w:left w:val="nil"/>
              <w:bottom w:val="nil"/>
              <w:right w:val="nil"/>
            </w:tcBorders>
            <w:shd w:val="clear" w:color="auto" w:fill="auto"/>
            <w:noWrap/>
            <w:vAlign w:val="bottom"/>
            <w:hideMark/>
          </w:tcPr>
          <w:p w14:paraId="3BB648F3" w14:textId="77777777" w:rsidR="00536836" w:rsidRPr="00536836" w:rsidRDefault="00536836" w:rsidP="0077355F">
            <w:pPr>
              <w:ind w:right="170"/>
              <w:jc w:val="right"/>
              <w:rPr>
                <w:rFonts w:cs="Arial"/>
                <w:sz w:val="16"/>
                <w:szCs w:val="16"/>
                <w:lang w:eastAsia="en-AU"/>
              </w:rPr>
            </w:pPr>
            <w:r w:rsidRPr="00536836">
              <w:rPr>
                <w:rFonts w:cs="Arial"/>
                <w:sz w:val="16"/>
                <w:szCs w:val="16"/>
                <w:lang w:eastAsia="en-AU"/>
              </w:rPr>
              <w:t xml:space="preserve">38.1 </w:t>
            </w:r>
          </w:p>
        </w:tc>
      </w:tr>
      <w:tr w:rsidR="00536836" w:rsidRPr="00536836" w14:paraId="1656E74E" w14:textId="77777777" w:rsidTr="0077355F">
        <w:trPr>
          <w:trHeight w:val="432"/>
        </w:trPr>
        <w:tc>
          <w:tcPr>
            <w:tcW w:w="6537" w:type="dxa"/>
            <w:tcBorders>
              <w:top w:val="nil"/>
              <w:left w:val="nil"/>
              <w:bottom w:val="nil"/>
              <w:right w:val="nil"/>
            </w:tcBorders>
            <w:shd w:val="clear" w:color="auto" w:fill="auto"/>
            <w:vAlign w:val="bottom"/>
            <w:hideMark/>
          </w:tcPr>
          <w:p w14:paraId="79BD07E9" w14:textId="77777777" w:rsidR="00536836" w:rsidRPr="00536836" w:rsidRDefault="00536836" w:rsidP="00536836">
            <w:pPr>
              <w:rPr>
                <w:rFonts w:cs="Arial"/>
                <w:color w:val="000000"/>
                <w:sz w:val="16"/>
                <w:szCs w:val="16"/>
                <w:lang w:eastAsia="en-AU"/>
              </w:rPr>
            </w:pPr>
            <w:r w:rsidRPr="00536836">
              <w:rPr>
                <w:rFonts w:cs="Arial"/>
                <w:color w:val="000000"/>
                <w:sz w:val="16"/>
                <w:szCs w:val="16"/>
                <w:lang w:eastAsia="en-AU"/>
              </w:rPr>
              <w:t>Reduce the gap between the highest and lowest socio-economic status students in public schools above the national minimum standard for reading and numeracy</w:t>
            </w:r>
            <w:r w:rsidRPr="00536836">
              <w:rPr>
                <w:rFonts w:cs="Arial"/>
                <w:color w:val="000000"/>
                <w:sz w:val="16"/>
                <w:szCs w:val="16"/>
                <w:vertAlign w:val="superscript"/>
                <w:lang w:eastAsia="en-AU"/>
              </w:rPr>
              <w:t>(h)</w:t>
            </w:r>
          </w:p>
        </w:tc>
        <w:tc>
          <w:tcPr>
            <w:tcW w:w="736" w:type="dxa"/>
            <w:tcBorders>
              <w:top w:val="nil"/>
              <w:left w:val="nil"/>
              <w:bottom w:val="nil"/>
              <w:right w:val="nil"/>
            </w:tcBorders>
            <w:shd w:val="clear" w:color="auto" w:fill="auto"/>
            <w:noWrap/>
            <w:vAlign w:val="bottom"/>
            <w:hideMark/>
          </w:tcPr>
          <w:p w14:paraId="63E57A7E" w14:textId="77777777" w:rsidR="00536836" w:rsidRPr="00536836" w:rsidRDefault="00536836" w:rsidP="00536836">
            <w:pPr>
              <w:jc w:val="center"/>
              <w:rPr>
                <w:rFonts w:cs="Arial"/>
                <w:color w:val="000000"/>
                <w:sz w:val="16"/>
                <w:szCs w:val="16"/>
                <w:lang w:eastAsia="en-AU"/>
              </w:rPr>
            </w:pPr>
            <w:r w:rsidRPr="00536836">
              <w:rPr>
                <w:rFonts w:cs="Arial"/>
                <w:color w:val="000000"/>
                <w:sz w:val="16"/>
                <w:szCs w:val="16"/>
                <w:lang w:eastAsia="en-AU"/>
              </w:rPr>
              <w:t>%</w:t>
            </w:r>
          </w:p>
        </w:tc>
        <w:tc>
          <w:tcPr>
            <w:tcW w:w="1191" w:type="dxa"/>
            <w:tcBorders>
              <w:top w:val="nil"/>
              <w:left w:val="nil"/>
              <w:bottom w:val="nil"/>
              <w:right w:val="nil"/>
            </w:tcBorders>
            <w:shd w:val="clear" w:color="auto" w:fill="auto"/>
            <w:noWrap/>
            <w:vAlign w:val="bottom"/>
            <w:hideMark/>
          </w:tcPr>
          <w:p w14:paraId="75990F8F" w14:textId="77777777" w:rsidR="00536836" w:rsidRPr="00536836" w:rsidRDefault="00536836" w:rsidP="0077355F">
            <w:pPr>
              <w:ind w:right="170"/>
              <w:jc w:val="right"/>
              <w:rPr>
                <w:rFonts w:cs="Arial"/>
                <w:sz w:val="16"/>
                <w:szCs w:val="16"/>
                <w:lang w:eastAsia="en-AU"/>
              </w:rPr>
            </w:pPr>
            <w:r w:rsidRPr="00536836">
              <w:rPr>
                <w:rFonts w:cs="Arial"/>
                <w:sz w:val="16"/>
                <w:szCs w:val="16"/>
                <w:lang w:eastAsia="en-AU"/>
              </w:rPr>
              <w:t xml:space="preserve">32.1 </w:t>
            </w:r>
          </w:p>
        </w:tc>
        <w:tc>
          <w:tcPr>
            <w:tcW w:w="1191" w:type="dxa"/>
            <w:tcBorders>
              <w:top w:val="nil"/>
              <w:left w:val="nil"/>
              <w:bottom w:val="nil"/>
              <w:right w:val="nil"/>
            </w:tcBorders>
            <w:shd w:val="clear" w:color="auto" w:fill="auto"/>
            <w:noWrap/>
            <w:vAlign w:val="bottom"/>
            <w:hideMark/>
          </w:tcPr>
          <w:p w14:paraId="0BF6CE59" w14:textId="77777777" w:rsidR="00536836" w:rsidRPr="00536836" w:rsidRDefault="00536836" w:rsidP="0077355F">
            <w:pPr>
              <w:ind w:right="170"/>
              <w:jc w:val="right"/>
              <w:rPr>
                <w:rFonts w:cs="Arial"/>
                <w:sz w:val="16"/>
                <w:szCs w:val="16"/>
                <w:lang w:eastAsia="en-AU"/>
              </w:rPr>
            </w:pPr>
            <w:r w:rsidRPr="00536836">
              <w:rPr>
                <w:rFonts w:cs="Arial"/>
                <w:sz w:val="16"/>
                <w:szCs w:val="16"/>
                <w:lang w:eastAsia="en-AU"/>
              </w:rPr>
              <w:t xml:space="preserve">29.3 </w:t>
            </w:r>
          </w:p>
        </w:tc>
      </w:tr>
      <w:tr w:rsidR="00536836" w:rsidRPr="00536836" w14:paraId="4DC94E49" w14:textId="77777777" w:rsidTr="0077355F">
        <w:trPr>
          <w:trHeight w:val="636"/>
        </w:trPr>
        <w:tc>
          <w:tcPr>
            <w:tcW w:w="6537" w:type="dxa"/>
            <w:tcBorders>
              <w:top w:val="nil"/>
              <w:left w:val="nil"/>
              <w:bottom w:val="nil"/>
              <w:right w:val="nil"/>
            </w:tcBorders>
            <w:shd w:val="clear" w:color="auto" w:fill="auto"/>
            <w:vAlign w:val="bottom"/>
            <w:hideMark/>
          </w:tcPr>
          <w:p w14:paraId="1EF44CF1" w14:textId="7A33B5DA" w:rsidR="00536836" w:rsidRPr="00536836" w:rsidRDefault="00536836" w:rsidP="00536836">
            <w:pPr>
              <w:rPr>
                <w:rFonts w:cs="Arial"/>
                <w:color w:val="000000"/>
                <w:sz w:val="16"/>
                <w:szCs w:val="16"/>
                <w:lang w:eastAsia="en-AU"/>
              </w:rPr>
            </w:pPr>
            <w:r w:rsidRPr="00536836">
              <w:rPr>
                <w:rFonts w:cs="Arial"/>
                <w:color w:val="000000"/>
                <w:sz w:val="16"/>
                <w:szCs w:val="16"/>
                <w:lang w:eastAsia="en-AU"/>
              </w:rPr>
              <w:t>Reduce the gap between the highest and lowest socio-economic status students in public schools reporting a sense of belonging, expectations for success and advocacy at school</w:t>
            </w:r>
            <w:r w:rsidRPr="00536836">
              <w:rPr>
                <w:rFonts w:cs="Arial"/>
                <w:color w:val="000000"/>
                <w:sz w:val="16"/>
                <w:szCs w:val="16"/>
                <w:vertAlign w:val="superscript"/>
                <w:lang w:eastAsia="en-AU"/>
              </w:rPr>
              <w:t>(h)</w:t>
            </w:r>
            <w:r w:rsidR="006523CE" w:rsidRPr="00691DD6">
              <w:rPr>
                <w:rFonts w:cs="Arial"/>
                <w:color w:val="000000"/>
                <w:sz w:val="16"/>
                <w:szCs w:val="16"/>
                <w:vertAlign w:val="superscript"/>
                <w:lang w:eastAsia="en-AU"/>
              </w:rPr>
              <w:t>(g)</w:t>
            </w:r>
          </w:p>
        </w:tc>
        <w:tc>
          <w:tcPr>
            <w:tcW w:w="736" w:type="dxa"/>
            <w:tcBorders>
              <w:top w:val="nil"/>
              <w:left w:val="nil"/>
              <w:bottom w:val="nil"/>
              <w:right w:val="nil"/>
            </w:tcBorders>
            <w:shd w:val="clear" w:color="auto" w:fill="auto"/>
            <w:noWrap/>
            <w:vAlign w:val="bottom"/>
            <w:hideMark/>
          </w:tcPr>
          <w:p w14:paraId="1D387678" w14:textId="77777777" w:rsidR="00536836" w:rsidRPr="00536836" w:rsidRDefault="00536836" w:rsidP="00536836">
            <w:pPr>
              <w:jc w:val="center"/>
              <w:rPr>
                <w:rFonts w:cs="Arial"/>
                <w:color w:val="000000"/>
                <w:sz w:val="16"/>
                <w:szCs w:val="16"/>
                <w:lang w:eastAsia="en-AU"/>
              </w:rPr>
            </w:pPr>
            <w:r w:rsidRPr="00536836">
              <w:rPr>
                <w:rFonts w:cs="Arial"/>
                <w:color w:val="000000"/>
                <w:sz w:val="16"/>
                <w:szCs w:val="16"/>
                <w:lang w:eastAsia="en-AU"/>
              </w:rPr>
              <w:t>%</w:t>
            </w:r>
          </w:p>
        </w:tc>
        <w:tc>
          <w:tcPr>
            <w:tcW w:w="1191" w:type="dxa"/>
            <w:tcBorders>
              <w:top w:val="nil"/>
              <w:left w:val="nil"/>
              <w:bottom w:val="nil"/>
              <w:right w:val="nil"/>
            </w:tcBorders>
            <w:shd w:val="clear" w:color="auto" w:fill="auto"/>
            <w:noWrap/>
            <w:vAlign w:val="bottom"/>
            <w:hideMark/>
          </w:tcPr>
          <w:p w14:paraId="1A25A6EC" w14:textId="77777777" w:rsidR="00536836" w:rsidRPr="00536836" w:rsidRDefault="00536836" w:rsidP="0077355F">
            <w:pPr>
              <w:ind w:right="170"/>
              <w:jc w:val="right"/>
              <w:rPr>
                <w:rFonts w:cs="Arial"/>
                <w:color w:val="000000"/>
                <w:sz w:val="16"/>
                <w:szCs w:val="16"/>
                <w:lang w:eastAsia="en-AU"/>
              </w:rPr>
            </w:pPr>
          </w:p>
        </w:tc>
        <w:tc>
          <w:tcPr>
            <w:tcW w:w="1191" w:type="dxa"/>
            <w:tcBorders>
              <w:top w:val="nil"/>
              <w:left w:val="nil"/>
              <w:bottom w:val="nil"/>
              <w:right w:val="nil"/>
            </w:tcBorders>
            <w:shd w:val="clear" w:color="auto" w:fill="auto"/>
            <w:noWrap/>
            <w:vAlign w:val="bottom"/>
            <w:hideMark/>
          </w:tcPr>
          <w:p w14:paraId="31817098" w14:textId="77777777" w:rsidR="00536836" w:rsidRPr="00536836" w:rsidRDefault="00536836" w:rsidP="0077355F">
            <w:pPr>
              <w:ind w:right="170"/>
              <w:jc w:val="right"/>
              <w:rPr>
                <w:lang w:eastAsia="en-AU"/>
              </w:rPr>
            </w:pPr>
          </w:p>
        </w:tc>
      </w:tr>
      <w:tr w:rsidR="00536836" w:rsidRPr="00536836" w14:paraId="28AD585B" w14:textId="77777777" w:rsidTr="0077355F">
        <w:trPr>
          <w:trHeight w:val="204"/>
        </w:trPr>
        <w:tc>
          <w:tcPr>
            <w:tcW w:w="6537" w:type="dxa"/>
            <w:tcBorders>
              <w:top w:val="nil"/>
              <w:left w:val="nil"/>
              <w:bottom w:val="nil"/>
              <w:right w:val="nil"/>
            </w:tcBorders>
            <w:shd w:val="clear" w:color="auto" w:fill="auto"/>
            <w:vAlign w:val="bottom"/>
            <w:hideMark/>
          </w:tcPr>
          <w:p w14:paraId="3ECD22E8" w14:textId="288C82A2" w:rsidR="00536836" w:rsidRPr="00536836" w:rsidRDefault="00536836" w:rsidP="00536836">
            <w:pPr>
              <w:ind w:firstLineChars="300" w:firstLine="480"/>
              <w:rPr>
                <w:rFonts w:cs="Arial"/>
                <w:color w:val="000000"/>
                <w:sz w:val="16"/>
                <w:szCs w:val="16"/>
                <w:lang w:eastAsia="en-AU"/>
              </w:rPr>
            </w:pPr>
            <w:r w:rsidRPr="00536836">
              <w:rPr>
                <w:rFonts w:cs="Arial"/>
                <w:color w:val="000000"/>
                <w:sz w:val="16"/>
                <w:szCs w:val="16"/>
                <w:lang w:eastAsia="en-AU"/>
              </w:rPr>
              <w:t>Gap between low-and high-SES public primary school students</w:t>
            </w:r>
          </w:p>
        </w:tc>
        <w:tc>
          <w:tcPr>
            <w:tcW w:w="736" w:type="dxa"/>
            <w:tcBorders>
              <w:top w:val="nil"/>
              <w:left w:val="nil"/>
              <w:bottom w:val="nil"/>
              <w:right w:val="nil"/>
            </w:tcBorders>
            <w:shd w:val="clear" w:color="auto" w:fill="auto"/>
            <w:noWrap/>
            <w:vAlign w:val="bottom"/>
            <w:hideMark/>
          </w:tcPr>
          <w:p w14:paraId="5EC0F6B2" w14:textId="77777777" w:rsidR="00536836" w:rsidRPr="00536836" w:rsidRDefault="00536836" w:rsidP="00216E63">
            <w:pPr>
              <w:ind w:firstLineChars="300" w:firstLine="480"/>
              <w:jc w:val="center"/>
              <w:rPr>
                <w:rFonts w:cs="Arial"/>
                <w:color w:val="000000"/>
                <w:sz w:val="16"/>
                <w:szCs w:val="16"/>
                <w:lang w:eastAsia="en-AU"/>
              </w:rPr>
            </w:pPr>
          </w:p>
        </w:tc>
        <w:tc>
          <w:tcPr>
            <w:tcW w:w="1191" w:type="dxa"/>
            <w:tcBorders>
              <w:top w:val="nil"/>
              <w:left w:val="nil"/>
              <w:bottom w:val="nil"/>
              <w:right w:val="nil"/>
            </w:tcBorders>
            <w:shd w:val="clear" w:color="auto" w:fill="auto"/>
            <w:noWrap/>
            <w:vAlign w:val="bottom"/>
            <w:hideMark/>
          </w:tcPr>
          <w:p w14:paraId="2BC4F164" w14:textId="77777777" w:rsidR="00536836" w:rsidRPr="00536836" w:rsidRDefault="00536836" w:rsidP="0077355F">
            <w:pPr>
              <w:ind w:right="170"/>
              <w:jc w:val="right"/>
              <w:rPr>
                <w:rFonts w:cs="Arial"/>
                <w:sz w:val="16"/>
                <w:szCs w:val="16"/>
                <w:lang w:eastAsia="en-AU"/>
              </w:rPr>
            </w:pPr>
            <w:r w:rsidRPr="00536836">
              <w:rPr>
                <w:rFonts w:cs="Arial"/>
                <w:sz w:val="16"/>
                <w:szCs w:val="16"/>
                <w:lang w:eastAsia="en-AU"/>
              </w:rPr>
              <w:t xml:space="preserve">10.1 </w:t>
            </w:r>
          </w:p>
        </w:tc>
        <w:tc>
          <w:tcPr>
            <w:tcW w:w="1191" w:type="dxa"/>
            <w:tcBorders>
              <w:top w:val="nil"/>
              <w:left w:val="nil"/>
              <w:bottom w:val="nil"/>
              <w:right w:val="nil"/>
            </w:tcBorders>
            <w:shd w:val="clear" w:color="auto" w:fill="auto"/>
            <w:noWrap/>
            <w:vAlign w:val="bottom"/>
            <w:hideMark/>
          </w:tcPr>
          <w:p w14:paraId="3D6D644B" w14:textId="77777777" w:rsidR="00536836" w:rsidRPr="00536836" w:rsidRDefault="00536836" w:rsidP="0077355F">
            <w:pPr>
              <w:ind w:right="170"/>
              <w:jc w:val="right"/>
              <w:rPr>
                <w:rFonts w:cs="Arial"/>
                <w:sz w:val="16"/>
                <w:szCs w:val="16"/>
                <w:lang w:eastAsia="en-AU"/>
              </w:rPr>
            </w:pPr>
            <w:r w:rsidRPr="00536836">
              <w:rPr>
                <w:rFonts w:cs="Arial"/>
                <w:sz w:val="16"/>
                <w:szCs w:val="16"/>
                <w:lang w:eastAsia="en-AU"/>
              </w:rPr>
              <w:t xml:space="preserve">10.0 </w:t>
            </w:r>
          </w:p>
        </w:tc>
      </w:tr>
      <w:tr w:rsidR="00536836" w:rsidRPr="00536836" w14:paraId="0BA8A982" w14:textId="77777777" w:rsidTr="0077355F">
        <w:trPr>
          <w:trHeight w:val="204"/>
        </w:trPr>
        <w:tc>
          <w:tcPr>
            <w:tcW w:w="6537" w:type="dxa"/>
            <w:tcBorders>
              <w:top w:val="nil"/>
              <w:left w:val="nil"/>
              <w:bottom w:val="nil"/>
              <w:right w:val="nil"/>
            </w:tcBorders>
            <w:shd w:val="clear" w:color="auto" w:fill="auto"/>
            <w:vAlign w:val="bottom"/>
            <w:hideMark/>
          </w:tcPr>
          <w:p w14:paraId="1D235CFF" w14:textId="4413B958" w:rsidR="00536836" w:rsidRPr="00536836" w:rsidRDefault="00536836" w:rsidP="00536836">
            <w:pPr>
              <w:ind w:firstLineChars="300" w:firstLine="480"/>
              <w:rPr>
                <w:rFonts w:cs="Arial"/>
                <w:color w:val="000000"/>
                <w:sz w:val="16"/>
                <w:szCs w:val="16"/>
                <w:lang w:eastAsia="en-AU"/>
              </w:rPr>
            </w:pPr>
            <w:r w:rsidRPr="00536836">
              <w:rPr>
                <w:rFonts w:cs="Arial"/>
                <w:color w:val="000000"/>
                <w:sz w:val="16"/>
                <w:szCs w:val="16"/>
                <w:lang w:eastAsia="en-AU"/>
              </w:rPr>
              <w:t>Gap between low</w:t>
            </w:r>
            <w:r w:rsidR="001F1227">
              <w:rPr>
                <w:rFonts w:cs="Arial"/>
                <w:color w:val="000000"/>
                <w:sz w:val="16"/>
                <w:szCs w:val="16"/>
                <w:lang w:eastAsia="en-AU"/>
              </w:rPr>
              <w:t>-</w:t>
            </w:r>
            <w:r w:rsidRPr="00536836">
              <w:rPr>
                <w:rFonts w:cs="Arial"/>
                <w:color w:val="000000"/>
                <w:sz w:val="16"/>
                <w:szCs w:val="16"/>
                <w:lang w:eastAsia="en-AU"/>
              </w:rPr>
              <w:t>and high-SES public secondary school students</w:t>
            </w:r>
          </w:p>
        </w:tc>
        <w:tc>
          <w:tcPr>
            <w:tcW w:w="736" w:type="dxa"/>
            <w:tcBorders>
              <w:top w:val="nil"/>
              <w:left w:val="nil"/>
              <w:bottom w:val="nil"/>
              <w:right w:val="nil"/>
            </w:tcBorders>
            <w:shd w:val="clear" w:color="auto" w:fill="auto"/>
            <w:noWrap/>
            <w:vAlign w:val="bottom"/>
            <w:hideMark/>
          </w:tcPr>
          <w:p w14:paraId="70B3767B" w14:textId="77777777" w:rsidR="00536836" w:rsidRPr="00536836" w:rsidRDefault="00536836" w:rsidP="00216E63">
            <w:pPr>
              <w:ind w:firstLineChars="300" w:firstLine="480"/>
              <w:jc w:val="center"/>
              <w:rPr>
                <w:rFonts w:cs="Arial"/>
                <w:color w:val="000000"/>
                <w:sz w:val="16"/>
                <w:szCs w:val="16"/>
                <w:lang w:eastAsia="en-AU"/>
              </w:rPr>
            </w:pPr>
          </w:p>
        </w:tc>
        <w:tc>
          <w:tcPr>
            <w:tcW w:w="1191" w:type="dxa"/>
            <w:tcBorders>
              <w:top w:val="nil"/>
              <w:left w:val="nil"/>
              <w:bottom w:val="nil"/>
              <w:right w:val="nil"/>
            </w:tcBorders>
            <w:shd w:val="clear" w:color="auto" w:fill="auto"/>
            <w:noWrap/>
            <w:vAlign w:val="bottom"/>
            <w:hideMark/>
          </w:tcPr>
          <w:p w14:paraId="2FD53057" w14:textId="77777777" w:rsidR="00536836" w:rsidRPr="00536836" w:rsidRDefault="00536836" w:rsidP="0077355F">
            <w:pPr>
              <w:ind w:right="170"/>
              <w:jc w:val="right"/>
              <w:rPr>
                <w:rFonts w:cs="Arial"/>
                <w:sz w:val="16"/>
                <w:szCs w:val="16"/>
                <w:lang w:eastAsia="en-AU"/>
              </w:rPr>
            </w:pPr>
            <w:r w:rsidRPr="00536836">
              <w:rPr>
                <w:rFonts w:cs="Arial"/>
                <w:sz w:val="16"/>
                <w:szCs w:val="16"/>
                <w:lang w:eastAsia="en-AU"/>
              </w:rPr>
              <w:t xml:space="preserve">20.7 </w:t>
            </w:r>
          </w:p>
        </w:tc>
        <w:tc>
          <w:tcPr>
            <w:tcW w:w="1191" w:type="dxa"/>
            <w:tcBorders>
              <w:top w:val="nil"/>
              <w:left w:val="nil"/>
              <w:bottom w:val="nil"/>
              <w:right w:val="nil"/>
            </w:tcBorders>
            <w:shd w:val="clear" w:color="auto" w:fill="auto"/>
            <w:noWrap/>
            <w:vAlign w:val="bottom"/>
            <w:hideMark/>
          </w:tcPr>
          <w:p w14:paraId="20AC4390" w14:textId="77777777" w:rsidR="00536836" w:rsidRPr="00536836" w:rsidRDefault="00536836" w:rsidP="0077355F">
            <w:pPr>
              <w:ind w:right="170"/>
              <w:jc w:val="right"/>
              <w:rPr>
                <w:rFonts w:cs="Arial"/>
                <w:sz w:val="16"/>
                <w:szCs w:val="16"/>
                <w:lang w:eastAsia="en-AU"/>
              </w:rPr>
            </w:pPr>
            <w:r w:rsidRPr="00536836">
              <w:rPr>
                <w:rFonts w:cs="Arial"/>
                <w:sz w:val="16"/>
                <w:szCs w:val="16"/>
                <w:lang w:eastAsia="en-AU"/>
              </w:rPr>
              <w:t xml:space="preserve">22.7 </w:t>
            </w:r>
          </w:p>
        </w:tc>
      </w:tr>
      <w:tr w:rsidR="00536836" w:rsidRPr="00536836" w14:paraId="25818D95" w14:textId="77777777" w:rsidTr="0077355F">
        <w:trPr>
          <w:trHeight w:val="204"/>
        </w:trPr>
        <w:tc>
          <w:tcPr>
            <w:tcW w:w="6537" w:type="dxa"/>
            <w:tcBorders>
              <w:top w:val="nil"/>
              <w:left w:val="nil"/>
              <w:bottom w:val="nil"/>
              <w:right w:val="nil"/>
            </w:tcBorders>
            <w:shd w:val="clear" w:color="auto" w:fill="auto"/>
            <w:vAlign w:val="bottom"/>
            <w:hideMark/>
          </w:tcPr>
          <w:p w14:paraId="607B8A8F" w14:textId="77777777" w:rsidR="00536836" w:rsidRPr="00536836" w:rsidRDefault="00536836" w:rsidP="00536836">
            <w:pPr>
              <w:rPr>
                <w:rFonts w:cs="Arial"/>
                <w:b/>
                <w:bCs/>
                <w:color w:val="000000"/>
                <w:sz w:val="16"/>
                <w:szCs w:val="16"/>
                <w:lang w:eastAsia="en-AU"/>
              </w:rPr>
            </w:pPr>
            <w:r w:rsidRPr="00536836">
              <w:rPr>
                <w:rFonts w:cs="Arial"/>
                <w:b/>
                <w:bCs/>
                <w:color w:val="000000"/>
                <w:sz w:val="16"/>
                <w:szCs w:val="16"/>
                <w:lang w:eastAsia="en-AU"/>
              </w:rPr>
              <w:t>Independence</w:t>
            </w:r>
          </w:p>
        </w:tc>
        <w:tc>
          <w:tcPr>
            <w:tcW w:w="736" w:type="dxa"/>
            <w:tcBorders>
              <w:top w:val="nil"/>
              <w:left w:val="nil"/>
              <w:bottom w:val="nil"/>
              <w:right w:val="nil"/>
            </w:tcBorders>
            <w:shd w:val="clear" w:color="auto" w:fill="auto"/>
            <w:noWrap/>
            <w:vAlign w:val="bottom"/>
            <w:hideMark/>
          </w:tcPr>
          <w:p w14:paraId="7E7F81D6" w14:textId="77777777" w:rsidR="00536836" w:rsidRPr="00536836" w:rsidRDefault="00536836" w:rsidP="00216E63">
            <w:pPr>
              <w:jc w:val="center"/>
              <w:rPr>
                <w:rFonts w:cs="Arial"/>
                <w:b/>
                <w:bCs/>
                <w:color w:val="000000"/>
                <w:sz w:val="16"/>
                <w:szCs w:val="16"/>
                <w:lang w:eastAsia="en-AU"/>
              </w:rPr>
            </w:pPr>
          </w:p>
        </w:tc>
        <w:tc>
          <w:tcPr>
            <w:tcW w:w="1191" w:type="dxa"/>
            <w:tcBorders>
              <w:top w:val="nil"/>
              <w:left w:val="nil"/>
              <w:bottom w:val="nil"/>
              <w:right w:val="nil"/>
            </w:tcBorders>
            <w:shd w:val="clear" w:color="auto" w:fill="auto"/>
            <w:noWrap/>
            <w:vAlign w:val="bottom"/>
            <w:hideMark/>
          </w:tcPr>
          <w:p w14:paraId="7CA4F28A" w14:textId="77777777" w:rsidR="00536836" w:rsidRPr="00536836" w:rsidRDefault="00536836" w:rsidP="0077355F">
            <w:pPr>
              <w:ind w:right="170"/>
              <w:jc w:val="right"/>
              <w:rPr>
                <w:lang w:eastAsia="en-AU"/>
              </w:rPr>
            </w:pPr>
          </w:p>
        </w:tc>
        <w:tc>
          <w:tcPr>
            <w:tcW w:w="1191" w:type="dxa"/>
            <w:tcBorders>
              <w:top w:val="nil"/>
              <w:left w:val="nil"/>
              <w:bottom w:val="nil"/>
              <w:right w:val="nil"/>
            </w:tcBorders>
            <w:shd w:val="clear" w:color="auto" w:fill="auto"/>
            <w:noWrap/>
            <w:vAlign w:val="bottom"/>
            <w:hideMark/>
          </w:tcPr>
          <w:p w14:paraId="5EF98574" w14:textId="77777777" w:rsidR="00536836" w:rsidRPr="00536836" w:rsidRDefault="00536836" w:rsidP="0077355F">
            <w:pPr>
              <w:ind w:right="170"/>
              <w:jc w:val="right"/>
              <w:rPr>
                <w:lang w:eastAsia="en-AU"/>
              </w:rPr>
            </w:pPr>
          </w:p>
        </w:tc>
      </w:tr>
      <w:tr w:rsidR="00536836" w:rsidRPr="00536836" w14:paraId="78E92E63" w14:textId="77777777" w:rsidTr="0077355F">
        <w:trPr>
          <w:trHeight w:val="450"/>
        </w:trPr>
        <w:tc>
          <w:tcPr>
            <w:tcW w:w="6537" w:type="dxa"/>
            <w:tcBorders>
              <w:top w:val="nil"/>
              <w:left w:val="nil"/>
              <w:bottom w:val="nil"/>
              <w:right w:val="nil"/>
            </w:tcBorders>
            <w:shd w:val="clear" w:color="auto" w:fill="auto"/>
            <w:vAlign w:val="bottom"/>
            <w:hideMark/>
          </w:tcPr>
          <w:p w14:paraId="762149D1" w14:textId="77777777" w:rsidR="00536836" w:rsidRPr="00536836" w:rsidRDefault="00536836" w:rsidP="00536836">
            <w:pPr>
              <w:rPr>
                <w:rFonts w:cs="Arial"/>
                <w:color w:val="000000"/>
                <w:sz w:val="16"/>
                <w:szCs w:val="16"/>
                <w:lang w:eastAsia="en-AU"/>
              </w:rPr>
            </w:pPr>
            <w:r w:rsidRPr="00536836">
              <w:rPr>
                <w:rFonts w:cs="Arial"/>
                <w:color w:val="000000"/>
                <w:sz w:val="16"/>
                <w:szCs w:val="16"/>
                <w:lang w:eastAsia="en-AU"/>
              </w:rPr>
              <w:t>Proportion of public school students continuing to Year 12 and the proportion of public school students' HSC results in the top two achievement bands</w:t>
            </w:r>
            <w:r w:rsidRPr="00536836">
              <w:rPr>
                <w:rFonts w:cs="Arial"/>
                <w:color w:val="000000"/>
                <w:sz w:val="16"/>
                <w:szCs w:val="16"/>
                <w:vertAlign w:val="superscript"/>
                <w:lang w:eastAsia="en-AU"/>
              </w:rPr>
              <w:t>(f)</w:t>
            </w:r>
          </w:p>
        </w:tc>
        <w:tc>
          <w:tcPr>
            <w:tcW w:w="736" w:type="dxa"/>
            <w:tcBorders>
              <w:top w:val="nil"/>
              <w:left w:val="nil"/>
              <w:bottom w:val="nil"/>
              <w:right w:val="nil"/>
            </w:tcBorders>
            <w:shd w:val="clear" w:color="auto" w:fill="auto"/>
            <w:noWrap/>
            <w:vAlign w:val="bottom"/>
            <w:hideMark/>
          </w:tcPr>
          <w:p w14:paraId="7619DC12" w14:textId="77777777" w:rsidR="00536836" w:rsidRPr="00536836" w:rsidRDefault="00536836" w:rsidP="00536836">
            <w:pPr>
              <w:jc w:val="center"/>
              <w:rPr>
                <w:rFonts w:cs="Arial"/>
                <w:color w:val="000000"/>
                <w:sz w:val="16"/>
                <w:szCs w:val="16"/>
                <w:lang w:eastAsia="en-AU"/>
              </w:rPr>
            </w:pPr>
            <w:r w:rsidRPr="00536836">
              <w:rPr>
                <w:rFonts w:cs="Arial"/>
                <w:color w:val="000000"/>
                <w:sz w:val="16"/>
                <w:szCs w:val="16"/>
                <w:lang w:eastAsia="en-AU"/>
              </w:rPr>
              <w:t>%</w:t>
            </w:r>
          </w:p>
        </w:tc>
        <w:tc>
          <w:tcPr>
            <w:tcW w:w="1191" w:type="dxa"/>
            <w:tcBorders>
              <w:top w:val="nil"/>
              <w:left w:val="nil"/>
              <w:bottom w:val="nil"/>
              <w:right w:val="nil"/>
            </w:tcBorders>
            <w:shd w:val="clear" w:color="auto" w:fill="auto"/>
            <w:noWrap/>
            <w:vAlign w:val="bottom"/>
            <w:hideMark/>
          </w:tcPr>
          <w:p w14:paraId="591C9633" w14:textId="77777777" w:rsidR="00536836" w:rsidRPr="00536836" w:rsidRDefault="00536836" w:rsidP="0077355F">
            <w:pPr>
              <w:ind w:right="170"/>
              <w:jc w:val="right"/>
              <w:rPr>
                <w:rFonts w:cs="Arial"/>
                <w:color w:val="000000"/>
                <w:sz w:val="16"/>
                <w:szCs w:val="16"/>
                <w:lang w:eastAsia="en-AU"/>
              </w:rPr>
            </w:pPr>
          </w:p>
        </w:tc>
        <w:tc>
          <w:tcPr>
            <w:tcW w:w="1191" w:type="dxa"/>
            <w:tcBorders>
              <w:top w:val="nil"/>
              <w:left w:val="nil"/>
              <w:bottom w:val="nil"/>
              <w:right w:val="nil"/>
            </w:tcBorders>
            <w:shd w:val="clear" w:color="auto" w:fill="auto"/>
            <w:noWrap/>
            <w:vAlign w:val="bottom"/>
            <w:hideMark/>
          </w:tcPr>
          <w:p w14:paraId="38BAFF84" w14:textId="77777777" w:rsidR="00536836" w:rsidRPr="00536836" w:rsidRDefault="00536836" w:rsidP="0077355F">
            <w:pPr>
              <w:ind w:right="170"/>
              <w:jc w:val="right"/>
              <w:rPr>
                <w:lang w:eastAsia="en-AU"/>
              </w:rPr>
            </w:pPr>
          </w:p>
        </w:tc>
      </w:tr>
      <w:tr w:rsidR="00536836" w:rsidRPr="00536836" w14:paraId="5CB1A3DB" w14:textId="77777777" w:rsidTr="0077355F">
        <w:trPr>
          <w:trHeight w:val="204"/>
        </w:trPr>
        <w:tc>
          <w:tcPr>
            <w:tcW w:w="6537" w:type="dxa"/>
            <w:tcBorders>
              <w:top w:val="nil"/>
              <w:left w:val="nil"/>
              <w:bottom w:val="nil"/>
              <w:right w:val="nil"/>
            </w:tcBorders>
            <w:shd w:val="clear" w:color="auto" w:fill="auto"/>
            <w:vAlign w:val="bottom"/>
            <w:hideMark/>
          </w:tcPr>
          <w:p w14:paraId="24A57817" w14:textId="77777777" w:rsidR="00536836" w:rsidRPr="00536836" w:rsidRDefault="00536836" w:rsidP="00536836">
            <w:pPr>
              <w:ind w:firstLineChars="300" w:firstLine="480"/>
              <w:rPr>
                <w:rFonts w:cs="Arial"/>
                <w:color w:val="000000"/>
                <w:sz w:val="16"/>
                <w:szCs w:val="16"/>
                <w:lang w:eastAsia="en-AU"/>
              </w:rPr>
            </w:pPr>
            <w:r w:rsidRPr="00536836">
              <w:rPr>
                <w:rFonts w:cs="Arial"/>
                <w:color w:val="000000"/>
                <w:sz w:val="16"/>
                <w:szCs w:val="16"/>
                <w:lang w:eastAsia="en-AU"/>
              </w:rPr>
              <w:t>% of public school HSC results in top two bands</w:t>
            </w:r>
          </w:p>
        </w:tc>
        <w:tc>
          <w:tcPr>
            <w:tcW w:w="736" w:type="dxa"/>
            <w:tcBorders>
              <w:top w:val="nil"/>
              <w:left w:val="nil"/>
              <w:bottom w:val="nil"/>
              <w:right w:val="nil"/>
            </w:tcBorders>
            <w:shd w:val="clear" w:color="auto" w:fill="auto"/>
            <w:noWrap/>
            <w:vAlign w:val="bottom"/>
            <w:hideMark/>
          </w:tcPr>
          <w:p w14:paraId="7AFCC206" w14:textId="77777777" w:rsidR="00536836" w:rsidRPr="00536836" w:rsidRDefault="00536836" w:rsidP="00216E63">
            <w:pPr>
              <w:ind w:firstLineChars="300" w:firstLine="480"/>
              <w:jc w:val="center"/>
              <w:rPr>
                <w:rFonts w:cs="Arial"/>
                <w:color w:val="000000"/>
                <w:sz w:val="16"/>
                <w:szCs w:val="16"/>
                <w:lang w:eastAsia="en-AU"/>
              </w:rPr>
            </w:pPr>
          </w:p>
        </w:tc>
        <w:tc>
          <w:tcPr>
            <w:tcW w:w="1191" w:type="dxa"/>
            <w:tcBorders>
              <w:top w:val="nil"/>
              <w:left w:val="nil"/>
              <w:bottom w:val="nil"/>
              <w:right w:val="nil"/>
            </w:tcBorders>
            <w:shd w:val="clear" w:color="auto" w:fill="auto"/>
            <w:noWrap/>
            <w:vAlign w:val="bottom"/>
            <w:hideMark/>
          </w:tcPr>
          <w:p w14:paraId="4DAC5ECF" w14:textId="77777777" w:rsidR="00536836" w:rsidRPr="00536836" w:rsidRDefault="00536836" w:rsidP="0077355F">
            <w:pPr>
              <w:ind w:right="170"/>
              <w:jc w:val="right"/>
              <w:rPr>
                <w:rFonts w:cs="Arial"/>
                <w:color w:val="000000"/>
                <w:sz w:val="16"/>
                <w:szCs w:val="16"/>
                <w:lang w:eastAsia="en-AU"/>
              </w:rPr>
            </w:pPr>
            <w:r w:rsidRPr="00536836">
              <w:rPr>
                <w:rFonts w:cs="Arial"/>
                <w:color w:val="000000"/>
                <w:sz w:val="16"/>
                <w:szCs w:val="16"/>
                <w:lang w:eastAsia="en-AU"/>
              </w:rPr>
              <w:t xml:space="preserve">33.4 </w:t>
            </w:r>
          </w:p>
        </w:tc>
        <w:tc>
          <w:tcPr>
            <w:tcW w:w="1191" w:type="dxa"/>
            <w:tcBorders>
              <w:top w:val="nil"/>
              <w:left w:val="nil"/>
              <w:bottom w:val="nil"/>
              <w:right w:val="nil"/>
            </w:tcBorders>
            <w:shd w:val="clear" w:color="auto" w:fill="auto"/>
            <w:noWrap/>
            <w:vAlign w:val="bottom"/>
            <w:hideMark/>
          </w:tcPr>
          <w:p w14:paraId="68BE0423" w14:textId="77777777" w:rsidR="00536836" w:rsidRPr="00536836" w:rsidRDefault="00536836" w:rsidP="0077355F">
            <w:pPr>
              <w:ind w:right="170"/>
              <w:jc w:val="right"/>
              <w:rPr>
                <w:rFonts w:cs="Arial"/>
                <w:color w:val="000000"/>
                <w:sz w:val="16"/>
                <w:szCs w:val="16"/>
                <w:lang w:eastAsia="en-AU"/>
              </w:rPr>
            </w:pPr>
            <w:r w:rsidRPr="00536836">
              <w:rPr>
                <w:rFonts w:cs="Arial"/>
                <w:color w:val="000000"/>
                <w:sz w:val="16"/>
                <w:szCs w:val="16"/>
                <w:lang w:eastAsia="en-AU"/>
              </w:rPr>
              <w:t xml:space="preserve">35.2 </w:t>
            </w:r>
          </w:p>
        </w:tc>
      </w:tr>
      <w:tr w:rsidR="00536836" w:rsidRPr="00536836" w14:paraId="1BB2A45F" w14:textId="77777777" w:rsidTr="0077355F">
        <w:trPr>
          <w:trHeight w:val="204"/>
        </w:trPr>
        <w:tc>
          <w:tcPr>
            <w:tcW w:w="6537" w:type="dxa"/>
            <w:tcBorders>
              <w:top w:val="nil"/>
              <w:left w:val="nil"/>
              <w:bottom w:val="nil"/>
              <w:right w:val="nil"/>
            </w:tcBorders>
            <w:shd w:val="clear" w:color="auto" w:fill="auto"/>
            <w:vAlign w:val="bottom"/>
            <w:hideMark/>
          </w:tcPr>
          <w:p w14:paraId="25E7ED0A" w14:textId="77777777" w:rsidR="00536836" w:rsidRPr="00536836" w:rsidRDefault="00536836" w:rsidP="00536836">
            <w:pPr>
              <w:ind w:firstLineChars="300" w:firstLine="480"/>
              <w:rPr>
                <w:rFonts w:cs="Arial"/>
                <w:color w:val="000000"/>
                <w:sz w:val="16"/>
                <w:szCs w:val="16"/>
                <w:lang w:eastAsia="en-AU"/>
              </w:rPr>
            </w:pPr>
            <w:r w:rsidRPr="00536836">
              <w:rPr>
                <w:rFonts w:cs="Arial"/>
                <w:color w:val="000000"/>
                <w:sz w:val="16"/>
                <w:szCs w:val="16"/>
                <w:lang w:eastAsia="en-AU"/>
              </w:rPr>
              <w:t xml:space="preserve">Apparent retention rate </w:t>
            </w:r>
          </w:p>
        </w:tc>
        <w:tc>
          <w:tcPr>
            <w:tcW w:w="736" w:type="dxa"/>
            <w:tcBorders>
              <w:top w:val="nil"/>
              <w:left w:val="nil"/>
              <w:bottom w:val="nil"/>
              <w:right w:val="nil"/>
            </w:tcBorders>
            <w:shd w:val="clear" w:color="auto" w:fill="auto"/>
            <w:noWrap/>
            <w:vAlign w:val="bottom"/>
            <w:hideMark/>
          </w:tcPr>
          <w:p w14:paraId="4D7D625D" w14:textId="77777777" w:rsidR="00536836" w:rsidRPr="00536836" w:rsidRDefault="00536836" w:rsidP="00216E63">
            <w:pPr>
              <w:ind w:firstLineChars="300" w:firstLine="480"/>
              <w:jc w:val="center"/>
              <w:rPr>
                <w:rFonts w:cs="Arial"/>
                <w:color w:val="000000"/>
                <w:sz w:val="16"/>
                <w:szCs w:val="16"/>
                <w:lang w:eastAsia="en-AU"/>
              </w:rPr>
            </w:pPr>
          </w:p>
        </w:tc>
        <w:tc>
          <w:tcPr>
            <w:tcW w:w="1191" w:type="dxa"/>
            <w:tcBorders>
              <w:top w:val="nil"/>
              <w:left w:val="nil"/>
              <w:bottom w:val="nil"/>
              <w:right w:val="nil"/>
            </w:tcBorders>
            <w:shd w:val="clear" w:color="auto" w:fill="auto"/>
            <w:noWrap/>
            <w:vAlign w:val="bottom"/>
            <w:hideMark/>
          </w:tcPr>
          <w:p w14:paraId="5E33596F" w14:textId="77777777" w:rsidR="00536836" w:rsidRPr="00536836" w:rsidRDefault="00536836" w:rsidP="0077355F">
            <w:pPr>
              <w:ind w:right="170"/>
              <w:jc w:val="right"/>
              <w:rPr>
                <w:rFonts w:cs="Arial"/>
                <w:color w:val="000000"/>
                <w:sz w:val="16"/>
                <w:szCs w:val="16"/>
                <w:lang w:eastAsia="en-AU"/>
              </w:rPr>
            </w:pPr>
            <w:r w:rsidRPr="00536836">
              <w:rPr>
                <w:rFonts w:cs="Arial"/>
                <w:color w:val="000000"/>
                <w:sz w:val="16"/>
                <w:szCs w:val="16"/>
                <w:lang w:eastAsia="en-AU"/>
              </w:rPr>
              <w:t xml:space="preserve">72.3 </w:t>
            </w:r>
          </w:p>
        </w:tc>
        <w:tc>
          <w:tcPr>
            <w:tcW w:w="1191" w:type="dxa"/>
            <w:tcBorders>
              <w:top w:val="nil"/>
              <w:left w:val="nil"/>
              <w:bottom w:val="nil"/>
              <w:right w:val="nil"/>
            </w:tcBorders>
            <w:shd w:val="clear" w:color="auto" w:fill="auto"/>
            <w:noWrap/>
            <w:vAlign w:val="bottom"/>
            <w:hideMark/>
          </w:tcPr>
          <w:p w14:paraId="72FAD462" w14:textId="77777777" w:rsidR="00536836" w:rsidRPr="00536836" w:rsidRDefault="00536836" w:rsidP="0077355F">
            <w:pPr>
              <w:ind w:right="170"/>
              <w:jc w:val="right"/>
              <w:rPr>
                <w:rFonts w:cs="Arial"/>
                <w:color w:val="000000"/>
                <w:sz w:val="16"/>
                <w:szCs w:val="16"/>
                <w:lang w:eastAsia="en-AU"/>
              </w:rPr>
            </w:pPr>
            <w:r w:rsidRPr="00536836">
              <w:rPr>
                <w:rFonts w:cs="Arial"/>
                <w:color w:val="000000"/>
                <w:sz w:val="16"/>
                <w:szCs w:val="16"/>
                <w:lang w:eastAsia="en-AU"/>
              </w:rPr>
              <w:t xml:space="preserve">75.3 </w:t>
            </w:r>
          </w:p>
        </w:tc>
      </w:tr>
      <w:tr w:rsidR="00536836" w:rsidRPr="00536836" w14:paraId="0635933B" w14:textId="77777777" w:rsidTr="0077355F">
        <w:trPr>
          <w:trHeight w:val="462"/>
        </w:trPr>
        <w:tc>
          <w:tcPr>
            <w:tcW w:w="6537" w:type="dxa"/>
            <w:tcBorders>
              <w:top w:val="nil"/>
              <w:left w:val="nil"/>
              <w:bottom w:val="nil"/>
              <w:right w:val="nil"/>
            </w:tcBorders>
            <w:shd w:val="clear" w:color="auto" w:fill="auto"/>
            <w:vAlign w:val="bottom"/>
            <w:hideMark/>
          </w:tcPr>
          <w:p w14:paraId="2F58923A" w14:textId="77777777" w:rsidR="00536836" w:rsidRPr="00536836" w:rsidRDefault="00536836" w:rsidP="00536836">
            <w:pPr>
              <w:rPr>
                <w:rFonts w:cs="Arial"/>
                <w:color w:val="000000"/>
                <w:sz w:val="16"/>
                <w:szCs w:val="16"/>
                <w:lang w:eastAsia="en-AU"/>
              </w:rPr>
            </w:pPr>
            <w:r w:rsidRPr="00536836">
              <w:rPr>
                <w:rFonts w:cs="Arial"/>
                <w:color w:val="000000"/>
                <w:sz w:val="16"/>
                <w:szCs w:val="16"/>
                <w:lang w:eastAsia="en-AU"/>
              </w:rPr>
              <w:t>Proportion of all recent school leavers (who left school the previous year) participating in higher education, training or work</w:t>
            </w:r>
            <w:r w:rsidRPr="00536836">
              <w:rPr>
                <w:rFonts w:cs="Arial"/>
                <w:color w:val="000000"/>
                <w:sz w:val="16"/>
                <w:szCs w:val="16"/>
                <w:vertAlign w:val="superscript"/>
                <w:lang w:eastAsia="en-AU"/>
              </w:rPr>
              <w:t>(d)</w:t>
            </w:r>
          </w:p>
        </w:tc>
        <w:tc>
          <w:tcPr>
            <w:tcW w:w="736" w:type="dxa"/>
            <w:tcBorders>
              <w:top w:val="nil"/>
              <w:left w:val="nil"/>
              <w:bottom w:val="nil"/>
              <w:right w:val="nil"/>
            </w:tcBorders>
            <w:shd w:val="clear" w:color="auto" w:fill="auto"/>
            <w:noWrap/>
            <w:vAlign w:val="bottom"/>
            <w:hideMark/>
          </w:tcPr>
          <w:p w14:paraId="73EE7A02" w14:textId="77777777" w:rsidR="00536836" w:rsidRPr="00536836" w:rsidRDefault="00536836" w:rsidP="00536836">
            <w:pPr>
              <w:jc w:val="center"/>
              <w:rPr>
                <w:rFonts w:cs="Arial"/>
                <w:color w:val="000000"/>
                <w:sz w:val="16"/>
                <w:szCs w:val="16"/>
                <w:lang w:eastAsia="en-AU"/>
              </w:rPr>
            </w:pPr>
            <w:r w:rsidRPr="00536836">
              <w:rPr>
                <w:rFonts w:cs="Arial"/>
                <w:color w:val="000000"/>
                <w:sz w:val="16"/>
                <w:szCs w:val="16"/>
                <w:lang w:eastAsia="en-AU"/>
              </w:rPr>
              <w:t>%</w:t>
            </w:r>
          </w:p>
        </w:tc>
        <w:tc>
          <w:tcPr>
            <w:tcW w:w="1191" w:type="dxa"/>
            <w:tcBorders>
              <w:top w:val="nil"/>
              <w:left w:val="nil"/>
              <w:bottom w:val="nil"/>
              <w:right w:val="nil"/>
            </w:tcBorders>
            <w:shd w:val="clear" w:color="auto" w:fill="auto"/>
            <w:noWrap/>
            <w:vAlign w:val="bottom"/>
            <w:hideMark/>
          </w:tcPr>
          <w:p w14:paraId="1ECB8EBF" w14:textId="77777777" w:rsidR="00536836" w:rsidRPr="00536836" w:rsidRDefault="00536836" w:rsidP="0077355F">
            <w:pPr>
              <w:ind w:right="170"/>
              <w:jc w:val="right"/>
              <w:rPr>
                <w:rFonts w:cs="Arial"/>
                <w:color w:val="000000"/>
                <w:sz w:val="16"/>
                <w:szCs w:val="16"/>
                <w:lang w:eastAsia="en-AU"/>
              </w:rPr>
            </w:pPr>
            <w:r w:rsidRPr="00536836">
              <w:rPr>
                <w:rFonts w:cs="Arial"/>
                <w:color w:val="000000"/>
                <w:sz w:val="16"/>
                <w:szCs w:val="16"/>
                <w:lang w:eastAsia="en-AU"/>
              </w:rPr>
              <w:t xml:space="preserve">88.5 </w:t>
            </w:r>
          </w:p>
        </w:tc>
        <w:tc>
          <w:tcPr>
            <w:tcW w:w="1191" w:type="dxa"/>
            <w:tcBorders>
              <w:top w:val="nil"/>
              <w:left w:val="nil"/>
              <w:bottom w:val="nil"/>
              <w:right w:val="nil"/>
            </w:tcBorders>
            <w:shd w:val="clear" w:color="auto" w:fill="auto"/>
            <w:noWrap/>
            <w:vAlign w:val="bottom"/>
            <w:hideMark/>
          </w:tcPr>
          <w:p w14:paraId="022FFE25" w14:textId="77777777" w:rsidR="00536836" w:rsidRPr="00536836" w:rsidRDefault="00536836" w:rsidP="0077355F">
            <w:pPr>
              <w:ind w:right="170"/>
              <w:jc w:val="right"/>
              <w:rPr>
                <w:rFonts w:cs="Arial"/>
                <w:color w:val="000000"/>
                <w:sz w:val="16"/>
                <w:szCs w:val="16"/>
                <w:lang w:eastAsia="en-AU"/>
              </w:rPr>
            </w:pPr>
            <w:r w:rsidRPr="00536836">
              <w:rPr>
                <w:rFonts w:cs="Arial"/>
                <w:color w:val="000000"/>
                <w:sz w:val="16"/>
                <w:szCs w:val="16"/>
                <w:lang w:eastAsia="en-AU"/>
              </w:rPr>
              <w:t xml:space="preserve">90.6 </w:t>
            </w:r>
          </w:p>
        </w:tc>
      </w:tr>
    </w:tbl>
    <w:p w14:paraId="3CA23EBF" w14:textId="77777777" w:rsidR="00663A90" w:rsidRPr="00216E63" w:rsidRDefault="00663A90">
      <w:pPr>
        <w:rPr>
          <w:rFonts w:eastAsia="Calibri" w:cs="Arial"/>
          <w:sz w:val="6"/>
          <w:szCs w:val="6"/>
        </w:rPr>
      </w:pPr>
    </w:p>
    <w:p w14:paraId="507732F5" w14:textId="1B3300EB" w:rsidR="00477852" w:rsidRDefault="00216E63">
      <w:pPr>
        <w:rPr>
          <w:rFonts w:eastAsia="Calibri" w:cs="Arial"/>
          <w:sz w:val="23"/>
          <w:szCs w:val="23"/>
        </w:rPr>
      </w:pPr>
      <w:r w:rsidRPr="00C3351B">
        <w:rPr>
          <w:rFonts w:cs="Arial"/>
          <w:sz w:val="16"/>
          <w:szCs w:val="16"/>
          <w:lang w:eastAsia="en-AU"/>
        </w:rPr>
        <w:t>Notes</w:t>
      </w:r>
    </w:p>
    <w:p w14:paraId="1F2F4325" w14:textId="2BB2553B" w:rsidR="00216E63" w:rsidRPr="00F7286F" w:rsidRDefault="00216E63" w:rsidP="006F695E">
      <w:pPr>
        <w:pStyle w:val="Style85ptBlackLeft0cmHanging063cm"/>
        <w:rPr>
          <w:rFonts w:cs="Arial"/>
          <w:color w:val="auto"/>
          <w:szCs w:val="17"/>
          <w:lang w:eastAsia="en-AU"/>
        </w:rPr>
      </w:pPr>
      <w:r w:rsidRPr="00F7286F">
        <w:rPr>
          <w:color w:val="auto"/>
          <w:lang w:eastAsia="en-AU"/>
        </w:rPr>
        <w:t xml:space="preserve">(a) </w:t>
      </w:r>
      <w:r w:rsidRPr="00F7286F">
        <w:rPr>
          <w:rFonts w:cs="Arial"/>
          <w:color w:val="auto"/>
          <w:szCs w:val="17"/>
          <w:lang w:eastAsia="en-AU"/>
        </w:rPr>
        <w:tab/>
        <w:t>2019-20 actuals and 2020-21 forecasts refer to the 2019 and 2020 school years, respectively.</w:t>
      </w:r>
    </w:p>
    <w:p w14:paraId="732F9324" w14:textId="737C842F" w:rsidR="00216E63" w:rsidRPr="00F7286F" w:rsidRDefault="00216E63" w:rsidP="006F695E">
      <w:pPr>
        <w:pStyle w:val="Style85ptBlackLeft0cmHanging063cm"/>
        <w:rPr>
          <w:rFonts w:cs="Arial"/>
          <w:color w:val="auto"/>
          <w:szCs w:val="17"/>
          <w:lang w:eastAsia="en-AU"/>
        </w:rPr>
      </w:pPr>
      <w:r w:rsidRPr="00F7286F">
        <w:rPr>
          <w:color w:val="auto"/>
          <w:lang w:eastAsia="en-AU"/>
        </w:rPr>
        <w:t xml:space="preserve">(b) </w:t>
      </w:r>
      <w:r w:rsidRPr="00F7286F">
        <w:rPr>
          <w:rFonts w:cs="Arial"/>
          <w:color w:val="auto"/>
          <w:szCs w:val="17"/>
          <w:lang w:eastAsia="en-AU"/>
        </w:rPr>
        <w:tab/>
        <w:t>Data sourced from NSW Department of Education, annual NAPLAN results. The baseline is the average of 2017 and 2018 results. "Expected growth" is based on the growth achieved by students in reading and numeracy from one NAPLAN assessment to the next (two years later). Note that Education Ministers made the decision to cancel NAPLAN in 2020 due to the impact of the COVID-19 pandemic. This means that comparative data may not be available for 2020.</w:t>
      </w:r>
    </w:p>
    <w:p w14:paraId="032CCED5" w14:textId="0AE7F16B" w:rsidR="00216E63" w:rsidRPr="00F7286F" w:rsidRDefault="00216E63" w:rsidP="006F695E">
      <w:pPr>
        <w:pStyle w:val="Style85ptBlackLeft0cmHanging063cm"/>
        <w:rPr>
          <w:rFonts w:cs="Arial"/>
          <w:color w:val="auto"/>
          <w:szCs w:val="17"/>
          <w:lang w:eastAsia="en-AU"/>
        </w:rPr>
      </w:pPr>
      <w:r w:rsidRPr="00F7286F">
        <w:rPr>
          <w:color w:val="auto"/>
          <w:lang w:eastAsia="en-AU"/>
        </w:rPr>
        <w:t xml:space="preserve">(c) </w:t>
      </w:r>
      <w:r w:rsidRPr="00F7286F">
        <w:rPr>
          <w:rFonts w:cs="Arial"/>
          <w:color w:val="auto"/>
          <w:szCs w:val="17"/>
          <w:lang w:eastAsia="en-AU"/>
        </w:rPr>
        <w:tab/>
        <w:t>Data sourced from NESA and NSW Department of Education. This target refers to all Aboriginal students in NSW (i.e. both government and non-government schools). Attainment rates are estimated by calculating the number of students awarded their HSC expressed as a percentage of the potential Year 12 population. The potential Year 12 population is an estimate of a single-year age group that could have attended Year 12 that year and is derived from administrative records for Year 9 and Year 10 enrolments in earlier years. The results for Year 12 in 2019 are interim. A number of these students will complete their HSC over three years, which will be captured as revisions.</w:t>
      </w:r>
    </w:p>
    <w:p w14:paraId="69077381" w14:textId="7F255089" w:rsidR="00216E63" w:rsidRPr="00F7286F" w:rsidRDefault="00216E63" w:rsidP="006F695E">
      <w:pPr>
        <w:pStyle w:val="Style85ptBlackLeft0cmHanging063cm"/>
        <w:rPr>
          <w:rFonts w:cs="Arial"/>
          <w:color w:val="auto"/>
          <w:szCs w:val="17"/>
          <w:lang w:eastAsia="en-AU"/>
        </w:rPr>
      </w:pPr>
      <w:r w:rsidRPr="00F7286F">
        <w:rPr>
          <w:color w:val="auto"/>
          <w:lang w:eastAsia="en-AU"/>
        </w:rPr>
        <w:t xml:space="preserve">(d) </w:t>
      </w:r>
      <w:r w:rsidRPr="00F7286F">
        <w:rPr>
          <w:rFonts w:cs="Arial"/>
          <w:color w:val="auto"/>
          <w:szCs w:val="17"/>
          <w:lang w:eastAsia="en-AU"/>
        </w:rPr>
        <w:tab/>
        <w:t xml:space="preserve">Data sourced from the NSW Department of Education's </w:t>
      </w:r>
      <w:r w:rsidRPr="00444939">
        <w:rPr>
          <w:rFonts w:cs="Arial"/>
          <w:i/>
          <w:iCs/>
          <w:color w:val="auto"/>
          <w:szCs w:val="17"/>
          <w:lang w:eastAsia="en-AU"/>
        </w:rPr>
        <w:t>NSW Post-School Destinations and Expectations Survey</w:t>
      </w:r>
      <w:r w:rsidRPr="00F7286F">
        <w:rPr>
          <w:rFonts w:cs="Arial"/>
          <w:color w:val="auto"/>
          <w:szCs w:val="17"/>
          <w:lang w:eastAsia="en-AU"/>
        </w:rPr>
        <w:t>.</w:t>
      </w:r>
    </w:p>
    <w:p w14:paraId="5DE7098F" w14:textId="558FA096" w:rsidR="00216E63" w:rsidRPr="00F7286F" w:rsidRDefault="00216E63" w:rsidP="006F695E">
      <w:pPr>
        <w:pStyle w:val="Style85ptBlackLeft0cmHanging063cm"/>
        <w:rPr>
          <w:rFonts w:cs="Arial"/>
          <w:color w:val="auto"/>
          <w:szCs w:val="17"/>
          <w:lang w:eastAsia="en-AU"/>
        </w:rPr>
      </w:pPr>
      <w:r w:rsidRPr="00F7286F">
        <w:rPr>
          <w:color w:val="auto"/>
          <w:lang w:eastAsia="en-AU"/>
        </w:rPr>
        <w:t xml:space="preserve">(e) </w:t>
      </w:r>
      <w:r w:rsidRPr="00F7286F">
        <w:rPr>
          <w:rFonts w:cs="Arial"/>
          <w:color w:val="auto"/>
          <w:szCs w:val="17"/>
          <w:lang w:eastAsia="en-AU"/>
        </w:rPr>
        <w:tab/>
        <w:t>Sourced from NSW Department of Education's mid-year census. 2019 actuals are as at July 2019. 2020 attendance data will be significantly affected by COVID-19.</w:t>
      </w:r>
    </w:p>
    <w:p w14:paraId="0366A0CC" w14:textId="02108E69" w:rsidR="00216E63" w:rsidRPr="00F7286F" w:rsidRDefault="00216E63" w:rsidP="006F695E">
      <w:pPr>
        <w:pStyle w:val="Style85ptBlackLeft0cmHanging063cm"/>
        <w:rPr>
          <w:rFonts w:cs="Arial"/>
          <w:color w:val="auto"/>
          <w:szCs w:val="17"/>
          <w:lang w:eastAsia="en-AU"/>
        </w:rPr>
      </w:pPr>
      <w:r w:rsidRPr="00F7286F">
        <w:rPr>
          <w:color w:val="auto"/>
          <w:lang w:eastAsia="en-AU"/>
        </w:rPr>
        <w:t xml:space="preserve">(f) </w:t>
      </w:r>
      <w:r w:rsidRPr="00F7286F">
        <w:rPr>
          <w:rFonts w:cs="Arial"/>
          <w:color w:val="auto"/>
          <w:szCs w:val="17"/>
          <w:lang w:eastAsia="en-AU"/>
        </w:rPr>
        <w:tab/>
        <w:t>Sourced from the NSW Department of Education's mid-year census and from NESA. The apparent retention rate is defined as the number of full time equivalent (FTE) students in Year 12 as a proportion of the cohort enrolment two years prior (when in Year 10). Retention rates are “apparent” as they do not track individual students through to their final years of secondary schooling. Care should be taken in the interpretation of apparent retention rates because the method of calculation does not take into account a range of factors including migration, interstate movement of students, transfers to and from non-government schools, part-time schooling, students repeating a year of schooling, and students pursuing other education and training pathways.</w:t>
      </w:r>
    </w:p>
    <w:p w14:paraId="13337087" w14:textId="5034058B" w:rsidR="00216E63" w:rsidRPr="00F7286F" w:rsidRDefault="00216E63" w:rsidP="006F695E">
      <w:pPr>
        <w:pStyle w:val="Style85ptBlackLeft0cmHanging063cm"/>
        <w:rPr>
          <w:rFonts w:cs="Arial"/>
          <w:color w:val="auto"/>
          <w:szCs w:val="17"/>
          <w:lang w:eastAsia="en-AU"/>
        </w:rPr>
      </w:pPr>
      <w:r w:rsidRPr="00F7286F">
        <w:rPr>
          <w:color w:val="auto"/>
          <w:lang w:eastAsia="en-AU"/>
        </w:rPr>
        <w:t xml:space="preserve">(g) </w:t>
      </w:r>
      <w:r w:rsidRPr="00F7286F">
        <w:rPr>
          <w:rFonts w:cs="Arial"/>
          <w:color w:val="auto"/>
          <w:szCs w:val="17"/>
          <w:lang w:eastAsia="en-AU"/>
        </w:rPr>
        <w:tab/>
        <w:t xml:space="preserve">Sourced from the NSW Department of Education's </w:t>
      </w:r>
      <w:r w:rsidRPr="00444939">
        <w:rPr>
          <w:rFonts w:cs="Arial"/>
          <w:i/>
          <w:iCs/>
          <w:color w:val="auto"/>
          <w:szCs w:val="17"/>
          <w:lang w:eastAsia="en-AU"/>
        </w:rPr>
        <w:t>Tell Them From Me</w:t>
      </w:r>
      <w:r w:rsidRPr="00F7286F">
        <w:rPr>
          <w:rFonts w:cs="Arial"/>
          <w:color w:val="auto"/>
          <w:szCs w:val="17"/>
          <w:lang w:eastAsia="en-AU"/>
        </w:rPr>
        <w:t xml:space="preserve"> student survey. These measures are the average of three survey metrics. The primary school measure is sourced from surveys of students in Years 4 to 6. Measures for secondary school students are for Years 7 to 12. Note that 2020-21 forecasts refer to actual results from the 2020 TTFM survey. Participation in the student survey has been impacted by COVID-19 and has affected 2020 results for this indicator.</w:t>
      </w:r>
    </w:p>
    <w:p w14:paraId="58D35616" w14:textId="76C59690" w:rsidR="00216E63" w:rsidRPr="00F7286F" w:rsidRDefault="00216E63" w:rsidP="00216E63">
      <w:pPr>
        <w:ind w:left="357" w:hanging="357"/>
        <w:rPr>
          <w:rFonts w:eastAsia="Calibri" w:cs="Arial"/>
          <w:sz w:val="17"/>
          <w:szCs w:val="17"/>
        </w:rPr>
      </w:pPr>
      <w:r w:rsidRPr="00F7286F">
        <w:rPr>
          <w:rFonts w:cs="Arial"/>
          <w:sz w:val="17"/>
          <w:szCs w:val="17"/>
          <w:lang w:eastAsia="en-AU"/>
        </w:rPr>
        <w:t xml:space="preserve">(h) </w:t>
      </w:r>
      <w:r w:rsidRPr="00F7286F">
        <w:rPr>
          <w:rFonts w:cs="Arial"/>
          <w:sz w:val="17"/>
          <w:szCs w:val="17"/>
          <w:lang w:eastAsia="en-AU"/>
        </w:rPr>
        <w:tab/>
        <w:t>High socio-economic status students are those whose parents have a bachelor’s degree or above. Low socio-economic status students are those whose parents achieved a Year 11 or below school education level and do not have any non-school education. This information is self-reported and results should be interpreted with caution.</w:t>
      </w:r>
    </w:p>
    <w:p w14:paraId="720B926B" w14:textId="50C5D488" w:rsidR="00455F0E" w:rsidRDefault="00455F0E">
      <w:pPr>
        <w:rPr>
          <w:rFonts w:eastAsia="Calibri" w:cs="Arial"/>
          <w:sz w:val="23"/>
          <w:szCs w:val="23"/>
        </w:rPr>
      </w:pPr>
      <w:r>
        <w:rPr>
          <w:rFonts w:eastAsia="Calibri" w:cs="Arial"/>
          <w:sz w:val="23"/>
          <w:szCs w:val="23"/>
        </w:rPr>
        <w:br w:type="page"/>
      </w:r>
    </w:p>
    <w:p w14:paraId="53C60EBF" w14:textId="6B502028" w:rsidR="006540A5" w:rsidRDefault="00AA44F8" w:rsidP="00C36202">
      <w:pPr>
        <w:pStyle w:val="Heading2"/>
        <w:rPr>
          <w:rFonts w:ascii="Arial" w:hAnsi="Arial" w:cs="Arial"/>
        </w:rPr>
      </w:pPr>
      <w:r>
        <w:rPr>
          <w:rFonts w:ascii="Arial" w:hAnsi="Arial" w:cs="Arial"/>
        </w:rPr>
        <w:lastRenderedPageBreak/>
        <w:t xml:space="preserve">Outcome 3: </w:t>
      </w:r>
      <w:r w:rsidR="006540A5">
        <w:rPr>
          <w:rFonts w:ascii="Arial" w:hAnsi="Arial" w:cs="Arial"/>
        </w:rPr>
        <w:t>Skilled and employable workforce</w:t>
      </w:r>
    </w:p>
    <w:tbl>
      <w:tblPr>
        <w:tblpPr w:leftFromText="180" w:rightFromText="180" w:vertAnchor="text" w:horzAnchor="margin" w:tblpXSpec="right" w:tblpY="720"/>
        <w:tblW w:w="1716" w:type="pct"/>
        <w:shd w:val="clear" w:color="auto" w:fill="F2F2F2" w:themeFill="background1" w:themeFillShade="F2"/>
        <w:tblCellMar>
          <w:left w:w="115" w:type="dxa"/>
          <w:right w:w="115" w:type="dxa"/>
        </w:tblCellMar>
        <w:tblLook w:val="04A0" w:firstRow="1" w:lastRow="0" w:firstColumn="1" w:lastColumn="0" w:noHBand="0" w:noVBand="1"/>
      </w:tblPr>
      <w:tblGrid>
        <w:gridCol w:w="1144"/>
        <w:gridCol w:w="967"/>
        <w:gridCol w:w="1197"/>
      </w:tblGrid>
      <w:tr w:rsidR="006540A5" w:rsidRPr="00F8244B" w14:paraId="76B44AB9" w14:textId="77777777" w:rsidTr="00A922EA">
        <w:trPr>
          <w:cantSplit/>
          <w:trHeight w:val="784"/>
        </w:trPr>
        <w:tc>
          <w:tcPr>
            <w:tcW w:w="1729" w:type="pct"/>
            <w:shd w:val="clear" w:color="auto" w:fill="F2F2F2" w:themeFill="background1" w:themeFillShade="F2"/>
            <w:vAlign w:val="center"/>
          </w:tcPr>
          <w:p w14:paraId="5033FD39" w14:textId="77777777" w:rsidR="006540A5" w:rsidRPr="00F8244B" w:rsidRDefault="006540A5" w:rsidP="001C4395">
            <w:pPr>
              <w:spacing w:before="120" w:after="120"/>
              <w:rPr>
                <w:rFonts w:cs="Arial"/>
                <w:sz w:val="23"/>
                <w:szCs w:val="23"/>
              </w:rPr>
            </w:pPr>
            <w:r w:rsidRPr="00F8244B">
              <w:rPr>
                <w:rFonts w:cs="Arial"/>
                <w:noProof/>
                <w:lang w:eastAsia="en-AU"/>
              </w:rPr>
              <w:drawing>
                <wp:inline distT="0" distB="0" distL="0" distR="0" wp14:anchorId="1899B3EB" wp14:editId="5B980434">
                  <wp:extent cx="518160" cy="518160"/>
                  <wp:effectExtent l="0" t="0" r="0" b="0"/>
                  <wp:docPr id="5" name="Picture 5" descr="H:\Documents\Downloads\BP3 icons-V02-Expense.png"/>
                  <wp:cNvGraphicFramePr/>
                  <a:graphic xmlns:a="http://schemas.openxmlformats.org/drawingml/2006/main">
                    <a:graphicData uri="http://schemas.openxmlformats.org/drawingml/2006/picture">
                      <pic:pic xmlns:pic="http://schemas.openxmlformats.org/drawingml/2006/picture">
                        <pic:nvPicPr>
                          <pic:cNvPr id="6" name="Picture 6" descr="H:\Documents\Downloads\BP3 icons-V02-Expense.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solidFill>
                            <a:srgbClr val="F2F2F2"/>
                          </a:solidFill>
                          <a:ln>
                            <a:noFill/>
                          </a:ln>
                        </pic:spPr>
                      </pic:pic>
                    </a:graphicData>
                  </a:graphic>
                </wp:inline>
              </w:drawing>
            </w:r>
          </w:p>
        </w:tc>
        <w:tc>
          <w:tcPr>
            <w:tcW w:w="1462" w:type="pct"/>
            <w:shd w:val="clear" w:color="auto" w:fill="F2F2F2" w:themeFill="background1" w:themeFillShade="F2"/>
            <w:vAlign w:val="center"/>
          </w:tcPr>
          <w:p w14:paraId="75864779" w14:textId="7234FFBD" w:rsidR="006540A5" w:rsidRPr="00F8244B" w:rsidRDefault="006540A5" w:rsidP="001C4395">
            <w:pPr>
              <w:spacing w:before="120" w:after="120"/>
              <w:jc w:val="center"/>
              <w:rPr>
                <w:rFonts w:cs="Arial"/>
                <w:color w:val="00ABE6"/>
                <w:sz w:val="18"/>
                <w:szCs w:val="18"/>
              </w:rPr>
            </w:pPr>
            <w:r w:rsidRPr="00F8244B">
              <w:rPr>
                <w:rFonts w:cs="Arial"/>
                <w:color w:val="00ABE6"/>
                <w:sz w:val="18"/>
                <w:szCs w:val="18"/>
              </w:rPr>
              <w:t>$</w:t>
            </w:r>
            <w:r w:rsidR="00960F46" w:rsidRPr="00210289">
              <w:rPr>
                <w:rFonts w:cs="Arial"/>
                <w:color w:val="00ABE6"/>
                <w:sz w:val="18"/>
                <w:szCs w:val="18"/>
              </w:rPr>
              <w:t>2.</w:t>
            </w:r>
            <w:r w:rsidR="0073677D" w:rsidRPr="00210289">
              <w:rPr>
                <w:rFonts w:cs="Arial"/>
                <w:color w:val="00ABE6"/>
                <w:sz w:val="18"/>
                <w:szCs w:val="18"/>
              </w:rPr>
              <w:t>7</w:t>
            </w:r>
            <w:r w:rsidRPr="00F8244B">
              <w:rPr>
                <w:rFonts w:cs="Arial"/>
                <w:color w:val="00ABE6"/>
                <w:sz w:val="18"/>
                <w:szCs w:val="18"/>
              </w:rPr>
              <w:t xml:space="preserve"> billion</w:t>
            </w:r>
          </w:p>
        </w:tc>
        <w:tc>
          <w:tcPr>
            <w:tcW w:w="1809" w:type="pct"/>
            <w:shd w:val="clear" w:color="auto" w:fill="F2F2F2" w:themeFill="background1" w:themeFillShade="F2"/>
            <w:vAlign w:val="center"/>
          </w:tcPr>
          <w:p w14:paraId="3B70F002" w14:textId="77777777" w:rsidR="006540A5" w:rsidRPr="00F8244B" w:rsidRDefault="006540A5" w:rsidP="001C4395">
            <w:pPr>
              <w:rPr>
                <w:rFonts w:cs="Arial"/>
                <w:color w:val="00ABE6"/>
                <w:sz w:val="18"/>
                <w:szCs w:val="18"/>
              </w:rPr>
            </w:pPr>
            <w:r w:rsidRPr="00F8244B">
              <w:rPr>
                <w:rFonts w:cs="Arial"/>
                <w:color w:val="00ABE6"/>
                <w:sz w:val="18"/>
                <w:szCs w:val="18"/>
              </w:rPr>
              <w:t>Recurrent</w:t>
            </w:r>
            <w:r w:rsidRPr="00F8244B">
              <w:rPr>
                <w:rFonts w:cs="Arial"/>
                <w:color w:val="00ABE6"/>
                <w:sz w:val="18"/>
                <w:szCs w:val="18"/>
              </w:rPr>
              <w:br/>
              <w:t xml:space="preserve">Expenses </w:t>
            </w:r>
            <w:r w:rsidRPr="00F8244B">
              <w:rPr>
                <w:rFonts w:cs="Arial"/>
                <w:color w:val="00ABE6"/>
                <w:sz w:val="18"/>
                <w:szCs w:val="18"/>
              </w:rPr>
              <w:br/>
              <w:t>20</w:t>
            </w:r>
            <w:r>
              <w:rPr>
                <w:rFonts w:cs="Arial"/>
                <w:color w:val="00ABE6"/>
                <w:sz w:val="18"/>
                <w:szCs w:val="18"/>
              </w:rPr>
              <w:t>20</w:t>
            </w:r>
            <w:r w:rsidRPr="00F8244B">
              <w:rPr>
                <w:rFonts w:cs="Arial"/>
                <w:color w:val="00ABE6"/>
                <w:sz w:val="18"/>
                <w:szCs w:val="18"/>
              </w:rPr>
              <w:t>-2</w:t>
            </w:r>
            <w:r>
              <w:rPr>
                <w:rFonts w:cs="Arial"/>
                <w:color w:val="00ABE6"/>
                <w:sz w:val="18"/>
                <w:szCs w:val="18"/>
              </w:rPr>
              <w:t>1</w:t>
            </w:r>
          </w:p>
        </w:tc>
      </w:tr>
      <w:tr w:rsidR="006540A5" w:rsidRPr="00F8244B" w14:paraId="33C145A6" w14:textId="77777777" w:rsidTr="00A922EA">
        <w:trPr>
          <w:cantSplit/>
          <w:trHeight w:val="784"/>
        </w:trPr>
        <w:tc>
          <w:tcPr>
            <w:tcW w:w="1729" w:type="pct"/>
            <w:shd w:val="clear" w:color="auto" w:fill="F2F2F2" w:themeFill="background1" w:themeFillShade="F2"/>
            <w:vAlign w:val="center"/>
          </w:tcPr>
          <w:p w14:paraId="7DA39EC7" w14:textId="77777777" w:rsidR="006540A5" w:rsidRPr="00F8244B" w:rsidRDefault="006540A5" w:rsidP="001C4395">
            <w:pPr>
              <w:spacing w:before="120" w:after="120"/>
              <w:rPr>
                <w:rFonts w:cs="Arial"/>
                <w:noProof/>
                <w:sz w:val="23"/>
                <w:szCs w:val="23"/>
                <w:lang w:eastAsia="en-AU"/>
              </w:rPr>
            </w:pPr>
            <w:r w:rsidRPr="00F8244B">
              <w:rPr>
                <w:rFonts w:cs="Arial"/>
                <w:noProof/>
                <w:lang w:eastAsia="en-AU"/>
              </w:rPr>
              <w:drawing>
                <wp:inline distT="0" distB="0" distL="0" distR="0" wp14:anchorId="71E623D1" wp14:editId="24F8FC78">
                  <wp:extent cx="525145" cy="525145"/>
                  <wp:effectExtent l="0" t="0" r="8255" b="8255"/>
                  <wp:docPr id="8" name="Picture 8" descr="H:\Documents\Downloads\BP3 icons-V02-Capital Expenditure 03.png"/>
                  <wp:cNvGraphicFramePr/>
                  <a:graphic xmlns:a="http://schemas.openxmlformats.org/drawingml/2006/main">
                    <a:graphicData uri="http://schemas.openxmlformats.org/drawingml/2006/picture">
                      <pic:pic xmlns:pic="http://schemas.openxmlformats.org/drawingml/2006/picture">
                        <pic:nvPicPr>
                          <pic:cNvPr id="8" name="Picture 8" descr="H:\Documents\Downloads\BP3 icons-V02-Capital Expenditure 03.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solidFill>
                            <a:srgbClr val="F2F2F2"/>
                          </a:solidFill>
                          <a:ln>
                            <a:noFill/>
                          </a:ln>
                        </pic:spPr>
                      </pic:pic>
                    </a:graphicData>
                  </a:graphic>
                </wp:inline>
              </w:drawing>
            </w:r>
          </w:p>
        </w:tc>
        <w:tc>
          <w:tcPr>
            <w:tcW w:w="1462" w:type="pct"/>
            <w:shd w:val="clear" w:color="auto" w:fill="F2F2F2" w:themeFill="background1" w:themeFillShade="F2"/>
            <w:vAlign w:val="center"/>
          </w:tcPr>
          <w:p w14:paraId="090F3700" w14:textId="3A83ED57" w:rsidR="006540A5" w:rsidRPr="00F8244B" w:rsidRDefault="006540A5" w:rsidP="001C4395">
            <w:pPr>
              <w:spacing w:before="120" w:after="120"/>
              <w:jc w:val="center"/>
              <w:rPr>
                <w:rFonts w:cs="Arial"/>
                <w:color w:val="00ABE6"/>
                <w:sz w:val="18"/>
                <w:szCs w:val="18"/>
              </w:rPr>
            </w:pPr>
            <w:r w:rsidRPr="00F8244B">
              <w:rPr>
                <w:rFonts w:cs="Arial"/>
                <w:color w:val="00ABE6"/>
                <w:sz w:val="18"/>
                <w:szCs w:val="18"/>
              </w:rPr>
              <w:t>$</w:t>
            </w:r>
            <w:r w:rsidR="00FD2E35" w:rsidRPr="00210289">
              <w:rPr>
                <w:rFonts w:cs="Arial"/>
                <w:color w:val="00ABE6"/>
                <w:sz w:val="18"/>
                <w:szCs w:val="18"/>
              </w:rPr>
              <w:t>2</w:t>
            </w:r>
            <w:r w:rsidR="0073677D" w:rsidRPr="00210289">
              <w:rPr>
                <w:rFonts w:cs="Arial"/>
                <w:color w:val="00ABE6"/>
                <w:sz w:val="18"/>
                <w:szCs w:val="18"/>
              </w:rPr>
              <w:t>80.1</w:t>
            </w:r>
            <w:r w:rsidRPr="00F8244B">
              <w:rPr>
                <w:rFonts w:cs="Arial"/>
                <w:color w:val="00ABE6"/>
                <w:sz w:val="18"/>
                <w:szCs w:val="18"/>
              </w:rPr>
              <w:t xml:space="preserve"> million</w:t>
            </w:r>
          </w:p>
        </w:tc>
        <w:tc>
          <w:tcPr>
            <w:tcW w:w="1809" w:type="pct"/>
            <w:shd w:val="clear" w:color="auto" w:fill="F2F2F2" w:themeFill="background1" w:themeFillShade="F2"/>
            <w:vAlign w:val="center"/>
          </w:tcPr>
          <w:p w14:paraId="27BDB479" w14:textId="77777777" w:rsidR="006540A5" w:rsidRPr="00F8244B" w:rsidRDefault="006540A5" w:rsidP="001C4395">
            <w:pPr>
              <w:rPr>
                <w:rFonts w:cs="Arial"/>
                <w:color w:val="00ABE6"/>
                <w:sz w:val="18"/>
                <w:szCs w:val="18"/>
              </w:rPr>
            </w:pPr>
            <w:r w:rsidRPr="00F8244B">
              <w:rPr>
                <w:rFonts w:cs="Arial"/>
                <w:color w:val="00ABE6"/>
                <w:sz w:val="18"/>
                <w:szCs w:val="18"/>
              </w:rPr>
              <w:t>Capital</w:t>
            </w:r>
            <w:r w:rsidRPr="00F8244B">
              <w:rPr>
                <w:rFonts w:cs="Arial"/>
                <w:color w:val="00ABE6"/>
                <w:sz w:val="18"/>
                <w:szCs w:val="18"/>
              </w:rPr>
              <w:br/>
              <w:t>Expenditure</w:t>
            </w:r>
            <w:r w:rsidRPr="00F8244B">
              <w:rPr>
                <w:rFonts w:cs="Arial"/>
                <w:color w:val="00ABE6"/>
                <w:sz w:val="18"/>
                <w:szCs w:val="18"/>
              </w:rPr>
              <w:br/>
              <w:t>20</w:t>
            </w:r>
            <w:r>
              <w:rPr>
                <w:rFonts w:cs="Arial"/>
                <w:color w:val="00ABE6"/>
                <w:sz w:val="18"/>
                <w:szCs w:val="18"/>
              </w:rPr>
              <w:t>20</w:t>
            </w:r>
            <w:r w:rsidRPr="00F8244B">
              <w:rPr>
                <w:rFonts w:cs="Arial"/>
                <w:color w:val="00ABE6"/>
                <w:sz w:val="18"/>
                <w:szCs w:val="18"/>
              </w:rPr>
              <w:t>-2</w:t>
            </w:r>
            <w:r>
              <w:rPr>
                <w:rFonts w:cs="Arial"/>
                <w:color w:val="00ABE6"/>
                <w:sz w:val="18"/>
                <w:szCs w:val="18"/>
              </w:rPr>
              <w:t>1</w:t>
            </w:r>
          </w:p>
        </w:tc>
      </w:tr>
    </w:tbl>
    <w:p w14:paraId="0EE80D53" w14:textId="77777777" w:rsidR="006540A5" w:rsidRPr="003A0DAC" w:rsidRDefault="006540A5" w:rsidP="006540A5">
      <w:pPr>
        <w:pStyle w:val="Heading3"/>
        <w:rPr>
          <w:rFonts w:cs="Arial"/>
        </w:rPr>
      </w:pPr>
      <w:r>
        <w:rPr>
          <w:rFonts w:cs="Arial"/>
        </w:rPr>
        <w:t>S</w:t>
      </w:r>
      <w:r w:rsidRPr="003A0DAC">
        <w:rPr>
          <w:rFonts w:cs="Arial"/>
        </w:rPr>
        <w:t>tate Outcome overview and 2020-21 investment</w:t>
      </w:r>
    </w:p>
    <w:p w14:paraId="7753F474" w14:textId="23984152" w:rsidR="006540A5" w:rsidRDefault="006540A5" w:rsidP="005A1E33">
      <w:pPr>
        <w:pStyle w:val="BodyText"/>
      </w:pPr>
      <w:r>
        <w:t>Investments</w:t>
      </w:r>
      <w:r w:rsidRPr="0079627C">
        <w:t xml:space="preserve"> under this State Outcome </w:t>
      </w:r>
      <w:r>
        <w:t>support a</w:t>
      </w:r>
      <w:r w:rsidRPr="00BA3A72">
        <w:t xml:space="preserve"> highly skilled and adaptable workforce that contributes to the prosperity and productivity of N</w:t>
      </w:r>
      <w:r w:rsidR="00EC7E9E">
        <w:t xml:space="preserve">ew </w:t>
      </w:r>
      <w:r w:rsidRPr="00BA3A72">
        <w:t>S</w:t>
      </w:r>
      <w:r w:rsidR="00EC7E9E">
        <w:t xml:space="preserve">outh </w:t>
      </w:r>
      <w:r w:rsidRPr="00BA3A72">
        <w:t>W</w:t>
      </w:r>
      <w:r w:rsidR="00EC7E9E">
        <w:t>ales</w:t>
      </w:r>
      <w:r w:rsidRPr="00BA3A72">
        <w:t>.</w:t>
      </w:r>
      <w:r>
        <w:t xml:space="preserve"> </w:t>
      </w:r>
    </w:p>
    <w:p w14:paraId="2D262D84" w14:textId="1476CD85" w:rsidR="006540A5" w:rsidRPr="00BA3A72" w:rsidRDefault="006540A5" w:rsidP="005A1E33">
      <w:pPr>
        <w:pStyle w:val="BodyText"/>
      </w:pPr>
      <w:r>
        <w:t xml:space="preserve">The NSW Department of Education </w:t>
      </w:r>
      <w:r w:rsidRPr="00E770E8">
        <w:t>drive</w:t>
      </w:r>
      <w:r>
        <w:t>s</w:t>
      </w:r>
      <w:r w:rsidRPr="00E770E8">
        <w:t xml:space="preserve"> participation and retention in quality</w:t>
      </w:r>
      <w:r>
        <w:t xml:space="preserve"> VET by managing</w:t>
      </w:r>
      <w:r w:rsidRPr="00E770E8">
        <w:t xml:space="preserve"> the Smart and Skilled contestable training market</w:t>
      </w:r>
      <w:r>
        <w:t xml:space="preserve">, including </w:t>
      </w:r>
      <w:r w:rsidRPr="00E770E8">
        <w:t>the</w:t>
      </w:r>
      <w:r>
        <w:t xml:space="preserve"> </w:t>
      </w:r>
      <w:r w:rsidRPr="00E770E8">
        <w:t>apprenticeship and</w:t>
      </w:r>
      <w:r w:rsidR="001C4395">
        <w:t xml:space="preserve"> </w:t>
      </w:r>
      <w:r w:rsidRPr="00E770E8">
        <w:t>traineeship system in N</w:t>
      </w:r>
      <w:r w:rsidR="00EC7E9E">
        <w:t xml:space="preserve">ew </w:t>
      </w:r>
      <w:r w:rsidRPr="00E770E8">
        <w:t>S</w:t>
      </w:r>
      <w:r w:rsidR="00EC7E9E">
        <w:t xml:space="preserve">outh </w:t>
      </w:r>
      <w:r w:rsidRPr="00E770E8">
        <w:t>W</w:t>
      </w:r>
      <w:r w:rsidR="00EC7E9E">
        <w:t>ales</w:t>
      </w:r>
      <w:r>
        <w:t xml:space="preserve">. The </w:t>
      </w:r>
      <w:r w:rsidR="00AB7027">
        <w:t>D</w:t>
      </w:r>
      <w:r>
        <w:t xml:space="preserve">epartment also provides </w:t>
      </w:r>
      <w:r w:rsidRPr="00E770E8">
        <w:t xml:space="preserve">direct funding </w:t>
      </w:r>
      <w:r>
        <w:t>to</w:t>
      </w:r>
      <w:r w:rsidRPr="00E770E8">
        <w:t xml:space="preserve"> TAFE NSW,</w:t>
      </w:r>
      <w:r>
        <w:t xml:space="preserve"> the State’s comprehensive public provider of VET. </w:t>
      </w:r>
    </w:p>
    <w:p w14:paraId="2CACF34D" w14:textId="05E1EE43" w:rsidR="006540A5" w:rsidRPr="000101AC" w:rsidRDefault="006540A5" w:rsidP="006540A5">
      <w:pPr>
        <w:pStyle w:val="Heading3"/>
        <w:rPr>
          <w:rFonts w:cs="Arial"/>
        </w:rPr>
      </w:pPr>
      <w:r w:rsidRPr="000101AC">
        <w:rPr>
          <w:rFonts w:cs="Arial"/>
        </w:rPr>
        <w:t xml:space="preserve">2020-21 </w:t>
      </w:r>
      <w:r w:rsidR="007371B9">
        <w:rPr>
          <w:rFonts w:cs="Arial"/>
        </w:rPr>
        <w:t xml:space="preserve">State Outcome </w:t>
      </w:r>
      <w:r w:rsidRPr="000101AC">
        <w:rPr>
          <w:rFonts w:cs="Arial"/>
        </w:rPr>
        <w:t xml:space="preserve">Budget </w:t>
      </w:r>
      <w:r w:rsidR="0089296F">
        <w:rPr>
          <w:rFonts w:cs="Arial"/>
        </w:rPr>
        <w:t>h</w:t>
      </w:r>
      <w:r w:rsidRPr="000101AC">
        <w:rPr>
          <w:rFonts w:cs="Arial"/>
        </w:rPr>
        <w:t xml:space="preserve">ighlights </w:t>
      </w:r>
    </w:p>
    <w:p w14:paraId="01FE9C5B" w14:textId="5E637106" w:rsidR="006540A5" w:rsidRPr="006F6CD0" w:rsidRDefault="006540A5" w:rsidP="006540A5">
      <w:pPr>
        <w:pStyle w:val="BodyText"/>
      </w:pPr>
      <w:r w:rsidRPr="0012293F">
        <w:t xml:space="preserve">In 2020-21, the Education </w:t>
      </w:r>
      <w:r w:rsidR="00CF637D">
        <w:t>C</w:t>
      </w:r>
      <w:r w:rsidRPr="0012293F">
        <w:t>luster will invest $</w:t>
      </w:r>
      <w:r w:rsidR="00932A6F" w:rsidRPr="0012293F">
        <w:t>3</w:t>
      </w:r>
      <w:r w:rsidR="000E211A" w:rsidRPr="0012293F">
        <w:t>.0</w:t>
      </w:r>
      <w:r w:rsidR="0089296F">
        <w:t xml:space="preserve"> </w:t>
      </w:r>
      <w:r w:rsidRPr="0012293F">
        <w:t>billion ($</w:t>
      </w:r>
      <w:r w:rsidR="00157B9B" w:rsidRPr="0012293F">
        <w:t>2.</w:t>
      </w:r>
      <w:r w:rsidR="00A6550D" w:rsidRPr="0012293F">
        <w:t>7</w:t>
      </w:r>
      <w:r w:rsidRPr="0012293F">
        <w:t xml:space="preserve"> billion recurrent expenses and $</w:t>
      </w:r>
      <w:r w:rsidR="00157B9B" w:rsidRPr="0012293F">
        <w:t>2</w:t>
      </w:r>
      <w:r w:rsidR="00A6550D" w:rsidRPr="0012293F">
        <w:t>80.1</w:t>
      </w:r>
      <w:r w:rsidRPr="0012293F">
        <w:t xml:space="preserve"> million</w:t>
      </w:r>
      <w:r w:rsidRPr="006F6CD0">
        <w:t xml:space="preserve"> capital expenditure) </w:t>
      </w:r>
      <w:r w:rsidR="00C46896">
        <w:t xml:space="preserve">in this </w:t>
      </w:r>
      <w:r w:rsidR="0089296F">
        <w:t>O</w:t>
      </w:r>
      <w:r w:rsidR="00C46896">
        <w:t>utcome</w:t>
      </w:r>
      <w:r w:rsidRPr="006F6CD0">
        <w:t>, including</w:t>
      </w:r>
      <w:r>
        <w:t>:</w:t>
      </w:r>
    </w:p>
    <w:p w14:paraId="5619B058" w14:textId="37C9DE39" w:rsidR="006708E2" w:rsidRDefault="006540A5" w:rsidP="00E301CA">
      <w:pPr>
        <w:pStyle w:val="Bullet1"/>
      </w:pPr>
      <w:r>
        <w:t xml:space="preserve">$318.6 million over two years for </w:t>
      </w:r>
      <w:r w:rsidRPr="006708E2">
        <w:rPr>
          <w:i/>
        </w:rPr>
        <w:t>Skilling for Recovery</w:t>
      </w:r>
      <w:r>
        <w:t>, a key component of the State’s COVID</w:t>
      </w:r>
      <w:r w:rsidR="008B0F00">
        <w:t>-19</w:t>
      </w:r>
      <w:r>
        <w:t xml:space="preserve"> Recovery Plan to help job seekers retrain or upskill, and support school leavers to enter the workforce for the first time. The NSW Government has committed almost $160</w:t>
      </w:r>
      <w:r w:rsidR="00C46896">
        <w:t>.0</w:t>
      </w:r>
      <w:r>
        <w:t xml:space="preserve"> million to match Commonwealth </w:t>
      </w:r>
      <w:proofErr w:type="spellStart"/>
      <w:r>
        <w:t>JobTrainer</w:t>
      </w:r>
      <w:proofErr w:type="spellEnd"/>
      <w:r>
        <w:t xml:space="preserve"> funding and offer more than 100,000 training places</w:t>
      </w:r>
    </w:p>
    <w:p w14:paraId="6280B188" w14:textId="3DA6112D" w:rsidR="006540A5" w:rsidRPr="002D3A3F" w:rsidRDefault="006540A5" w:rsidP="006540A5">
      <w:pPr>
        <w:pStyle w:val="Bullet1"/>
        <w:rPr>
          <w:sz w:val="20"/>
        </w:rPr>
      </w:pPr>
      <w:r w:rsidRPr="005D0CCF">
        <w:t>$100</w:t>
      </w:r>
      <w:r w:rsidR="00C46896">
        <w:t>.0</w:t>
      </w:r>
      <w:r w:rsidRPr="005D0CCF">
        <w:t xml:space="preserve"> million ($20</w:t>
      </w:r>
      <w:r w:rsidR="00C46896">
        <w:t>.</w:t>
      </w:r>
      <w:r w:rsidR="008D592B">
        <w:t>7</w:t>
      </w:r>
      <w:r w:rsidRPr="005D0CCF">
        <w:t xml:space="preserve"> million </w:t>
      </w:r>
      <w:r>
        <w:t>recurrent</w:t>
      </w:r>
      <w:r w:rsidRPr="005D0CCF">
        <w:t xml:space="preserve"> and $</w:t>
      </w:r>
      <w:r w:rsidR="008D592B">
        <w:t>79.3</w:t>
      </w:r>
      <w:r w:rsidRPr="005D0CCF">
        <w:t xml:space="preserve"> million capital) </w:t>
      </w:r>
      <w:r>
        <w:t>for asset replacement and maintenance</w:t>
      </w:r>
      <w:r w:rsidRPr="005D0CCF">
        <w:t xml:space="preserve">, </w:t>
      </w:r>
      <w:r w:rsidR="000802CC">
        <w:t>and new</w:t>
      </w:r>
      <w:r w:rsidR="000802CC" w:rsidRPr="005D0CCF">
        <w:t xml:space="preserve"> </w:t>
      </w:r>
      <w:r w:rsidRPr="005D0CCF">
        <w:t>teaching plant and equipment for TAFE NSW to deliver quality training</w:t>
      </w:r>
      <w:r w:rsidR="008328A5">
        <w:t xml:space="preserve"> </w:t>
      </w:r>
    </w:p>
    <w:p w14:paraId="72449355" w14:textId="71121840" w:rsidR="00C46896" w:rsidRDefault="00C46896" w:rsidP="00C46896">
      <w:pPr>
        <w:pStyle w:val="Bullet1"/>
      </w:pPr>
      <w:r>
        <w:t xml:space="preserve">$57.4 million over four years for a Trades Skills Pathways Centre to address skills shortages in the NSW economy, by recognising trades skills, establishing new trades pathways and improving skilled employment opportunities for women </w:t>
      </w:r>
    </w:p>
    <w:p w14:paraId="7F0B03C6" w14:textId="3C1F8027" w:rsidR="00214EE5" w:rsidRPr="00527B26" w:rsidRDefault="00C46896" w:rsidP="00C46896">
      <w:pPr>
        <w:pStyle w:val="Bullet1"/>
      </w:pPr>
      <w:r>
        <w:t>$20</w:t>
      </w:r>
      <w:r w:rsidR="00E438D8">
        <w:t>.0</w:t>
      </w:r>
      <w:r>
        <w:t xml:space="preserve"> million for the Australian Government Revitalising TAFE Campuses across Australia Program ($10</w:t>
      </w:r>
      <w:r w:rsidR="00852CC4">
        <w:t>.0</w:t>
      </w:r>
      <w:r>
        <w:t xml:space="preserve"> million from the NSW Government and $10</w:t>
      </w:r>
      <w:r w:rsidR="00852CC4">
        <w:t>.0</w:t>
      </w:r>
      <w:r>
        <w:t xml:space="preserve"> million from the </w:t>
      </w:r>
      <w:r w:rsidR="008B0F00">
        <w:t xml:space="preserve">Commonwealth </w:t>
      </w:r>
      <w:r>
        <w:t xml:space="preserve">Government). The program will deliver new connected learning teaching spaces and upgrade specialist teaching facilities for at least 26 TAFE NSW campuses </w:t>
      </w:r>
    </w:p>
    <w:p w14:paraId="5AF423C8" w14:textId="1282CD39" w:rsidR="00EC3000" w:rsidRDefault="77C7DAAB" w:rsidP="006708E2">
      <w:pPr>
        <w:pStyle w:val="Bullet1"/>
      </w:pPr>
      <w:r>
        <w:t xml:space="preserve">providing up to 20,000 training places to skill people working in aged care to support the growing needs of the sector and </w:t>
      </w:r>
      <w:r w:rsidR="0026672E">
        <w:t>$</w:t>
      </w:r>
      <w:r w:rsidR="37A72199">
        <w:t>2.5 million</w:t>
      </w:r>
      <w:r w:rsidR="0026672E">
        <w:t xml:space="preserve"> to develop a </w:t>
      </w:r>
      <w:r w:rsidR="393BE10C" w:rsidRPr="006708E2">
        <w:t xml:space="preserve">strategic business case </w:t>
      </w:r>
      <w:r w:rsidR="7AA2B2BF" w:rsidRPr="006708E2">
        <w:t xml:space="preserve">for a </w:t>
      </w:r>
      <w:r w:rsidR="393BE10C" w:rsidRPr="006708E2">
        <w:t>dedicated TAFE Aged Care Centre of Excellence</w:t>
      </w:r>
      <w:r w:rsidR="2C8D9532" w:rsidRPr="006708E2">
        <w:t xml:space="preserve"> training facility. </w:t>
      </w:r>
      <w:r w:rsidR="393BE10C">
        <w:t xml:space="preserve"> </w:t>
      </w:r>
      <w:r w:rsidR="0026672E">
        <w:t xml:space="preserve">  </w:t>
      </w:r>
    </w:p>
    <w:p w14:paraId="69468842" w14:textId="77F4C8C9" w:rsidR="0068070A" w:rsidRDefault="0068070A">
      <w:pPr>
        <w:rPr>
          <w:rFonts w:cs="Arial"/>
          <w:sz w:val="23"/>
          <w:szCs w:val="23"/>
        </w:rPr>
      </w:pPr>
      <w:r>
        <w:br w:type="page"/>
      </w:r>
    </w:p>
    <w:p w14:paraId="163CAEB0" w14:textId="77F4C8C9" w:rsidR="006540A5" w:rsidRPr="00DC6435" w:rsidRDefault="006540A5" w:rsidP="006540A5">
      <w:pPr>
        <w:pStyle w:val="Heading3"/>
        <w:rPr>
          <w:rFonts w:cs="Arial"/>
        </w:rPr>
      </w:pPr>
      <w:r w:rsidRPr="00DC6435">
        <w:rPr>
          <w:rFonts w:cs="Arial"/>
        </w:rPr>
        <w:lastRenderedPageBreak/>
        <w:t xml:space="preserve">Key performance insights </w:t>
      </w:r>
    </w:p>
    <w:p w14:paraId="1DF841B8" w14:textId="67C8F14B" w:rsidR="00B748BA" w:rsidRDefault="00214EE5" w:rsidP="00B748BA">
      <w:pPr>
        <w:pStyle w:val="BodyText"/>
      </w:pPr>
      <w:r>
        <w:t>This section provides analysis and insights on key Outcome Indicators for this State Outcome</w:t>
      </w:r>
      <w:r w:rsidR="00922BE7" w:rsidRPr="00997E6C">
        <w:t xml:space="preserve">. </w:t>
      </w:r>
    </w:p>
    <w:p w14:paraId="585DE323" w14:textId="6ACCC06B" w:rsidR="006540A5" w:rsidRPr="00471E9B" w:rsidRDefault="006540A5" w:rsidP="00A41461">
      <w:pPr>
        <w:pStyle w:val="Heading4"/>
      </w:pPr>
      <w:r w:rsidRPr="00A9370F">
        <w:t>NSW government funded VET graduates who are employed after training</w:t>
      </w:r>
    </w:p>
    <w:p w14:paraId="24DF9985" w14:textId="77777777" w:rsidR="006540A5" w:rsidRDefault="006540A5" w:rsidP="00A41461">
      <w:pPr>
        <w:pStyle w:val="BodyText"/>
      </w:pPr>
      <w:r w:rsidRPr="00DF4CC1">
        <w:t>The NSW Government is committed to ensuring that government-funded training delivers the skills and capabilities needed to gain employment.</w:t>
      </w:r>
    </w:p>
    <w:p w14:paraId="01DF1CD4" w14:textId="032D238C" w:rsidR="006540A5" w:rsidRDefault="0045327F" w:rsidP="00A41461">
      <w:pPr>
        <w:pStyle w:val="BodyText"/>
      </w:pPr>
      <w:r>
        <w:t xml:space="preserve">Performance against this </w:t>
      </w:r>
      <w:r w:rsidR="009A69E5">
        <w:t>i</w:t>
      </w:r>
      <w:r w:rsidR="006540A5">
        <w:t>n</w:t>
      </w:r>
      <w:r w:rsidR="006540A5" w:rsidRPr="00BA3A72">
        <w:t xml:space="preserve">dicator has declined slightly in recent years. </w:t>
      </w:r>
      <w:r w:rsidR="006540A5">
        <w:t xml:space="preserve">In 2019, 70 per cent of graduates were employed after training. </w:t>
      </w:r>
      <w:r w:rsidR="006540A5" w:rsidRPr="00BA3A72">
        <w:t xml:space="preserve">Many factors contribute to the likelihood of gaining employment after VET, including the broader economic landscape and student characteristics. </w:t>
      </w:r>
    </w:p>
    <w:p w14:paraId="27EA87B5" w14:textId="601B5995" w:rsidR="006540A5" w:rsidRDefault="006540A5" w:rsidP="00A41461">
      <w:pPr>
        <w:pStyle w:val="BodyText"/>
      </w:pPr>
      <w:r>
        <w:t>To improve performance, t</w:t>
      </w:r>
      <w:r w:rsidRPr="00BA3A72">
        <w:t xml:space="preserve">he </w:t>
      </w:r>
      <w:r>
        <w:t xml:space="preserve">NSW Department of Education </w:t>
      </w:r>
      <w:r w:rsidRPr="00BA3A72">
        <w:t xml:space="preserve">funds and manages the Smart and Skilled contestable training market in </w:t>
      </w:r>
      <w:r w:rsidR="00AE4902" w:rsidRPr="00BA3A72">
        <w:t>N</w:t>
      </w:r>
      <w:r w:rsidR="00274192">
        <w:t xml:space="preserve">ew </w:t>
      </w:r>
      <w:r w:rsidR="00AE4902" w:rsidRPr="00BA3A72">
        <w:t>S</w:t>
      </w:r>
      <w:r w:rsidR="00274192">
        <w:t xml:space="preserve">outh </w:t>
      </w:r>
      <w:r w:rsidR="00AE4902" w:rsidRPr="00BA3A72">
        <w:t>W</w:t>
      </w:r>
      <w:r w:rsidR="00274192">
        <w:t>ales</w:t>
      </w:r>
      <w:r w:rsidR="00AE4902" w:rsidRPr="00BA3A72">
        <w:t xml:space="preserve"> and</w:t>
      </w:r>
      <w:r w:rsidRPr="00BA3A72">
        <w:t xml:space="preserve"> </w:t>
      </w:r>
      <w:r>
        <w:t>is</w:t>
      </w:r>
      <w:r w:rsidRPr="00BA3A72">
        <w:t xml:space="preserve"> reviewing and optimising the NSW Skills List</w:t>
      </w:r>
      <w:r>
        <w:t xml:space="preserve"> to focus on in-demand qualifications and better post-training outcomes</w:t>
      </w:r>
      <w:r w:rsidRPr="00BA3A72">
        <w:t xml:space="preserve">. </w:t>
      </w:r>
      <w:r w:rsidRPr="00DF4CC1">
        <w:t>Ongoing engagement with industry will assist in identifying which skills are most in demand across NSW businesses.</w:t>
      </w:r>
    </w:p>
    <w:p w14:paraId="6B40186A" w14:textId="4B433F12" w:rsidR="00EC3000" w:rsidRDefault="00BB5799" w:rsidP="00A41461">
      <w:pPr>
        <w:pStyle w:val="BodyText"/>
      </w:pPr>
      <w:r w:rsidRPr="00BB5799">
        <w:t xml:space="preserve">Mr David </w:t>
      </w:r>
      <w:proofErr w:type="spellStart"/>
      <w:r w:rsidRPr="00BB5799">
        <w:t>Gonski</w:t>
      </w:r>
      <w:proofErr w:type="spellEnd"/>
      <w:r w:rsidRPr="00BB5799">
        <w:t xml:space="preserve"> AC and Professor Peter </w:t>
      </w:r>
      <w:proofErr w:type="spellStart"/>
      <w:r w:rsidRPr="00BB5799">
        <w:t>Shergold</w:t>
      </w:r>
      <w:proofErr w:type="spellEnd"/>
      <w:r w:rsidRPr="00BB5799">
        <w:t xml:space="preserve"> AC are leading </w:t>
      </w:r>
      <w:r w:rsidR="003D35CE">
        <w:t>an</w:t>
      </w:r>
      <w:r w:rsidRPr="00BB5799">
        <w:t xml:space="preserve"> ongoing review into the NSW VET system, looking at reform options needed for NSW to remain nationally and internationally competitive, and for VET education in NSW to be regarded as a genuine and desirable pathway for school leavers. </w:t>
      </w:r>
    </w:p>
    <w:p w14:paraId="1BC86159" w14:textId="58101601" w:rsidR="00682024" w:rsidRPr="00DB672D" w:rsidRDefault="00682024" w:rsidP="00856CB2">
      <w:pPr>
        <w:pStyle w:val="Chart2X"/>
        <w:ind w:left="1276" w:hanging="1276"/>
      </w:pPr>
      <w:r w:rsidRPr="00DB672D">
        <w:t>Proportion of NSW government funded VET graduates who are employed after training</w:t>
      </w:r>
    </w:p>
    <w:p w14:paraId="041AC557" w14:textId="74B77482" w:rsidR="002545B1" w:rsidRDefault="00E22C01" w:rsidP="00F7286F">
      <w:pPr>
        <w:autoSpaceDE w:val="0"/>
        <w:autoSpaceDN w:val="0"/>
        <w:adjustRightInd w:val="0"/>
        <w:jc w:val="center"/>
        <w:rPr>
          <w:rFonts w:cs="Arial"/>
          <w:sz w:val="23"/>
          <w:szCs w:val="23"/>
        </w:rPr>
      </w:pPr>
      <w:r>
        <w:rPr>
          <w:noProof/>
          <w:lang w:eastAsia="en-AU"/>
        </w:rPr>
        <w:drawing>
          <wp:inline distT="0" distB="0" distL="0" distR="0" wp14:anchorId="6A6003FC" wp14:editId="7F153A4F">
            <wp:extent cx="4678680" cy="2489835"/>
            <wp:effectExtent l="0" t="0" r="0" b="0"/>
            <wp:docPr id="26" name="Chart 26" descr="Chart 2.7: Proportion of NSW government funded VET graduates who are employed after training">
              <a:extLst xmlns:a="http://schemas.openxmlformats.org/drawingml/2006/main">
                <a:ext uri="{FF2B5EF4-FFF2-40B4-BE49-F238E27FC236}">
                  <a16:creationId xmlns:a16="http://schemas.microsoft.com/office/drawing/2014/main" id="{DFCBE80F-ABB0-4D43-9B1A-558CAE79C6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77C4B4C" w14:textId="68142E5C" w:rsidR="002545B1" w:rsidRPr="00252935" w:rsidRDefault="00190A1E" w:rsidP="00DB672D">
      <w:pPr>
        <w:rPr>
          <w:rFonts w:cs="Arial"/>
          <w:iCs/>
          <w:sz w:val="17"/>
          <w:szCs w:val="17"/>
        </w:rPr>
      </w:pPr>
      <w:r w:rsidRPr="00252935">
        <w:rPr>
          <w:rFonts w:cs="Arial"/>
          <w:iCs/>
          <w:sz w:val="17"/>
          <w:szCs w:val="17"/>
        </w:rPr>
        <w:t xml:space="preserve">Note: Data sourced from the Australian Bureau of Statistics, Education and Work, Australia. See footnote (b) in </w:t>
      </w:r>
      <w:r w:rsidR="00BC5D95" w:rsidRPr="00252935">
        <w:rPr>
          <w:rFonts w:cs="Arial"/>
          <w:iCs/>
          <w:sz w:val="17"/>
          <w:szCs w:val="17"/>
        </w:rPr>
        <w:t>Outcome</w:t>
      </w:r>
      <w:r w:rsidR="0087511C" w:rsidRPr="00252935">
        <w:rPr>
          <w:rFonts w:cs="Arial"/>
          <w:iCs/>
          <w:sz w:val="17"/>
          <w:szCs w:val="17"/>
        </w:rPr>
        <w:t xml:space="preserve"> </w:t>
      </w:r>
      <w:r w:rsidR="00482F09" w:rsidRPr="00252935">
        <w:rPr>
          <w:rFonts w:cs="Arial"/>
          <w:iCs/>
          <w:sz w:val="17"/>
          <w:szCs w:val="17"/>
        </w:rPr>
        <w:t>Indicator</w:t>
      </w:r>
      <w:r w:rsidRPr="00252935">
        <w:rPr>
          <w:rFonts w:cs="Arial"/>
          <w:iCs/>
          <w:sz w:val="17"/>
          <w:szCs w:val="17"/>
        </w:rPr>
        <w:t xml:space="preserve"> table </w:t>
      </w:r>
      <w:r w:rsidR="003E22DC" w:rsidRPr="00252935">
        <w:rPr>
          <w:rFonts w:cs="Arial"/>
          <w:iCs/>
          <w:sz w:val="17"/>
          <w:szCs w:val="17"/>
        </w:rPr>
        <w:t>on page 13</w:t>
      </w:r>
      <w:r w:rsidRPr="00252935">
        <w:rPr>
          <w:rFonts w:cs="Arial"/>
          <w:iCs/>
          <w:sz w:val="17"/>
          <w:szCs w:val="17"/>
        </w:rPr>
        <w:t xml:space="preserve"> for further information</w:t>
      </w:r>
      <w:r w:rsidR="00B37F72" w:rsidRPr="00252935">
        <w:rPr>
          <w:rFonts w:cs="Arial"/>
          <w:iCs/>
          <w:sz w:val="17"/>
          <w:szCs w:val="17"/>
        </w:rPr>
        <w:t>.</w:t>
      </w:r>
      <w:r w:rsidRPr="00252935">
        <w:rPr>
          <w:rFonts w:cs="Arial"/>
          <w:iCs/>
          <w:sz w:val="17"/>
          <w:szCs w:val="17"/>
        </w:rPr>
        <w:t xml:space="preserve"> </w:t>
      </w:r>
    </w:p>
    <w:p w14:paraId="20299956" w14:textId="1CFD992C" w:rsidR="006540A5" w:rsidRPr="00471E9B" w:rsidRDefault="006540A5" w:rsidP="00DB672D">
      <w:pPr>
        <w:pStyle w:val="Heading4"/>
      </w:pPr>
      <w:r w:rsidRPr="00A9370F">
        <w:t>Young people in education, training and employment</w:t>
      </w:r>
    </w:p>
    <w:p w14:paraId="76EC4DF5" w14:textId="77777777" w:rsidR="006540A5" w:rsidRPr="00761E83" w:rsidRDefault="006540A5" w:rsidP="00DB672D">
      <w:pPr>
        <w:pStyle w:val="BodyText"/>
      </w:pPr>
      <w:r w:rsidRPr="001F4FC0">
        <w:t>Engagement in education, training or employment</w:t>
      </w:r>
      <w:r w:rsidRPr="001E3563">
        <w:t xml:space="preserve"> is essential for young people to fully realise </w:t>
      </w:r>
      <w:r w:rsidRPr="003740A0">
        <w:t>social and professional opportunities</w:t>
      </w:r>
      <w:r w:rsidRPr="00761E83">
        <w:t xml:space="preserve"> and avoid dependence on welfare.</w:t>
      </w:r>
    </w:p>
    <w:p w14:paraId="2384C074" w14:textId="153D155D" w:rsidR="006540A5" w:rsidRPr="001F4FC0" w:rsidRDefault="004575EC" w:rsidP="00DB672D">
      <w:pPr>
        <w:pStyle w:val="BodyText"/>
      </w:pPr>
      <w:r>
        <w:t xml:space="preserve">Performance </w:t>
      </w:r>
      <w:r w:rsidR="007C5C10">
        <w:t xml:space="preserve">against this indicator </w:t>
      </w:r>
      <w:r>
        <w:t xml:space="preserve">is </w:t>
      </w:r>
      <w:r w:rsidR="008E046A">
        <w:t>on track to</w:t>
      </w:r>
      <w:r w:rsidR="007C5C10">
        <w:t xml:space="preserve"> meet targets. </w:t>
      </w:r>
      <w:r w:rsidR="006540A5" w:rsidRPr="00554287">
        <w:t>In 2019, 79.2 per cent of 15</w:t>
      </w:r>
      <w:r w:rsidR="00AE4902">
        <w:t xml:space="preserve"> to </w:t>
      </w:r>
      <w:r w:rsidR="006540A5" w:rsidRPr="00554287">
        <w:t>29 year</w:t>
      </w:r>
      <w:r w:rsidR="00033937">
        <w:t>-</w:t>
      </w:r>
      <w:r w:rsidR="006540A5" w:rsidRPr="00554287">
        <w:t>olds were fully engaged in employment or study</w:t>
      </w:r>
      <w:r w:rsidR="005655D7">
        <w:t xml:space="preserve"> and</w:t>
      </w:r>
      <w:r w:rsidR="006540A5" w:rsidRPr="001F4FC0">
        <w:t xml:space="preserve"> </w:t>
      </w:r>
      <w:r w:rsidR="005655D7">
        <w:t>m</w:t>
      </w:r>
      <w:r w:rsidR="006540A5" w:rsidRPr="001F4FC0">
        <w:t xml:space="preserve">ore young people than ever </w:t>
      </w:r>
      <w:r w:rsidR="005655D7">
        <w:t>we</w:t>
      </w:r>
      <w:r w:rsidR="006540A5" w:rsidRPr="001F4FC0">
        <w:t xml:space="preserve">re going to university. </w:t>
      </w:r>
    </w:p>
    <w:p w14:paraId="07CCA304" w14:textId="52E7DAF1" w:rsidR="00682024" w:rsidRDefault="00D373AB" w:rsidP="00DB672D">
      <w:pPr>
        <w:pStyle w:val="BodyText"/>
      </w:pPr>
      <w:r>
        <w:t>To support ongoing performance, t</w:t>
      </w:r>
      <w:r w:rsidR="006540A5" w:rsidRPr="001F4FC0">
        <w:t xml:space="preserve">he </w:t>
      </w:r>
      <w:r w:rsidR="005D2AB3">
        <w:t>D</w:t>
      </w:r>
      <w:r w:rsidR="006540A5" w:rsidRPr="001F4FC0">
        <w:t xml:space="preserve">epartment is increasing its support for school leavers and young people to engage with quality education, training and employment opportunities. </w:t>
      </w:r>
      <w:r w:rsidR="006540A5" w:rsidRPr="00F52C89">
        <w:rPr>
          <w:i/>
        </w:rPr>
        <w:t>Skilling for Recovery</w:t>
      </w:r>
      <w:r w:rsidR="006540A5" w:rsidRPr="001F4FC0">
        <w:t xml:space="preserve"> will deliver a rapid increase in fee-free training places for school leavers, young people and job seekers in areas of identified skills and employment growth. </w:t>
      </w:r>
    </w:p>
    <w:p w14:paraId="714B4E99" w14:textId="74EC61E9" w:rsidR="00682024" w:rsidRPr="00DB672D" w:rsidRDefault="00682024" w:rsidP="00856CB2">
      <w:pPr>
        <w:pStyle w:val="Chart2X"/>
      </w:pPr>
      <w:r w:rsidRPr="00DB672D">
        <w:lastRenderedPageBreak/>
        <w:t>Proportion of young people in NSW who are in education, training and employment</w:t>
      </w:r>
    </w:p>
    <w:p w14:paraId="37D78413" w14:textId="081BF75E" w:rsidR="00682024" w:rsidRDefault="00437524" w:rsidP="00F7286F">
      <w:pPr>
        <w:autoSpaceDE w:val="0"/>
        <w:autoSpaceDN w:val="0"/>
        <w:adjustRightInd w:val="0"/>
        <w:jc w:val="center"/>
        <w:rPr>
          <w:rFonts w:cs="Arial"/>
          <w:sz w:val="23"/>
          <w:szCs w:val="23"/>
        </w:rPr>
      </w:pPr>
      <w:r>
        <w:rPr>
          <w:noProof/>
        </w:rPr>
        <w:drawing>
          <wp:inline distT="0" distB="0" distL="0" distR="0" wp14:anchorId="5121E6E9" wp14:editId="2AA3D266">
            <wp:extent cx="4572000" cy="2743200"/>
            <wp:effectExtent l="0" t="0" r="0" b="0"/>
            <wp:docPr id="4" name="Chart 4" descr="Chart 2.8: Proportion of young people in NSW who are in education, training and employment">
              <a:extLst xmlns:a="http://schemas.openxmlformats.org/drawingml/2006/main">
                <a:ext uri="{FF2B5EF4-FFF2-40B4-BE49-F238E27FC236}">
                  <a16:creationId xmlns:a16="http://schemas.microsoft.com/office/drawing/2014/main" id="{6D874692-8E6A-4FBC-A889-FE8EB7A33F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893DE09" w14:textId="094B2084" w:rsidR="00F87CF6" w:rsidRPr="00252935" w:rsidRDefault="00190A1E" w:rsidP="00DB672D">
      <w:pPr>
        <w:rPr>
          <w:rFonts w:cs="Arial"/>
          <w:iCs/>
          <w:sz w:val="17"/>
          <w:szCs w:val="17"/>
        </w:rPr>
      </w:pPr>
      <w:r w:rsidRPr="00252935">
        <w:rPr>
          <w:rFonts w:cs="Arial"/>
          <w:iCs/>
          <w:sz w:val="17"/>
          <w:szCs w:val="17"/>
        </w:rPr>
        <w:t xml:space="preserve">Note: Data sourced from the National Centre for Vocational Education Research (NCVER) Government-funded student outcomes. See footnote (d) in </w:t>
      </w:r>
      <w:r w:rsidR="00BC5D95" w:rsidRPr="00252935">
        <w:rPr>
          <w:rFonts w:cs="Arial"/>
          <w:iCs/>
          <w:sz w:val="17"/>
          <w:szCs w:val="17"/>
        </w:rPr>
        <w:t xml:space="preserve">Outcome Indicator </w:t>
      </w:r>
      <w:r w:rsidRPr="00252935">
        <w:rPr>
          <w:rFonts w:cs="Arial"/>
          <w:iCs/>
          <w:sz w:val="17"/>
          <w:szCs w:val="17"/>
        </w:rPr>
        <w:t xml:space="preserve">table </w:t>
      </w:r>
      <w:r w:rsidR="005D2AB3" w:rsidRPr="00252935">
        <w:rPr>
          <w:rFonts w:cs="Arial"/>
          <w:iCs/>
          <w:sz w:val="17"/>
          <w:szCs w:val="17"/>
        </w:rPr>
        <w:t>on page 13</w:t>
      </w:r>
      <w:r w:rsidRPr="00252935">
        <w:rPr>
          <w:rFonts w:cs="Arial"/>
          <w:iCs/>
          <w:sz w:val="17"/>
          <w:szCs w:val="17"/>
        </w:rPr>
        <w:t xml:space="preserve"> for further information. </w:t>
      </w:r>
    </w:p>
    <w:p w14:paraId="1AE9F8E1" w14:textId="77777777" w:rsidR="0068070A" w:rsidRDefault="0068070A" w:rsidP="00DB672D"/>
    <w:p w14:paraId="182F8044" w14:textId="2C2ECFE3" w:rsidR="006540A5" w:rsidRPr="008D73BC" w:rsidRDefault="006540A5" w:rsidP="00DB672D">
      <w:pPr>
        <w:pStyle w:val="Heading4"/>
      </w:pPr>
      <w:r w:rsidRPr="00A9370F">
        <w:t xml:space="preserve">Employer satisfaction with VET training </w:t>
      </w:r>
    </w:p>
    <w:p w14:paraId="71587CE7" w14:textId="10FBAB13" w:rsidR="006540A5" w:rsidRDefault="006540A5" w:rsidP="00DB672D">
      <w:pPr>
        <w:pStyle w:val="BodyText"/>
      </w:pPr>
      <w:r w:rsidRPr="00DF4CC1">
        <w:t>In order to grow a highly skilled and adaptable workforce, it is essential that the training delivered in N</w:t>
      </w:r>
      <w:r w:rsidR="00BA3217">
        <w:t xml:space="preserve">ew </w:t>
      </w:r>
      <w:r w:rsidRPr="00DF4CC1">
        <w:t>S</w:t>
      </w:r>
      <w:r w:rsidR="00BA3217">
        <w:t xml:space="preserve">outh </w:t>
      </w:r>
      <w:r w:rsidRPr="00DF4CC1">
        <w:t>W</w:t>
      </w:r>
      <w:r w:rsidR="00BA3217">
        <w:t>ales</w:t>
      </w:r>
      <w:r w:rsidRPr="00DF4CC1">
        <w:t xml:space="preserve"> meet the needs of local industries.</w:t>
      </w:r>
    </w:p>
    <w:p w14:paraId="6147AAE8" w14:textId="7FFAD536" w:rsidR="006540A5" w:rsidRDefault="00704FCB" w:rsidP="00DB672D">
      <w:pPr>
        <w:pStyle w:val="BodyText"/>
      </w:pPr>
      <w:r>
        <w:t xml:space="preserve">Performance against this indicator </w:t>
      </w:r>
      <w:r w:rsidRPr="00BA3A72">
        <w:t>has declined slightly in recent years</w:t>
      </w:r>
      <w:r>
        <w:t xml:space="preserve">, consistent with national trends. </w:t>
      </w:r>
      <w:r w:rsidR="006540A5">
        <w:t>In 2019, an average of 77.4 per cent of employers reported that VET training met their skill</w:t>
      </w:r>
      <w:r w:rsidR="0073086A">
        <w:t>s</w:t>
      </w:r>
      <w:r w:rsidR="006540A5">
        <w:t xml:space="preserve"> needs. </w:t>
      </w:r>
    </w:p>
    <w:p w14:paraId="31E23A06" w14:textId="7DE9D027" w:rsidR="006540A5" w:rsidRDefault="006540A5" w:rsidP="002228EF">
      <w:pPr>
        <w:pStyle w:val="BodyText"/>
        <w:spacing w:after="0"/>
      </w:pPr>
      <w:r w:rsidRPr="00613EE0">
        <w:t xml:space="preserve">To address these issues, the </w:t>
      </w:r>
      <w:r w:rsidR="00BF0922">
        <w:t>D</w:t>
      </w:r>
      <w:r w:rsidRPr="00613EE0">
        <w:t xml:space="preserve">epartment </w:t>
      </w:r>
      <w:r w:rsidR="007C6D3F">
        <w:t xml:space="preserve">has introduced </w:t>
      </w:r>
      <w:r w:rsidRPr="00613EE0">
        <w:t xml:space="preserve">a new quality framework for training providers which focuses on </w:t>
      </w:r>
      <w:r w:rsidR="007C6D3F">
        <w:t>student</w:t>
      </w:r>
      <w:r w:rsidRPr="00613EE0">
        <w:t xml:space="preserve"> outcomes of training. </w:t>
      </w:r>
      <w:r>
        <w:t xml:space="preserve">The </w:t>
      </w:r>
      <w:r w:rsidR="00D929A4">
        <w:t>D</w:t>
      </w:r>
      <w:r>
        <w:t>epartment is increasing r</w:t>
      </w:r>
      <w:r w:rsidRPr="00613EE0">
        <w:t>eal</w:t>
      </w:r>
      <w:r>
        <w:t>-</w:t>
      </w:r>
      <w:r w:rsidRPr="00613EE0">
        <w:t xml:space="preserve">time monitoring of </w:t>
      </w:r>
      <w:r>
        <w:t xml:space="preserve">training </w:t>
      </w:r>
      <w:r w:rsidRPr="00613EE0">
        <w:t>outcomes</w:t>
      </w:r>
      <w:r>
        <w:t>,</w:t>
      </w:r>
      <w:r w:rsidRPr="00613EE0">
        <w:t xml:space="preserve"> as well as </w:t>
      </w:r>
      <w:r>
        <w:t xml:space="preserve">undertaking </w:t>
      </w:r>
      <w:r w:rsidRPr="00613EE0">
        <w:t>in-depth research to better understand the expectations and experiences of employers.</w:t>
      </w:r>
    </w:p>
    <w:p w14:paraId="7113376B" w14:textId="7524D3DE" w:rsidR="00711439" w:rsidRPr="009A1BCA" w:rsidRDefault="00711439" w:rsidP="009A1BCA">
      <w:pPr>
        <w:pStyle w:val="Chart2X"/>
      </w:pPr>
      <w:r w:rsidRPr="00DB672D">
        <w:t>Proportion of NSW employers satisfied with VET training meeting their skill needs</w:t>
      </w:r>
    </w:p>
    <w:p w14:paraId="465E32F6" w14:textId="767B3AE2" w:rsidR="00711439" w:rsidRDefault="00DE0497" w:rsidP="00F7286F">
      <w:pPr>
        <w:autoSpaceDE w:val="0"/>
        <w:autoSpaceDN w:val="0"/>
        <w:adjustRightInd w:val="0"/>
        <w:jc w:val="center"/>
        <w:rPr>
          <w:rFonts w:cs="Arial"/>
          <w:sz w:val="23"/>
          <w:szCs w:val="23"/>
        </w:rPr>
      </w:pPr>
      <w:r>
        <w:rPr>
          <w:noProof/>
          <w:lang w:eastAsia="en-AU"/>
        </w:rPr>
        <w:drawing>
          <wp:inline distT="0" distB="0" distL="0" distR="0" wp14:anchorId="68CF467C" wp14:editId="7E33892E">
            <wp:extent cx="4794250" cy="2441575"/>
            <wp:effectExtent l="0" t="0" r="0" b="0"/>
            <wp:docPr id="15" name="Chart 15" descr="Chart 2.9: Proportion of NSW employers satisfied with VET training meeting their skill needs">
              <a:extLst xmlns:a="http://schemas.openxmlformats.org/drawingml/2006/main">
                <a:ext uri="{FF2B5EF4-FFF2-40B4-BE49-F238E27FC236}">
                  <a16:creationId xmlns:a16="http://schemas.microsoft.com/office/drawing/2014/main" id="{FB74BD53-3387-4430-9B0E-3C5B9FD300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810829D" w14:textId="5EAF2802" w:rsidR="00E1127F" w:rsidRPr="00E92B28" w:rsidRDefault="00190A1E" w:rsidP="00DB672D">
      <w:pPr>
        <w:rPr>
          <w:rFonts w:cs="Arial"/>
          <w:iCs/>
          <w:sz w:val="17"/>
          <w:szCs w:val="17"/>
        </w:rPr>
      </w:pPr>
      <w:r w:rsidRPr="00E92B28">
        <w:rPr>
          <w:rFonts w:cs="Arial"/>
          <w:iCs/>
          <w:sz w:val="17"/>
          <w:szCs w:val="17"/>
        </w:rPr>
        <w:t xml:space="preserve">Note: Data sourced from the National Centre for Vocational Education Research (NCVER) </w:t>
      </w:r>
      <w:r w:rsidRPr="00E92B28">
        <w:rPr>
          <w:rFonts w:cs="Arial"/>
          <w:i/>
          <w:sz w:val="17"/>
          <w:szCs w:val="17"/>
        </w:rPr>
        <w:t>Survey of Employer Use and Views of the VET System</w:t>
      </w:r>
      <w:r w:rsidRPr="00E92B28">
        <w:rPr>
          <w:rFonts w:cs="Arial"/>
          <w:iCs/>
          <w:sz w:val="17"/>
          <w:szCs w:val="17"/>
        </w:rPr>
        <w:t xml:space="preserve">. </w:t>
      </w:r>
      <w:r w:rsidR="00E1127F" w:rsidRPr="00E92B28">
        <w:rPr>
          <w:rFonts w:cs="Arial"/>
          <w:iCs/>
          <w:sz w:val="17"/>
          <w:szCs w:val="17"/>
        </w:rPr>
        <w:t xml:space="preserve">See footnote (a) in </w:t>
      </w:r>
      <w:r w:rsidR="00BC5D95" w:rsidRPr="00E92B28">
        <w:rPr>
          <w:rFonts w:cs="Arial"/>
          <w:iCs/>
          <w:sz w:val="17"/>
          <w:szCs w:val="17"/>
        </w:rPr>
        <w:t xml:space="preserve">Outcome Indicator </w:t>
      </w:r>
      <w:r w:rsidR="00E1127F" w:rsidRPr="00E92B28">
        <w:rPr>
          <w:rFonts w:cs="Arial"/>
          <w:iCs/>
          <w:sz w:val="17"/>
          <w:szCs w:val="17"/>
        </w:rPr>
        <w:t xml:space="preserve">table </w:t>
      </w:r>
      <w:r w:rsidR="00D929A4" w:rsidRPr="00E92B28">
        <w:rPr>
          <w:rFonts w:cs="Arial"/>
          <w:iCs/>
          <w:sz w:val="17"/>
          <w:szCs w:val="17"/>
        </w:rPr>
        <w:t>on page 13</w:t>
      </w:r>
      <w:r w:rsidR="00E1127F" w:rsidRPr="00E92B28">
        <w:rPr>
          <w:rFonts w:cs="Arial"/>
          <w:iCs/>
          <w:sz w:val="17"/>
          <w:szCs w:val="17"/>
        </w:rPr>
        <w:t xml:space="preserve"> for further information. </w:t>
      </w:r>
    </w:p>
    <w:p w14:paraId="009EB623" w14:textId="77777777" w:rsidR="00A25944" w:rsidRDefault="00A25944">
      <w:pPr>
        <w:rPr>
          <w:rFonts w:cs="Arial"/>
          <w:iCs/>
          <w:sz w:val="17"/>
          <w:szCs w:val="17"/>
        </w:rPr>
      </w:pPr>
      <w:r>
        <w:rPr>
          <w:rFonts w:cs="Arial"/>
          <w:iCs/>
          <w:sz w:val="17"/>
          <w:szCs w:val="17"/>
        </w:rPr>
        <w:br w:type="page"/>
      </w:r>
    </w:p>
    <w:p w14:paraId="4ED8BAB7" w14:textId="084058CB" w:rsidR="006540A5" w:rsidRDefault="00C948E8" w:rsidP="006540A5">
      <w:pPr>
        <w:pStyle w:val="Heading3"/>
        <w:rPr>
          <w:rFonts w:cs="Arial"/>
        </w:rPr>
      </w:pPr>
      <w:r>
        <w:rPr>
          <w:rFonts w:cs="Arial"/>
        </w:rPr>
        <w:lastRenderedPageBreak/>
        <w:t>P</w:t>
      </w:r>
      <w:r w:rsidR="006540A5">
        <w:rPr>
          <w:rFonts w:cs="Arial"/>
        </w:rPr>
        <w:t xml:space="preserve">erformance indicators for this </w:t>
      </w:r>
      <w:r w:rsidR="0018308E">
        <w:rPr>
          <w:rFonts w:cs="Arial"/>
        </w:rPr>
        <w:t>O</w:t>
      </w:r>
      <w:r w:rsidR="006540A5">
        <w:rPr>
          <w:rFonts w:cs="Arial"/>
        </w:rPr>
        <w:t>utcome</w:t>
      </w:r>
    </w:p>
    <w:tbl>
      <w:tblPr>
        <w:tblW w:w="9655" w:type="dxa"/>
        <w:tblLook w:val="04A0" w:firstRow="1" w:lastRow="0" w:firstColumn="1" w:lastColumn="0" w:noHBand="0" w:noVBand="1"/>
        <w:tblCaption w:val="Performance indicators for this Outcome"/>
      </w:tblPr>
      <w:tblGrid>
        <w:gridCol w:w="6537"/>
        <w:gridCol w:w="736"/>
        <w:gridCol w:w="1191"/>
        <w:gridCol w:w="1191"/>
      </w:tblGrid>
      <w:tr w:rsidR="00202839" w:rsidRPr="00202839" w14:paraId="6E39B9A4" w14:textId="77777777" w:rsidTr="0077355F">
        <w:trPr>
          <w:trHeight w:val="283"/>
        </w:trPr>
        <w:tc>
          <w:tcPr>
            <w:tcW w:w="6537" w:type="dxa"/>
            <w:vMerge w:val="restart"/>
            <w:tcBorders>
              <w:top w:val="nil"/>
              <w:left w:val="nil"/>
              <w:bottom w:val="nil"/>
              <w:right w:val="nil"/>
            </w:tcBorders>
            <w:shd w:val="clear" w:color="auto" w:fill="00426F"/>
            <w:noWrap/>
            <w:vAlign w:val="center"/>
            <w:hideMark/>
          </w:tcPr>
          <w:p w14:paraId="5CD0CAB7" w14:textId="77777777" w:rsidR="00202839" w:rsidRPr="00BC5D95" w:rsidRDefault="00202839" w:rsidP="009C21A6">
            <w:pPr>
              <w:rPr>
                <w:b/>
                <w:sz w:val="18"/>
                <w:szCs w:val="18"/>
                <w:lang w:eastAsia="en-AU"/>
              </w:rPr>
            </w:pPr>
            <w:r w:rsidRPr="00BC5D95">
              <w:rPr>
                <w:b/>
                <w:sz w:val="18"/>
                <w:szCs w:val="18"/>
                <w:lang w:eastAsia="en-AU"/>
              </w:rPr>
              <w:t>Outcome Indicators</w:t>
            </w:r>
          </w:p>
        </w:tc>
        <w:tc>
          <w:tcPr>
            <w:tcW w:w="736" w:type="dxa"/>
            <w:vMerge w:val="restart"/>
            <w:tcBorders>
              <w:top w:val="nil"/>
              <w:left w:val="nil"/>
              <w:bottom w:val="nil"/>
              <w:right w:val="nil"/>
            </w:tcBorders>
            <w:shd w:val="clear" w:color="auto" w:fill="00426F"/>
            <w:noWrap/>
            <w:vAlign w:val="center"/>
            <w:hideMark/>
          </w:tcPr>
          <w:p w14:paraId="50FDA40C" w14:textId="77777777" w:rsidR="00202839" w:rsidRPr="00BC5D95" w:rsidRDefault="00202839" w:rsidP="009C21A6">
            <w:pPr>
              <w:rPr>
                <w:b/>
                <w:sz w:val="18"/>
                <w:szCs w:val="18"/>
                <w:lang w:eastAsia="en-AU"/>
              </w:rPr>
            </w:pPr>
            <w:r w:rsidRPr="00BC5D95">
              <w:rPr>
                <w:b/>
                <w:sz w:val="18"/>
                <w:szCs w:val="18"/>
                <w:lang w:eastAsia="en-AU"/>
              </w:rPr>
              <w:t>Units</w:t>
            </w:r>
          </w:p>
        </w:tc>
        <w:tc>
          <w:tcPr>
            <w:tcW w:w="1191" w:type="dxa"/>
            <w:tcBorders>
              <w:top w:val="nil"/>
              <w:left w:val="nil"/>
              <w:bottom w:val="nil"/>
              <w:right w:val="nil"/>
            </w:tcBorders>
            <w:shd w:val="clear" w:color="auto" w:fill="00426F"/>
            <w:noWrap/>
            <w:vAlign w:val="bottom"/>
            <w:hideMark/>
          </w:tcPr>
          <w:p w14:paraId="2D8B4AD5" w14:textId="77777777" w:rsidR="00202839" w:rsidRPr="00BC5D95" w:rsidRDefault="00202839" w:rsidP="000A7A1F">
            <w:pPr>
              <w:jc w:val="center"/>
              <w:rPr>
                <w:b/>
                <w:sz w:val="18"/>
                <w:szCs w:val="18"/>
                <w:lang w:eastAsia="en-AU"/>
              </w:rPr>
            </w:pPr>
            <w:r w:rsidRPr="00BC5D95">
              <w:rPr>
                <w:b/>
                <w:sz w:val="18"/>
                <w:szCs w:val="18"/>
                <w:lang w:eastAsia="en-AU"/>
              </w:rPr>
              <w:t>2019-20</w:t>
            </w:r>
          </w:p>
        </w:tc>
        <w:tc>
          <w:tcPr>
            <w:tcW w:w="1191" w:type="dxa"/>
            <w:tcBorders>
              <w:top w:val="nil"/>
              <w:left w:val="nil"/>
              <w:bottom w:val="nil"/>
              <w:right w:val="nil"/>
            </w:tcBorders>
            <w:shd w:val="clear" w:color="auto" w:fill="00426F"/>
            <w:noWrap/>
            <w:vAlign w:val="bottom"/>
            <w:hideMark/>
          </w:tcPr>
          <w:p w14:paraId="53C2AB7D" w14:textId="77777777" w:rsidR="00202839" w:rsidRPr="00BC5D95" w:rsidRDefault="00202839" w:rsidP="000A7A1F">
            <w:pPr>
              <w:jc w:val="center"/>
              <w:rPr>
                <w:b/>
                <w:sz w:val="18"/>
                <w:szCs w:val="18"/>
                <w:lang w:eastAsia="en-AU"/>
              </w:rPr>
            </w:pPr>
            <w:r w:rsidRPr="00BC5D95">
              <w:rPr>
                <w:b/>
                <w:sz w:val="18"/>
                <w:szCs w:val="18"/>
                <w:lang w:eastAsia="en-AU"/>
              </w:rPr>
              <w:t>2020-21</w:t>
            </w:r>
          </w:p>
        </w:tc>
      </w:tr>
      <w:tr w:rsidR="00202839" w:rsidRPr="00202839" w14:paraId="700245EC" w14:textId="77777777" w:rsidTr="0077355F">
        <w:trPr>
          <w:trHeight w:val="283"/>
        </w:trPr>
        <w:tc>
          <w:tcPr>
            <w:tcW w:w="6537" w:type="dxa"/>
            <w:vMerge/>
            <w:tcBorders>
              <w:top w:val="nil"/>
              <w:left w:val="nil"/>
              <w:bottom w:val="nil"/>
              <w:right w:val="nil"/>
            </w:tcBorders>
            <w:shd w:val="clear" w:color="auto" w:fill="00426F"/>
            <w:vAlign w:val="center"/>
            <w:hideMark/>
          </w:tcPr>
          <w:p w14:paraId="3793C39C" w14:textId="77777777" w:rsidR="00202839" w:rsidRPr="000A7A1F" w:rsidRDefault="00202839" w:rsidP="00202839">
            <w:pPr>
              <w:rPr>
                <w:rFonts w:cs="Arial"/>
                <w:b/>
                <w:color w:val="FFFFFF"/>
                <w:sz w:val="18"/>
                <w:szCs w:val="18"/>
                <w:lang w:eastAsia="en-AU"/>
              </w:rPr>
            </w:pPr>
          </w:p>
        </w:tc>
        <w:tc>
          <w:tcPr>
            <w:tcW w:w="736" w:type="dxa"/>
            <w:vMerge/>
            <w:tcBorders>
              <w:top w:val="nil"/>
              <w:left w:val="nil"/>
              <w:bottom w:val="nil"/>
              <w:right w:val="nil"/>
            </w:tcBorders>
            <w:shd w:val="clear" w:color="auto" w:fill="00426F"/>
            <w:vAlign w:val="center"/>
            <w:hideMark/>
          </w:tcPr>
          <w:p w14:paraId="3AC41B67" w14:textId="77777777" w:rsidR="00202839" w:rsidRPr="000A7A1F" w:rsidRDefault="00202839" w:rsidP="00202839">
            <w:pPr>
              <w:rPr>
                <w:rFonts w:cs="Arial"/>
                <w:b/>
                <w:color w:val="FFFFFF"/>
                <w:sz w:val="18"/>
                <w:szCs w:val="18"/>
                <w:lang w:eastAsia="en-AU"/>
              </w:rPr>
            </w:pPr>
          </w:p>
        </w:tc>
        <w:tc>
          <w:tcPr>
            <w:tcW w:w="1191" w:type="dxa"/>
            <w:tcBorders>
              <w:top w:val="nil"/>
              <w:left w:val="nil"/>
              <w:bottom w:val="nil"/>
              <w:right w:val="nil"/>
            </w:tcBorders>
            <w:shd w:val="clear" w:color="auto" w:fill="00426F"/>
            <w:noWrap/>
            <w:hideMark/>
          </w:tcPr>
          <w:p w14:paraId="105C0F32" w14:textId="77777777" w:rsidR="00202839" w:rsidRPr="000A7A1F" w:rsidRDefault="00202839" w:rsidP="00202839">
            <w:pPr>
              <w:jc w:val="center"/>
              <w:rPr>
                <w:rFonts w:cs="Arial"/>
                <w:b/>
                <w:color w:val="FFFFFF"/>
                <w:sz w:val="18"/>
                <w:szCs w:val="18"/>
                <w:lang w:eastAsia="en-AU"/>
              </w:rPr>
            </w:pPr>
            <w:r w:rsidRPr="000A7A1F">
              <w:rPr>
                <w:rFonts w:cs="Arial"/>
                <w:b/>
                <w:color w:val="FFFFFF"/>
                <w:sz w:val="18"/>
                <w:szCs w:val="18"/>
                <w:lang w:eastAsia="en-AU"/>
              </w:rPr>
              <w:t>Actual</w:t>
            </w:r>
          </w:p>
        </w:tc>
        <w:tc>
          <w:tcPr>
            <w:tcW w:w="1191" w:type="dxa"/>
            <w:tcBorders>
              <w:top w:val="nil"/>
              <w:left w:val="nil"/>
              <w:bottom w:val="nil"/>
              <w:right w:val="nil"/>
            </w:tcBorders>
            <w:shd w:val="clear" w:color="auto" w:fill="00426F"/>
            <w:noWrap/>
            <w:hideMark/>
          </w:tcPr>
          <w:p w14:paraId="36BF9D4C" w14:textId="77777777" w:rsidR="00202839" w:rsidRPr="00EC409E" w:rsidRDefault="00202839" w:rsidP="00202839">
            <w:pPr>
              <w:jc w:val="center"/>
              <w:rPr>
                <w:rFonts w:cs="Arial"/>
                <w:b/>
                <w:color w:val="FFFFFF"/>
                <w:sz w:val="18"/>
                <w:szCs w:val="18"/>
                <w:lang w:eastAsia="en-AU"/>
              </w:rPr>
            </w:pPr>
            <w:r w:rsidRPr="00EC409E">
              <w:rPr>
                <w:rFonts w:cs="Arial"/>
                <w:b/>
                <w:color w:val="FFFFFF"/>
                <w:sz w:val="18"/>
                <w:szCs w:val="18"/>
                <w:lang w:eastAsia="en-AU"/>
              </w:rPr>
              <w:t>Forecast</w:t>
            </w:r>
          </w:p>
        </w:tc>
      </w:tr>
      <w:tr w:rsidR="00202839" w:rsidRPr="00202839" w14:paraId="05AECFC3" w14:textId="77777777" w:rsidTr="0077355F">
        <w:trPr>
          <w:trHeight w:val="228"/>
        </w:trPr>
        <w:tc>
          <w:tcPr>
            <w:tcW w:w="6537" w:type="dxa"/>
            <w:tcBorders>
              <w:top w:val="nil"/>
              <w:left w:val="nil"/>
              <w:bottom w:val="nil"/>
              <w:right w:val="nil"/>
            </w:tcBorders>
            <w:shd w:val="clear" w:color="auto" w:fill="auto"/>
            <w:vAlign w:val="bottom"/>
            <w:hideMark/>
          </w:tcPr>
          <w:p w14:paraId="5C17EFC3" w14:textId="77777777" w:rsidR="00202839" w:rsidRPr="00202839" w:rsidRDefault="00202839" w:rsidP="00FC4E65">
            <w:pPr>
              <w:rPr>
                <w:rFonts w:cs="Arial"/>
                <w:color w:val="000000"/>
                <w:sz w:val="16"/>
                <w:szCs w:val="16"/>
                <w:lang w:eastAsia="en-AU"/>
              </w:rPr>
            </w:pPr>
            <w:bookmarkStart w:id="12" w:name="_GoBack" w:colFirst="2" w:colLast="3"/>
            <w:r w:rsidRPr="00202839">
              <w:rPr>
                <w:rFonts w:cs="Arial"/>
                <w:color w:val="000000"/>
                <w:sz w:val="16"/>
                <w:szCs w:val="16"/>
                <w:lang w:eastAsia="en-AU"/>
              </w:rPr>
              <w:t>Proportion of NSW employers satisfied with VET training meeting their skill needs</w:t>
            </w:r>
            <w:r w:rsidRPr="00202839">
              <w:rPr>
                <w:rFonts w:cs="Arial"/>
                <w:color w:val="000000"/>
                <w:sz w:val="16"/>
                <w:szCs w:val="16"/>
                <w:vertAlign w:val="superscript"/>
                <w:lang w:eastAsia="en-AU"/>
              </w:rPr>
              <w:t>(a)</w:t>
            </w:r>
          </w:p>
        </w:tc>
        <w:tc>
          <w:tcPr>
            <w:tcW w:w="736" w:type="dxa"/>
            <w:tcBorders>
              <w:top w:val="nil"/>
              <w:left w:val="nil"/>
              <w:bottom w:val="nil"/>
              <w:right w:val="nil"/>
            </w:tcBorders>
            <w:shd w:val="clear" w:color="auto" w:fill="auto"/>
            <w:noWrap/>
            <w:vAlign w:val="bottom"/>
            <w:hideMark/>
          </w:tcPr>
          <w:p w14:paraId="1D55FA49" w14:textId="77777777" w:rsidR="00202839" w:rsidRPr="00202839" w:rsidRDefault="00202839" w:rsidP="00202839">
            <w:pPr>
              <w:jc w:val="center"/>
              <w:rPr>
                <w:rFonts w:cs="Arial"/>
                <w:color w:val="000000"/>
                <w:sz w:val="16"/>
                <w:szCs w:val="16"/>
                <w:lang w:eastAsia="en-AU"/>
              </w:rPr>
            </w:pPr>
            <w:r w:rsidRPr="00202839">
              <w:rPr>
                <w:rFonts w:cs="Arial"/>
                <w:color w:val="000000"/>
                <w:sz w:val="16"/>
                <w:szCs w:val="16"/>
                <w:lang w:eastAsia="en-AU"/>
              </w:rPr>
              <w:t>%</w:t>
            </w:r>
          </w:p>
        </w:tc>
        <w:tc>
          <w:tcPr>
            <w:tcW w:w="1191" w:type="dxa"/>
            <w:tcBorders>
              <w:top w:val="nil"/>
              <w:left w:val="nil"/>
              <w:bottom w:val="nil"/>
              <w:right w:val="nil"/>
            </w:tcBorders>
            <w:shd w:val="clear" w:color="auto" w:fill="auto"/>
            <w:noWrap/>
            <w:vAlign w:val="bottom"/>
            <w:hideMark/>
          </w:tcPr>
          <w:p w14:paraId="066F9252" w14:textId="77777777" w:rsidR="00202839" w:rsidRPr="00202839" w:rsidRDefault="00202839" w:rsidP="0077355F">
            <w:pPr>
              <w:ind w:right="170"/>
              <w:jc w:val="right"/>
              <w:rPr>
                <w:rFonts w:cs="Arial"/>
                <w:color w:val="000000"/>
                <w:sz w:val="16"/>
                <w:szCs w:val="16"/>
                <w:lang w:eastAsia="en-AU"/>
              </w:rPr>
            </w:pPr>
          </w:p>
        </w:tc>
        <w:tc>
          <w:tcPr>
            <w:tcW w:w="1191" w:type="dxa"/>
            <w:tcBorders>
              <w:top w:val="nil"/>
              <w:left w:val="nil"/>
              <w:bottom w:val="nil"/>
              <w:right w:val="nil"/>
            </w:tcBorders>
            <w:shd w:val="clear" w:color="auto" w:fill="auto"/>
            <w:noWrap/>
            <w:vAlign w:val="bottom"/>
            <w:hideMark/>
          </w:tcPr>
          <w:p w14:paraId="014D186D" w14:textId="77777777" w:rsidR="00202839" w:rsidRPr="00EC409E" w:rsidRDefault="00202839" w:rsidP="0077355F">
            <w:pPr>
              <w:ind w:right="170"/>
              <w:jc w:val="right"/>
              <w:rPr>
                <w:lang w:eastAsia="en-AU"/>
              </w:rPr>
            </w:pPr>
          </w:p>
        </w:tc>
      </w:tr>
      <w:tr w:rsidR="00202839" w:rsidRPr="00202839" w14:paraId="2F83FF84" w14:textId="77777777" w:rsidTr="0077355F">
        <w:trPr>
          <w:trHeight w:val="204"/>
        </w:trPr>
        <w:tc>
          <w:tcPr>
            <w:tcW w:w="6537" w:type="dxa"/>
            <w:tcBorders>
              <w:top w:val="nil"/>
              <w:left w:val="nil"/>
              <w:bottom w:val="nil"/>
              <w:right w:val="nil"/>
            </w:tcBorders>
            <w:shd w:val="clear" w:color="auto" w:fill="auto"/>
            <w:vAlign w:val="bottom"/>
            <w:hideMark/>
          </w:tcPr>
          <w:p w14:paraId="1E652E3B" w14:textId="77777777" w:rsidR="00202839" w:rsidRPr="00202839" w:rsidRDefault="00202839" w:rsidP="00202839">
            <w:pPr>
              <w:ind w:firstLineChars="300" w:firstLine="480"/>
              <w:rPr>
                <w:rFonts w:cs="Arial"/>
                <w:color w:val="000000"/>
                <w:sz w:val="16"/>
                <w:szCs w:val="16"/>
                <w:lang w:eastAsia="en-AU"/>
              </w:rPr>
            </w:pPr>
            <w:r w:rsidRPr="00202839">
              <w:rPr>
                <w:rFonts w:cs="Arial"/>
                <w:color w:val="000000"/>
                <w:sz w:val="16"/>
                <w:szCs w:val="16"/>
                <w:lang w:eastAsia="en-AU"/>
              </w:rPr>
              <w:t>Average</w:t>
            </w:r>
          </w:p>
        </w:tc>
        <w:tc>
          <w:tcPr>
            <w:tcW w:w="736" w:type="dxa"/>
            <w:tcBorders>
              <w:top w:val="nil"/>
              <w:left w:val="nil"/>
              <w:bottom w:val="nil"/>
              <w:right w:val="nil"/>
            </w:tcBorders>
            <w:shd w:val="clear" w:color="auto" w:fill="auto"/>
            <w:noWrap/>
            <w:vAlign w:val="bottom"/>
            <w:hideMark/>
          </w:tcPr>
          <w:p w14:paraId="2AAB49DC" w14:textId="77777777" w:rsidR="00202839" w:rsidRPr="00202839" w:rsidRDefault="00202839" w:rsidP="00815855">
            <w:pPr>
              <w:ind w:firstLineChars="300" w:firstLine="480"/>
              <w:jc w:val="center"/>
              <w:rPr>
                <w:rFonts w:cs="Arial"/>
                <w:color w:val="000000"/>
                <w:sz w:val="16"/>
                <w:szCs w:val="16"/>
                <w:lang w:eastAsia="en-AU"/>
              </w:rPr>
            </w:pPr>
          </w:p>
        </w:tc>
        <w:tc>
          <w:tcPr>
            <w:tcW w:w="1191" w:type="dxa"/>
            <w:tcBorders>
              <w:top w:val="nil"/>
              <w:left w:val="nil"/>
              <w:bottom w:val="nil"/>
              <w:right w:val="nil"/>
            </w:tcBorders>
            <w:shd w:val="clear" w:color="auto" w:fill="auto"/>
            <w:noWrap/>
            <w:vAlign w:val="bottom"/>
            <w:hideMark/>
          </w:tcPr>
          <w:p w14:paraId="083D4EDC" w14:textId="77777777" w:rsidR="00202839" w:rsidRPr="00202839" w:rsidRDefault="00202839" w:rsidP="0077355F">
            <w:pPr>
              <w:ind w:right="170"/>
              <w:jc w:val="right"/>
              <w:rPr>
                <w:rFonts w:cs="Arial"/>
                <w:color w:val="000000"/>
                <w:sz w:val="16"/>
                <w:szCs w:val="16"/>
                <w:lang w:eastAsia="en-AU"/>
              </w:rPr>
            </w:pPr>
            <w:r w:rsidRPr="00202839">
              <w:rPr>
                <w:rFonts w:cs="Arial"/>
                <w:color w:val="000000"/>
                <w:sz w:val="16"/>
                <w:szCs w:val="16"/>
                <w:lang w:eastAsia="en-AU"/>
              </w:rPr>
              <w:t xml:space="preserve">77.4 </w:t>
            </w:r>
          </w:p>
        </w:tc>
        <w:tc>
          <w:tcPr>
            <w:tcW w:w="1191" w:type="dxa"/>
            <w:tcBorders>
              <w:top w:val="nil"/>
              <w:left w:val="nil"/>
              <w:bottom w:val="nil"/>
              <w:right w:val="nil"/>
            </w:tcBorders>
            <w:shd w:val="clear" w:color="auto" w:fill="auto"/>
            <w:noWrap/>
            <w:vAlign w:val="bottom"/>
            <w:hideMark/>
          </w:tcPr>
          <w:p w14:paraId="33070628" w14:textId="77777777" w:rsidR="00202839" w:rsidRPr="00EC409E" w:rsidRDefault="00202839" w:rsidP="0077355F">
            <w:pPr>
              <w:ind w:right="170"/>
              <w:jc w:val="right"/>
              <w:rPr>
                <w:rFonts w:cs="Arial"/>
                <w:color w:val="000000"/>
                <w:sz w:val="16"/>
                <w:szCs w:val="16"/>
                <w:lang w:eastAsia="en-AU"/>
              </w:rPr>
            </w:pPr>
            <w:r w:rsidRPr="00EC409E">
              <w:rPr>
                <w:rFonts w:cs="Arial"/>
                <w:color w:val="000000"/>
                <w:sz w:val="16"/>
                <w:szCs w:val="16"/>
                <w:lang w:eastAsia="en-AU"/>
              </w:rPr>
              <w:t xml:space="preserve">78.7 </w:t>
            </w:r>
          </w:p>
        </w:tc>
      </w:tr>
      <w:tr w:rsidR="00202839" w:rsidRPr="00202839" w14:paraId="196BE9F6" w14:textId="77777777" w:rsidTr="0077355F">
        <w:trPr>
          <w:trHeight w:val="204"/>
        </w:trPr>
        <w:tc>
          <w:tcPr>
            <w:tcW w:w="6537" w:type="dxa"/>
            <w:tcBorders>
              <w:top w:val="nil"/>
              <w:left w:val="nil"/>
              <w:bottom w:val="nil"/>
              <w:right w:val="nil"/>
            </w:tcBorders>
            <w:shd w:val="clear" w:color="auto" w:fill="auto"/>
            <w:vAlign w:val="bottom"/>
            <w:hideMark/>
          </w:tcPr>
          <w:p w14:paraId="75EE3804" w14:textId="77777777" w:rsidR="00202839" w:rsidRPr="00202839" w:rsidRDefault="00202839" w:rsidP="00202839">
            <w:pPr>
              <w:ind w:firstLineChars="300" w:firstLine="480"/>
              <w:rPr>
                <w:rFonts w:cs="Arial"/>
                <w:color w:val="000000"/>
                <w:sz w:val="16"/>
                <w:szCs w:val="16"/>
                <w:lang w:eastAsia="en-AU"/>
              </w:rPr>
            </w:pPr>
            <w:r w:rsidRPr="00202839">
              <w:rPr>
                <w:rFonts w:cs="Arial"/>
                <w:color w:val="000000"/>
                <w:sz w:val="16"/>
                <w:szCs w:val="16"/>
                <w:lang w:eastAsia="en-AU"/>
              </w:rPr>
              <w:t>Employers using Nationally Recognised Training (NRT)</w:t>
            </w:r>
          </w:p>
        </w:tc>
        <w:tc>
          <w:tcPr>
            <w:tcW w:w="736" w:type="dxa"/>
            <w:tcBorders>
              <w:top w:val="nil"/>
              <w:left w:val="nil"/>
              <w:bottom w:val="nil"/>
              <w:right w:val="nil"/>
            </w:tcBorders>
            <w:shd w:val="clear" w:color="auto" w:fill="auto"/>
            <w:noWrap/>
            <w:vAlign w:val="bottom"/>
            <w:hideMark/>
          </w:tcPr>
          <w:p w14:paraId="4EE7D778" w14:textId="77777777" w:rsidR="00202839" w:rsidRPr="00202839" w:rsidRDefault="00202839" w:rsidP="00815855">
            <w:pPr>
              <w:ind w:firstLineChars="300" w:firstLine="480"/>
              <w:jc w:val="center"/>
              <w:rPr>
                <w:rFonts w:cs="Arial"/>
                <w:color w:val="000000"/>
                <w:sz w:val="16"/>
                <w:szCs w:val="16"/>
                <w:lang w:eastAsia="en-AU"/>
              </w:rPr>
            </w:pPr>
          </w:p>
        </w:tc>
        <w:tc>
          <w:tcPr>
            <w:tcW w:w="1191" w:type="dxa"/>
            <w:tcBorders>
              <w:top w:val="nil"/>
              <w:left w:val="nil"/>
              <w:bottom w:val="nil"/>
              <w:right w:val="nil"/>
            </w:tcBorders>
            <w:shd w:val="clear" w:color="auto" w:fill="auto"/>
            <w:noWrap/>
            <w:vAlign w:val="bottom"/>
            <w:hideMark/>
          </w:tcPr>
          <w:p w14:paraId="2F41E8F1" w14:textId="77777777" w:rsidR="00202839" w:rsidRPr="00202839" w:rsidRDefault="00202839" w:rsidP="0077355F">
            <w:pPr>
              <w:ind w:right="170"/>
              <w:jc w:val="right"/>
              <w:rPr>
                <w:rFonts w:cs="Arial"/>
                <w:color w:val="000000"/>
                <w:sz w:val="16"/>
                <w:szCs w:val="16"/>
                <w:lang w:eastAsia="en-AU"/>
              </w:rPr>
            </w:pPr>
            <w:r w:rsidRPr="00202839">
              <w:rPr>
                <w:rFonts w:cs="Arial"/>
                <w:color w:val="000000"/>
                <w:sz w:val="16"/>
                <w:szCs w:val="16"/>
                <w:lang w:eastAsia="en-AU"/>
              </w:rPr>
              <w:t xml:space="preserve">79.1 </w:t>
            </w:r>
          </w:p>
        </w:tc>
        <w:tc>
          <w:tcPr>
            <w:tcW w:w="1191" w:type="dxa"/>
            <w:tcBorders>
              <w:top w:val="nil"/>
              <w:left w:val="nil"/>
              <w:bottom w:val="nil"/>
              <w:right w:val="nil"/>
            </w:tcBorders>
            <w:shd w:val="clear" w:color="auto" w:fill="auto"/>
            <w:noWrap/>
            <w:vAlign w:val="bottom"/>
            <w:hideMark/>
          </w:tcPr>
          <w:p w14:paraId="0E9230EF" w14:textId="77777777" w:rsidR="00202839" w:rsidRPr="00EC409E" w:rsidRDefault="00202839" w:rsidP="0077355F">
            <w:pPr>
              <w:ind w:right="170"/>
              <w:jc w:val="right"/>
              <w:rPr>
                <w:rFonts w:cs="Arial"/>
                <w:color w:val="000000"/>
                <w:sz w:val="16"/>
                <w:szCs w:val="16"/>
                <w:lang w:eastAsia="en-AU"/>
              </w:rPr>
            </w:pPr>
            <w:r w:rsidRPr="00EC409E">
              <w:rPr>
                <w:rFonts w:cs="Arial"/>
                <w:color w:val="000000"/>
                <w:sz w:val="16"/>
                <w:szCs w:val="16"/>
                <w:lang w:eastAsia="en-AU"/>
              </w:rPr>
              <w:t xml:space="preserve">81.2 </w:t>
            </w:r>
          </w:p>
        </w:tc>
      </w:tr>
      <w:tr w:rsidR="00202839" w:rsidRPr="00202839" w14:paraId="3FEB9B34" w14:textId="77777777" w:rsidTr="0077355F">
        <w:trPr>
          <w:trHeight w:val="204"/>
        </w:trPr>
        <w:tc>
          <w:tcPr>
            <w:tcW w:w="6537" w:type="dxa"/>
            <w:tcBorders>
              <w:top w:val="nil"/>
              <w:left w:val="nil"/>
              <w:bottom w:val="nil"/>
              <w:right w:val="nil"/>
            </w:tcBorders>
            <w:shd w:val="clear" w:color="auto" w:fill="auto"/>
            <w:vAlign w:val="bottom"/>
            <w:hideMark/>
          </w:tcPr>
          <w:p w14:paraId="5BFB517D" w14:textId="77777777" w:rsidR="00202839" w:rsidRPr="00202839" w:rsidRDefault="00202839" w:rsidP="00202839">
            <w:pPr>
              <w:ind w:firstLineChars="300" w:firstLine="480"/>
              <w:rPr>
                <w:rFonts w:cs="Arial"/>
                <w:color w:val="000000"/>
                <w:sz w:val="16"/>
                <w:szCs w:val="16"/>
                <w:lang w:eastAsia="en-AU"/>
              </w:rPr>
            </w:pPr>
            <w:r w:rsidRPr="00202839">
              <w:rPr>
                <w:rFonts w:cs="Arial"/>
                <w:color w:val="000000"/>
                <w:sz w:val="16"/>
                <w:szCs w:val="16"/>
                <w:lang w:eastAsia="en-AU"/>
              </w:rPr>
              <w:t>Employers VET job requirement</w:t>
            </w:r>
          </w:p>
        </w:tc>
        <w:tc>
          <w:tcPr>
            <w:tcW w:w="736" w:type="dxa"/>
            <w:tcBorders>
              <w:top w:val="nil"/>
              <w:left w:val="nil"/>
              <w:bottom w:val="nil"/>
              <w:right w:val="nil"/>
            </w:tcBorders>
            <w:shd w:val="clear" w:color="auto" w:fill="auto"/>
            <w:noWrap/>
            <w:vAlign w:val="bottom"/>
            <w:hideMark/>
          </w:tcPr>
          <w:p w14:paraId="5372216B" w14:textId="77777777" w:rsidR="00202839" w:rsidRPr="00202839" w:rsidRDefault="00202839" w:rsidP="00815855">
            <w:pPr>
              <w:ind w:firstLineChars="300" w:firstLine="480"/>
              <w:jc w:val="center"/>
              <w:rPr>
                <w:rFonts w:cs="Arial"/>
                <w:color w:val="000000"/>
                <w:sz w:val="16"/>
                <w:szCs w:val="16"/>
                <w:lang w:eastAsia="en-AU"/>
              </w:rPr>
            </w:pPr>
          </w:p>
        </w:tc>
        <w:tc>
          <w:tcPr>
            <w:tcW w:w="1191" w:type="dxa"/>
            <w:tcBorders>
              <w:top w:val="nil"/>
              <w:left w:val="nil"/>
              <w:bottom w:val="nil"/>
              <w:right w:val="nil"/>
            </w:tcBorders>
            <w:shd w:val="clear" w:color="auto" w:fill="auto"/>
            <w:noWrap/>
            <w:vAlign w:val="bottom"/>
            <w:hideMark/>
          </w:tcPr>
          <w:p w14:paraId="5C78ED1F" w14:textId="77777777" w:rsidR="00202839" w:rsidRPr="00202839" w:rsidRDefault="00202839" w:rsidP="0077355F">
            <w:pPr>
              <w:ind w:right="170"/>
              <w:jc w:val="right"/>
              <w:rPr>
                <w:rFonts w:cs="Arial"/>
                <w:color w:val="000000"/>
                <w:sz w:val="16"/>
                <w:szCs w:val="16"/>
                <w:lang w:eastAsia="en-AU"/>
              </w:rPr>
            </w:pPr>
            <w:r w:rsidRPr="00202839">
              <w:rPr>
                <w:rFonts w:cs="Arial"/>
                <w:color w:val="000000"/>
                <w:sz w:val="16"/>
                <w:szCs w:val="16"/>
                <w:lang w:eastAsia="en-AU"/>
              </w:rPr>
              <w:t xml:space="preserve">74.5 </w:t>
            </w:r>
          </w:p>
        </w:tc>
        <w:tc>
          <w:tcPr>
            <w:tcW w:w="1191" w:type="dxa"/>
            <w:tcBorders>
              <w:top w:val="nil"/>
              <w:left w:val="nil"/>
              <w:bottom w:val="nil"/>
              <w:right w:val="nil"/>
            </w:tcBorders>
            <w:shd w:val="clear" w:color="auto" w:fill="auto"/>
            <w:noWrap/>
            <w:vAlign w:val="bottom"/>
            <w:hideMark/>
          </w:tcPr>
          <w:p w14:paraId="262DA3A4" w14:textId="77777777" w:rsidR="00202839" w:rsidRPr="00EC409E" w:rsidRDefault="00202839" w:rsidP="0077355F">
            <w:pPr>
              <w:ind w:right="170"/>
              <w:jc w:val="right"/>
              <w:rPr>
                <w:rFonts w:cs="Arial"/>
                <w:color w:val="000000"/>
                <w:sz w:val="16"/>
                <w:szCs w:val="16"/>
                <w:lang w:eastAsia="en-AU"/>
              </w:rPr>
            </w:pPr>
            <w:r w:rsidRPr="00EC409E">
              <w:rPr>
                <w:rFonts w:cs="Arial"/>
                <w:color w:val="000000"/>
                <w:sz w:val="16"/>
                <w:szCs w:val="16"/>
                <w:lang w:eastAsia="en-AU"/>
              </w:rPr>
              <w:t xml:space="preserve">75.0 </w:t>
            </w:r>
          </w:p>
        </w:tc>
      </w:tr>
      <w:tr w:rsidR="00202839" w:rsidRPr="00202839" w14:paraId="39D99A92" w14:textId="77777777" w:rsidTr="0077355F">
        <w:trPr>
          <w:trHeight w:val="204"/>
        </w:trPr>
        <w:tc>
          <w:tcPr>
            <w:tcW w:w="6537" w:type="dxa"/>
            <w:tcBorders>
              <w:top w:val="nil"/>
              <w:left w:val="nil"/>
              <w:bottom w:val="nil"/>
              <w:right w:val="nil"/>
            </w:tcBorders>
            <w:shd w:val="clear" w:color="auto" w:fill="auto"/>
            <w:vAlign w:val="bottom"/>
            <w:hideMark/>
          </w:tcPr>
          <w:p w14:paraId="4CADDE73" w14:textId="77777777" w:rsidR="00202839" w:rsidRPr="00202839" w:rsidRDefault="00202839" w:rsidP="00202839">
            <w:pPr>
              <w:ind w:firstLineChars="300" w:firstLine="480"/>
              <w:rPr>
                <w:rFonts w:cs="Arial"/>
                <w:color w:val="000000"/>
                <w:sz w:val="16"/>
                <w:szCs w:val="16"/>
                <w:lang w:eastAsia="en-AU"/>
              </w:rPr>
            </w:pPr>
            <w:r w:rsidRPr="00202839">
              <w:rPr>
                <w:rFonts w:cs="Arial"/>
                <w:color w:val="000000"/>
                <w:sz w:val="16"/>
                <w:szCs w:val="16"/>
                <w:lang w:eastAsia="en-AU"/>
              </w:rPr>
              <w:t>Employers with apprentices and trainees</w:t>
            </w:r>
          </w:p>
        </w:tc>
        <w:tc>
          <w:tcPr>
            <w:tcW w:w="736" w:type="dxa"/>
            <w:tcBorders>
              <w:top w:val="nil"/>
              <w:left w:val="nil"/>
              <w:bottom w:val="nil"/>
              <w:right w:val="nil"/>
            </w:tcBorders>
            <w:shd w:val="clear" w:color="auto" w:fill="auto"/>
            <w:noWrap/>
            <w:vAlign w:val="bottom"/>
            <w:hideMark/>
          </w:tcPr>
          <w:p w14:paraId="453BC356" w14:textId="77777777" w:rsidR="00202839" w:rsidRPr="00202839" w:rsidRDefault="00202839" w:rsidP="00815855">
            <w:pPr>
              <w:ind w:firstLineChars="300" w:firstLine="480"/>
              <w:jc w:val="center"/>
              <w:rPr>
                <w:rFonts w:cs="Arial"/>
                <w:color w:val="000000"/>
                <w:sz w:val="16"/>
                <w:szCs w:val="16"/>
                <w:lang w:eastAsia="en-AU"/>
              </w:rPr>
            </w:pPr>
          </w:p>
        </w:tc>
        <w:tc>
          <w:tcPr>
            <w:tcW w:w="1191" w:type="dxa"/>
            <w:tcBorders>
              <w:top w:val="nil"/>
              <w:left w:val="nil"/>
              <w:bottom w:val="nil"/>
              <w:right w:val="nil"/>
            </w:tcBorders>
            <w:shd w:val="clear" w:color="auto" w:fill="auto"/>
            <w:noWrap/>
            <w:vAlign w:val="bottom"/>
            <w:hideMark/>
          </w:tcPr>
          <w:p w14:paraId="20C180C0" w14:textId="77777777" w:rsidR="00202839" w:rsidRPr="00202839" w:rsidRDefault="00202839" w:rsidP="0077355F">
            <w:pPr>
              <w:ind w:right="170"/>
              <w:jc w:val="right"/>
              <w:rPr>
                <w:rFonts w:cs="Arial"/>
                <w:color w:val="000000"/>
                <w:sz w:val="16"/>
                <w:szCs w:val="16"/>
                <w:lang w:eastAsia="en-AU"/>
              </w:rPr>
            </w:pPr>
            <w:r w:rsidRPr="00202839">
              <w:rPr>
                <w:rFonts w:cs="Arial"/>
                <w:color w:val="000000"/>
                <w:sz w:val="16"/>
                <w:szCs w:val="16"/>
                <w:lang w:eastAsia="en-AU"/>
              </w:rPr>
              <w:t xml:space="preserve">78.6 </w:t>
            </w:r>
          </w:p>
        </w:tc>
        <w:tc>
          <w:tcPr>
            <w:tcW w:w="1191" w:type="dxa"/>
            <w:tcBorders>
              <w:top w:val="nil"/>
              <w:left w:val="nil"/>
              <w:bottom w:val="nil"/>
              <w:right w:val="nil"/>
            </w:tcBorders>
            <w:shd w:val="clear" w:color="auto" w:fill="auto"/>
            <w:noWrap/>
            <w:vAlign w:val="bottom"/>
            <w:hideMark/>
          </w:tcPr>
          <w:p w14:paraId="3A751CAB" w14:textId="77777777" w:rsidR="00202839" w:rsidRPr="00EC409E" w:rsidRDefault="00202839" w:rsidP="0077355F">
            <w:pPr>
              <w:ind w:right="170"/>
              <w:jc w:val="right"/>
              <w:rPr>
                <w:rFonts w:cs="Arial"/>
                <w:color w:val="000000"/>
                <w:sz w:val="16"/>
                <w:szCs w:val="16"/>
                <w:lang w:eastAsia="en-AU"/>
              </w:rPr>
            </w:pPr>
            <w:r w:rsidRPr="00EC409E">
              <w:rPr>
                <w:rFonts w:cs="Arial"/>
                <w:color w:val="000000"/>
                <w:sz w:val="16"/>
                <w:szCs w:val="16"/>
                <w:lang w:eastAsia="en-AU"/>
              </w:rPr>
              <w:t xml:space="preserve">79.7 </w:t>
            </w:r>
          </w:p>
        </w:tc>
      </w:tr>
      <w:tr w:rsidR="00202839" w:rsidRPr="00202839" w14:paraId="767DF1DB" w14:textId="77777777" w:rsidTr="0077355F">
        <w:trPr>
          <w:trHeight w:val="227"/>
        </w:trPr>
        <w:tc>
          <w:tcPr>
            <w:tcW w:w="6537" w:type="dxa"/>
            <w:tcBorders>
              <w:top w:val="nil"/>
              <w:left w:val="nil"/>
              <w:bottom w:val="nil"/>
              <w:right w:val="nil"/>
            </w:tcBorders>
            <w:shd w:val="clear" w:color="auto" w:fill="auto"/>
            <w:vAlign w:val="bottom"/>
            <w:hideMark/>
          </w:tcPr>
          <w:p w14:paraId="6C0BB3B2" w14:textId="77777777" w:rsidR="00202839" w:rsidRPr="00202839" w:rsidRDefault="00202839" w:rsidP="00FC4E65">
            <w:pPr>
              <w:rPr>
                <w:rFonts w:cs="Arial"/>
                <w:color w:val="000000"/>
                <w:sz w:val="16"/>
                <w:szCs w:val="16"/>
                <w:lang w:eastAsia="en-AU"/>
              </w:rPr>
            </w:pPr>
            <w:r w:rsidRPr="00202839">
              <w:rPr>
                <w:rFonts w:cs="Arial"/>
                <w:color w:val="000000"/>
                <w:sz w:val="16"/>
                <w:szCs w:val="16"/>
                <w:lang w:eastAsia="en-AU"/>
              </w:rPr>
              <w:t>Proportion of NSW government funded VET graduates who are employed after training</w:t>
            </w:r>
            <w:r w:rsidRPr="00202839">
              <w:rPr>
                <w:rFonts w:cs="Arial"/>
                <w:color w:val="000000"/>
                <w:sz w:val="16"/>
                <w:szCs w:val="16"/>
                <w:vertAlign w:val="superscript"/>
                <w:lang w:eastAsia="en-AU"/>
              </w:rPr>
              <w:t>(b)</w:t>
            </w:r>
          </w:p>
        </w:tc>
        <w:tc>
          <w:tcPr>
            <w:tcW w:w="736" w:type="dxa"/>
            <w:tcBorders>
              <w:top w:val="nil"/>
              <w:left w:val="nil"/>
              <w:bottom w:val="nil"/>
              <w:right w:val="nil"/>
            </w:tcBorders>
            <w:shd w:val="clear" w:color="auto" w:fill="auto"/>
            <w:noWrap/>
            <w:vAlign w:val="bottom"/>
            <w:hideMark/>
          </w:tcPr>
          <w:p w14:paraId="17F999A5" w14:textId="77777777" w:rsidR="00202839" w:rsidRPr="00202839" w:rsidRDefault="00202839" w:rsidP="00202839">
            <w:pPr>
              <w:jc w:val="center"/>
              <w:rPr>
                <w:rFonts w:cs="Arial"/>
                <w:color w:val="000000"/>
                <w:sz w:val="16"/>
                <w:szCs w:val="16"/>
                <w:lang w:eastAsia="en-AU"/>
              </w:rPr>
            </w:pPr>
            <w:r w:rsidRPr="00202839">
              <w:rPr>
                <w:rFonts w:cs="Arial"/>
                <w:color w:val="000000"/>
                <w:sz w:val="16"/>
                <w:szCs w:val="16"/>
                <w:lang w:eastAsia="en-AU"/>
              </w:rPr>
              <w:t>%</w:t>
            </w:r>
          </w:p>
        </w:tc>
        <w:tc>
          <w:tcPr>
            <w:tcW w:w="1191" w:type="dxa"/>
            <w:tcBorders>
              <w:top w:val="nil"/>
              <w:left w:val="nil"/>
              <w:bottom w:val="nil"/>
              <w:right w:val="nil"/>
            </w:tcBorders>
            <w:shd w:val="clear" w:color="auto" w:fill="auto"/>
            <w:noWrap/>
            <w:vAlign w:val="bottom"/>
            <w:hideMark/>
          </w:tcPr>
          <w:p w14:paraId="5D880AA8" w14:textId="77777777" w:rsidR="00202839" w:rsidRPr="00202839" w:rsidRDefault="00202839" w:rsidP="0077355F">
            <w:pPr>
              <w:ind w:right="170"/>
              <w:jc w:val="right"/>
              <w:rPr>
                <w:rFonts w:cs="Arial"/>
                <w:color w:val="000000"/>
                <w:sz w:val="16"/>
                <w:szCs w:val="16"/>
                <w:lang w:eastAsia="en-AU"/>
              </w:rPr>
            </w:pPr>
            <w:r w:rsidRPr="00202839">
              <w:rPr>
                <w:rFonts w:cs="Arial"/>
                <w:color w:val="000000"/>
                <w:sz w:val="16"/>
                <w:szCs w:val="16"/>
                <w:lang w:eastAsia="en-AU"/>
              </w:rPr>
              <w:t xml:space="preserve">70.0 </w:t>
            </w:r>
          </w:p>
        </w:tc>
        <w:tc>
          <w:tcPr>
            <w:tcW w:w="1191" w:type="dxa"/>
            <w:tcBorders>
              <w:top w:val="nil"/>
              <w:left w:val="nil"/>
              <w:bottom w:val="nil"/>
              <w:right w:val="nil"/>
            </w:tcBorders>
            <w:shd w:val="clear" w:color="auto" w:fill="auto"/>
            <w:noWrap/>
            <w:vAlign w:val="bottom"/>
            <w:hideMark/>
          </w:tcPr>
          <w:p w14:paraId="470DC651" w14:textId="77777777" w:rsidR="00202839" w:rsidRPr="00EC409E" w:rsidRDefault="00202839" w:rsidP="0077355F">
            <w:pPr>
              <w:ind w:right="170"/>
              <w:jc w:val="right"/>
              <w:rPr>
                <w:rFonts w:cs="Arial"/>
                <w:color w:val="000000"/>
                <w:sz w:val="16"/>
                <w:szCs w:val="16"/>
                <w:lang w:eastAsia="en-AU"/>
              </w:rPr>
            </w:pPr>
            <w:r w:rsidRPr="00EC409E">
              <w:rPr>
                <w:rFonts w:cs="Arial"/>
                <w:color w:val="000000"/>
                <w:sz w:val="16"/>
                <w:szCs w:val="16"/>
                <w:lang w:eastAsia="en-AU"/>
              </w:rPr>
              <w:t xml:space="preserve">72.4 </w:t>
            </w:r>
          </w:p>
        </w:tc>
      </w:tr>
      <w:tr w:rsidR="00202839" w:rsidRPr="00202839" w14:paraId="1EAC5322" w14:textId="77777777" w:rsidTr="0077355F">
        <w:trPr>
          <w:trHeight w:val="228"/>
        </w:trPr>
        <w:tc>
          <w:tcPr>
            <w:tcW w:w="6537" w:type="dxa"/>
            <w:tcBorders>
              <w:top w:val="nil"/>
              <w:left w:val="nil"/>
              <w:bottom w:val="nil"/>
              <w:right w:val="nil"/>
            </w:tcBorders>
            <w:shd w:val="clear" w:color="auto" w:fill="auto"/>
            <w:vAlign w:val="bottom"/>
            <w:hideMark/>
          </w:tcPr>
          <w:p w14:paraId="58B455FE" w14:textId="77777777" w:rsidR="00202839" w:rsidRPr="00202839" w:rsidRDefault="00202839" w:rsidP="00FC4E65">
            <w:pPr>
              <w:rPr>
                <w:rFonts w:cs="Arial"/>
                <w:color w:val="000000"/>
                <w:sz w:val="16"/>
                <w:szCs w:val="16"/>
                <w:lang w:eastAsia="en-AU"/>
              </w:rPr>
            </w:pPr>
            <w:r w:rsidRPr="00202839">
              <w:rPr>
                <w:rFonts w:cs="Arial"/>
                <w:color w:val="000000"/>
                <w:sz w:val="16"/>
                <w:szCs w:val="16"/>
                <w:lang w:eastAsia="en-AU"/>
              </w:rPr>
              <w:t>Proportion of NSW working age population with qualifications at or above Cert III</w:t>
            </w:r>
            <w:r w:rsidRPr="00202839">
              <w:rPr>
                <w:rFonts w:cs="Arial"/>
                <w:color w:val="000000"/>
                <w:sz w:val="16"/>
                <w:szCs w:val="16"/>
                <w:vertAlign w:val="superscript"/>
                <w:lang w:eastAsia="en-AU"/>
              </w:rPr>
              <w:t>(c)</w:t>
            </w:r>
          </w:p>
        </w:tc>
        <w:tc>
          <w:tcPr>
            <w:tcW w:w="736" w:type="dxa"/>
            <w:tcBorders>
              <w:top w:val="nil"/>
              <w:left w:val="nil"/>
              <w:bottom w:val="nil"/>
              <w:right w:val="nil"/>
            </w:tcBorders>
            <w:shd w:val="clear" w:color="auto" w:fill="auto"/>
            <w:noWrap/>
            <w:vAlign w:val="bottom"/>
            <w:hideMark/>
          </w:tcPr>
          <w:p w14:paraId="1953DFCC" w14:textId="77777777" w:rsidR="00202839" w:rsidRPr="00202839" w:rsidRDefault="00202839" w:rsidP="00202839">
            <w:pPr>
              <w:jc w:val="center"/>
              <w:rPr>
                <w:rFonts w:cs="Arial"/>
                <w:color w:val="000000"/>
                <w:sz w:val="16"/>
                <w:szCs w:val="16"/>
                <w:lang w:eastAsia="en-AU"/>
              </w:rPr>
            </w:pPr>
            <w:r w:rsidRPr="00202839">
              <w:rPr>
                <w:rFonts w:cs="Arial"/>
                <w:color w:val="000000"/>
                <w:sz w:val="16"/>
                <w:szCs w:val="16"/>
                <w:lang w:eastAsia="en-AU"/>
              </w:rPr>
              <w:t>%</w:t>
            </w:r>
          </w:p>
        </w:tc>
        <w:tc>
          <w:tcPr>
            <w:tcW w:w="1191" w:type="dxa"/>
            <w:tcBorders>
              <w:top w:val="nil"/>
              <w:left w:val="nil"/>
              <w:bottom w:val="nil"/>
              <w:right w:val="nil"/>
            </w:tcBorders>
            <w:shd w:val="clear" w:color="auto" w:fill="auto"/>
            <w:noWrap/>
            <w:vAlign w:val="bottom"/>
            <w:hideMark/>
          </w:tcPr>
          <w:p w14:paraId="41BD4583" w14:textId="77777777" w:rsidR="00202839" w:rsidRPr="00202839" w:rsidRDefault="00202839" w:rsidP="0077355F">
            <w:pPr>
              <w:ind w:right="170"/>
              <w:jc w:val="right"/>
              <w:rPr>
                <w:rFonts w:cs="Arial"/>
                <w:color w:val="000000"/>
                <w:sz w:val="16"/>
                <w:szCs w:val="16"/>
                <w:lang w:eastAsia="en-AU"/>
              </w:rPr>
            </w:pPr>
            <w:r w:rsidRPr="00202839">
              <w:rPr>
                <w:rFonts w:cs="Arial"/>
                <w:color w:val="000000"/>
                <w:sz w:val="16"/>
                <w:szCs w:val="16"/>
                <w:lang w:eastAsia="en-AU"/>
              </w:rPr>
              <w:t xml:space="preserve">64.0 </w:t>
            </w:r>
          </w:p>
        </w:tc>
        <w:tc>
          <w:tcPr>
            <w:tcW w:w="1191" w:type="dxa"/>
            <w:tcBorders>
              <w:top w:val="nil"/>
              <w:left w:val="nil"/>
              <w:bottom w:val="nil"/>
              <w:right w:val="nil"/>
            </w:tcBorders>
            <w:shd w:val="clear" w:color="auto" w:fill="auto"/>
            <w:noWrap/>
            <w:vAlign w:val="bottom"/>
            <w:hideMark/>
          </w:tcPr>
          <w:p w14:paraId="15209978" w14:textId="77777777" w:rsidR="00202839" w:rsidRPr="00EC409E" w:rsidRDefault="00202839" w:rsidP="0077355F">
            <w:pPr>
              <w:ind w:right="170"/>
              <w:jc w:val="right"/>
              <w:rPr>
                <w:rFonts w:cs="Arial"/>
                <w:color w:val="000000"/>
                <w:sz w:val="16"/>
                <w:szCs w:val="16"/>
                <w:lang w:eastAsia="en-AU"/>
              </w:rPr>
            </w:pPr>
            <w:r w:rsidRPr="00EC409E">
              <w:rPr>
                <w:rFonts w:cs="Arial"/>
                <w:color w:val="000000"/>
                <w:sz w:val="16"/>
                <w:szCs w:val="16"/>
                <w:lang w:eastAsia="en-AU"/>
              </w:rPr>
              <w:t xml:space="preserve">66.8 </w:t>
            </w:r>
          </w:p>
        </w:tc>
      </w:tr>
      <w:tr w:rsidR="00202839" w:rsidRPr="00202839" w14:paraId="735AB9DC" w14:textId="77777777" w:rsidTr="0077355F">
        <w:trPr>
          <w:trHeight w:val="227"/>
        </w:trPr>
        <w:tc>
          <w:tcPr>
            <w:tcW w:w="6537" w:type="dxa"/>
            <w:tcBorders>
              <w:top w:val="nil"/>
              <w:left w:val="nil"/>
              <w:bottom w:val="nil"/>
              <w:right w:val="nil"/>
            </w:tcBorders>
            <w:shd w:val="clear" w:color="auto" w:fill="auto"/>
            <w:vAlign w:val="bottom"/>
            <w:hideMark/>
          </w:tcPr>
          <w:p w14:paraId="53FDFE37" w14:textId="77777777" w:rsidR="00202839" w:rsidRPr="00202839" w:rsidRDefault="00202839" w:rsidP="00FC4E65">
            <w:pPr>
              <w:rPr>
                <w:rFonts w:cs="Arial"/>
                <w:color w:val="000000"/>
                <w:sz w:val="16"/>
                <w:szCs w:val="16"/>
                <w:lang w:eastAsia="en-AU"/>
              </w:rPr>
            </w:pPr>
            <w:r w:rsidRPr="00202839">
              <w:rPr>
                <w:rFonts w:cs="Arial"/>
                <w:color w:val="000000"/>
                <w:sz w:val="16"/>
                <w:szCs w:val="16"/>
                <w:lang w:eastAsia="en-AU"/>
              </w:rPr>
              <w:t>Proportion of young people in NSW who are in education, training and employment</w:t>
            </w:r>
            <w:r w:rsidRPr="00202839">
              <w:rPr>
                <w:rFonts w:cs="Arial"/>
                <w:color w:val="000000"/>
                <w:sz w:val="16"/>
                <w:szCs w:val="16"/>
                <w:vertAlign w:val="superscript"/>
                <w:lang w:eastAsia="en-AU"/>
              </w:rPr>
              <w:t>(d)</w:t>
            </w:r>
          </w:p>
        </w:tc>
        <w:tc>
          <w:tcPr>
            <w:tcW w:w="736" w:type="dxa"/>
            <w:tcBorders>
              <w:top w:val="nil"/>
              <w:left w:val="nil"/>
              <w:bottom w:val="nil"/>
              <w:right w:val="nil"/>
            </w:tcBorders>
            <w:shd w:val="clear" w:color="auto" w:fill="auto"/>
            <w:noWrap/>
            <w:vAlign w:val="bottom"/>
            <w:hideMark/>
          </w:tcPr>
          <w:p w14:paraId="520E6D07" w14:textId="77777777" w:rsidR="00202839" w:rsidRPr="00202839" w:rsidRDefault="00202839" w:rsidP="00202839">
            <w:pPr>
              <w:jc w:val="center"/>
              <w:rPr>
                <w:rFonts w:cs="Arial"/>
                <w:color w:val="000000"/>
                <w:sz w:val="16"/>
                <w:szCs w:val="16"/>
                <w:lang w:eastAsia="en-AU"/>
              </w:rPr>
            </w:pPr>
            <w:r w:rsidRPr="00202839">
              <w:rPr>
                <w:rFonts w:cs="Arial"/>
                <w:color w:val="000000"/>
                <w:sz w:val="16"/>
                <w:szCs w:val="16"/>
                <w:lang w:eastAsia="en-AU"/>
              </w:rPr>
              <w:t>%</w:t>
            </w:r>
          </w:p>
        </w:tc>
        <w:tc>
          <w:tcPr>
            <w:tcW w:w="1191" w:type="dxa"/>
            <w:tcBorders>
              <w:top w:val="nil"/>
              <w:left w:val="nil"/>
              <w:bottom w:val="nil"/>
              <w:right w:val="nil"/>
            </w:tcBorders>
            <w:shd w:val="clear" w:color="auto" w:fill="auto"/>
            <w:noWrap/>
            <w:vAlign w:val="bottom"/>
            <w:hideMark/>
          </w:tcPr>
          <w:p w14:paraId="0E7998B6" w14:textId="77777777" w:rsidR="00202839" w:rsidRPr="00202839" w:rsidRDefault="00202839" w:rsidP="0077355F">
            <w:pPr>
              <w:ind w:right="170"/>
              <w:jc w:val="right"/>
              <w:rPr>
                <w:rFonts w:cs="Arial"/>
                <w:color w:val="000000"/>
                <w:sz w:val="16"/>
                <w:szCs w:val="16"/>
                <w:lang w:eastAsia="en-AU"/>
              </w:rPr>
            </w:pPr>
          </w:p>
        </w:tc>
        <w:tc>
          <w:tcPr>
            <w:tcW w:w="1191" w:type="dxa"/>
            <w:tcBorders>
              <w:top w:val="nil"/>
              <w:left w:val="nil"/>
              <w:bottom w:val="nil"/>
              <w:right w:val="nil"/>
            </w:tcBorders>
            <w:shd w:val="clear" w:color="auto" w:fill="auto"/>
            <w:noWrap/>
            <w:vAlign w:val="bottom"/>
            <w:hideMark/>
          </w:tcPr>
          <w:p w14:paraId="69E4388F" w14:textId="77777777" w:rsidR="00202839" w:rsidRPr="00EC409E" w:rsidRDefault="00202839" w:rsidP="0077355F">
            <w:pPr>
              <w:ind w:right="170"/>
              <w:jc w:val="right"/>
              <w:rPr>
                <w:lang w:eastAsia="en-AU"/>
              </w:rPr>
            </w:pPr>
          </w:p>
        </w:tc>
      </w:tr>
      <w:tr w:rsidR="00202839" w:rsidRPr="00202839" w14:paraId="7AC838BF" w14:textId="77777777" w:rsidTr="0077355F">
        <w:trPr>
          <w:trHeight w:val="204"/>
        </w:trPr>
        <w:tc>
          <w:tcPr>
            <w:tcW w:w="6537" w:type="dxa"/>
            <w:tcBorders>
              <w:top w:val="nil"/>
              <w:left w:val="nil"/>
              <w:bottom w:val="nil"/>
              <w:right w:val="nil"/>
            </w:tcBorders>
            <w:shd w:val="clear" w:color="auto" w:fill="auto"/>
            <w:vAlign w:val="bottom"/>
            <w:hideMark/>
          </w:tcPr>
          <w:p w14:paraId="7A992D0C" w14:textId="77777777" w:rsidR="00202839" w:rsidRPr="00202839" w:rsidRDefault="00202839" w:rsidP="00202839">
            <w:pPr>
              <w:ind w:firstLineChars="300" w:firstLine="480"/>
              <w:rPr>
                <w:rFonts w:cs="Arial"/>
                <w:color w:val="000000"/>
                <w:sz w:val="16"/>
                <w:szCs w:val="16"/>
                <w:lang w:eastAsia="en-AU"/>
              </w:rPr>
            </w:pPr>
            <w:r w:rsidRPr="00202839">
              <w:rPr>
                <w:rFonts w:cs="Arial"/>
                <w:color w:val="000000"/>
                <w:sz w:val="16"/>
                <w:szCs w:val="16"/>
                <w:lang w:eastAsia="en-AU"/>
              </w:rPr>
              <w:t>15-19 years</w:t>
            </w:r>
          </w:p>
        </w:tc>
        <w:tc>
          <w:tcPr>
            <w:tcW w:w="736" w:type="dxa"/>
            <w:tcBorders>
              <w:top w:val="nil"/>
              <w:left w:val="nil"/>
              <w:bottom w:val="nil"/>
              <w:right w:val="nil"/>
            </w:tcBorders>
            <w:shd w:val="clear" w:color="auto" w:fill="auto"/>
            <w:noWrap/>
            <w:vAlign w:val="bottom"/>
            <w:hideMark/>
          </w:tcPr>
          <w:p w14:paraId="61621693" w14:textId="77777777" w:rsidR="00202839" w:rsidRPr="00202839" w:rsidRDefault="00202839" w:rsidP="00815855">
            <w:pPr>
              <w:ind w:firstLineChars="300" w:firstLine="480"/>
              <w:jc w:val="center"/>
              <w:rPr>
                <w:rFonts w:cs="Arial"/>
                <w:color w:val="000000"/>
                <w:sz w:val="16"/>
                <w:szCs w:val="16"/>
                <w:lang w:eastAsia="en-AU"/>
              </w:rPr>
            </w:pPr>
          </w:p>
        </w:tc>
        <w:tc>
          <w:tcPr>
            <w:tcW w:w="1191" w:type="dxa"/>
            <w:tcBorders>
              <w:top w:val="nil"/>
              <w:left w:val="nil"/>
              <w:bottom w:val="nil"/>
              <w:right w:val="nil"/>
            </w:tcBorders>
            <w:shd w:val="clear" w:color="auto" w:fill="auto"/>
            <w:noWrap/>
            <w:vAlign w:val="bottom"/>
            <w:hideMark/>
          </w:tcPr>
          <w:p w14:paraId="0B08F0EE" w14:textId="77777777" w:rsidR="00202839" w:rsidRPr="00202839" w:rsidRDefault="00202839" w:rsidP="0077355F">
            <w:pPr>
              <w:ind w:right="170"/>
              <w:jc w:val="right"/>
              <w:rPr>
                <w:rFonts w:cs="Arial"/>
                <w:sz w:val="16"/>
                <w:szCs w:val="16"/>
                <w:lang w:eastAsia="en-AU"/>
              </w:rPr>
            </w:pPr>
            <w:r w:rsidRPr="00202839">
              <w:rPr>
                <w:rFonts w:cs="Arial"/>
                <w:sz w:val="16"/>
                <w:szCs w:val="16"/>
                <w:lang w:eastAsia="en-AU"/>
              </w:rPr>
              <w:t xml:space="preserve">87.7 </w:t>
            </w:r>
          </w:p>
        </w:tc>
        <w:tc>
          <w:tcPr>
            <w:tcW w:w="1191" w:type="dxa"/>
            <w:tcBorders>
              <w:top w:val="nil"/>
              <w:left w:val="nil"/>
              <w:bottom w:val="nil"/>
              <w:right w:val="nil"/>
            </w:tcBorders>
            <w:shd w:val="clear" w:color="auto" w:fill="auto"/>
            <w:noWrap/>
            <w:vAlign w:val="bottom"/>
            <w:hideMark/>
          </w:tcPr>
          <w:p w14:paraId="710F80AC" w14:textId="77777777" w:rsidR="00202839" w:rsidRPr="00EC409E" w:rsidRDefault="00202839" w:rsidP="0077355F">
            <w:pPr>
              <w:ind w:right="170"/>
              <w:jc w:val="right"/>
              <w:rPr>
                <w:rFonts w:cs="Arial"/>
                <w:color w:val="000000"/>
                <w:sz w:val="16"/>
                <w:szCs w:val="16"/>
                <w:lang w:eastAsia="en-AU"/>
              </w:rPr>
            </w:pPr>
            <w:r w:rsidRPr="00EC409E">
              <w:rPr>
                <w:rFonts w:cs="Arial"/>
                <w:color w:val="000000"/>
                <w:sz w:val="16"/>
                <w:szCs w:val="16"/>
                <w:lang w:eastAsia="en-AU"/>
              </w:rPr>
              <w:t xml:space="preserve">93.4 </w:t>
            </w:r>
          </w:p>
        </w:tc>
      </w:tr>
      <w:tr w:rsidR="00202839" w:rsidRPr="00EC409E" w14:paraId="36359ACF" w14:textId="77777777" w:rsidTr="0077355F">
        <w:trPr>
          <w:trHeight w:val="204"/>
        </w:trPr>
        <w:tc>
          <w:tcPr>
            <w:tcW w:w="6537" w:type="dxa"/>
            <w:tcBorders>
              <w:top w:val="nil"/>
              <w:left w:val="nil"/>
              <w:bottom w:val="nil"/>
              <w:right w:val="nil"/>
            </w:tcBorders>
            <w:shd w:val="clear" w:color="auto" w:fill="auto"/>
            <w:vAlign w:val="bottom"/>
            <w:hideMark/>
          </w:tcPr>
          <w:p w14:paraId="6E35F7BD" w14:textId="77777777" w:rsidR="00202839" w:rsidRPr="00202839" w:rsidRDefault="00202839" w:rsidP="00202839">
            <w:pPr>
              <w:ind w:firstLineChars="300" w:firstLine="480"/>
              <w:rPr>
                <w:rFonts w:cs="Arial"/>
                <w:color w:val="000000"/>
                <w:sz w:val="16"/>
                <w:szCs w:val="16"/>
                <w:lang w:eastAsia="en-AU"/>
              </w:rPr>
            </w:pPr>
            <w:r w:rsidRPr="00202839">
              <w:rPr>
                <w:rFonts w:cs="Arial"/>
                <w:color w:val="000000"/>
                <w:sz w:val="16"/>
                <w:szCs w:val="16"/>
                <w:lang w:eastAsia="en-AU"/>
              </w:rPr>
              <w:t>20-24 years</w:t>
            </w:r>
          </w:p>
        </w:tc>
        <w:tc>
          <w:tcPr>
            <w:tcW w:w="736" w:type="dxa"/>
            <w:tcBorders>
              <w:top w:val="nil"/>
              <w:left w:val="nil"/>
              <w:bottom w:val="nil"/>
              <w:right w:val="nil"/>
            </w:tcBorders>
            <w:shd w:val="clear" w:color="auto" w:fill="auto"/>
            <w:noWrap/>
            <w:vAlign w:val="bottom"/>
            <w:hideMark/>
          </w:tcPr>
          <w:p w14:paraId="276DED58" w14:textId="77777777" w:rsidR="00202839" w:rsidRPr="00202839" w:rsidRDefault="00202839" w:rsidP="00815855">
            <w:pPr>
              <w:ind w:firstLineChars="300" w:firstLine="480"/>
              <w:jc w:val="center"/>
              <w:rPr>
                <w:rFonts w:cs="Arial"/>
                <w:color w:val="000000"/>
                <w:sz w:val="16"/>
                <w:szCs w:val="16"/>
                <w:lang w:eastAsia="en-AU"/>
              </w:rPr>
            </w:pPr>
          </w:p>
        </w:tc>
        <w:tc>
          <w:tcPr>
            <w:tcW w:w="1191" w:type="dxa"/>
            <w:tcBorders>
              <w:top w:val="nil"/>
              <w:left w:val="nil"/>
              <w:bottom w:val="nil"/>
              <w:right w:val="nil"/>
            </w:tcBorders>
            <w:shd w:val="clear" w:color="auto" w:fill="auto"/>
            <w:noWrap/>
            <w:vAlign w:val="bottom"/>
            <w:hideMark/>
          </w:tcPr>
          <w:p w14:paraId="3F372129" w14:textId="77777777" w:rsidR="00202839" w:rsidRPr="00202839" w:rsidRDefault="00202839" w:rsidP="0077355F">
            <w:pPr>
              <w:ind w:right="170"/>
              <w:jc w:val="right"/>
              <w:rPr>
                <w:rFonts w:cs="Arial"/>
                <w:sz w:val="16"/>
                <w:szCs w:val="16"/>
                <w:lang w:eastAsia="en-AU"/>
              </w:rPr>
            </w:pPr>
            <w:r w:rsidRPr="00202839">
              <w:rPr>
                <w:rFonts w:cs="Arial"/>
                <w:sz w:val="16"/>
                <w:szCs w:val="16"/>
                <w:lang w:eastAsia="en-AU"/>
              </w:rPr>
              <w:t xml:space="preserve">78.2 </w:t>
            </w:r>
          </w:p>
        </w:tc>
        <w:tc>
          <w:tcPr>
            <w:tcW w:w="1191" w:type="dxa"/>
            <w:tcBorders>
              <w:top w:val="nil"/>
              <w:left w:val="nil"/>
              <w:bottom w:val="nil"/>
              <w:right w:val="nil"/>
            </w:tcBorders>
            <w:shd w:val="clear" w:color="auto" w:fill="auto"/>
            <w:noWrap/>
            <w:vAlign w:val="bottom"/>
            <w:hideMark/>
          </w:tcPr>
          <w:p w14:paraId="40FFF3B7" w14:textId="22B58084" w:rsidR="00202839" w:rsidRPr="00C7310F" w:rsidRDefault="00202839" w:rsidP="0077355F">
            <w:pPr>
              <w:ind w:right="170"/>
              <w:jc w:val="right"/>
              <w:rPr>
                <w:rFonts w:cs="Arial"/>
                <w:color w:val="000000"/>
                <w:sz w:val="16"/>
                <w:szCs w:val="16"/>
                <w:lang w:eastAsia="en-AU"/>
              </w:rPr>
            </w:pPr>
            <w:r w:rsidRPr="00C7310F">
              <w:rPr>
                <w:rFonts w:cs="Arial"/>
                <w:color w:val="000000"/>
                <w:sz w:val="16"/>
                <w:szCs w:val="16"/>
                <w:lang w:eastAsia="en-AU"/>
              </w:rPr>
              <w:t>78.</w:t>
            </w:r>
            <w:r w:rsidR="00EC409E" w:rsidRPr="00C7310F">
              <w:rPr>
                <w:rFonts w:cs="Arial"/>
                <w:color w:val="000000"/>
                <w:sz w:val="16"/>
                <w:szCs w:val="16"/>
                <w:lang w:eastAsia="en-AU"/>
              </w:rPr>
              <w:t>2</w:t>
            </w:r>
            <w:r w:rsidRPr="00C7310F">
              <w:rPr>
                <w:rFonts w:cs="Arial"/>
                <w:color w:val="000000"/>
                <w:sz w:val="16"/>
                <w:szCs w:val="16"/>
                <w:lang w:eastAsia="en-AU"/>
              </w:rPr>
              <w:t xml:space="preserve"> </w:t>
            </w:r>
          </w:p>
        </w:tc>
      </w:tr>
      <w:tr w:rsidR="00202839" w:rsidRPr="00202839" w14:paraId="285B2415" w14:textId="77777777" w:rsidTr="0077355F">
        <w:trPr>
          <w:trHeight w:val="204"/>
        </w:trPr>
        <w:tc>
          <w:tcPr>
            <w:tcW w:w="6537" w:type="dxa"/>
            <w:tcBorders>
              <w:top w:val="nil"/>
              <w:left w:val="nil"/>
              <w:bottom w:val="nil"/>
              <w:right w:val="nil"/>
            </w:tcBorders>
            <w:shd w:val="clear" w:color="auto" w:fill="auto"/>
            <w:vAlign w:val="bottom"/>
            <w:hideMark/>
          </w:tcPr>
          <w:p w14:paraId="4180BD2F" w14:textId="77777777" w:rsidR="00202839" w:rsidRPr="00202839" w:rsidRDefault="00202839" w:rsidP="00202839">
            <w:pPr>
              <w:ind w:firstLineChars="300" w:firstLine="480"/>
              <w:rPr>
                <w:rFonts w:cs="Arial"/>
                <w:color w:val="000000"/>
                <w:sz w:val="16"/>
                <w:szCs w:val="16"/>
                <w:lang w:eastAsia="en-AU"/>
              </w:rPr>
            </w:pPr>
            <w:r w:rsidRPr="00202839">
              <w:rPr>
                <w:rFonts w:cs="Arial"/>
                <w:color w:val="000000"/>
                <w:sz w:val="16"/>
                <w:szCs w:val="16"/>
                <w:lang w:eastAsia="en-AU"/>
              </w:rPr>
              <w:t>25-29 years</w:t>
            </w:r>
          </w:p>
        </w:tc>
        <w:tc>
          <w:tcPr>
            <w:tcW w:w="736" w:type="dxa"/>
            <w:tcBorders>
              <w:top w:val="nil"/>
              <w:left w:val="nil"/>
              <w:bottom w:val="nil"/>
              <w:right w:val="nil"/>
            </w:tcBorders>
            <w:shd w:val="clear" w:color="auto" w:fill="auto"/>
            <w:noWrap/>
            <w:vAlign w:val="bottom"/>
            <w:hideMark/>
          </w:tcPr>
          <w:p w14:paraId="02E68094" w14:textId="77777777" w:rsidR="00202839" w:rsidRPr="00202839" w:rsidRDefault="00202839" w:rsidP="00815855">
            <w:pPr>
              <w:ind w:firstLineChars="300" w:firstLine="480"/>
              <w:jc w:val="center"/>
              <w:rPr>
                <w:rFonts w:cs="Arial"/>
                <w:color w:val="000000"/>
                <w:sz w:val="16"/>
                <w:szCs w:val="16"/>
                <w:lang w:eastAsia="en-AU"/>
              </w:rPr>
            </w:pPr>
          </w:p>
        </w:tc>
        <w:tc>
          <w:tcPr>
            <w:tcW w:w="1191" w:type="dxa"/>
            <w:tcBorders>
              <w:top w:val="nil"/>
              <w:left w:val="nil"/>
              <w:bottom w:val="nil"/>
              <w:right w:val="nil"/>
            </w:tcBorders>
            <w:shd w:val="clear" w:color="auto" w:fill="auto"/>
            <w:noWrap/>
            <w:vAlign w:val="bottom"/>
            <w:hideMark/>
          </w:tcPr>
          <w:p w14:paraId="5FDF72B3" w14:textId="77777777" w:rsidR="00202839" w:rsidRPr="00202839" w:rsidRDefault="00202839" w:rsidP="0077355F">
            <w:pPr>
              <w:ind w:right="170"/>
              <w:jc w:val="right"/>
              <w:rPr>
                <w:rFonts w:cs="Arial"/>
                <w:sz w:val="16"/>
                <w:szCs w:val="16"/>
                <w:lang w:eastAsia="en-AU"/>
              </w:rPr>
            </w:pPr>
            <w:r w:rsidRPr="00202839">
              <w:rPr>
                <w:rFonts w:cs="Arial"/>
                <w:sz w:val="16"/>
                <w:szCs w:val="16"/>
                <w:lang w:eastAsia="en-AU"/>
              </w:rPr>
              <w:t xml:space="preserve">73.6 </w:t>
            </w:r>
          </w:p>
        </w:tc>
        <w:tc>
          <w:tcPr>
            <w:tcW w:w="1191" w:type="dxa"/>
            <w:tcBorders>
              <w:top w:val="nil"/>
              <w:left w:val="nil"/>
              <w:bottom w:val="nil"/>
              <w:right w:val="nil"/>
            </w:tcBorders>
            <w:shd w:val="clear" w:color="auto" w:fill="auto"/>
            <w:noWrap/>
            <w:vAlign w:val="bottom"/>
            <w:hideMark/>
          </w:tcPr>
          <w:p w14:paraId="1A401B11" w14:textId="77777777" w:rsidR="00202839" w:rsidRPr="00C7310F" w:rsidRDefault="00202839" w:rsidP="0077355F">
            <w:pPr>
              <w:ind w:right="170"/>
              <w:jc w:val="right"/>
              <w:rPr>
                <w:rFonts w:cs="Arial"/>
                <w:color w:val="000000"/>
                <w:sz w:val="16"/>
                <w:szCs w:val="16"/>
                <w:lang w:eastAsia="en-AU"/>
              </w:rPr>
            </w:pPr>
            <w:r w:rsidRPr="00C7310F">
              <w:rPr>
                <w:rFonts w:cs="Arial"/>
                <w:color w:val="000000"/>
                <w:sz w:val="16"/>
                <w:szCs w:val="16"/>
                <w:lang w:eastAsia="en-AU"/>
              </w:rPr>
              <w:t xml:space="preserve">74.1 </w:t>
            </w:r>
          </w:p>
        </w:tc>
      </w:tr>
      <w:tr w:rsidR="00202839" w:rsidRPr="00202839" w14:paraId="572BE8DA" w14:textId="77777777" w:rsidTr="0077355F">
        <w:trPr>
          <w:trHeight w:val="204"/>
        </w:trPr>
        <w:tc>
          <w:tcPr>
            <w:tcW w:w="6537" w:type="dxa"/>
            <w:tcBorders>
              <w:top w:val="nil"/>
              <w:left w:val="nil"/>
              <w:bottom w:val="nil"/>
              <w:right w:val="nil"/>
            </w:tcBorders>
            <w:shd w:val="clear" w:color="auto" w:fill="auto"/>
            <w:vAlign w:val="bottom"/>
            <w:hideMark/>
          </w:tcPr>
          <w:p w14:paraId="4B84095A" w14:textId="77777777" w:rsidR="00202839" w:rsidRPr="00202839" w:rsidRDefault="00202839" w:rsidP="00202839">
            <w:pPr>
              <w:ind w:firstLineChars="300" w:firstLine="480"/>
              <w:rPr>
                <w:rFonts w:cs="Arial"/>
                <w:color w:val="000000"/>
                <w:sz w:val="16"/>
                <w:szCs w:val="16"/>
                <w:lang w:eastAsia="en-AU"/>
              </w:rPr>
            </w:pPr>
            <w:r w:rsidRPr="00202839">
              <w:rPr>
                <w:rFonts w:cs="Arial"/>
                <w:color w:val="000000"/>
                <w:sz w:val="16"/>
                <w:szCs w:val="16"/>
                <w:lang w:eastAsia="en-AU"/>
              </w:rPr>
              <w:t>Average</w:t>
            </w:r>
          </w:p>
        </w:tc>
        <w:tc>
          <w:tcPr>
            <w:tcW w:w="736" w:type="dxa"/>
            <w:tcBorders>
              <w:top w:val="nil"/>
              <w:left w:val="nil"/>
              <w:bottom w:val="nil"/>
              <w:right w:val="nil"/>
            </w:tcBorders>
            <w:shd w:val="clear" w:color="auto" w:fill="auto"/>
            <w:noWrap/>
            <w:vAlign w:val="bottom"/>
            <w:hideMark/>
          </w:tcPr>
          <w:p w14:paraId="2367A5BA" w14:textId="77777777" w:rsidR="00202839" w:rsidRPr="00202839" w:rsidRDefault="00202839" w:rsidP="00815855">
            <w:pPr>
              <w:ind w:firstLineChars="300" w:firstLine="480"/>
              <w:jc w:val="center"/>
              <w:rPr>
                <w:rFonts w:cs="Arial"/>
                <w:color w:val="000000"/>
                <w:sz w:val="16"/>
                <w:szCs w:val="16"/>
                <w:lang w:eastAsia="en-AU"/>
              </w:rPr>
            </w:pPr>
          </w:p>
        </w:tc>
        <w:tc>
          <w:tcPr>
            <w:tcW w:w="1191" w:type="dxa"/>
            <w:tcBorders>
              <w:top w:val="nil"/>
              <w:left w:val="nil"/>
              <w:bottom w:val="nil"/>
              <w:right w:val="nil"/>
            </w:tcBorders>
            <w:shd w:val="clear" w:color="auto" w:fill="auto"/>
            <w:noWrap/>
            <w:vAlign w:val="bottom"/>
            <w:hideMark/>
          </w:tcPr>
          <w:p w14:paraId="5A4D96DA" w14:textId="77777777" w:rsidR="00202839" w:rsidRPr="00202839" w:rsidRDefault="00202839" w:rsidP="0077355F">
            <w:pPr>
              <w:ind w:right="170"/>
              <w:jc w:val="right"/>
              <w:rPr>
                <w:rFonts w:cs="Arial"/>
                <w:sz w:val="16"/>
                <w:szCs w:val="16"/>
                <w:lang w:eastAsia="en-AU"/>
              </w:rPr>
            </w:pPr>
            <w:r w:rsidRPr="00202839">
              <w:rPr>
                <w:rFonts w:cs="Arial"/>
                <w:sz w:val="16"/>
                <w:szCs w:val="16"/>
                <w:lang w:eastAsia="en-AU"/>
              </w:rPr>
              <w:t xml:space="preserve">79.2 </w:t>
            </w:r>
          </w:p>
        </w:tc>
        <w:tc>
          <w:tcPr>
            <w:tcW w:w="1191" w:type="dxa"/>
            <w:tcBorders>
              <w:top w:val="nil"/>
              <w:left w:val="nil"/>
              <w:bottom w:val="nil"/>
              <w:right w:val="nil"/>
            </w:tcBorders>
            <w:shd w:val="clear" w:color="auto" w:fill="auto"/>
            <w:noWrap/>
            <w:vAlign w:val="bottom"/>
            <w:hideMark/>
          </w:tcPr>
          <w:p w14:paraId="6DA11191" w14:textId="77777777" w:rsidR="00202839" w:rsidRPr="00EC409E" w:rsidRDefault="00202839" w:rsidP="0077355F">
            <w:pPr>
              <w:ind w:right="170"/>
              <w:jc w:val="right"/>
              <w:rPr>
                <w:rFonts w:cs="Arial"/>
                <w:color w:val="000000"/>
                <w:sz w:val="16"/>
                <w:szCs w:val="16"/>
                <w:lang w:eastAsia="en-AU"/>
              </w:rPr>
            </w:pPr>
            <w:r w:rsidRPr="00EC409E">
              <w:rPr>
                <w:rFonts w:cs="Arial"/>
                <w:color w:val="000000"/>
                <w:sz w:val="16"/>
                <w:szCs w:val="16"/>
                <w:lang w:eastAsia="en-AU"/>
              </w:rPr>
              <w:t xml:space="preserve">80.2 </w:t>
            </w:r>
          </w:p>
        </w:tc>
      </w:tr>
      <w:bookmarkEnd w:id="12"/>
    </w:tbl>
    <w:p w14:paraId="25AF8307" w14:textId="77777777" w:rsidR="00815855" w:rsidRPr="000A7A1F" w:rsidRDefault="00815855">
      <w:pPr>
        <w:rPr>
          <w:sz w:val="6"/>
          <w:szCs w:val="6"/>
        </w:rPr>
      </w:pPr>
    </w:p>
    <w:p w14:paraId="19BE2713" w14:textId="77777777" w:rsidR="000A7A1F" w:rsidRPr="000F563B" w:rsidRDefault="000A7A1F" w:rsidP="00202839">
      <w:pPr>
        <w:rPr>
          <w:rFonts w:cs="Arial"/>
          <w:color w:val="000000"/>
          <w:sz w:val="17"/>
          <w:szCs w:val="17"/>
          <w:lang w:eastAsia="en-AU"/>
        </w:rPr>
      </w:pPr>
      <w:r w:rsidRPr="000F563B">
        <w:rPr>
          <w:rFonts w:cs="Arial"/>
          <w:color w:val="000000"/>
          <w:sz w:val="17"/>
          <w:szCs w:val="17"/>
          <w:lang w:eastAsia="en-AU"/>
        </w:rPr>
        <w:t>Notes</w:t>
      </w:r>
    </w:p>
    <w:p w14:paraId="0A8E562D" w14:textId="7EA08BF2" w:rsidR="000A7A1F" w:rsidRPr="00F7286F" w:rsidRDefault="000A7A1F" w:rsidP="006F695E">
      <w:pPr>
        <w:pStyle w:val="Style85ptBlackLeft0cmHanging063cm"/>
        <w:rPr>
          <w:rFonts w:cs="Arial"/>
          <w:color w:val="auto"/>
          <w:szCs w:val="17"/>
          <w:lang w:eastAsia="en-AU"/>
        </w:rPr>
      </w:pPr>
      <w:r w:rsidRPr="00F7286F">
        <w:rPr>
          <w:color w:val="auto"/>
          <w:lang w:eastAsia="en-AU"/>
        </w:rPr>
        <w:t>(a)</w:t>
      </w:r>
      <w:r w:rsidRPr="000A7A1F">
        <w:rPr>
          <w:lang w:eastAsia="en-AU"/>
        </w:rPr>
        <w:t xml:space="preserve"> </w:t>
      </w:r>
      <w:r>
        <w:rPr>
          <w:rFonts w:cs="Arial"/>
          <w:color w:val="000000"/>
          <w:szCs w:val="17"/>
          <w:lang w:eastAsia="en-AU"/>
        </w:rPr>
        <w:tab/>
      </w:r>
      <w:r w:rsidRPr="00F7286F">
        <w:rPr>
          <w:rFonts w:cs="Arial"/>
          <w:color w:val="auto"/>
          <w:szCs w:val="17"/>
          <w:lang w:eastAsia="en-AU"/>
        </w:rPr>
        <w:t>Sourced from the National Centre for Vocational Education Research (NCVER) Survey of Employer Use and Views of the VET System. This survey is conducted every two years, and 2019-20 actuals are based on results published in October 2019. The average is derived from the average of the three categories, not raw numbers.</w:t>
      </w:r>
    </w:p>
    <w:p w14:paraId="118CBFA3" w14:textId="7025C6DC" w:rsidR="000A7A1F" w:rsidRPr="00F7286F" w:rsidRDefault="000A7A1F" w:rsidP="006F695E">
      <w:pPr>
        <w:pStyle w:val="Style85ptBlackLeft0cmHanging063cm"/>
        <w:rPr>
          <w:rFonts w:cs="Arial"/>
          <w:color w:val="auto"/>
          <w:szCs w:val="17"/>
          <w:lang w:eastAsia="en-AU"/>
        </w:rPr>
      </w:pPr>
      <w:r w:rsidRPr="00F7286F">
        <w:rPr>
          <w:color w:val="auto"/>
          <w:lang w:eastAsia="en-AU"/>
        </w:rPr>
        <w:t xml:space="preserve">(b) </w:t>
      </w:r>
      <w:r w:rsidRPr="00F7286F">
        <w:rPr>
          <w:rFonts w:cs="Arial"/>
          <w:color w:val="auto"/>
          <w:szCs w:val="17"/>
          <w:lang w:eastAsia="en-AU"/>
        </w:rPr>
        <w:tab/>
        <w:t>Sourced from the Australian Bureau of Statistics, Education and Work, Australia. 2019-20 actuals are based on data for May 2019 (published in November 2019). Includes graduates only, not subject completers.</w:t>
      </w:r>
    </w:p>
    <w:p w14:paraId="5FA08809" w14:textId="744AE12D" w:rsidR="000A7A1F" w:rsidRPr="00F7286F" w:rsidRDefault="000A7A1F" w:rsidP="006F695E">
      <w:pPr>
        <w:pStyle w:val="Style85ptBlackLeft0cmHanging063cm"/>
        <w:rPr>
          <w:rFonts w:cs="Arial"/>
          <w:color w:val="auto"/>
          <w:szCs w:val="17"/>
          <w:lang w:eastAsia="en-AU"/>
        </w:rPr>
      </w:pPr>
      <w:r w:rsidRPr="00F7286F">
        <w:rPr>
          <w:color w:val="auto"/>
          <w:lang w:eastAsia="en-AU"/>
        </w:rPr>
        <w:t xml:space="preserve">(c) </w:t>
      </w:r>
      <w:r w:rsidRPr="00F7286F">
        <w:rPr>
          <w:rFonts w:cs="Arial"/>
          <w:color w:val="auto"/>
          <w:szCs w:val="17"/>
          <w:lang w:eastAsia="en-AU"/>
        </w:rPr>
        <w:tab/>
        <w:t>Sourced from the Australian Bureau of Statistics, Education and Work, Australia. 2019-20 actuals are based on data for May 2019 (published in November 2019).</w:t>
      </w:r>
    </w:p>
    <w:p w14:paraId="2C8FA779" w14:textId="77AD73E7" w:rsidR="000A7A1F" w:rsidRPr="00F7286F" w:rsidRDefault="000A7A1F" w:rsidP="006F695E">
      <w:pPr>
        <w:pStyle w:val="Style85ptBlackLeft0cmHanging063cm"/>
        <w:rPr>
          <w:rFonts w:cs="Arial"/>
          <w:color w:val="auto"/>
          <w:szCs w:val="17"/>
          <w:lang w:eastAsia="en-AU"/>
        </w:rPr>
      </w:pPr>
      <w:r w:rsidRPr="00F7286F">
        <w:rPr>
          <w:color w:val="auto"/>
          <w:lang w:eastAsia="en-AU"/>
        </w:rPr>
        <w:t xml:space="preserve">(d) </w:t>
      </w:r>
      <w:r w:rsidRPr="00F7286F">
        <w:rPr>
          <w:rFonts w:cs="Arial"/>
          <w:color w:val="auto"/>
          <w:szCs w:val="17"/>
          <w:lang w:eastAsia="en-AU"/>
        </w:rPr>
        <w:tab/>
        <w:t>Sourced from the National Centre for Vocational Education Research (NCVER) Government-funded student outcomes. 2019-20 actuals are based on results published in December 2019. "Fully engaged" covers persons who are engaged in full-time work (at or above 35 hours per week) or study, or who combine any hours of work with any hours of study. The average is derived from the raw numbers for the three cohorts.</w:t>
      </w:r>
    </w:p>
    <w:p w14:paraId="72F359C1" w14:textId="77777777" w:rsidR="004B2F62" w:rsidRPr="00F7286F" w:rsidRDefault="004B2F62" w:rsidP="00815855">
      <w:pPr>
        <w:rPr>
          <w:sz w:val="17"/>
          <w:szCs w:val="17"/>
        </w:rPr>
      </w:pPr>
    </w:p>
    <w:p w14:paraId="26CAD705" w14:textId="77777777" w:rsidR="00815855" w:rsidRDefault="00815855" w:rsidP="00815855"/>
    <w:p w14:paraId="0EF62ECE" w14:textId="77777777" w:rsidR="00815855" w:rsidRDefault="00815855" w:rsidP="00815855"/>
    <w:p w14:paraId="46682DBD" w14:textId="77777777" w:rsidR="00815855" w:rsidRDefault="00815855" w:rsidP="00815855"/>
    <w:p w14:paraId="01B1A2BB" w14:textId="213B75C4" w:rsidR="004B2F62" w:rsidRDefault="00F107D6">
      <w:pPr>
        <w:rPr>
          <w:rFonts w:eastAsiaTheme="minorHAnsi" w:cs="Arial"/>
          <w:sz w:val="23"/>
          <w:szCs w:val="23"/>
        </w:rPr>
      </w:pPr>
      <w:r>
        <w:br w:type="page"/>
      </w:r>
    </w:p>
    <w:p w14:paraId="7336BB64" w14:textId="338465D2" w:rsidR="00796EEA" w:rsidRPr="00796EEA" w:rsidRDefault="005D6F85" w:rsidP="00C36202">
      <w:pPr>
        <w:pStyle w:val="Heading2"/>
        <w:rPr>
          <w:rFonts w:ascii="Arial" w:hAnsi="Arial" w:cs="Arial"/>
        </w:rPr>
      </w:pPr>
      <w:r>
        <w:rPr>
          <w:rFonts w:ascii="Arial" w:hAnsi="Arial" w:cs="Arial"/>
        </w:rPr>
        <w:lastRenderedPageBreak/>
        <w:t xml:space="preserve">Outcome 4: </w:t>
      </w:r>
      <w:r w:rsidR="00E425EA">
        <w:rPr>
          <w:rFonts w:ascii="Arial" w:hAnsi="Arial" w:cs="Arial"/>
        </w:rPr>
        <w:t xml:space="preserve">High </w:t>
      </w:r>
      <w:r w:rsidR="006528B7">
        <w:rPr>
          <w:rFonts w:ascii="Arial" w:hAnsi="Arial" w:cs="Arial"/>
        </w:rPr>
        <w:t>q</w:t>
      </w:r>
      <w:r w:rsidR="00E425EA">
        <w:rPr>
          <w:rFonts w:ascii="Arial" w:hAnsi="Arial" w:cs="Arial"/>
        </w:rPr>
        <w:t xml:space="preserve">uality standards for schooling </w:t>
      </w:r>
    </w:p>
    <w:tbl>
      <w:tblPr>
        <w:tblpPr w:leftFromText="180" w:rightFromText="180" w:vertAnchor="text" w:horzAnchor="margin" w:tblpXSpec="right" w:tblpY="715"/>
        <w:tblW w:w="1716" w:type="pct"/>
        <w:shd w:val="clear" w:color="auto" w:fill="F2F2F2" w:themeFill="background1" w:themeFillShade="F2"/>
        <w:tblCellMar>
          <w:left w:w="115" w:type="dxa"/>
          <w:right w:w="115" w:type="dxa"/>
        </w:tblCellMar>
        <w:tblLook w:val="04A0" w:firstRow="1" w:lastRow="0" w:firstColumn="1" w:lastColumn="0" w:noHBand="0" w:noVBand="1"/>
      </w:tblPr>
      <w:tblGrid>
        <w:gridCol w:w="1144"/>
        <w:gridCol w:w="967"/>
        <w:gridCol w:w="1197"/>
      </w:tblGrid>
      <w:tr w:rsidR="00796EEA" w:rsidRPr="00F8244B" w14:paraId="44B449A7" w14:textId="77777777" w:rsidTr="00A922EA">
        <w:trPr>
          <w:cantSplit/>
          <w:trHeight w:val="784"/>
        </w:trPr>
        <w:tc>
          <w:tcPr>
            <w:tcW w:w="1729" w:type="pct"/>
            <w:shd w:val="clear" w:color="auto" w:fill="F2F2F2" w:themeFill="background1" w:themeFillShade="F2"/>
            <w:vAlign w:val="center"/>
          </w:tcPr>
          <w:p w14:paraId="15BFE397" w14:textId="77777777" w:rsidR="00796EEA" w:rsidRPr="00F8244B" w:rsidRDefault="00796EEA" w:rsidP="006C3C47">
            <w:pPr>
              <w:spacing w:before="120" w:after="120"/>
              <w:rPr>
                <w:rFonts w:cs="Arial"/>
                <w:sz w:val="23"/>
                <w:szCs w:val="23"/>
              </w:rPr>
            </w:pPr>
            <w:r w:rsidRPr="00F8244B">
              <w:rPr>
                <w:rFonts w:cs="Arial"/>
                <w:noProof/>
                <w:lang w:eastAsia="en-AU"/>
              </w:rPr>
              <w:drawing>
                <wp:inline distT="0" distB="0" distL="0" distR="0" wp14:anchorId="19592B50" wp14:editId="0CDF517D">
                  <wp:extent cx="518160" cy="518160"/>
                  <wp:effectExtent l="0" t="0" r="0" b="0"/>
                  <wp:docPr id="13" name="Picture 13" descr="H:\Documents\Downloads\BP3 icons-V02-Expense.png"/>
                  <wp:cNvGraphicFramePr/>
                  <a:graphic xmlns:a="http://schemas.openxmlformats.org/drawingml/2006/main">
                    <a:graphicData uri="http://schemas.openxmlformats.org/drawingml/2006/picture">
                      <pic:pic xmlns:pic="http://schemas.openxmlformats.org/drawingml/2006/picture">
                        <pic:nvPicPr>
                          <pic:cNvPr id="6" name="Picture 6" descr="H:\Documents\Downloads\BP3 icons-V02-Expense.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solidFill>
                            <a:srgbClr val="F2F2F2"/>
                          </a:solidFill>
                          <a:ln>
                            <a:noFill/>
                          </a:ln>
                        </pic:spPr>
                      </pic:pic>
                    </a:graphicData>
                  </a:graphic>
                </wp:inline>
              </w:drawing>
            </w:r>
          </w:p>
        </w:tc>
        <w:tc>
          <w:tcPr>
            <w:tcW w:w="1462" w:type="pct"/>
            <w:shd w:val="clear" w:color="auto" w:fill="F2F2F2" w:themeFill="background1" w:themeFillShade="F2"/>
            <w:vAlign w:val="center"/>
          </w:tcPr>
          <w:p w14:paraId="7D8ADFDC" w14:textId="4CB2A918" w:rsidR="00796EEA" w:rsidRPr="00775302" w:rsidRDefault="00796EEA" w:rsidP="006C3C47">
            <w:pPr>
              <w:spacing w:before="120" w:after="120"/>
              <w:jc w:val="center"/>
              <w:rPr>
                <w:rFonts w:cs="Arial"/>
                <w:color w:val="00ABE6"/>
                <w:sz w:val="18"/>
                <w:szCs w:val="18"/>
              </w:rPr>
            </w:pPr>
            <w:r w:rsidRPr="00775302">
              <w:rPr>
                <w:rFonts w:cs="Arial"/>
                <w:color w:val="00ABE6"/>
                <w:sz w:val="18"/>
                <w:szCs w:val="18"/>
              </w:rPr>
              <w:t>$</w:t>
            </w:r>
            <w:r w:rsidR="00E559D6" w:rsidRPr="00775302">
              <w:rPr>
                <w:rFonts w:cs="Arial"/>
                <w:color w:val="00ABE6"/>
                <w:sz w:val="18"/>
                <w:szCs w:val="18"/>
              </w:rPr>
              <w:t>17</w:t>
            </w:r>
            <w:r w:rsidR="0073677D" w:rsidRPr="00775302">
              <w:rPr>
                <w:rFonts w:cs="Arial"/>
                <w:color w:val="00ABE6"/>
                <w:sz w:val="18"/>
                <w:szCs w:val="18"/>
              </w:rPr>
              <w:t>1.5</w:t>
            </w:r>
            <w:r w:rsidRPr="00775302">
              <w:rPr>
                <w:rFonts w:cs="Arial"/>
                <w:color w:val="00ABE6"/>
                <w:sz w:val="18"/>
                <w:szCs w:val="18"/>
              </w:rPr>
              <w:t xml:space="preserve"> </w:t>
            </w:r>
            <w:r w:rsidR="00E559D6" w:rsidRPr="00775302">
              <w:rPr>
                <w:rFonts w:cs="Arial"/>
                <w:color w:val="00ABE6"/>
                <w:sz w:val="18"/>
                <w:szCs w:val="18"/>
              </w:rPr>
              <w:t>m</w:t>
            </w:r>
            <w:r w:rsidRPr="00775302">
              <w:rPr>
                <w:rFonts w:cs="Arial"/>
                <w:color w:val="00ABE6"/>
                <w:sz w:val="18"/>
                <w:szCs w:val="18"/>
              </w:rPr>
              <w:t>illion</w:t>
            </w:r>
          </w:p>
        </w:tc>
        <w:tc>
          <w:tcPr>
            <w:tcW w:w="1809" w:type="pct"/>
            <w:shd w:val="clear" w:color="auto" w:fill="F2F2F2" w:themeFill="background1" w:themeFillShade="F2"/>
            <w:vAlign w:val="center"/>
          </w:tcPr>
          <w:p w14:paraId="53BAEA1D" w14:textId="77777777" w:rsidR="00796EEA" w:rsidRPr="00F8244B" w:rsidRDefault="00796EEA" w:rsidP="006C3C47">
            <w:pPr>
              <w:rPr>
                <w:rFonts w:cs="Arial"/>
                <w:color w:val="00ABE6"/>
                <w:sz w:val="18"/>
                <w:szCs w:val="18"/>
              </w:rPr>
            </w:pPr>
            <w:r w:rsidRPr="00F8244B">
              <w:rPr>
                <w:rFonts w:cs="Arial"/>
                <w:color w:val="00ABE6"/>
                <w:sz w:val="18"/>
                <w:szCs w:val="18"/>
              </w:rPr>
              <w:t>Recurrent</w:t>
            </w:r>
            <w:r w:rsidRPr="00F8244B">
              <w:rPr>
                <w:rFonts w:cs="Arial"/>
                <w:color w:val="00ABE6"/>
                <w:sz w:val="18"/>
                <w:szCs w:val="18"/>
              </w:rPr>
              <w:br/>
              <w:t xml:space="preserve">Expenses </w:t>
            </w:r>
            <w:r w:rsidRPr="00F8244B">
              <w:rPr>
                <w:rFonts w:cs="Arial"/>
                <w:color w:val="00ABE6"/>
                <w:sz w:val="18"/>
                <w:szCs w:val="18"/>
              </w:rPr>
              <w:br/>
              <w:t>20</w:t>
            </w:r>
            <w:r>
              <w:rPr>
                <w:rFonts w:cs="Arial"/>
                <w:color w:val="00ABE6"/>
                <w:sz w:val="18"/>
                <w:szCs w:val="18"/>
              </w:rPr>
              <w:t>20</w:t>
            </w:r>
            <w:r w:rsidRPr="00F8244B">
              <w:rPr>
                <w:rFonts w:cs="Arial"/>
                <w:color w:val="00ABE6"/>
                <w:sz w:val="18"/>
                <w:szCs w:val="18"/>
              </w:rPr>
              <w:t>-2</w:t>
            </w:r>
            <w:r>
              <w:rPr>
                <w:rFonts w:cs="Arial"/>
                <w:color w:val="00ABE6"/>
                <w:sz w:val="18"/>
                <w:szCs w:val="18"/>
              </w:rPr>
              <w:t>1</w:t>
            </w:r>
          </w:p>
        </w:tc>
      </w:tr>
      <w:tr w:rsidR="00796EEA" w:rsidRPr="00F8244B" w14:paraId="4EF49DDE" w14:textId="77777777" w:rsidTr="00A922EA">
        <w:trPr>
          <w:cantSplit/>
          <w:trHeight w:val="784"/>
        </w:trPr>
        <w:tc>
          <w:tcPr>
            <w:tcW w:w="1729" w:type="pct"/>
            <w:shd w:val="clear" w:color="auto" w:fill="F2F2F2" w:themeFill="background1" w:themeFillShade="F2"/>
            <w:vAlign w:val="center"/>
          </w:tcPr>
          <w:p w14:paraId="537A73D1" w14:textId="77777777" w:rsidR="00796EEA" w:rsidRPr="00F8244B" w:rsidRDefault="00796EEA" w:rsidP="006C3C47">
            <w:pPr>
              <w:spacing w:before="120" w:after="120"/>
              <w:rPr>
                <w:rFonts w:cs="Arial"/>
                <w:noProof/>
                <w:sz w:val="23"/>
                <w:szCs w:val="23"/>
                <w:lang w:eastAsia="en-AU"/>
              </w:rPr>
            </w:pPr>
            <w:r w:rsidRPr="00F8244B">
              <w:rPr>
                <w:rFonts w:cs="Arial"/>
                <w:noProof/>
                <w:lang w:eastAsia="en-AU"/>
              </w:rPr>
              <w:drawing>
                <wp:inline distT="0" distB="0" distL="0" distR="0" wp14:anchorId="6E45EF71" wp14:editId="0BFFA363">
                  <wp:extent cx="525145" cy="525145"/>
                  <wp:effectExtent l="0" t="0" r="8255" b="8255"/>
                  <wp:docPr id="14" name="Picture 14" descr="H:\Documents\Downloads\BP3 icons-V02-Capital Expenditure 03.png"/>
                  <wp:cNvGraphicFramePr/>
                  <a:graphic xmlns:a="http://schemas.openxmlformats.org/drawingml/2006/main">
                    <a:graphicData uri="http://schemas.openxmlformats.org/drawingml/2006/picture">
                      <pic:pic xmlns:pic="http://schemas.openxmlformats.org/drawingml/2006/picture">
                        <pic:nvPicPr>
                          <pic:cNvPr id="8" name="Picture 8" descr="H:\Documents\Downloads\BP3 icons-V02-Capital Expenditure 03.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solidFill>
                            <a:srgbClr val="F2F2F2"/>
                          </a:solidFill>
                          <a:ln>
                            <a:noFill/>
                          </a:ln>
                        </pic:spPr>
                      </pic:pic>
                    </a:graphicData>
                  </a:graphic>
                </wp:inline>
              </w:drawing>
            </w:r>
          </w:p>
        </w:tc>
        <w:tc>
          <w:tcPr>
            <w:tcW w:w="1462" w:type="pct"/>
            <w:shd w:val="clear" w:color="auto" w:fill="F2F2F2" w:themeFill="background1" w:themeFillShade="F2"/>
            <w:vAlign w:val="center"/>
          </w:tcPr>
          <w:p w14:paraId="1BBA0533" w14:textId="1A66B804" w:rsidR="00796EEA" w:rsidRPr="00775302" w:rsidRDefault="00796EEA" w:rsidP="006C3C47">
            <w:pPr>
              <w:spacing w:before="120" w:after="120"/>
              <w:jc w:val="center"/>
              <w:rPr>
                <w:rFonts w:cs="Arial"/>
                <w:color w:val="00ABE6"/>
                <w:sz w:val="18"/>
                <w:szCs w:val="18"/>
              </w:rPr>
            </w:pPr>
            <w:r w:rsidRPr="00775302">
              <w:rPr>
                <w:rFonts w:cs="Arial"/>
                <w:color w:val="00ABE6"/>
                <w:sz w:val="18"/>
                <w:szCs w:val="18"/>
              </w:rPr>
              <w:t>$</w:t>
            </w:r>
            <w:r w:rsidR="00782369" w:rsidRPr="00775302">
              <w:rPr>
                <w:rFonts w:cs="Arial"/>
                <w:color w:val="00ABE6"/>
                <w:sz w:val="18"/>
                <w:szCs w:val="18"/>
              </w:rPr>
              <w:t>45.9</w:t>
            </w:r>
            <w:r w:rsidRPr="00775302">
              <w:rPr>
                <w:rFonts w:cs="Arial"/>
                <w:color w:val="00ABE6"/>
                <w:sz w:val="18"/>
                <w:szCs w:val="18"/>
              </w:rPr>
              <w:t xml:space="preserve"> million</w:t>
            </w:r>
          </w:p>
        </w:tc>
        <w:tc>
          <w:tcPr>
            <w:tcW w:w="1809" w:type="pct"/>
            <w:shd w:val="clear" w:color="auto" w:fill="F2F2F2" w:themeFill="background1" w:themeFillShade="F2"/>
            <w:vAlign w:val="center"/>
          </w:tcPr>
          <w:p w14:paraId="4A663B0F" w14:textId="77777777" w:rsidR="00796EEA" w:rsidRPr="00F8244B" w:rsidRDefault="00796EEA" w:rsidP="006C3C47">
            <w:pPr>
              <w:rPr>
                <w:rFonts w:cs="Arial"/>
                <w:color w:val="00ABE6"/>
                <w:sz w:val="18"/>
                <w:szCs w:val="18"/>
              </w:rPr>
            </w:pPr>
            <w:r w:rsidRPr="00F8244B">
              <w:rPr>
                <w:rFonts w:cs="Arial"/>
                <w:color w:val="00ABE6"/>
                <w:sz w:val="18"/>
                <w:szCs w:val="18"/>
              </w:rPr>
              <w:t>Capital</w:t>
            </w:r>
            <w:r w:rsidRPr="00F8244B">
              <w:rPr>
                <w:rFonts w:cs="Arial"/>
                <w:color w:val="00ABE6"/>
                <w:sz w:val="18"/>
                <w:szCs w:val="18"/>
              </w:rPr>
              <w:br/>
              <w:t>Expenditure</w:t>
            </w:r>
            <w:r w:rsidRPr="00F8244B">
              <w:rPr>
                <w:rFonts w:cs="Arial"/>
                <w:color w:val="00ABE6"/>
                <w:sz w:val="18"/>
                <w:szCs w:val="18"/>
              </w:rPr>
              <w:br/>
              <w:t>20</w:t>
            </w:r>
            <w:r>
              <w:rPr>
                <w:rFonts w:cs="Arial"/>
                <w:color w:val="00ABE6"/>
                <w:sz w:val="18"/>
                <w:szCs w:val="18"/>
              </w:rPr>
              <w:t>20</w:t>
            </w:r>
            <w:r w:rsidRPr="00F8244B">
              <w:rPr>
                <w:rFonts w:cs="Arial"/>
                <w:color w:val="00ABE6"/>
                <w:sz w:val="18"/>
                <w:szCs w:val="18"/>
              </w:rPr>
              <w:t>-2</w:t>
            </w:r>
            <w:r>
              <w:rPr>
                <w:rFonts w:cs="Arial"/>
                <w:color w:val="00ABE6"/>
                <w:sz w:val="18"/>
                <w:szCs w:val="18"/>
              </w:rPr>
              <w:t>1</w:t>
            </w:r>
          </w:p>
        </w:tc>
      </w:tr>
    </w:tbl>
    <w:bookmarkEnd w:id="9"/>
    <w:bookmarkEnd w:id="10"/>
    <w:p w14:paraId="03C10072" w14:textId="77777777" w:rsidR="00796EEA" w:rsidRPr="003A0DAC" w:rsidRDefault="00796EEA" w:rsidP="00796EEA">
      <w:pPr>
        <w:pStyle w:val="Heading3"/>
        <w:rPr>
          <w:rFonts w:cs="Arial"/>
        </w:rPr>
      </w:pPr>
      <w:r>
        <w:rPr>
          <w:rFonts w:cs="Arial"/>
        </w:rPr>
        <w:t>S</w:t>
      </w:r>
      <w:r w:rsidRPr="003A0DAC">
        <w:rPr>
          <w:rFonts w:cs="Arial"/>
        </w:rPr>
        <w:t>tate Outcome overview and 2020-21 investment</w:t>
      </w:r>
    </w:p>
    <w:p w14:paraId="51C669A5" w14:textId="39851787" w:rsidR="00796EEA" w:rsidRPr="006528B7" w:rsidRDefault="00872668" w:rsidP="009C21A6">
      <w:pPr>
        <w:pStyle w:val="BodyText"/>
      </w:pPr>
      <w:r>
        <w:t>Investments</w:t>
      </w:r>
      <w:r w:rsidR="0067401E" w:rsidRPr="006528B7">
        <w:t xml:space="preserve"> under this State Outcome support </w:t>
      </w:r>
      <w:r w:rsidR="006528B7" w:rsidRPr="006528B7">
        <w:t xml:space="preserve">high quality </w:t>
      </w:r>
      <w:r w:rsidR="0067401E" w:rsidRPr="006528B7">
        <w:t>standards for schooling in N</w:t>
      </w:r>
      <w:r w:rsidR="00BA3217">
        <w:t xml:space="preserve">ew </w:t>
      </w:r>
      <w:r w:rsidR="0067401E" w:rsidRPr="006528B7">
        <w:t>S</w:t>
      </w:r>
      <w:r w:rsidR="00BA3217">
        <w:t xml:space="preserve">outh </w:t>
      </w:r>
      <w:r w:rsidR="0067401E" w:rsidRPr="006528B7">
        <w:t>W</w:t>
      </w:r>
      <w:r w:rsidR="00BA3217">
        <w:t>ales</w:t>
      </w:r>
      <w:r w:rsidR="0067401E" w:rsidRPr="006528B7">
        <w:t xml:space="preserve"> through the regulation of schooling, accreditation of early childhood, primary and secondary teachers, and provision of quality curriculum, assessment and certification by the NSW Education Standards Authority</w:t>
      </w:r>
      <w:r w:rsidR="006528B7">
        <w:t xml:space="preserve"> (NESA)</w:t>
      </w:r>
      <w:r w:rsidR="0067401E" w:rsidRPr="006528B7">
        <w:t>.</w:t>
      </w:r>
    </w:p>
    <w:p w14:paraId="43CFCD20" w14:textId="22954C29" w:rsidR="00796EEA" w:rsidRPr="000101AC" w:rsidRDefault="00796EEA" w:rsidP="00796EEA">
      <w:pPr>
        <w:pStyle w:val="Heading3"/>
        <w:rPr>
          <w:rFonts w:cs="Arial"/>
        </w:rPr>
      </w:pPr>
      <w:r w:rsidRPr="000101AC">
        <w:rPr>
          <w:rFonts w:cs="Arial"/>
        </w:rPr>
        <w:t xml:space="preserve">2020-21 </w:t>
      </w:r>
      <w:r w:rsidR="005B0244">
        <w:rPr>
          <w:rFonts w:cs="Arial"/>
        </w:rPr>
        <w:t xml:space="preserve">State Outcome </w:t>
      </w:r>
      <w:r w:rsidRPr="000101AC">
        <w:rPr>
          <w:rFonts w:cs="Arial"/>
        </w:rPr>
        <w:t xml:space="preserve">Budget </w:t>
      </w:r>
      <w:r w:rsidR="00FE043F">
        <w:rPr>
          <w:rFonts w:cs="Arial"/>
        </w:rPr>
        <w:t>h</w:t>
      </w:r>
      <w:r w:rsidRPr="000101AC">
        <w:rPr>
          <w:rFonts w:cs="Arial"/>
        </w:rPr>
        <w:t xml:space="preserve">ighlights </w:t>
      </w:r>
    </w:p>
    <w:p w14:paraId="5AFB36EB" w14:textId="53BF5682" w:rsidR="003538AD" w:rsidRPr="006F6CD0" w:rsidRDefault="003538AD" w:rsidP="00DF2797">
      <w:pPr>
        <w:pStyle w:val="BodyText"/>
      </w:pPr>
      <w:r w:rsidRPr="00775302">
        <w:t xml:space="preserve">In 2020-21, the Education </w:t>
      </w:r>
      <w:r w:rsidR="00CF637D">
        <w:t>C</w:t>
      </w:r>
      <w:r w:rsidRPr="00775302">
        <w:t>luster will invest $</w:t>
      </w:r>
      <w:r w:rsidR="002B188F" w:rsidRPr="00775302">
        <w:t>217.4 million</w:t>
      </w:r>
      <w:r w:rsidRPr="00775302">
        <w:t xml:space="preserve"> ($</w:t>
      </w:r>
      <w:r w:rsidR="002B188F" w:rsidRPr="00775302">
        <w:t>17</w:t>
      </w:r>
      <w:r w:rsidR="0082220C" w:rsidRPr="00775302">
        <w:t>1.5</w:t>
      </w:r>
      <w:r w:rsidR="002B188F" w:rsidRPr="00775302">
        <w:t xml:space="preserve"> million</w:t>
      </w:r>
      <w:r w:rsidRPr="00775302">
        <w:t xml:space="preserve"> recurrent expenses and $</w:t>
      </w:r>
      <w:r w:rsidR="002B188F" w:rsidRPr="00775302">
        <w:t>45.9</w:t>
      </w:r>
      <w:r w:rsidRPr="00775302">
        <w:t xml:space="preserve"> million capital expenditure) </w:t>
      </w:r>
      <w:r w:rsidR="00654587" w:rsidRPr="00775302">
        <w:t xml:space="preserve">in this </w:t>
      </w:r>
      <w:r w:rsidR="00FE043F">
        <w:t>O</w:t>
      </w:r>
      <w:r w:rsidR="00654587" w:rsidRPr="00775302">
        <w:t>utcome</w:t>
      </w:r>
      <w:r w:rsidRPr="00775302">
        <w:t>, including</w:t>
      </w:r>
      <w:r w:rsidR="004849AB">
        <w:t>:</w:t>
      </w:r>
    </w:p>
    <w:p w14:paraId="0AC89D0F" w14:textId="131684D3" w:rsidR="002B188F" w:rsidRDefault="002B188F" w:rsidP="00A635DC">
      <w:pPr>
        <w:pStyle w:val="Bullet1"/>
      </w:pPr>
      <w:r>
        <w:t>$8.8 million to undertake an ambitious curriculum reform program, streamlining and strengthening what is taught in NSW schools over the next four years</w:t>
      </w:r>
    </w:p>
    <w:p w14:paraId="4D3DED77" w14:textId="7CF5615E" w:rsidR="002B188F" w:rsidRDefault="002B188F" w:rsidP="001B77CD">
      <w:pPr>
        <w:pStyle w:val="Bullet1"/>
      </w:pPr>
      <w:r>
        <w:t xml:space="preserve">$2.5 million for teacher accreditation authorities to ensure that professional teaching standards are applied fairly and consistently </w:t>
      </w:r>
    </w:p>
    <w:p w14:paraId="5BCBBDBA" w14:textId="109BBED4" w:rsidR="002B188F" w:rsidRDefault="002B188F" w:rsidP="001B77CD">
      <w:pPr>
        <w:pStyle w:val="Bullet1"/>
      </w:pPr>
      <w:r>
        <w:t xml:space="preserve">$2.3 million towards providers of initial teacher education and professional learning courses to better meet the needs of the profession </w:t>
      </w:r>
    </w:p>
    <w:p w14:paraId="2C95CED6" w14:textId="77777777" w:rsidR="00796EEA" w:rsidRDefault="002B188F" w:rsidP="001B77CD">
      <w:pPr>
        <w:pStyle w:val="Bullet1"/>
      </w:pPr>
      <w:r>
        <w:t xml:space="preserve">$1.9 million towards teachers seeking to progress to the Highly Accomplished and Lead Teacher accreditation levels. </w:t>
      </w:r>
    </w:p>
    <w:p w14:paraId="228A4F6C" w14:textId="4D365990" w:rsidR="00D72594" w:rsidRPr="00DC6435" w:rsidRDefault="00D72594" w:rsidP="00D72594">
      <w:pPr>
        <w:pStyle w:val="Heading3"/>
        <w:rPr>
          <w:rFonts w:cs="Arial"/>
        </w:rPr>
      </w:pPr>
      <w:r w:rsidRPr="00DC6435">
        <w:rPr>
          <w:rFonts w:cs="Arial"/>
        </w:rPr>
        <w:t xml:space="preserve">Key performance insights </w:t>
      </w:r>
    </w:p>
    <w:p w14:paraId="63CAD026" w14:textId="4185D6DE" w:rsidR="002B188F" w:rsidRPr="002B188F" w:rsidRDefault="00FE043F" w:rsidP="001B77CD">
      <w:pPr>
        <w:pStyle w:val="BodyText"/>
      </w:pPr>
      <w:r>
        <w:t xml:space="preserve">NESA </w:t>
      </w:r>
      <w:r w:rsidR="00712BB6">
        <w:t>has</w:t>
      </w:r>
      <w:r w:rsidR="002F47A7">
        <w:t xml:space="preserve"> </w:t>
      </w:r>
      <w:r w:rsidR="002B188F" w:rsidRPr="002B188F">
        <w:t>develop</w:t>
      </w:r>
      <w:r w:rsidR="00712BB6">
        <w:t>ed two</w:t>
      </w:r>
      <w:r w:rsidR="002B188F" w:rsidRPr="002B188F">
        <w:t xml:space="preserve"> Outcome Indicators in line with the agency’s major</w:t>
      </w:r>
      <w:r w:rsidR="00DD41B5">
        <w:t xml:space="preserve"> reform</w:t>
      </w:r>
      <w:r w:rsidR="002B188F" w:rsidRPr="002B188F">
        <w:t xml:space="preserve"> initiative</w:t>
      </w:r>
      <w:r w:rsidR="00726CBB">
        <w:t>s</w:t>
      </w:r>
      <w:r w:rsidR="00BF7078">
        <w:t>.</w:t>
      </w:r>
    </w:p>
    <w:p w14:paraId="27428C07" w14:textId="586066C7" w:rsidR="000D0650" w:rsidRDefault="002B188F" w:rsidP="001B77CD">
      <w:pPr>
        <w:pStyle w:val="Heading4"/>
      </w:pPr>
      <w:r w:rsidRPr="0014670F">
        <w:t>Proportion of teachers with a clear understanding of curriculum requirements</w:t>
      </w:r>
      <w:r w:rsidR="00F47CA1">
        <w:t xml:space="preserve"> </w:t>
      </w:r>
    </w:p>
    <w:p w14:paraId="46D62843" w14:textId="60CCAE2B" w:rsidR="002B188F" w:rsidRDefault="002B188F" w:rsidP="001B77CD">
      <w:pPr>
        <w:pStyle w:val="BodyText"/>
      </w:pPr>
      <w:r w:rsidRPr="002B188F">
        <w:t>NESA is leading a major program of curriculum reform</w:t>
      </w:r>
      <w:r w:rsidR="002F47A7">
        <w:t>, and t</w:t>
      </w:r>
      <w:r w:rsidR="00DD41B5">
        <w:t xml:space="preserve">his </w:t>
      </w:r>
      <w:r w:rsidR="00847C1E">
        <w:t xml:space="preserve">new </w:t>
      </w:r>
      <w:r w:rsidRPr="002B188F">
        <w:t xml:space="preserve">Outcome Indicator </w:t>
      </w:r>
      <w:r w:rsidR="00DD41B5">
        <w:t xml:space="preserve">will demonstrate </w:t>
      </w:r>
      <w:r w:rsidR="00847C1E">
        <w:t xml:space="preserve">that </w:t>
      </w:r>
      <w:r w:rsidR="00DD41B5">
        <w:t>NESA</w:t>
      </w:r>
      <w:r w:rsidR="00847C1E">
        <w:t xml:space="preserve"> is effectively</w:t>
      </w:r>
      <w:r w:rsidRPr="002B188F">
        <w:t xml:space="preserve"> support</w:t>
      </w:r>
      <w:r w:rsidR="00DD41B5">
        <w:t>ing teachers</w:t>
      </w:r>
      <w:r w:rsidRPr="002B188F">
        <w:t xml:space="preserve"> as the </w:t>
      </w:r>
      <w:r w:rsidR="00847C1E">
        <w:t xml:space="preserve">reform </w:t>
      </w:r>
      <w:r w:rsidR="00F47CA1">
        <w:t xml:space="preserve">program </w:t>
      </w:r>
      <w:r w:rsidRPr="002B188F">
        <w:t xml:space="preserve">progresses.  </w:t>
      </w:r>
    </w:p>
    <w:p w14:paraId="5DABCDB1" w14:textId="2B739754" w:rsidR="00726CBB" w:rsidRPr="002B188F" w:rsidRDefault="00847C1E" w:rsidP="001B77CD">
      <w:pPr>
        <w:pStyle w:val="BodyText"/>
      </w:pPr>
      <w:r>
        <w:t xml:space="preserve">An increasing proportion of teachers with a clear understanding of curriculum requirements will demonstrate that NESA is providing teachers with the support required to teach syllabus content effectively. </w:t>
      </w:r>
      <w:r w:rsidR="00726CBB" w:rsidRPr="00726CBB">
        <w:t>Understanding the degree to which teachers are clear about NSW curriculum requirements is an important measure that will guide NESA in how</w:t>
      </w:r>
      <w:r w:rsidR="00726CBB">
        <w:t xml:space="preserve"> it goes about developing syllabus content, c</w:t>
      </w:r>
      <w:r w:rsidR="00726CBB" w:rsidRPr="00726CBB">
        <w:t>ommunicating syllabus requirements to teacher</w:t>
      </w:r>
      <w:r w:rsidR="00726CBB">
        <w:t xml:space="preserve">s, and developing </w:t>
      </w:r>
      <w:r w:rsidR="00726CBB" w:rsidRPr="00726CBB">
        <w:t xml:space="preserve">curriculum support resources. </w:t>
      </w:r>
    </w:p>
    <w:p w14:paraId="25AF856A" w14:textId="0015DFE6" w:rsidR="000D0650" w:rsidRPr="001B77CD" w:rsidRDefault="002B188F" w:rsidP="001B77CD">
      <w:pPr>
        <w:pStyle w:val="Heading4"/>
      </w:pPr>
      <w:r w:rsidRPr="001B77CD">
        <w:t>Proportion of teachers and schools with a clear understanding of school regulation and teacher accreditation requirements</w:t>
      </w:r>
      <w:r w:rsidR="00F47CA1" w:rsidRPr="001B77CD">
        <w:t xml:space="preserve"> </w:t>
      </w:r>
    </w:p>
    <w:p w14:paraId="181CE5D8" w14:textId="3B651BBE" w:rsidR="00847C1E" w:rsidRPr="001B77CD" w:rsidRDefault="002B188F" w:rsidP="001B77CD">
      <w:pPr>
        <w:pStyle w:val="BodyText"/>
      </w:pPr>
      <w:r w:rsidRPr="002B188F">
        <w:t xml:space="preserve">This </w:t>
      </w:r>
      <w:r w:rsidR="00DD41B5">
        <w:t xml:space="preserve">new Outcome </w:t>
      </w:r>
      <w:r w:rsidR="00BF7078">
        <w:t>I</w:t>
      </w:r>
      <w:r w:rsidR="00DD41B5">
        <w:t>ndicator will demonstrate NESA’s performance in r</w:t>
      </w:r>
      <w:r w:rsidRPr="002B188F">
        <w:t>esponding to customer needs.</w:t>
      </w:r>
      <w:r w:rsidR="00847C1E">
        <w:t xml:space="preserve"> </w:t>
      </w:r>
      <w:r w:rsidR="00726CBB" w:rsidRPr="001B77CD">
        <w:t>An increasing proportion of teachers reporting a clear understanding of school regulation and teacher accreditation requirements will reflect that NESA is contin</w:t>
      </w:r>
      <w:r w:rsidR="00847C1E" w:rsidRPr="001B77CD">
        <w:t>uously s</w:t>
      </w:r>
      <w:r w:rsidR="00726CBB" w:rsidRPr="001B77CD">
        <w:t xml:space="preserve">treamlining regulatory </w:t>
      </w:r>
      <w:r w:rsidR="006304D3" w:rsidRPr="001B77CD">
        <w:t>requirements and</w:t>
      </w:r>
      <w:r w:rsidR="00726CBB" w:rsidRPr="001B77CD">
        <w:t xml:space="preserve"> communicating clearly to teachers and school leaders about what teachers need to do to meet the requirement</w:t>
      </w:r>
      <w:r w:rsidR="00847C1E" w:rsidRPr="001B77CD">
        <w:t xml:space="preserve">s. </w:t>
      </w:r>
    </w:p>
    <w:p w14:paraId="690C22CD" w14:textId="66566BA2" w:rsidR="00283D3B" w:rsidRDefault="00847C1E" w:rsidP="001B77CD">
      <w:pPr>
        <w:pStyle w:val="BodyText"/>
      </w:pPr>
      <w:r w:rsidRPr="001B77CD">
        <w:t>It will also reflect that NESA is r</w:t>
      </w:r>
      <w:r w:rsidR="00726CBB" w:rsidRPr="001B77CD">
        <w:t>educing the administrative burden on schools, through simpler and clearer processes and reducing the time required for teachers and school leaders to engage with NESA change initiatives.  </w:t>
      </w:r>
    </w:p>
    <w:p w14:paraId="1C6C1041" w14:textId="77777777" w:rsidR="00283D3B" w:rsidRDefault="00283D3B">
      <w:pPr>
        <w:rPr>
          <w:rFonts w:eastAsiaTheme="minorHAnsi" w:cs="Arial"/>
          <w:bCs/>
          <w:sz w:val="23"/>
        </w:rPr>
      </w:pPr>
      <w:r>
        <w:br w:type="page"/>
      </w:r>
    </w:p>
    <w:p w14:paraId="1429DA6C" w14:textId="6DCC71EE" w:rsidR="004939C0" w:rsidRDefault="002B188F" w:rsidP="001B77CD">
      <w:pPr>
        <w:pStyle w:val="BodyText"/>
      </w:pPr>
      <w:r w:rsidRPr="002B188F">
        <w:lastRenderedPageBreak/>
        <w:t xml:space="preserve">NESA is developing surveys </w:t>
      </w:r>
      <w:r w:rsidR="00F23E52">
        <w:t xml:space="preserve">to establish baseline performance and targets </w:t>
      </w:r>
      <w:r w:rsidRPr="002B188F">
        <w:t xml:space="preserve">for each indicator as part of the </w:t>
      </w:r>
      <w:r w:rsidR="00F47CA1">
        <w:t xml:space="preserve">implementation of </w:t>
      </w:r>
      <w:r w:rsidRPr="002B188F">
        <w:t>NSW curriculum reform</w:t>
      </w:r>
      <w:r w:rsidR="00F47CA1">
        <w:t>,</w:t>
      </w:r>
      <w:r w:rsidRPr="002B188F">
        <w:t xml:space="preserve"> school regulation and teacher accreditation programs. Preliminary data will be available in 2021, from which baseline and target performance will be set.</w:t>
      </w:r>
    </w:p>
    <w:p w14:paraId="573BA993" w14:textId="26E55ED2" w:rsidR="000532CF" w:rsidRDefault="000532CF" w:rsidP="001B77CD">
      <w:pPr>
        <w:pStyle w:val="BodyText"/>
      </w:pPr>
    </w:p>
    <w:p w14:paraId="48735FC7" w14:textId="77777777" w:rsidR="000532CF" w:rsidRPr="006528B7" w:rsidRDefault="000532CF" w:rsidP="002B188F">
      <w:pPr>
        <w:autoSpaceDE w:val="0"/>
        <w:autoSpaceDN w:val="0"/>
        <w:adjustRightInd w:val="0"/>
        <w:rPr>
          <w:rFonts w:cs="Arial"/>
          <w:sz w:val="23"/>
          <w:szCs w:val="23"/>
        </w:rPr>
      </w:pPr>
    </w:p>
    <w:sectPr w:rsidR="000532CF" w:rsidRPr="006528B7" w:rsidSect="006540A5">
      <w:headerReference w:type="even" r:id="rId22"/>
      <w:headerReference w:type="default" r:id="rId23"/>
      <w:footerReference w:type="even" r:id="rId24"/>
      <w:footerReference w:type="default" r:id="rId25"/>
      <w:headerReference w:type="first" r:id="rId26"/>
      <w:footerReference w:type="first" r:id="rId27"/>
      <w:pgSz w:w="11907" w:h="16840" w:code="9"/>
      <w:pgMar w:top="1134" w:right="1134" w:bottom="851" w:left="1134" w:header="454"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9A508" w14:textId="77777777" w:rsidR="004179E4" w:rsidRDefault="004179E4">
      <w:r>
        <w:separator/>
      </w:r>
    </w:p>
    <w:p w14:paraId="5AFD0649" w14:textId="77777777" w:rsidR="004179E4" w:rsidRDefault="004179E4"/>
  </w:endnote>
  <w:endnote w:type="continuationSeparator" w:id="0">
    <w:p w14:paraId="35A9F260" w14:textId="77777777" w:rsidR="004179E4" w:rsidRDefault="004179E4">
      <w:r>
        <w:continuationSeparator/>
      </w:r>
    </w:p>
    <w:p w14:paraId="53C41F72" w14:textId="77777777" w:rsidR="004179E4" w:rsidRDefault="004179E4"/>
  </w:endnote>
  <w:endnote w:type="continuationNotice" w:id="1">
    <w:p w14:paraId="1846EE2A" w14:textId="77777777" w:rsidR="004179E4" w:rsidRDefault="004179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AF09C" w14:textId="2B8889DC" w:rsidR="00CD7070" w:rsidRDefault="00CD7070" w:rsidP="00CD7070">
    <w:pPr>
      <w:pStyle w:val="Footer"/>
      <w:pBdr>
        <w:top w:val="single" w:sz="4" w:space="4" w:color="auto"/>
      </w:pBdr>
      <w:tabs>
        <w:tab w:val="clear" w:pos="7655"/>
        <w:tab w:val="right" w:pos="9639"/>
      </w:tabs>
      <w:rPr>
        <w:szCs w:val="18"/>
      </w:rPr>
    </w:pPr>
    <w:r>
      <w:rPr>
        <w:szCs w:val="18"/>
      </w:rPr>
      <w:t>2</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sidR="004A4DD0">
      <w:rPr>
        <w:noProof/>
        <w:szCs w:val="18"/>
      </w:rPr>
      <w:t>2</w:t>
    </w:r>
    <w:r w:rsidRPr="00D67CF6">
      <w:rPr>
        <w:szCs w:val="18"/>
      </w:rPr>
      <w:fldChar w:fldCharType="end"/>
    </w:r>
    <w:r>
      <w:rPr>
        <w:szCs w:val="18"/>
      </w:rPr>
      <w:tab/>
    </w:r>
    <w:r w:rsidRPr="00913FBD">
      <w:rPr>
        <w:szCs w:val="14"/>
      </w:rPr>
      <w:t>Outcome</w:t>
    </w:r>
    <w:r>
      <w:rPr>
        <w:szCs w:val="14"/>
      </w:rPr>
      <w:t>s</w:t>
    </w:r>
    <w:r w:rsidRPr="00913FBD">
      <w:rPr>
        <w:szCs w:val="14"/>
      </w:rPr>
      <w:t xml:space="preserve"> Statement 2020-21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5C175" w14:textId="41C6776A" w:rsidR="00CD7070" w:rsidRDefault="00CD7070" w:rsidP="00CD7070">
    <w:pPr>
      <w:pStyle w:val="Footer"/>
      <w:pBdr>
        <w:top w:val="single" w:sz="4" w:space="4" w:color="auto"/>
      </w:pBdr>
      <w:tabs>
        <w:tab w:val="clear" w:pos="7655"/>
        <w:tab w:val="right" w:pos="9639"/>
      </w:tabs>
      <w:rPr>
        <w:szCs w:val="18"/>
      </w:rPr>
    </w:pPr>
    <w:r w:rsidRPr="00913FBD">
      <w:rPr>
        <w:szCs w:val="14"/>
      </w:rPr>
      <w:t>Outcome</w:t>
    </w:r>
    <w:r>
      <w:rPr>
        <w:szCs w:val="14"/>
      </w:rPr>
      <w:t>s</w:t>
    </w:r>
    <w:r w:rsidRPr="00913FBD">
      <w:rPr>
        <w:szCs w:val="14"/>
      </w:rPr>
      <w:t xml:space="preserve"> Statement 2020-21</w:t>
    </w:r>
    <w:r>
      <w:rPr>
        <w:szCs w:val="14"/>
      </w:rPr>
      <w:tab/>
    </w:r>
    <w:r>
      <w:rPr>
        <w:szCs w:val="18"/>
      </w:rPr>
      <w:t>2</w:t>
    </w:r>
    <w:r w:rsidRPr="00D67CF6">
      <w:rPr>
        <w:szCs w:val="18"/>
      </w:rPr>
      <w:t xml:space="preserve"> - </w:t>
    </w:r>
    <w:r w:rsidRPr="002167AF">
      <w:rPr>
        <w:rFonts w:cs="Arial"/>
        <w:szCs w:val="18"/>
      </w:rPr>
      <w:fldChar w:fldCharType="begin"/>
    </w:r>
    <w:r w:rsidRPr="002167AF">
      <w:rPr>
        <w:rFonts w:cs="Arial"/>
        <w:szCs w:val="18"/>
      </w:rPr>
      <w:instrText xml:space="preserve"> PAGE  \* MERGEFORMAT </w:instrText>
    </w:r>
    <w:r w:rsidRPr="002167AF">
      <w:rPr>
        <w:rFonts w:cs="Arial"/>
        <w:szCs w:val="18"/>
      </w:rPr>
      <w:fldChar w:fldCharType="separate"/>
    </w:r>
    <w:r w:rsidR="004A4DD0">
      <w:rPr>
        <w:rFonts w:cs="Arial"/>
        <w:noProof/>
        <w:szCs w:val="18"/>
      </w:rPr>
      <w:t>15</w:t>
    </w:r>
    <w:r w:rsidRPr="002167AF">
      <w:rPr>
        <w:rFonts w:cs="Arial"/>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13F51" w14:textId="16E12227" w:rsidR="00413AB1" w:rsidRPr="00497A27" w:rsidRDefault="00413AB1" w:rsidP="00E27C10">
    <w:pPr>
      <w:pStyle w:val="Footer"/>
      <w:pBdr>
        <w:top w:val="single" w:sz="4" w:space="4" w:color="auto"/>
      </w:pBdr>
      <w:tabs>
        <w:tab w:val="clear" w:pos="7655"/>
        <w:tab w:val="right" w:pos="9639"/>
      </w:tabs>
      <w:rPr>
        <w:szCs w:val="14"/>
      </w:rPr>
    </w:pPr>
    <w:r w:rsidRPr="00913FBD">
      <w:rPr>
        <w:szCs w:val="14"/>
      </w:rPr>
      <w:t>Outcome</w:t>
    </w:r>
    <w:r>
      <w:rPr>
        <w:szCs w:val="14"/>
      </w:rPr>
      <w:t>s</w:t>
    </w:r>
    <w:r w:rsidRPr="00913FBD">
      <w:rPr>
        <w:szCs w:val="14"/>
      </w:rPr>
      <w:t xml:space="preserve"> Statement 2020-21</w:t>
    </w:r>
    <w:r w:rsidR="00FD6903">
      <w:rPr>
        <w:szCs w:val="14"/>
      </w:rPr>
      <w:tab/>
    </w:r>
    <w:r w:rsidR="00FD6903">
      <w:rPr>
        <w:szCs w:val="18"/>
      </w:rPr>
      <w:t>2</w:t>
    </w:r>
    <w:r w:rsidR="00FD6903" w:rsidRPr="00D67CF6">
      <w:rPr>
        <w:szCs w:val="18"/>
      </w:rPr>
      <w:t xml:space="preserve"> - </w:t>
    </w:r>
    <w:r w:rsidR="00FD6903" w:rsidRPr="00D67CF6">
      <w:rPr>
        <w:szCs w:val="18"/>
      </w:rPr>
      <w:fldChar w:fldCharType="begin"/>
    </w:r>
    <w:r w:rsidR="00FD6903" w:rsidRPr="00D67CF6">
      <w:rPr>
        <w:szCs w:val="18"/>
      </w:rPr>
      <w:instrText xml:space="preserve"> PAGE  \* MERGEFORMAT </w:instrText>
    </w:r>
    <w:r w:rsidR="00FD6903" w:rsidRPr="00D67CF6">
      <w:rPr>
        <w:szCs w:val="18"/>
      </w:rPr>
      <w:fldChar w:fldCharType="separate"/>
    </w:r>
    <w:r w:rsidR="004A4DD0">
      <w:rPr>
        <w:noProof/>
        <w:szCs w:val="18"/>
      </w:rPr>
      <w:t>1</w:t>
    </w:r>
    <w:r w:rsidR="00FD6903" w:rsidRPr="00D67CF6">
      <w:rP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7FCA0" w14:textId="77777777" w:rsidR="004179E4" w:rsidRDefault="004179E4">
      <w:pPr>
        <w:spacing w:before="120"/>
      </w:pPr>
      <w:r>
        <w:separator/>
      </w:r>
    </w:p>
    <w:p w14:paraId="05836B5B" w14:textId="77777777" w:rsidR="004179E4" w:rsidRDefault="004179E4"/>
  </w:footnote>
  <w:footnote w:type="continuationSeparator" w:id="0">
    <w:p w14:paraId="0DEF0010" w14:textId="77777777" w:rsidR="004179E4" w:rsidRDefault="004179E4">
      <w:pPr>
        <w:spacing w:before="120"/>
      </w:pPr>
      <w:r>
        <w:continuationSeparator/>
      </w:r>
    </w:p>
    <w:p w14:paraId="24E21C23" w14:textId="77777777" w:rsidR="004179E4" w:rsidRDefault="004179E4"/>
  </w:footnote>
  <w:footnote w:type="continuationNotice" w:id="1">
    <w:p w14:paraId="66AFC1D2" w14:textId="77777777" w:rsidR="004179E4" w:rsidRDefault="004179E4">
      <w:pPr>
        <w:rPr>
          <w:sz w:val="16"/>
        </w:rPr>
      </w:pPr>
    </w:p>
    <w:p w14:paraId="7FAB71BF" w14:textId="77777777" w:rsidR="004179E4" w:rsidRDefault="004179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D81FA" w14:textId="77777777" w:rsidR="008C1629" w:rsidRPr="00D67CF6" w:rsidRDefault="008C1629" w:rsidP="008C1629">
    <w:pPr>
      <w:pStyle w:val="HeaderHeading"/>
      <w:pageBreakBefore w:val="0"/>
      <w:pBdr>
        <w:bottom w:val="single" w:sz="4" w:space="4" w:color="auto"/>
      </w:pBdr>
      <w:rPr>
        <w:rFonts w:ascii="Arial" w:hAnsi="Arial"/>
        <w:sz w:val="18"/>
        <w:szCs w:val="18"/>
      </w:rPr>
    </w:pPr>
    <w:r>
      <w:rPr>
        <w:rFonts w:ascii="Arial" w:hAnsi="Arial"/>
        <w:sz w:val="18"/>
        <w:szCs w:val="18"/>
      </w:rPr>
      <w:t>Education Cluster</w:t>
    </w:r>
  </w:p>
  <w:p w14:paraId="58CA0710" w14:textId="13672E83" w:rsidR="00413AB1" w:rsidRPr="008C1629" w:rsidRDefault="00413AB1" w:rsidP="008C16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A87D3" w14:textId="77777777" w:rsidR="002167AF" w:rsidRPr="00D67CF6" w:rsidRDefault="002167AF" w:rsidP="002167AF">
    <w:pPr>
      <w:pStyle w:val="HeaderHeading"/>
      <w:pageBreakBefore w:val="0"/>
      <w:pBdr>
        <w:bottom w:val="single" w:sz="4" w:space="4" w:color="auto"/>
      </w:pBdr>
      <w:jc w:val="right"/>
      <w:rPr>
        <w:rFonts w:ascii="Arial" w:hAnsi="Arial"/>
        <w:sz w:val="18"/>
        <w:szCs w:val="18"/>
      </w:rPr>
    </w:pPr>
    <w:r>
      <w:rPr>
        <w:rFonts w:ascii="Arial" w:hAnsi="Arial"/>
        <w:sz w:val="18"/>
        <w:szCs w:val="18"/>
      </w:rPr>
      <w:t>Education Cluster</w:t>
    </w:r>
  </w:p>
  <w:p w14:paraId="13F1E5E5" w14:textId="32C8D103" w:rsidR="00413AB1" w:rsidRDefault="00413AB1" w:rsidP="00D961E9">
    <w:pP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1FE57" w14:textId="5D071FB4" w:rsidR="00413AB1" w:rsidRPr="00A62927" w:rsidRDefault="00413AB1" w:rsidP="002F5865">
    <w:pPr>
      <w:pStyle w:val="HeaderHeading"/>
      <w:pageBreakBefore w:val="0"/>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4F9C"/>
    <w:multiLevelType w:val="hybridMultilevel"/>
    <w:tmpl w:val="8C5642C6"/>
    <w:lvl w:ilvl="0" w:tplc="099CE534">
      <w:start w:val="1"/>
      <w:numFmt w:val="bullet"/>
      <w:lvlText w:val=""/>
      <w:lvlJc w:val="left"/>
      <w:pPr>
        <w:ind w:left="720" w:hanging="360"/>
      </w:pPr>
      <w:rPr>
        <w:rFonts w:ascii="Symbol" w:hAnsi="Symbol" w:hint="default"/>
        <w:color w:val="0579B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DE5882"/>
    <w:multiLevelType w:val="hybridMultilevel"/>
    <w:tmpl w:val="022A7A84"/>
    <w:lvl w:ilvl="0" w:tplc="390CDF6E">
      <w:start w:val="1"/>
      <w:numFmt w:val="bullet"/>
      <w:pStyle w:val="Bullet3"/>
      <w:lvlText w:val=""/>
      <w:lvlJc w:val="left"/>
      <w:pPr>
        <w:tabs>
          <w:tab w:val="num" w:pos="1276"/>
        </w:tabs>
        <w:ind w:left="1276" w:hanging="425"/>
      </w:pPr>
      <w:rPr>
        <w:rFonts w:ascii="Symbol" w:hAnsi="Symbol" w:hint="default"/>
        <w:sz w:val="22"/>
      </w:rPr>
    </w:lvl>
    <w:lvl w:ilvl="1" w:tplc="25CC737E">
      <w:numFmt w:val="decimal"/>
      <w:lvlText w:val=""/>
      <w:lvlJc w:val="left"/>
    </w:lvl>
    <w:lvl w:ilvl="2" w:tplc="3A22B782">
      <w:numFmt w:val="decimal"/>
      <w:lvlText w:val=""/>
      <w:lvlJc w:val="left"/>
    </w:lvl>
    <w:lvl w:ilvl="3" w:tplc="99E42670">
      <w:numFmt w:val="decimal"/>
      <w:lvlText w:val=""/>
      <w:lvlJc w:val="left"/>
    </w:lvl>
    <w:lvl w:ilvl="4" w:tplc="1C72806A">
      <w:numFmt w:val="decimal"/>
      <w:lvlText w:val=""/>
      <w:lvlJc w:val="left"/>
    </w:lvl>
    <w:lvl w:ilvl="5" w:tplc="D52A3620">
      <w:numFmt w:val="decimal"/>
      <w:lvlText w:val=""/>
      <w:lvlJc w:val="left"/>
    </w:lvl>
    <w:lvl w:ilvl="6" w:tplc="E5D24BE2">
      <w:numFmt w:val="decimal"/>
      <w:lvlText w:val=""/>
      <w:lvlJc w:val="left"/>
    </w:lvl>
    <w:lvl w:ilvl="7" w:tplc="86641EEE">
      <w:numFmt w:val="decimal"/>
      <w:lvlText w:val=""/>
      <w:lvlJc w:val="left"/>
    </w:lvl>
    <w:lvl w:ilvl="8" w:tplc="D8A0246C">
      <w:numFmt w:val="decimal"/>
      <w:lvlText w:val=""/>
      <w:lvlJc w:val="left"/>
    </w:lvl>
  </w:abstractNum>
  <w:abstractNum w:abstractNumId="2" w15:restartNumberingAfterBreak="0">
    <w:nsid w:val="0ADB3169"/>
    <w:multiLevelType w:val="hybridMultilevel"/>
    <w:tmpl w:val="3454E858"/>
    <w:lvl w:ilvl="0" w:tplc="E9FADD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CB4AFF"/>
    <w:multiLevelType w:val="hybridMultilevel"/>
    <w:tmpl w:val="C4CC58DA"/>
    <w:lvl w:ilvl="0" w:tplc="54B061C6">
      <w:start w:val="1"/>
      <w:numFmt w:val="bullet"/>
      <w:pStyle w:val="ListBullet1"/>
      <w:lvlText w:val=""/>
      <w:lvlJc w:val="left"/>
      <w:pPr>
        <w:tabs>
          <w:tab w:val="num" w:pos="454"/>
        </w:tabs>
        <w:ind w:left="454" w:hanging="454"/>
      </w:pPr>
      <w:rPr>
        <w:rFonts w:ascii="Symbol" w:hAnsi="Symbol" w:hint="default"/>
      </w:rPr>
    </w:lvl>
    <w:lvl w:ilvl="1" w:tplc="5A70E5E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7E4323"/>
    <w:multiLevelType w:val="hybridMultilevel"/>
    <w:tmpl w:val="BE4AA88E"/>
    <w:lvl w:ilvl="0" w:tplc="8302496C">
      <w:start w:val="1"/>
      <w:numFmt w:val="decimal"/>
      <w:pStyle w:val="Table3X"/>
      <w:lvlText w:val="Table 3.%1:"/>
      <w:lvlJc w:val="left"/>
      <w:pPr>
        <w:ind w:left="360" w:hanging="360"/>
      </w:pPr>
      <w:rPr>
        <w:rFonts w:ascii="Arial" w:hAnsi="Arial" w:hint="default"/>
        <w:b w:val="0"/>
        <w:i/>
        <w:caps w:val="0"/>
        <w:color w:val="4F4F4F"/>
        <w:sz w:val="22"/>
        <w:u w:val="none"/>
      </w:rPr>
    </w:lvl>
    <w:lvl w:ilvl="1" w:tplc="0C090019">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26D05A9"/>
    <w:multiLevelType w:val="hybridMultilevel"/>
    <w:tmpl w:val="37C61114"/>
    <w:lvl w:ilvl="0" w:tplc="6D62BE0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3C1956"/>
    <w:multiLevelType w:val="hybridMultilevel"/>
    <w:tmpl w:val="D2A47B8C"/>
    <w:lvl w:ilvl="0" w:tplc="BFE08ED4">
      <w:start w:val="1"/>
      <w:numFmt w:val="bullet"/>
      <w:lvlText w:val=""/>
      <w:lvlJc w:val="left"/>
      <w:pPr>
        <w:ind w:left="360" w:hanging="360"/>
      </w:pPr>
      <w:rPr>
        <w:rFonts w:ascii="Symbol" w:hAnsi="Symbol" w:hint="default"/>
        <w:color w:val="auto"/>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9B51D8"/>
    <w:multiLevelType w:val="hybridMultilevel"/>
    <w:tmpl w:val="224414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D916870"/>
    <w:multiLevelType w:val="hybridMultilevel"/>
    <w:tmpl w:val="B1801C1C"/>
    <w:lvl w:ilvl="0" w:tplc="5F42C8CE">
      <w:start w:val="1"/>
      <w:numFmt w:val="decimal"/>
      <w:pStyle w:val="StyleListParagraph85pt1"/>
      <w:lvlText w:val="2.%1"/>
      <w:lvlJc w:val="left"/>
      <w:pPr>
        <w:ind w:left="1440" w:hanging="360"/>
      </w:pPr>
      <w:rPr>
        <w:rFonts w:ascii="Arial Bold" w:hAnsi="Arial Bold" w:hint="default"/>
        <w:b/>
        <w:i w:val="0"/>
        <w:color w:val="00ABE6"/>
        <w:sz w:val="28"/>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1FFC4A01"/>
    <w:multiLevelType w:val="hybridMultilevel"/>
    <w:tmpl w:val="95B4A82A"/>
    <w:lvl w:ilvl="0" w:tplc="CD524242">
      <w:start w:val="1"/>
      <w:numFmt w:val="decimal"/>
      <w:pStyle w:val="Heading2"/>
      <w:lvlText w:val="2.%1"/>
      <w:lvlJc w:val="left"/>
      <w:pPr>
        <w:ind w:left="720" w:hanging="360"/>
      </w:pPr>
      <w:rPr>
        <w:rFonts w:ascii="Arial Bold" w:hAnsi="Arial Bold" w:hint="default"/>
        <w:b/>
        <w:i w:val="0"/>
        <w:caps w:val="0"/>
        <w:color w:val="53C8E9"/>
        <w:sz w:val="28"/>
        <w:u w:val="none" w:color="53C8E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3122F6"/>
    <w:multiLevelType w:val="hybridMultilevel"/>
    <w:tmpl w:val="E85A55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2AA192D"/>
    <w:multiLevelType w:val="hybridMultilevel"/>
    <w:tmpl w:val="18BC5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213BD0"/>
    <w:multiLevelType w:val="hybridMultilevel"/>
    <w:tmpl w:val="3454E858"/>
    <w:lvl w:ilvl="0" w:tplc="E9FADD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35467A6"/>
    <w:multiLevelType w:val="hybridMultilevel"/>
    <w:tmpl w:val="502E434E"/>
    <w:lvl w:ilvl="0" w:tplc="55063D7C">
      <w:start w:val="1"/>
      <w:numFmt w:val="bullet"/>
      <w:pStyle w:val="Bullet1"/>
      <w:lvlText w:val=""/>
      <w:lvlJc w:val="left"/>
      <w:pPr>
        <w:ind w:left="360" w:hanging="360"/>
      </w:pPr>
      <w:rPr>
        <w:rFonts w:ascii="Symbol" w:hAnsi="Symbol" w:hint="default"/>
        <w:sz w:val="24"/>
        <w:szCs w:val="24"/>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7A618EB"/>
    <w:multiLevelType w:val="hybridMultilevel"/>
    <w:tmpl w:val="4EDCD694"/>
    <w:lvl w:ilvl="0" w:tplc="C3DEB9B2">
      <w:start w:val="1"/>
      <w:numFmt w:val="decimal"/>
      <w:pStyle w:val="Chart2X"/>
      <w:lvlText w:val="Chart 2.%1:"/>
      <w:lvlJc w:val="left"/>
      <w:pPr>
        <w:ind w:left="7165" w:hanging="360"/>
      </w:pPr>
      <w:rPr>
        <w:rFonts w:ascii="Arial" w:hAnsi="Arial" w:hint="default"/>
        <w:b w:val="0"/>
        <w:i/>
        <w:caps w:val="0"/>
        <w:color w:val="57514D"/>
        <w:sz w:val="22"/>
        <w:u w:val="no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8BB114B"/>
    <w:multiLevelType w:val="hybridMultilevel"/>
    <w:tmpl w:val="8A2C419C"/>
    <w:lvl w:ilvl="0" w:tplc="8970277E">
      <w:start w:val="1"/>
      <w:numFmt w:val="bullet"/>
      <w:pStyle w:val="Bullet1inabox"/>
      <w:lvlText w:val=""/>
      <w:lvlJc w:val="left"/>
      <w:pPr>
        <w:ind w:left="720" w:hanging="360"/>
      </w:pPr>
      <w:rPr>
        <w:rFonts w:ascii="Symbol" w:hAnsi="Symbol" w:hint="default"/>
        <w:color w:val="008EB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CE41DA"/>
    <w:multiLevelType w:val="hybridMultilevel"/>
    <w:tmpl w:val="0B18F3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DF944FB"/>
    <w:multiLevelType w:val="hybridMultilevel"/>
    <w:tmpl w:val="96863882"/>
    <w:lvl w:ilvl="0" w:tplc="75E2C5CE">
      <w:start w:val="1"/>
      <w:numFmt w:val="bullet"/>
      <w:pStyle w:val="Bullet4"/>
      <w:lvlText w:val=""/>
      <w:lvlJc w:val="left"/>
      <w:pPr>
        <w:tabs>
          <w:tab w:val="num" w:pos="1701"/>
        </w:tabs>
        <w:ind w:left="1701" w:hanging="425"/>
      </w:pPr>
      <w:rPr>
        <w:rFonts w:ascii="Symbol" w:hAnsi="Symbol" w:hint="default"/>
        <w:sz w:val="22"/>
      </w:rPr>
    </w:lvl>
    <w:lvl w:ilvl="1" w:tplc="23164CB6">
      <w:numFmt w:val="decimal"/>
      <w:lvlText w:val=""/>
      <w:lvlJc w:val="left"/>
    </w:lvl>
    <w:lvl w:ilvl="2" w:tplc="3AF0644E">
      <w:numFmt w:val="decimal"/>
      <w:lvlText w:val=""/>
      <w:lvlJc w:val="left"/>
    </w:lvl>
    <w:lvl w:ilvl="3" w:tplc="97064EAE">
      <w:numFmt w:val="decimal"/>
      <w:lvlText w:val=""/>
      <w:lvlJc w:val="left"/>
    </w:lvl>
    <w:lvl w:ilvl="4" w:tplc="BC2C83E0">
      <w:numFmt w:val="decimal"/>
      <w:lvlText w:val=""/>
      <w:lvlJc w:val="left"/>
    </w:lvl>
    <w:lvl w:ilvl="5" w:tplc="90D47D2C">
      <w:numFmt w:val="decimal"/>
      <w:lvlText w:val=""/>
      <w:lvlJc w:val="left"/>
    </w:lvl>
    <w:lvl w:ilvl="6" w:tplc="A61632F6">
      <w:numFmt w:val="decimal"/>
      <w:lvlText w:val=""/>
      <w:lvlJc w:val="left"/>
    </w:lvl>
    <w:lvl w:ilvl="7" w:tplc="9950377A">
      <w:numFmt w:val="decimal"/>
      <w:lvlText w:val=""/>
      <w:lvlJc w:val="left"/>
    </w:lvl>
    <w:lvl w:ilvl="8" w:tplc="B76415F4">
      <w:numFmt w:val="decimal"/>
      <w:lvlText w:val=""/>
      <w:lvlJc w:val="left"/>
    </w:lvl>
  </w:abstractNum>
  <w:abstractNum w:abstractNumId="18" w15:restartNumberingAfterBreak="0">
    <w:nsid w:val="43E56852"/>
    <w:multiLevelType w:val="hybridMultilevel"/>
    <w:tmpl w:val="D9345A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7901B8D"/>
    <w:multiLevelType w:val="hybridMultilevel"/>
    <w:tmpl w:val="2B001FA2"/>
    <w:lvl w:ilvl="0" w:tplc="08E8FB3E">
      <w:start w:val="1"/>
      <w:numFmt w:val="decimal"/>
      <w:pStyle w:val="Table21"/>
      <w:lvlText w:val="Table 2.%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9B326F2"/>
    <w:multiLevelType w:val="hybridMultilevel"/>
    <w:tmpl w:val="759EAF3A"/>
    <w:lvl w:ilvl="0" w:tplc="78DE69C2">
      <w:start w:val="1"/>
      <w:numFmt w:val="decimal"/>
      <w:pStyle w:val="21Heading2"/>
      <w:lvlText w:val="2.%1"/>
      <w:lvlJc w:val="left"/>
      <w:pPr>
        <w:ind w:left="720" w:hanging="360"/>
      </w:pPr>
      <w:rPr>
        <w:rFonts w:ascii="Arial Bold" w:hAnsi="Arial Bold" w:hint="default"/>
        <w:b/>
        <w:i w:val="0"/>
        <w:sz w:val="28"/>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0395B02"/>
    <w:multiLevelType w:val="hybridMultilevel"/>
    <w:tmpl w:val="4C722B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1045771"/>
    <w:multiLevelType w:val="hybridMultilevel"/>
    <w:tmpl w:val="CADA9D78"/>
    <w:lvl w:ilvl="0" w:tplc="37E0EB26">
      <w:start w:val="1"/>
      <w:numFmt w:val="decimal"/>
      <w:pStyle w:val="TableHeading"/>
      <w:lvlText w:val="Table x.%1:"/>
      <w:lvlJc w:val="left"/>
      <w:pPr>
        <w:tabs>
          <w:tab w:val="num" w:pos="1440"/>
        </w:tabs>
        <w:ind w:left="360" w:hanging="360"/>
      </w:pPr>
      <w:rPr>
        <w:rFonts w:ascii="Arial" w:hAnsi="Arial"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52BD70C2"/>
    <w:multiLevelType w:val="hybridMultilevel"/>
    <w:tmpl w:val="577A4FCA"/>
    <w:lvl w:ilvl="0" w:tplc="70805084">
      <w:start w:val="1"/>
      <w:numFmt w:val="bullet"/>
      <w:pStyle w:val="Bullet2"/>
      <w:lvlText w:val="–"/>
      <w:lvlJc w:val="left"/>
      <w:pPr>
        <w:tabs>
          <w:tab w:val="num" w:pos="785"/>
        </w:tabs>
        <w:ind w:left="785" w:hanging="360"/>
      </w:pPr>
      <w:rPr>
        <w:rFonts w:ascii="Lucida Sans" w:hAnsi="Lucida Sans" w:hint="default"/>
        <w:sz w:val="24"/>
      </w:rPr>
    </w:lvl>
    <w:lvl w:ilvl="1" w:tplc="0C090001"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6A572E"/>
    <w:multiLevelType w:val="hybridMultilevel"/>
    <w:tmpl w:val="47D8A39C"/>
    <w:lvl w:ilvl="0" w:tplc="98268FC0">
      <w:start w:val="1"/>
      <w:numFmt w:val="decimal"/>
      <w:pStyle w:val="Chart5X"/>
      <w:lvlText w:val="Chart 2.%1:"/>
      <w:lvlJc w:val="left"/>
      <w:pPr>
        <w:ind w:left="360" w:hanging="360"/>
      </w:pPr>
      <w:rPr>
        <w:rFonts w:ascii="Arial" w:hAnsi="Arial" w:hint="default"/>
        <w:b w:val="0"/>
        <w:i/>
        <w:caps w:val="0"/>
        <w:color w:val="4F4F4F"/>
        <w:sz w:val="22"/>
        <w:u w:val="none"/>
        <w:vertAlign w:val="baseli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D46601E"/>
    <w:multiLevelType w:val="hybridMultilevel"/>
    <w:tmpl w:val="7534B582"/>
    <w:lvl w:ilvl="0" w:tplc="0C090001">
      <w:start w:val="1"/>
      <w:numFmt w:val="bullet"/>
      <w:lvlText w:val=""/>
      <w:lvlJc w:val="left"/>
      <w:pPr>
        <w:ind w:left="786" w:hanging="360"/>
      </w:pPr>
      <w:rPr>
        <w:rFonts w:ascii="Symbol" w:hAnsi="Symbol"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6" w15:restartNumberingAfterBreak="0">
    <w:nsid w:val="6D6B71F0"/>
    <w:multiLevelType w:val="hybridMultilevel"/>
    <w:tmpl w:val="919E0636"/>
    <w:lvl w:ilvl="0" w:tplc="A3FEEC18">
      <w:start w:val="1"/>
      <w:numFmt w:val="decimal"/>
      <w:pStyle w:val="11Heading2"/>
      <w:lvlText w:val="1.%1"/>
      <w:lvlJc w:val="left"/>
      <w:pPr>
        <w:ind w:left="786" w:hanging="360"/>
      </w:pPr>
      <w:rPr>
        <w:rFonts w:ascii="Arial Bold" w:hAnsi="Arial Bold" w:hint="default"/>
        <w:b/>
        <w:i w:val="0"/>
        <w:sz w:val="28"/>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ECB1EFF"/>
    <w:multiLevelType w:val="hybridMultilevel"/>
    <w:tmpl w:val="993878E6"/>
    <w:lvl w:ilvl="0" w:tplc="96048AF2">
      <w:start w:val="1"/>
      <w:numFmt w:val="decimal"/>
      <w:pStyle w:val="Chart21"/>
      <w:lvlText w:val="Chart 2.%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45E1539"/>
    <w:multiLevelType w:val="hybridMultilevel"/>
    <w:tmpl w:val="17CE7FAE"/>
    <w:lvl w:ilvl="0" w:tplc="C2108D1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010E7F"/>
    <w:multiLevelType w:val="hybridMultilevel"/>
    <w:tmpl w:val="A06E3D7C"/>
    <w:lvl w:ilvl="0" w:tplc="B2BEB21A">
      <w:start w:val="1"/>
      <w:numFmt w:val="bullet"/>
      <w:pStyle w:val="Bullet2inabox"/>
      <w:lvlText w:val=""/>
      <w:lvlJc w:val="left"/>
      <w:pPr>
        <w:ind w:left="360" w:hanging="360"/>
      </w:pPr>
      <w:rPr>
        <w:rFonts w:ascii="Symbol" w:hAnsi="Symbol" w:hint="default"/>
        <w:color w:val="auto"/>
        <w:sz w:val="23"/>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3"/>
  </w:num>
  <w:num w:numId="2">
    <w:abstractNumId w:val="1"/>
  </w:num>
  <w:num w:numId="3">
    <w:abstractNumId w:val="17"/>
  </w:num>
  <w:num w:numId="4">
    <w:abstractNumId w:val="24"/>
  </w:num>
  <w:num w:numId="5">
    <w:abstractNumId w:val="3"/>
  </w:num>
  <w:num w:numId="6">
    <w:abstractNumId w:val="4"/>
  </w:num>
  <w:num w:numId="7">
    <w:abstractNumId w:val="22"/>
  </w:num>
  <w:num w:numId="8">
    <w:abstractNumId w:val="20"/>
  </w:num>
  <w:num w:numId="9">
    <w:abstractNumId w:val="27"/>
  </w:num>
  <w:num w:numId="10">
    <w:abstractNumId w:val="19"/>
  </w:num>
  <w:num w:numId="11">
    <w:abstractNumId w:val="26"/>
  </w:num>
  <w:num w:numId="12">
    <w:abstractNumId w:val="13"/>
  </w:num>
  <w:num w:numId="13">
    <w:abstractNumId w:val="16"/>
  </w:num>
  <w:num w:numId="14">
    <w:abstractNumId w:val="7"/>
  </w:num>
  <w:num w:numId="15">
    <w:abstractNumId w:val="11"/>
  </w:num>
  <w:num w:numId="16">
    <w:abstractNumId w:val="10"/>
  </w:num>
  <w:num w:numId="17">
    <w:abstractNumId w:val="14"/>
  </w:num>
  <w:num w:numId="18">
    <w:abstractNumId w:val="9"/>
  </w:num>
  <w:num w:numId="19">
    <w:abstractNumId w:val="0"/>
  </w:num>
  <w:num w:numId="20">
    <w:abstractNumId w:val="5"/>
  </w:num>
  <w:num w:numId="21">
    <w:abstractNumId w:val="6"/>
  </w:num>
  <w:num w:numId="22">
    <w:abstractNumId w:val="8"/>
  </w:num>
  <w:num w:numId="23">
    <w:abstractNumId w:val="18"/>
  </w:num>
  <w:num w:numId="24">
    <w:abstractNumId w:val="21"/>
  </w:num>
  <w:num w:numId="25">
    <w:abstractNumId w:val="28"/>
  </w:num>
  <w:num w:numId="26">
    <w:abstractNumId w:val="15"/>
  </w:num>
  <w:num w:numId="27">
    <w:abstractNumId w:val="28"/>
  </w:num>
  <w:num w:numId="28">
    <w:abstractNumId w:val="15"/>
  </w:num>
  <w:num w:numId="29">
    <w:abstractNumId w:val="23"/>
  </w:num>
  <w:num w:numId="30">
    <w:abstractNumId w:val="29"/>
  </w:num>
  <w:num w:numId="31">
    <w:abstractNumId w:val="14"/>
  </w:num>
  <w:num w:numId="32">
    <w:abstractNumId w:val="14"/>
  </w:num>
  <w:num w:numId="33">
    <w:abstractNumId w:val="14"/>
  </w:num>
  <w:num w:numId="34">
    <w:abstractNumId w:val="25"/>
  </w:num>
  <w:num w:numId="35">
    <w:abstractNumId w:val="2"/>
  </w:num>
  <w:num w:numId="36">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bookFoldPrintingSheets w:val="-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1CC"/>
    <w:rsid w:val="00000CC4"/>
    <w:rsid w:val="0000153D"/>
    <w:rsid w:val="00001AD4"/>
    <w:rsid w:val="00001D87"/>
    <w:rsid w:val="00002652"/>
    <w:rsid w:val="00004BD4"/>
    <w:rsid w:val="0000554B"/>
    <w:rsid w:val="0000557E"/>
    <w:rsid w:val="000055A4"/>
    <w:rsid w:val="0000563D"/>
    <w:rsid w:val="000058E0"/>
    <w:rsid w:val="00006107"/>
    <w:rsid w:val="000062D8"/>
    <w:rsid w:val="00006B98"/>
    <w:rsid w:val="00006BD9"/>
    <w:rsid w:val="00010048"/>
    <w:rsid w:val="000103C4"/>
    <w:rsid w:val="000106B7"/>
    <w:rsid w:val="00010B2D"/>
    <w:rsid w:val="00010C48"/>
    <w:rsid w:val="00010F5D"/>
    <w:rsid w:val="00011030"/>
    <w:rsid w:val="0001151F"/>
    <w:rsid w:val="00011C2E"/>
    <w:rsid w:val="00011CAE"/>
    <w:rsid w:val="00011DFD"/>
    <w:rsid w:val="000128A3"/>
    <w:rsid w:val="00012B44"/>
    <w:rsid w:val="00012BB1"/>
    <w:rsid w:val="000134DD"/>
    <w:rsid w:val="0001360B"/>
    <w:rsid w:val="00013613"/>
    <w:rsid w:val="0001399C"/>
    <w:rsid w:val="0001495A"/>
    <w:rsid w:val="00015048"/>
    <w:rsid w:val="000150E7"/>
    <w:rsid w:val="00015B82"/>
    <w:rsid w:val="00015E2B"/>
    <w:rsid w:val="000173BE"/>
    <w:rsid w:val="000174BF"/>
    <w:rsid w:val="00017DAD"/>
    <w:rsid w:val="000200A6"/>
    <w:rsid w:val="00020181"/>
    <w:rsid w:val="000204FE"/>
    <w:rsid w:val="00020567"/>
    <w:rsid w:val="0002098F"/>
    <w:rsid w:val="00020DBC"/>
    <w:rsid w:val="00021D11"/>
    <w:rsid w:val="00021E35"/>
    <w:rsid w:val="00022027"/>
    <w:rsid w:val="00022724"/>
    <w:rsid w:val="000228E6"/>
    <w:rsid w:val="00022AB7"/>
    <w:rsid w:val="000230DC"/>
    <w:rsid w:val="00023A22"/>
    <w:rsid w:val="00023D10"/>
    <w:rsid w:val="00024CA9"/>
    <w:rsid w:val="00024E67"/>
    <w:rsid w:val="00024EA2"/>
    <w:rsid w:val="00025CCE"/>
    <w:rsid w:val="000261D7"/>
    <w:rsid w:val="00026B37"/>
    <w:rsid w:val="00026EA6"/>
    <w:rsid w:val="000275F2"/>
    <w:rsid w:val="00027D94"/>
    <w:rsid w:val="000300E6"/>
    <w:rsid w:val="000301C5"/>
    <w:rsid w:val="0003042F"/>
    <w:rsid w:val="00030A12"/>
    <w:rsid w:val="00030D3A"/>
    <w:rsid w:val="000318E0"/>
    <w:rsid w:val="0003194E"/>
    <w:rsid w:val="00031DB0"/>
    <w:rsid w:val="00032E2B"/>
    <w:rsid w:val="00033937"/>
    <w:rsid w:val="000344F7"/>
    <w:rsid w:val="00035434"/>
    <w:rsid w:val="00035D0A"/>
    <w:rsid w:val="00036833"/>
    <w:rsid w:val="00036ADC"/>
    <w:rsid w:val="00036C78"/>
    <w:rsid w:val="0003719F"/>
    <w:rsid w:val="00037A05"/>
    <w:rsid w:val="000407F4"/>
    <w:rsid w:val="00040CF7"/>
    <w:rsid w:val="00041374"/>
    <w:rsid w:val="00041D72"/>
    <w:rsid w:val="00042055"/>
    <w:rsid w:val="000424F7"/>
    <w:rsid w:val="00042507"/>
    <w:rsid w:val="0004262B"/>
    <w:rsid w:val="00042BD7"/>
    <w:rsid w:val="00043266"/>
    <w:rsid w:val="0004337C"/>
    <w:rsid w:val="000434CD"/>
    <w:rsid w:val="000437B2"/>
    <w:rsid w:val="000439F6"/>
    <w:rsid w:val="00043A88"/>
    <w:rsid w:val="000448F2"/>
    <w:rsid w:val="00044A38"/>
    <w:rsid w:val="00045448"/>
    <w:rsid w:val="00045719"/>
    <w:rsid w:val="00045893"/>
    <w:rsid w:val="00045D9F"/>
    <w:rsid w:val="00046271"/>
    <w:rsid w:val="0004643E"/>
    <w:rsid w:val="00046A93"/>
    <w:rsid w:val="00046C09"/>
    <w:rsid w:val="00047CBC"/>
    <w:rsid w:val="00047D16"/>
    <w:rsid w:val="00047DF5"/>
    <w:rsid w:val="00050511"/>
    <w:rsid w:val="00050C23"/>
    <w:rsid w:val="00050FE0"/>
    <w:rsid w:val="00051133"/>
    <w:rsid w:val="00052403"/>
    <w:rsid w:val="0005266A"/>
    <w:rsid w:val="0005308B"/>
    <w:rsid w:val="000532CF"/>
    <w:rsid w:val="000536FD"/>
    <w:rsid w:val="0005411C"/>
    <w:rsid w:val="000549F3"/>
    <w:rsid w:val="00055094"/>
    <w:rsid w:val="00055237"/>
    <w:rsid w:val="000553AE"/>
    <w:rsid w:val="00055E31"/>
    <w:rsid w:val="0005622F"/>
    <w:rsid w:val="000563D1"/>
    <w:rsid w:val="00056ACB"/>
    <w:rsid w:val="00056CBE"/>
    <w:rsid w:val="00057B99"/>
    <w:rsid w:val="00057BE1"/>
    <w:rsid w:val="00060225"/>
    <w:rsid w:val="000604F4"/>
    <w:rsid w:val="00060BF4"/>
    <w:rsid w:val="00062214"/>
    <w:rsid w:val="0006267A"/>
    <w:rsid w:val="00062CCB"/>
    <w:rsid w:val="00062DA6"/>
    <w:rsid w:val="00063AE9"/>
    <w:rsid w:val="00063D75"/>
    <w:rsid w:val="00064579"/>
    <w:rsid w:val="0006469A"/>
    <w:rsid w:val="0006478A"/>
    <w:rsid w:val="0006493F"/>
    <w:rsid w:val="00065C91"/>
    <w:rsid w:val="00066A5E"/>
    <w:rsid w:val="00066BFC"/>
    <w:rsid w:val="00067062"/>
    <w:rsid w:val="000670F4"/>
    <w:rsid w:val="000678FF"/>
    <w:rsid w:val="00067A2E"/>
    <w:rsid w:val="00070515"/>
    <w:rsid w:val="0007105C"/>
    <w:rsid w:val="00071468"/>
    <w:rsid w:val="000717AB"/>
    <w:rsid w:val="000719C0"/>
    <w:rsid w:val="000728E2"/>
    <w:rsid w:val="00072914"/>
    <w:rsid w:val="00072DCA"/>
    <w:rsid w:val="00072E0C"/>
    <w:rsid w:val="000733C2"/>
    <w:rsid w:val="00073B74"/>
    <w:rsid w:val="00073F5D"/>
    <w:rsid w:val="000741B9"/>
    <w:rsid w:val="00074F5B"/>
    <w:rsid w:val="0007521D"/>
    <w:rsid w:val="000754C4"/>
    <w:rsid w:val="00075D2D"/>
    <w:rsid w:val="00075D94"/>
    <w:rsid w:val="000760E2"/>
    <w:rsid w:val="000766AD"/>
    <w:rsid w:val="000766BD"/>
    <w:rsid w:val="0007684A"/>
    <w:rsid w:val="000768C4"/>
    <w:rsid w:val="00076C61"/>
    <w:rsid w:val="00077BCA"/>
    <w:rsid w:val="000802CC"/>
    <w:rsid w:val="000804CB"/>
    <w:rsid w:val="00080650"/>
    <w:rsid w:val="00080772"/>
    <w:rsid w:val="00080E92"/>
    <w:rsid w:val="00081E7B"/>
    <w:rsid w:val="000824C9"/>
    <w:rsid w:val="00082BCE"/>
    <w:rsid w:val="00082ECF"/>
    <w:rsid w:val="00083383"/>
    <w:rsid w:val="0008369C"/>
    <w:rsid w:val="000836AF"/>
    <w:rsid w:val="00083807"/>
    <w:rsid w:val="000841A9"/>
    <w:rsid w:val="000841C3"/>
    <w:rsid w:val="000844A8"/>
    <w:rsid w:val="0008460F"/>
    <w:rsid w:val="000846F6"/>
    <w:rsid w:val="00084BE5"/>
    <w:rsid w:val="00084F97"/>
    <w:rsid w:val="0008585A"/>
    <w:rsid w:val="00085C4D"/>
    <w:rsid w:val="00085DC0"/>
    <w:rsid w:val="00085DE5"/>
    <w:rsid w:val="00085F0A"/>
    <w:rsid w:val="00086E8B"/>
    <w:rsid w:val="00086F9C"/>
    <w:rsid w:val="00087B24"/>
    <w:rsid w:val="00090223"/>
    <w:rsid w:val="000902B2"/>
    <w:rsid w:val="00090718"/>
    <w:rsid w:val="00090B97"/>
    <w:rsid w:val="00090E92"/>
    <w:rsid w:val="0009106A"/>
    <w:rsid w:val="000910E0"/>
    <w:rsid w:val="000919D2"/>
    <w:rsid w:val="00091A1E"/>
    <w:rsid w:val="00091D28"/>
    <w:rsid w:val="00093667"/>
    <w:rsid w:val="00094166"/>
    <w:rsid w:val="000942C8"/>
    <w:rsid w:val="000944C8"/>
    <w:rsid w:val="00094E99"/>
    <w:rsid w:val="00094F44"/>
    <w:rsid w:val="0009586B"/>
    <w:rsid w:val="000958E7"/>
    <w:rsid w:val="00095CAE"/>
    <w:rsid w:val="000961BC"/>
    <w:rsid w:val="00096747"/>
    <w:rsid w:val="00096C6D"/>
    <w:rsid w:val="00096D51"/>
    <w:rsid w:val="00096F02"/>
    <w:rsid w:val="000971D0"/>
    <w:rsid w:val="000972B9"/>
    <w:rsid w:val="00097AD6"/>
    <w:rsid w:val="00097B2F"/>
    <w:rsid w:val="00097BB5"/>
    <w:rsid w:val="000A0984"/>
    <w:rsid w:val="000A0FB2"/>
    <w:rsid w:val="000A1820"/>
    <w:rsid w:val="000A191C"/>
    <w:rsid w:val="000A1B83"/>
    <w:rsid w:val="000A29EC"/>
    <w:rsid w:val="000A2F22"/>
    <w:rsid w:val="000A35A1"/>
    <w:rsid w:val="000A447E"/>
    <w:rsid w:val="000A4799"/>
    <w:rsid w:val="000A4800"/>
    <w:rsid w:val="000A4DEA"/>
    <w:rsid w:val="000A53AE"/>
    <w:rsid w:val="000A5B8A"/>
    <w:rsid w:val="000A5DF6"/>
    <w:rsid w:val="000A6703"/>
    <w:rsid w:val="000A6E33"/>
    <w:rsid w:val="000A7A1F"/>
    <w:rsid w:val="000A7C28"/>
    <w:rsid w:val="000B00B7"/>
    <w:rsid w:val="000B0292"/>
    <w:rsid w:val="000B0683"/>
    <w:rsid w:val="000B0762"/>
    <w:rsid w:val="000B2082"/>
    <w:rsid w:val="000B2495"/>
    <w:rsid w:val="000B2632"/>
    <w:rsid w:val="000B3341"/>
    <w:rsid w:val="000B4B0F"/>
    <w:rsid w:val="000B4E23"/>
    <w:rsid w:val="000B4F67"/>
    <w:rsid w:val="000B50E9"/>
    <w:rsid w:val="000B50FC"/>
    <w:rsid w:val="000B53EB"/>
    <w:rsid w:val="000B54D1"/>
    <w:rsid w:val="000B61E3"/>
    <w:rsid w:val="000B6504"/>
    <w:rsid w:val="000B6CC5"/>
    <w:rsid w:val="000B6EEF"/>
    <w:rsid w:val="000B6F82"/>
    <w:rsid w:val="000B7375"/>
    <w:rsid w:val="000B761F"/>
    <w:rsid w:val="000B7CEE"/>
    <w:rsid w:val="000B7CFC"/>
    <w:rsid w:val="000C0405"/>
    <w:rsid w:val="000C079B"/>
    <w:rsid w:val="000C0832"/>
    <w:rsid w:val="000C0935"/>
    <w:rsid w:val="000C0CE4"/>
    <w:rsid w:val="000C17F9"/>
    <w:rsid w:val="000C213D"/>
    <w:rsid w:val="000C240A"/>
    <w:rsid w:val="000C243C"/>
    <w:rsid w:val="000C2B91"/>
    <w:rsid w:val="000C2BAC"/>
    <w:rsid w:val="000C3012"/>
    <w:rsid w:val="000C31D7"/>
    <w:rsid w:val="000C3E98"/>
    <w:rsid w:val="000C404A"/>
    <w:rsid w:val="000C48D3"/>
    <w:rsid w:val="000C4B22"/>
    <w:rsid w:val="000C4EFC"/>
    <w:rsid w:val="000C576C"/>
    <w:rsid w:val="000C57C1"/>
    <w:rsid w:val="000C5952"/>
    <w:rsid w:val="000C6128"/>
    <w:rsid w:val="000C6549"/>
    <w:rsid w:val="000C6F21"/>
    <w:rsid w:val="000C7BA1"/>
    <w:rsid w:val="000C7F0B"/>
    <w:rsid w:val="000D011C"/>
    <w:rsid w:val="000D0187"/>
    <w:rsid w:val="000D0650"/>
    <w:rsid w:val="000D06DE"/>
    <w:rsid w:val="000D0999"/>
    <w:rsid w:val="000D1E93"/>
    <w:rsid w:val="000D210D"/>
    <w:rsid w:val="000D2202"/>
    <w:rsid w:val="000D2FDA"/>
    <w:rsid w:val="000D308F"/>
    <w:rsid w:val="000D33F3"/>
    <w:rsid w:val="000D4A68"/>
    <w:rsid w:val="000D4C0D"/>
    <w:rsid w:val="000D593A"/>
    <w:rsid w:val="000D5C19"/>
    <w:rsid w:val="000D5D25"/>
    <w:rsid w:val="000D5D39"/>
    <w:rsid w:val="000D6EA3"/>
    <w:rsid w:val="000D75BF"/>
    <w:rsid w:val="000E058B"/>
    <w:rsid w:val="000E0932"/>
    <w:rsid w:val="000E0CE7"/>
    <w:rsid w:val="000E211A"/>
    <w:rsid w:val="000E2143"/>
    <w:rsid w:val="000E230A"/>
    <w:rsid w:val="000E25FA"/>
    <w:rsid w:val="000E2633"/>
    <w:rsid w:val="000E2640"/>
    <w:rsid w:val="000E35ED"/>
    <w:rsid w:val="000E3A08"/>
    <w:rsid w:val="000E3FC9"/>
    <w:rsid w:val="000E4193"/>
    <w:rsid w:val="000E5827"/>
    <w:rsid w:val="000E5890"/>
    <w:rsid w:val="000E5AC5"/>
    <w:rsid w:val="000E5FF4"/>
    <w:rsid w:val="000E65E2"/>
    <w:rsid w:val="000E67BC"/>
    <w:rsid w:val="000E6EDB"/>
    <w:rsid w:val="000E7DFF"/>
    <w:rsid w:val="000E7FD4"/>
    <w:rsid w:val="000F01DC"/>
    <w:rsid w:val="000F01DD"/>
    <w:rsid w:val="000F01E7"/>
    <w:rsid w:val="000F0237"/>
    <w:rsid w:val="000F026C"/>
    <w:rsid w:val="000F0402"/>
    <w:rsid w:val="000F1305"/>
    <w:rsid w:val="000F1CAF"/>
    <w:rsid w:val="000F35F3"/>
    <w:rsid w:val="000F3C82"/>
    <w:rsid w:val="000F3CE9"/>
    <w:rsid w:val="000F4519"/>
    <w:rsid w:val="000F5249"/>
    <w:rsid w:val="000F563B"/>
    <w:rsid w:val="000F5981"/>
    <w:rsid w:val="00100311"/>
    <w:rsid w:val="00100558"/>
    <w:rsid w:val="00100E58"/>
    <w:rsid w:val="0010109B"/>
    <w:rsid w:val="00101DC4"/>
    <w:rsid w:val="00101DD0"/>
    <w:rsid w:val="001028FA"/>
    <w:rsid w:val="0010290E"/>
    <w:rsid w:val="00102EBE"/>
    <w:rsid w:val="00103F08"/>
    <w:rsid w:val="001046CE"/>
    <w:rsid w:val="001053DC"/>
    <w:rsid w:val="001056E3"/>
    <w:rsid w:val="00105C6C"/>
    <w:rsid w:val="00105DC5"/>
    <w:rsid w:val="00105F59"/>
    <w:rsid w:val="001068CF"/>
    <w:rsid w:val="0010698B"/>
    <w:rsid w:val="00107CFB"/>
    <w:rsid w:val="00111019"/>
    <w:rsid w:val="00111029"/>
    <w:rsid w:val="00111328"/>
    <w:rsid w:val="00111430"/>
    <w:rsid w:val="001116FF"/>
    <w:rsid w:val="00112096"/>
    <w:rsid w:val="0011239F"/>
    <w:rsid w:val="00112841"/>
    <w:rsid w:val="001128C8"/>
    <w:rsid w:val="0011294A"/>
    <w:rsid w:val="00112D3D"/>
    <w:rsid w:val="00112DB9"/>
    <w:rsid w:val="00113033"/>
    <w:rsid w:val="001136B5"/>
    <w:rsid w:val="0011380D"/>
    <w:rsid w:val="00114C18"/>
    <w:rsid w:val="00116060"/>
    <w:rsid w:val="0011657E"/>
    <w:rsid w:val="001169D2"/>
    <w:rsid w:val="00116E5D"/>
    <w:rsid w:val="00117307"/>
    <w:rsid w:val="001204A1"/>
    <w:rsid w:val="00120989"/>
    <w:rsid w:val="00120F46"/>
    <w:rsid w:val="001212A8"/>
    <w:rsid w:val="001214B6"/>
    <w:rsid w:val="001215F7"/>
    <w:rsid w:val="001218F1"/>
    <w:rsid w:val="001221C8"/>
    <w:rsid w:val="001221EB"/>
    <w:rsid w:val="001224D6"/>
    <w:rsid w:val="00122506"/>
    <w:rsid w:val="0012273F"/>
    <w:rsid w:val="0012293F"/>
    <w:rsid w:val="00122A05"/>
    <w:rsid w:val="001235CC"/>
    <w:rsid w:val="00123669"/>
    <w:rsid w:val="00123BEC"/>
    <w:rsid w:val="001243F8"/>
    <w:rsid w:val="0012447E"/>
    <w:rsid w:val="00124E5A"/>
    <w:rsid w:val="0012537E"/>
    <w:rsid w:val="00125E8A"/>
    <w:rsid w:val="00125F61"/>
    <w:rsid w:val="00127078"/>
    <w:rsid w:val="001275D9"/>
    <w:rsid w:val="00130384"/>
    <w:rsid w:val="00130624"/>
    <w:rsid w:val="00130FDE"/>
    <w:rsid w:val="00130FF1"/>
    <w:rsid w:val="001311B8"/>
    <w:rsid w:val="0013163F"/>
    <w:rsid w:val="001323E1"/>
    <w:rsid w:val="001326D1"/>
    <w:rsid w:val="00132908"/>
    <w:rsid w:val="00132949"/>
    <w:rsid w:val="00132E3E"/>
    <w:rsid w:val="001333B3"/>
    <w:rsid w:val="001342B5"/>
    <w:rsid w:val="00134890"/>
    <w:rsid w:val="00134A09"/>
    <w:rsid w:val="001352C4"/>
    <w:rsid w:val="0013613E"/>
    <w:rsid w:val="00136194"/>
    <w:rsid w:val="00136486"/>
    <w:rsid w:val="00136629"/>
    <w:rsid w:val="0013665F"/>
    <w:rsid w:val="00136DCF"/>
    <w:rsid w:val="0013739A"/>
    <w:rsid w:val="00137483"/>
    <w:rsid w:val="0013769F"/>
    <w:rsid w:val="00140766"/>
    <w:rsid w:val="001408C7"/>
    <w:rsid w:val="0014103A"/>
    <w:rsid w:val="00142014"/>
    <w:rsid w:val="0014484E"/>
    <w:rsid w:val="00144D5B"/>
    <w:rsid w:val="00144E4D"/>
    <w:rsid w:val="001452DB"/>
    <w:rsid w:val="00145E42"/>
    <w:rsid w:val="00146384"/>
    <w:rsid w:val="00146698"/>
    <w:rsid w:val="0014670F"/>
    <w:rsid w:val="00146A7C"/>
    <w:rsid w:val="00147415"/>
    <w:rsid w:val="00147B34"/>
    <w:rsid w:val="00150B1C"/>
    <w:rsid w:val="001510BF"/>
    <w:rsid w:val="00151102"/>
    <w:rsid w:val="001519BF"/>
    <w:rsid w:val="00152205"/>
    <w:rsid w:val="00152364"/>
    <w:rsid w:val="00152449"/>
    <w:rsid w:val="001525A6"/>
    <w:rsid w:val="00152634"/>
    <w:rsid w:val="001528A7"/>
    <w:rsid w:val="00152C05"/>
    <w:rsid w:val="00153027"/>
    <w:rsid w:val="00153A3C"/>
    <w:rsid w:val="00153E9A"/>
    <w:rsid w:val="00153F37"/>
    <w:rsid w:val="00153F5F"/>
    <w:rsid w:val="00153FE8"/>
    <w:rsid w:val="0015414B"/>
    <w:rsid w:val="00154962"/>
    <w:rsid w:val="00154F3B"/>
    <w:rsid w:val="001555FC"/>
    <w:rsid w:val="001567C5"/>
    <w:rsid w:val="00156821"/>
    <w:rsid w:val="00157603"/>
    <w:rsid w:val="001577AF"/>
    <w:rsid w:val="001578B5"/>
    <w:rsid w:val="00157B9B"/>
    <w:rsid w:val="00157F25"/>
    <w:rsid w:val="00161C47"/>
    <w:rsid w:val="00162419"/>
    <w:rsid w:val="001624E5"/>
    <w:rsid w:val="00162C96"/>
    <w:rsid w:val="00163106"/>
    <w:rsid w:val="0016314D"/>
    <w:rsid w:val="001631AA"/>
    <w:rsid w:val="001632C9"/>
    <w:rsid w:val="001632D2"/>
    <w:rsid w:val="001636DC"/>
    <w:rsid w:val="00163777"/>
    <w:rsid w:val="0016389E"/>
    <w:rsid w:val="00163977"/>
    <w:rsid w:val="00163B9F"/>
    <w:rsid w:val="00164542"/>
    <w:rsid w:val="00164C34"/>
    <w:rsid w:val="00165289"/>
    <w:rsid w:val="001657A9"/>
    <w:rsid w:val="00165957"/>
    <w:rsid w:val="00165E74"/>
    <w:rsid w:val="0016608D"/>
    <w:rsid w:val="00166B62"/>
    <w:rsid w:val="0016705D"/>
    <w:rsid w:val="0016718B"/>
    <w:rsid w:val="001675BC"/>
    <w:rsid w:val="00170213"/>
    <w:rsid w:val="001707F5"/>
    <w:rsid w:val="00170CC5"/>
    <w:rsid w:val="00171193"/>
    <w:rsid w:val="0017150F"/>
    <w:rsid w:val="0017162B"/>
    <w:rsid w:val="00172273"/>
    <w:rsid w:val="0017294F"/>
    <w:rsid w:val="00172AC2"/>
    <w:rsid w:val="00172BB3"/>
    <w:rsid w:val="00172EC3"/>
    <w:rsid w:val="00172F4D"/>
    <w:rsid w:val="001735A9"/>
    <w:rsid w:val="00173BEF"/>
    <w:rsid w:val="0017411E"/>
    <w:rsid w:val="00174401"/>
    <w:rsid w:val="0017468C"/>
    <w:rsid w:val="00174E05"/>
    <w:rsid w:val="001757D1"/>
    <w:rsid w:val="00175B02"/>
    <w:rsid w:val="00176466"/>
    <w:rsid w:val="001765B9"/>
    <w:rsid w:val="001767CB"/>
    <w:rsid w:val="00177524"/>
    <w:rsid w:val="00177689"/>
    <w:rsid w:val="00180DA3"/>
    <w:rsid w:val="00180E9A"/>
    <w:rsid w:val="00181522"/>
    <w:rsid w:val="0018185A"/>
    <w:rsid w:val="00181EE8"/>
    <w:rsid w:val="0018244E"/>
    <w:rsid w:val="00183028"/>
    <w:rsid w:val="0018308E"/>
    <w:rsid w:val="00183DF0"/>
    <w:rsid w:val="001845F7"/>
    <w:rsid w:val="001853FF"/>
    <w:rsid w:val="0018562B"/>
    <w:rsid w:val="0018599B"/>
    <w:rsid w:val="00185C7F"/>
    <w:rsid w:val="001860E7"/>
    <w:rsid w:val="0018680E"/>
    <w:rsid w:val="00186F0C"/>
    <w:rsid w:val="00187949"/>
    <w:rsid w:val="00187E36"/>
    <w:rsid w:val="00187F18"/>
    <w:rsid w:val="00187F24"/>
    <w:rsid w:val="00190374"/>
    <w:rsid w:val="00190A1E"/>
    <w:rsid w:val="00190E0D"/>
    <w:rsid w:val="001911A2"/>
    <w:rsid w:val="00191227"/>
    <w:rsid w:val="00193092"/>
    <w:rsid w:val="00193728"/>
    <w:rsid w:val="0019380D"/>
    <w:rsid w:val="001945D1"/>
    <w:rsid w:val="001946E5"/>
    <w:rsid w:val="001962F8"/>
    <w:rsid w:val="0019658D"/>
    <w:rsid w:val="001972AD"/>
    <w:rsid w:val="0019777D"/>
    <w:rsid w:val="00197AE1"/>
    <w:rsid w:val="00197D17"/>
    <w:rsid w:val="00197EE2"/>
    <w:rsid w:val="001A0248"/>
    <w:rsid w:val="001A0484"/>
    <w:rsid w:val="001A0D01"/>
    <w:rsid w:val="001A0DB7"/>
    <w:rsid w:val="001A2D9C"/>
    <w:rsid w:val="001A3517"/>
    <w:rsid w:val="001A369C"/>
    <w:rsid w:val="001A3809"/>
    <w:rsid w:val="001A44F7"/>
    <w:rsid w:val="001A4636"/>
    <w:rsid w:val="001A5DAE"/>
    <w:rsid w:val="001A6C68"/>
    <w:rsid w:val="001A6CE7"/>
    <w:rsid w:val="001A6DE4"/>
    <w:rsid w:val="001A6F4D"/>
    <w:rsid w:val="001A74E6"/>
    <w:rsid w:val="001B00FE"/>
    <w:rsid w:val="001B0392"/>
    <w:rsid w:val="001B0651"/>
    <w:rsid w:val="001B0F76"/>
    <w:rsid w:val="001B21E0"/>
    <w:rsid w:val="001B2947"/>
    <w:rsid w:val="001B39C7"/>
    <w:rsid w:val="001B48A4"/>
    <w:rsid w:val="001B48B5"/>
    <w:rsid w:val="001B49FE"/>
    <w:rsid w:val="001B4CDD"/>
    <w:rsid w:val="001B6671"/>
    <w:rsid w:val="001B6932"/>
    <w:rsid w:val="001B6B1A"/>
    <w:rsid w:val="001B6CED"/>
    <w:rsid w:val="001B77CD"/>
    <w:rsid w:val="001B78C2"/>
    <w:rsid w:val="001B79CD"/>
    <w:rsid w:val="001C02F8"/>
    <w:rsid w:val="001C0B83"/>
    <w:rsid w:val="001C1512"/>
    <w:rsid w:val="001C343E"/>
    <w:rsid w:val="001C3791"/>
    <w:rsid w:val="001C3C9C"/>
    <w:rsid w:val="001C4020"/>
    <w:rsid w:val="001C4395"/>
    <w:rsid w:val="001C452D"/>
    <w:rsid w:val="001C4810"/>
    <w:rsid w:val="001C4DCA"/>
    <w:rsid w:val="001C5558"/>
    <w:rsid w:val="001C6032"/>
    <w:rsid w:val="001C608B"/>
    <w:rsid w:val="001C652C"/>
    <w:rsid w:val="001C6E0D"/>
    <w:rsid w:val="001C7087"/>
    <w:rsid w:val="001C71B1"/>
    <w:rsid w:val="001C721E"/>
    <w:rsid w:val="001D00FB"/>
    <w:rsid w:val="001D0429"/>
    <w:rsid w:val="001D0D97"/>
    <w:rsid w:val="001D13CD"/>
    <w:rsid w:val="001D19E9"/>
    <w:rsid w:val="001D2A82"/>
    <w:rsid w:val="001D2D78"/>
    <w:rsid w:val="001D36CA"/>
    <w:rsid w:val="001D3D6A"/>
    <w:rsid w:val="001D47B4"/>
    <w:rsid w:val="001D4BC9"/>
    <w:rsid w:val="001D4DF8"/>
    <w:rsid w:val="001D4F7A"/>
    <w:rsid w:val="001D50DC"/>
    <w:rsid w:val="001D5A9C"/>
    <w:rsid w:val="001D5B3D"/>
    <w:rsid w:val="001D5C0D"/>
    <w:rsid w:val="001D6B1C"/>
    <w:rsid w:val="001D7203"/>
    <w:rsid w:val="001D74CB"/>
    <w:rsid w:val="001D76E9"/>
    <w:rsid w:val="001D7F2A"/>
    <w:rsid w:val="001E044B"/>
    <w:rsid w:val="001E047B"/>
    <w:rsid w:val="001E06BE"/>
    <w:rsid w:val="001E0D54"/>
    <w:rsid w:val="001E1142"/>
    <w:rsid w:val="001E1A95"/>
    <w:rsid w:val="001E1D95"/>
    <w:rsid w:val="001E2086"/>
    <w:rsid w:val="001E2714"/>
    <w:rsid w:val="001E3369"/>
    <w:rsid w:val="001E3428"/>
    <w:rsid w:val="001E3563"/>
    <w:rsid w:val="001E35C6"/>
    <w:rsid w:val="001E35CA"/>
    <w:rsid w:val="001E365F"/>
    <w:rsid w:val="001E52BD"/>
    <w:rsid w:val="001E555A"/>
    <w:rsid w:val="001E6C06"/>
    <w:rsid w:val="001E6C1C"/>
    <w:rsid w:val="001E7555"/>
    <w:rsid w:val="001F0849"/>
    <w:rsid w:val="001F1227"/>
    <w:rsid w:val="001F1432"/>
    <w:rsid w:val="001F16A8"/>
    <w:rsid w:val="001F2038"/>
    <w:rsid w:val="001F2D8A"/>
    <w:rsid w:val="001F347E"/>
    <w:rsid w:val="001F36EF"/>
    <w:rsid w:val="001F3783"/>
    <w:rsid w:val="001F3ACE"/>
    <w:rsid w:val="001F4138"/>
    <w:rsid w:val="001F439B"/>
    <w:rsid w:val="001F43A4"/>
    <w:rsid w:val="001F4FC0"/>
    <w:rsid w:val="001F5263"/>
    <w:rsid w:val="001F5AE5"/>
    <w:rsid w:val="001F5AFD"/>
    <w:rsid w:val="001F62AA"/>
    <w:rsid w:val="001F632C"/>
    <w:rsid w:val="001F63F6"/>
    <w:rsid w:val="001F7C01"/>
    <w:rsid w:val="0020050B"/>
    <w:rsid w:val="002006CC"/>
    <w:rsid w:val="00200B26"/>
    <w:rsid w:val="0020111F"/>
    <w:rsid w:val="0020150C"/>
    <w:rsid w:val="00201890"/>
    <w:rsid w:val="00201D91"/>
    <w:rsid w:val="002021D6"/>
    <w:rsid w:val="00202839"/>
    <w:rsid w:val="002028BE"/>
    <w:rsid w:val="00202BC2"/>
    <w:rsid w:val="002034CC"/>
    <w:rsid w:val="00203B96"/>
    <w:rsid w:val="0020430B"/>
    <w:rsid w:val="00204857"/>
    <w:rsid w:val="00204F2D"/>
    <w:rsid w:val="00204F6E"/>
    <w:rsid w:val="00205484"/>
    <w:rsid w:val="00205609"/>
    <w:rsid w:val="00205B03"/>
    <w:rsid w:val="00205C0E"/>
    <w:rsid w:val="00206156"/>
    <w:rsid w:val="002064C2"/>
    <w:rsid w:val="00206722"/>
    <w:rsid w:val="00206F4B"/>
    <w:rsid w:val="0020700B"/>
    <w:rsid w:val="0020737A"/>
    <w:rsid w:val="00207938"/>
    <w:rsid w:val="00207BE8"/>
    <w:rsid w:val="00210289"/>
    <w:rsid w:val="002103DD"/>
    <w:rsid w:val="002104DA"/>
    <w:rsid w:val="002107E2"/>
    <w:rsid w:val="0021118B"/>
    <w:rsid w:val="00211278"/>
    <w:rsid w:val="002112E1"/>
    <w:rsid w:val="00211E2C"/>
    <w:rsid w:val="002124D3"/>
    <w:rsid w:val="002137A8"/>
    <w:rsid w:val="00213E75"/>
    <w:rsid w:val="00214980"/>
    <w:rsid w:val="00214EE5"/>
    <w:rsid w:val="002151D3"/>
    <w:rsid w:val="0021579B"/>
    <w:rsid w:val="002158B5"/>
    <w:rsid w:val="00215CEC"/>
    <w:rsid w:val="00215EE0"/>
    <w:rsid w:val="0021621C"/>
    <w:rsid w:val="002167AF"/>
    <w:rsid w:val="002167DB"/>
    <w:rsid w:val="00216E63"/>
    <w:rsid w:val="00216E94"/>
    <w:rsid w:val="002173DF"/>
    <w:rsid w:val="0022034B"/>
    <w:rsid w:val="0022072E"/>
    <w:rsid w:val="0022076C"/>
    <w:rsid w:val="00220E20"/>
    <w:rsid w:val="0022121E"/>
    <w:rsid w:val="0022136E"/>
    <w:rsid w:val="002213CE"/>
    <w:rsid w:val="00221888"/>
    <w:rsid w:val="00221C09"/>
    <w:rsid w:val="002224E7"/>
    <w:rsid w:val="00222696"/>
    <w:rsid w:val="002226E4"/>
    <w:rsid w:val="002227CA"/>
    <w:rsid w:val="002228EF"/>
    <w:rsid w:val="00222D11"/>
    <w:rsid w:val="00222EFF"/>
    <w:rsid w:val="00223139"/>
    <w:rsid w:val="0022345A"/>
    <w:rsid w:val="00223937"/>
    <w:rsid w:val="00223C07"/>
    <w:rsid w:val="00224786"/>
    <w:rsid w:val="00225157"/>
    <w:rsid w:val="002251B3"/>
    <w:rsid w:val="00225358"/>
    <w:rsid w:val="00225760"/>
    <w:rsid w:val="00225A82"/>
    <w:rsid w:val="00225B36"/>
    <w:rsid w:val="00226690"/>
    <w:rsid w:val="00226B1F"/>
    <w:rsid w:val="00227759"/>
    <w:rsid w:val="00230302"/>
    <w:rsid w:val="0023031D"/>
    <w:rsid w:val="00231D0C"/>
    <w:rsid w:val="00232018"/>
    <w:rsid w:val="00232C6C"/>
    <w:rsid w:val="00232FF4"/>
    <w:rsid w:val="0023360D"/>
    <w:rsid w:val="00233A77"/>
    <w:rsid w:val="00233BE1"/>
    <w:rsid w:val="00233ED5"/>
    <w:rsid w:val="0023406E"/>
    <w:rsid w:val="0023475A"/>
    <w:rsid w:val="00234E83"/>
    <w:rsid w:val="00235029"/>
    <w:rsid w:val="00235213"/>
    <w:rsid w:val="0023597D"/>
    <w:rsid w:val="00236407"/>
    <w:rsid w:val="002367E7"/>
    <w:rsid w:val="00236A86"/>
    <w:rsid w:val="00236EF5"/>
    <w:rsid w:val="00237795"/>
    <w:rsid w:val="00237CF7"/>
    <w:rsid w:val="0024083F"/>
    <w:rsid w:val="00240FC4"/>
    <w:rsid w:val="00241CAE"/>
    <w:rsid w:val="00241DE4"/>
    <w:rsid w:val="002424C0"/>
    <w:rsid w:val="002431DB"/>
    <w:rsid w:val="002433C5"/>
    <w:rsid w:val="00243E49"/>
    <w:rsid w:val="00243F38"/>
    <w:rsid w:val="00244488"/>
    <w:rsid w:val="0024484E"/>
    <w:rsid w:val="00245311"/>
    <w:rsid w:val="00245801"/>
    <w:rsid w:val="00245D8A"/>
    <w:rsid w:val="002461A1"/>
    <w:rsid w:val="0024723F"/>
    <w:rsid w:val="00247724"/>
    <w:rsid w:val="0025097A"/>
    <w:rsid w:val="002509DF"/>
    <w:rsid w:val="00251CF6"/>
    <w:rsid w:val="00252935"/>
    <w:rsid w:val="00252982"/>
    <w:rsid w:val="002530D9"/>
    <w:rsid w:val="00253270"/>
    <w:rsid w:val="0025386C"/>
    <w:rsid w:val="00253FCB"/>
    <w:rsid w:val="00254178"/>
    <w:rsid w:val="00254469"/>
    <w:rsid w:val="0025447E"/>
    <w:rsid w:val="002544CE"/>
    <w:rsid w:val="002544D7"/>
    <w:rsid w:val="002544FB"/>
    <w:rsid w:val="002545B1"/>
    <w:rsid w:val="00254F73"/>
    <w:rsid w:val="0025503E"/>
    <w:rsid w:val="002554D3"/>
    <w:rsid w:val="00255568"/>
    <w:rsid w:val="0025564E"/>
    <w:rsid w:val="0025574D"/>
    <w:rsid w:val="00256770"/>
    <w:rsid w:val="00256DD1"/>
    <w:rsid w:val="002606E4"/>
    <w:rsid w:val="002607AC"/>
    <w:rsid w:val="00260F7E"/>
    <w:rsid w:val="002615E7"/>
    <w:rsid w:val="00262F7B"/>
    <w:rsid w:val="0026307F"/>
    <w:rsid w:val="0026423D"/>
    <w:rsid w:val="00264B6B"/>
    <w:rsid w:val="00264CD0"/>
    <w:rsid w:val="002652DB"/>
    <w:rsid w:val="00265682"/>
    <w:rsid w:val="0026597A"/>
    <w:rsid w:val="00265F02"/>
    <w:rsid w:val="0026672E"/>
    <w:rsid w:val="0026703F"/>
    <w:rsid w:val="00267390"/>
    <w:rsid w:val="002674CB"/>
    <w:rsid w:val="00267861"/>
    <w:rsid w:val="0027039F"/>
    <w:rsid w:val="00271017"/>
    <w:rsid w:val="00271529"/>
    <w:rsid w:val="00271AE9"/>
    <w:rsid w:val="00271F95"/>
    <w:rsid w:val="0027361D"/>
    <w:rsid w:val="00273727"/>
    <w:rsid w:val="00273E23"/>
    <w:rsid w:val="002740C2"/>
    <w:rsid w:val="00274192"/>
    <w:rsid w:val="002743BB"/>
    <w:rsid w:val="00274DBB"/>
    <w:rsid w:val="00275D30"/>
    <w:rsid w:val="00275FCB"/>
    <w:rsid w:val="00276BA0"/>
    <w:rsid w:val="0027754D"/>
    <w:rsid w:val="00277AAB"/>
    <w:rsid w:val="0028099F"/>
    <w:rsid w:val="00281619"/>
    <w:rsid w:val="0028166A"/>
    <w:rsid w:val="00281C34"/>
    <w:rsid w:val="00281CE6"/>
    <w:rsid w:val="00281F11"/>
    <w:rsid w:val="00282447"/>
    <w:rsid w:val="0028264D"/>
    <w:rsid w:val="00282978"/>
    <w:rsid w:val="00282B14"/>
    <w:rsid w:val="00283C03"/>
    <w:rsid w:val="00283C0A"/>
    <w:rsid w:val="00283CD7"/>
    <w:rsid w:val="00283D3B"/>
    <w:rsid w:val="00284DE8"/>
    <w:rsid w:val="00285ACE"/>
    <w:rsid w:val="00285AFA"/>
    <w:rsid w:val="002862BE"/>
    <w:rsid w:val="00286506"/>
    <w:rsid w:val="00286773"/>
    <w:rsid w:val="00286F38"/>
    <w:rsid w:val="00287A5E"/>
    <w:rsid w:val="00287E25"/>
    <w:rsid w:val="00287E3D"/>
    <w:rsid w:val="002908AF"/>
    <w:rsid w:val="002918AF"/>
    <w:rsid w:val="00291B17"/>
    <w:rsid w:val="00292764"/>
    <w:rsid w:val="002929EA"/>
    <w:rsid w:val="00293855"/>
    <w:rsid w:val="002940C5"/>
    <w:rsid w:val="00294504"/>
    <w:rsid w:val="00294A8B"/>
    <w:rsid w:val="0029540F"/>
    <w:rsid w:val="002958B9"/>
    <w:rsid w:val="002962B2"/>
    <w:rsid w:val="002966D2"/>
    <w:rsid w:val="002968F0"/>
    <w:rsid w:val="00296A41"/>
    <w:rsid w:val="00297442"/>
    <w:rsid w:val="0029751C"/>
    <w:rsid w:val="0029788A"/>
    <w:rsid w:val="002979BF"/>
    <w:rsid w:val="002979F9"/>
    <w:rsid w:val="002A04C5"/>
    <w:rsid w:val="002A0656"/>
    <w:rsid w:val="002A08F5"/>
    <w:rsid w:val="002A0933"/>
    <w:rsid w:val="002A0E09"/>
    <w:rsid w:val="002A108B"/>
    <w:rsid w:val="002A1169"/>
    <w:rsid w:val="002A1687"/>
    <w:rsid w:val="002A17D9"/>
    <w:rsid w:val="002A2448"/>
    <w:rsid w:val="002A2463"/>
    <w:rsid w:val="002A24A8"/>
    <w:rsid w:val="002A2E63"/>
    <w:rsid w:val="002A32BD"/>
    <w:rsid w:val="002A3329"/>
    <w:rsid w:val="002A36D6"/>
    <w:rsid w:val="002A438C"/>
    <w:rsid w:val="002A4AB3"/>
    <w:rsid w:val="002A557E"/>
    <w:rsid w:val="002A5638"/>
    <w:rsid w:val="002A60B4"/>
    <w:rsid w:val="002A61F3"/>
    <w:rsid w:val="002A7171"/>
    <w:rsid w:val="002A7256"/>
    <w:rsid w:val="002A750F"/>
    <w:rsid w:val="002A7630"/>
    <w:rsid w:val="002A77C0"/>
    <w:rsid w:val="002A79A2"/>
    <w:rsid w:val="002A7ADC"/>
    <w:rsid w:val="002B076C"/>
    <w:rsid w:val="002B0B36"/>
    <w:rsid w:val="002B152E"/>
    <w:rsid w:val="002B188F"/>
    <w:rsid w:val="002B22BB"/>
    <w:rsid w:val="002B285D"/>
    <w:rsid w:val="002B2E4D"/>
    <w:rsid w:val="002B302C"/>
    <w:rsid w:val="002B3093"/>
    <w:rsid w:val="002B37D7"/>
    <w:rsid w:val="002B398C"/>
    <w:rsid w:val="002B3F89"/>
    <w:rsid w:val="002B41B3"/>
    <w:rsid w:val="002B4268"/>
    <w:rsid w:val="002B44E7"/>
    <w:rsid w:val="002B6A79"/>
    <w:rsid w:val="002B6D9B"/>
    <w:rsid w:val="002B6DF3"/>
    <w:rsid w:val="002B78DD"/>
    <w:rsid w:val="002B7E04"/>
    <w:rsid w:val="002C0F94"/>
    <w:rsid w:val="002C16CE"/>
    <w:rsid w:val="002C1A39"/>
    <w:rsid w:val="002C1AC0"/>
    <w:rsid w:val="002C1D76"/>
    <w:rsid w:val="002C1F09"/>
    <w:rsid w:val="002C1F7F"/>
    <w:rsid w:val="002C215C"/>
    <w:rsid w:val="002C225C"/>
    <w:rsid w:val="002C22A7"/>
    <w:rsid w:val="002C26BF"/>
    <w:rsid w:val="002C29A9"/>
    <w:rsid w:val="002C4248"/>
    <w:rsid w:val="002C43C6"/>
    <w:rsid w:val="002C48CE"/>
    <w:rsid w:val="002C4B9B"/>
    <w:rsid w:val="002C4FF3"/>
    <w:rsid w:val="002C54F2"/>
    <w:rsid w:val="002C60C2"/>
    <w:rsid w:val="002C6119"/>
    <w:rsid w:val="002C644A"/>
    <w:rsid w:val="002C6975"/>
    <w:rsid w:val="002C70A7"/>
    <w:rsid w:val="002C78FF"/>
    <w:rsid w:val="002C7951"/>
    <w:rsid w:val="002D084B"/>
    <w:rsid w:val="002D091F"/>
    <w:rsid w:val="002D098B"/>
    <w:rsid w:val="002D0CC0"/>
    <w:rsid w:val="002D1D4C"/>
    <w:rsid w:val="002D1DFA"/>
    <w:rsid w:val="002D24F6"/>
    <w:rsid w:val="002D26B1"/>
    <w:rsid w:val="002D2AD6"/>
    <w:rsid w:val="002D3129"/>
    <w:rsid w:val="002D32F3"/>
    <w:rsid w:val="002D3905"/>
    <w:rsid w:val="002D3A3F"/>
    <w:rsid w:val="002D3B92"/>
    <w:rsid w:val="002D462B"/>
    <w:rsid w:val="002D4B33"/>
    <w:rsid w:val="002D4B70"/>
    <w:rsid w:val="002D5733"/>
    <w:rsid w:val="002D5B53"/>
    <w:rsid w:val="002D62F8"/>
    <w:rsid w:val="002D6330"/>
    <w:rsid w:val="002D6598"/>
    <w:rsid w:val="002D6889"/>
    <w:rsid w:val="002D6E14"/>
    <w:rsid w:val="002D6ECE"/>
    <w:rsid w:val="002D7145"/>
    <w:rsid w:val="002D7855"/>
    <w:rsid w:val="002D7A7B"/>
    <w:rsid w:val="002D7EDF"/>
    <w:rsid w:val="002E06D9"/>
    <w:rsid w:val="002E07E9"/>
    <w:rsid w:val="002E0B83"/>
    <w:rsid w:val="002E1383"/>
    <w:rsid w:val="002E190E"/>
    <w:rsid w:val="002E1B2C"/>
    <w:rsid w:val="002E1D69"/>
    <w:rsid w:val="002E21A8"/>
    <w:rsid w:val="002E228C"/>
    <w:rsid w:val="002E2B67"/>
    <w:rsid w:val="002E332C"/>
    <w:rsid w:val="002E3C60"/>
    <w:rsid w:val="002E41D5"/>
    <w:rsid w:val="002E4421"/>
    <w:rsid w:val="002E4693"/>
    <w:rsid w:val="002E6051"/>
    <w:rsid w:val="002E69FA"/>
    <w:rsid w:val="002E6B4D"/>
    <w:rsid w:val="002E6BC9"/>
    <w:rsid w:val="002E7B2B"/>
    <w:rsid w:val="002F0037"/>
    <w:rsid w:val="002F01EC"/>
    <w:rsid w:val="002F0CE7"/>
    <w:rsid w:val="002F2546"/>
    <w:rsid w:val="002F2630"/>
    <w:rsid w:val="002F2715"/>
    <w:rsid w:val="002F2A6F"/>
    <w:rsid w:val="002F33ED"/>
    <w:rsid w:val="002F37E7"/>
    <w:rsid w:val="002F3FB7"/>
    <w:rsid w:val="002F44AC"/>
    <w:rsid w:val="002F47A7"/>
    <w:rsid w:val="002F48A2"/>
    <w:rsid w:val="002F51DA"/>
    <w:rsid w:val="002F56C9"/>
    <w:rsid w:val="002F575C"/>
    <w:rsid w:val="002F5865"/>
    <w:rsid w:val="002F7502"/>
    <w:rsid w:val="002F778E"/>
    <w:rsid w:val="002F785B"/>
    <w:rsid w:val="00300057"/>
    <w:rsid w:val="00300080"/>
    <w:rsid w:val="00300174"/>
    <w:rsid w:val="0030041C"/>
    <w:rsid w:val="0030071D"/>
    <w:rsid w:val="00300852"/>
    <w:rsid w:val="0030107E"/>
    <w:rsid w:val="00301197"/>
    <w:rsid w:val="00301C30"/>
    <w:rsid w:val="003020D1"/>
    <w:rsid w:val="00302498"/>
    <w:rsid w:val="00302BAA"/>
    <w:rsid w:val="00303233"/>
    <w:rsid w:val="00303565"/>
    <w:rsid w:val="00303741"/>
    <w:rsid w:val="003041BD"/>
    <w:rsid w:val="00304663"/>
    <w:rsid w:val="003046B3"/>
    <w:rsid w:val="00304880"/>
    <w:rsid w:val="00304E47"/>
    <w:rsid w:val="00304F16"/>
    <w:rsid w:val="00305FC9"/>
    <w:rsid w:val="00306BA0"/>
    <w:rsid w:val="003072C2"/>
    <w:rsid w:val="003076B1"/>
    <w:rsid w:val="00310ACC"/>
    <w:rsid w:val="00310E27"/>
    <w:rsid w:val="0031162A"/>
    <w:rsid w:val="003119F6"/>
    <w:rsid w:val="0031231D"/>
    <w:rsid w:val="00312E1C"/>
    <w:rsid w:val="003130EC"/>
    <w:rsid w:val="0031405C"/>
    <w:rsid w:val="0031482C"/>
    <w:rsid w:val="00314D62"/>
    <w:rsid w:val="00314F23"/>
    <w:rsid w:val="00315197"/>
    <w:rsid w:val="00315807"/>
    <w:rsid w:val="003158F5"/>
    <w:rsid w:val="00315D75"/>
    <w:rsid w:val="00316927"/>
    <w:rsid w:val="00316D12"/>
    <w:rsid w:val="00317196"/>
    <w:rsid w:val="00317593"/>
    <w:rsid w:val="00320476"/>
    <w:rsid w:val="00321B17"/>
    <w:rsid w:val="003223AF"/>
    <w:rsid w:val="00322A26"/>
    <w:rsid w:val="00323A0D"/>
    <w:rsid w:val="00324A37"/>
    <w:rsid w:val="00325240"/>
    <w:rsid w:val="00325969"/>
    <w:rsid w:val="00325ADC"/>
    <w:rsid w:val="00325FFB"/>
    <w:rsid w:val="0032650A"/>
    <w:rsid w:val="003265F7"/>
    <w:rsid w:val="00326716"/>
    <w:rsid w:val="0032671D"/>
    <w:rsid w:val="003269D1"/>
    <w:rsid w:val="00326AED"/>
    <w:rsid w:val="00327840"/>
    <w:rsid w:val="00327ADB"/>
    <w:rsid w:val="0033021A"/>
    <w:rsid w:val="003302A1"/>
    <w:rsid w:val="00330F15"/>
    <w:rsid w:val="00331ACA"/>
    <w:rsid w:val="00331BC0"/>
    <w:rsid w:val="00332221"/>
    <w:rsid w:val="00332441"/>
    <w:rsid w:val="00332B5B"/>
    <w:rsid w:val="00333E85"/>
    <w:rsid w:val="00333E9E"/>
    <w:rsid w:val="003347AC"/>
    <w:rsid w:val="003352B6"/>
    <w:rsid w:val="003357BF"/>
    <w:rsid w:val="00335A80"/>
    <w:rsid w:val="00335A86"/>
    <w:rsid w:val="00336680"/>
    <w:rsid w:val="00336F22"/>
    <w:rsid w:val="0033732F"/>
    <w:rsid w:val="00337C43"/>
    <w:rsid w:val="00340588"/>
    <w:rsid w:val="00340CA6"/>
    <w:rsid w:val="0034108D"/>
    <w:rsid w:val="003415CD"/>
    <w:rsid w:val="00342542"/>
    <w:rsid w:val="00342C31"/>
    <w:rsid w:val="0034320E"/>
    <w:rsid w:val="00343297"/>
    <w:rsid w:val="003435A6"/>
    <w:rsid w:val="003439CC"/>
    <w:rsid w:val="00343AA5"/>
    <w:rsid w:val="00343EAD"/>
    <w:rsid w:val="00343FF0"/>
    <w:rsid w:val="00345235"/>
    <w:rsid w:val="00345D5E"/>
    <w:rsid w:val="00347048"/>
    <w:rsid w:val="0034730C"/>
    <w:rsid w:val="00347443"/>
    <w:rsid w:val="00347621"/>
    <w:rsid w:val="003479CF"/>
    <w:rsid w:val="0035167F"/>
    <w:rsid w:val="003517D3"/>
    <w:rsid w:val="00351A33"/>
    <w:rsid w:val="00351E79"/>
    <w:rsid w:val="00351FFE"/>
    <w:rsid w:val="00352CF0"/>
    <w:rsid w:val="00352DF0"/>
    <w:rsid w:val="00352FFC"/>
    <w:rsid w:val="003533B0"/>
    <w:rsid w:val="003537A8"/>
    <w:rsid w:val="003537CE"/>
    <w:rsid w:val="003538AD"/>
    <w:rsid w:val="003539B1"/>
    <w:rsid w:val="0035458F"/>
    <w:rsid w:val="003545DF"/>
    <w:rsid w:val="00354C69"/>
    <w:rsid w:val="00354E40"/>
    <w:rsid w:val="003550C9"/>
    <w:rsid w:val="00355103"/>
    <w:rsid w:val="00355F34"/>
    <w:rsid w:val="003569B1"/>
    <w:rsid w:val="003577C6"/>
    <w:rsid w:val="003607F1"/>
    <w:rsid w:val="00360E33"/>
    <w:rsid w:val="00361A47"/>
    <w:rsid w:val="003625BD"/>
    <w:rsid w:val="003627F6"/>
    <w:rsid w:val="00362B14"/>
    <w:rsid w:val="00362E67"/>
    <w:rsid w:val="003634CC"/>
    <w:rsid w:val="00364D73"/>
    <w:rsid w:val="00365BB2"/>
    <w:rsid w:val="00366CDC"/>
    <w:rsid w:val="0036703C"/>
    <w:rsid w:val="00367235"/>
    <w:rsid w:val="00367923"/>
    <w:rsid w:val="00367A82"/>
    <w:rsid w:val="00367D52"/>
    <w:rsid w:val="00370F00"/>
    <w:rsid w:val="00370F0C"/>
    <w:rsid w:val="00371106"/>
    <w:rsid w:val="0037145A"/>
    <w:rsid w:val="00372237"/>
    <w:rsid w:val="00372259"/>
    <w:rsid w:val="00372975"/>
    <w:rsid w:val="00373978"/>
    <w:rsid w:val="00373E8B"/>
    <w:rsid w:val="00373F4D"/>
    <w:rsid w:val="003740A0"/>
    <w:rsid w:val="0037447F"/>
    <w:rsid w:val="003745CB"/>
    <w:rsid w:val="00374812"/>
    <w:rsid w:val="00375440"/>
    <w:rsid w:val="00375E42"/>
    <w:rsid w:val="00375FA4"/>
    <w:rsid w:val="00376480"/>
    <w:rsid w:val="00376582"/>
    <w:rsid w:val="00376860"/>
    <w:rsid w:val="003768D8"/>
    <w:rsid w:val="00376D40"/>
    <w:rsid w:val="00376D68"/>
    <w:rsid w:val="00376E5D"/>
    <w:rsid w:val="00377482"/>
    <w:rsid w:val="003778E7"/>
    <w:rsid w:val="00380329"/>
    <w:rsid w:val="003804B8"/>
    <w:rsid w:val="00380A33"/>
    <w:rsid w:val="00380A78"/>
    <w:rsid w:val="00380E6A"/>
    <w:rsid w:val="00380FB3"/>
    <w:rsid w:val="00381127"/>
    <w:rsid w:val="00381319"/>
    <w:rsid w:val="003813DF"/>
    <w:rsid w:val="003818C7"/>
    <w:rsid w:val="00381B1F"/>
    <w:rsid w:val="00381DEC"/>
    <w:rsid w:val="00382460"/>
    <w:rsid w:val="00382555"/>
    <w:rsid w:val="00382877"/>
    <w:rsid w:val="00382F02"/>
    <w:rsid w:val="00383258"/>
    <w:rsid w:val="003834E5"/>
    <w:rsid w:val="0038391C"/>
    <w:rsid w:val="00383B36"/>
    <w:rsid w:val="00383C21"/>
    <w:rsid w:val="0038432B"/>
    <w:rsid w:val="00384973"/>
    <w:rsid w:val="00384FBF"/>
    <w:rsid w:val="003878D2"/>
    <w:rsid w:val="00387A18"/>
    <w:rsid w:val="003900BE"/>
    <w:rsid w:val="003912BC"/>
    <w:rsid w:val="00391970"/>
    <w:rsid w:val="0039260A"/>
    <w:rsid w:val="00392877"/>
    <w:rsid w:val="00393533"/>
    <w:rsid w:val="00393BC2"/>
    <w:rsid w:val="003945DD"/>
    <w:rsid w:val="00394B9D"/>
    <w:rsid w:val="00395257"/>
    <w:rsid w:val="003953BE"/>
    <w:rsid w:val="003956D8"/>
    <w:rsid w:val="003960B0"/>
    <w:rsid w:val="00396167"/>
    <w:rsid w:val="00396D33"/>
    <w:rsid w:val="003973F9"/>
    <w:rsid w:val="00397DDA"/>
    <w:rsid w:val="00397E1D"/>
    <w:rsid w:val="00397E4A"/>
    <w:rsid w:val="003A0120"/>
    <w:rsid w:val="003A0281"/>
    <w:rsid w:val="003A0B41"/>
    <w:rsid w:val="003A0DF9"/>
    <w:rsid w:val="003A1446"/>
    <w:rsid w:val="003A1863"/>
    <w:rsid w:val="003A1FAB"/>
    <w:rsid w:val="003A22DE"/>
    <w:rsid w:val="003A3889"/>
    <w:rsid w:val="003A4323"/>
    <w:rsid w:val="003A4702"/>
    <w:rsid w:val="003A475C"/>
    <w:rsid w:val="003A47B5"/>
    <w:rsid w:val="003A4848"/>
    <w:rsid w:val="003A596C"/>
    <w:rsid w:val="003A5ABE"/>
    <w:rsid w:val="003A5E50"/>
    <w:rsid w:val="003A5ED9"/>
    <w:rsid w:val="003A6942"/>
    <w:rsid w:val="003A6F6F"/>
    <w:rsid w:val="003A7A13"/>
    <w:rsid w:val="003A7F12"/>
    <w:rsid w:val="003A7F2B"/>
    <w:rsid w:val="003B0089"/>
    <w:rsid w:val="003B05D9"/>
    <w:rsid w:val="003B07FE"/>
    <w:rsid w:val="003B1430"/>
    <w:rsid w:val="003B1C85"/>
    <w:rsid w:val="003B26CD"/>
    <w:rsid w:val="003B2CFF"/>
    <w:rsid w:val="003B2D99"/>
    <w:rsid w:val="003B315B"/>
    <w:rsid w:val="003B37DE"/>
    <w:rsid w:val="003B3B20"/>
    <w:rsid w:val="003B41F9"/>
    <w:rsid w:val="003B44E1"/>
    <w:rsid w:val="003B4CE3"/>
    <w:rsid w:val="003B50D7"/>
    <w:rsid w:val="003B59AC"/>
    <w:rsid w:val="003B5CE9"/>
    <w:rsid w:val="003B5E3E"/>
    <w:rsid w:val="003B5F60"/>
    <w:rsid w:val="003B612E"/>
    <w:rsid w:val="003B6DF6"/>
    <w:rsid w:val="003B70BD"/>
    <w:rsid w:val="003B7136"/>
    <w:rsid w:val="003B75D5"/>
    <w:rsid w:val="003B7EA7"/>
    <w:rsid w:val="003B7F1E"/>
    <w:rsid w:val="003C000A"/>
    <w:rsid w:val="003C09BC"/>
    <w:rsid w:val="003C0C60"/>
    <w:rsid w:val="003C12FF"/>
    <w:rsid w:val="003C170C"/>
    <w:rsid w:val="003C18AF"/>
    <w:rsid w:val="003C21CA"/>
    <w:rsid w:val="003C26DC"/>
    <w:rsid w:val="003C2BAD"/>
    <w:rsid w:val="003C32DC"/>
    <w:rsid w:val="003C3554"/>
    <w:rsid w:val="003C376F"/>
    <w:rsid w:val="003C3FE9"/>
    <w:rsid w:val="003C46BC"/>
    <w:rsid w:val="003C4872"/>
    <w:rsid w:val="003C4B1C"/>
    <w:rsid w:val="003C5660"/>
    <w:rsid w:val="003C5F58"/>
    <w:rsid w:val="003C629B"/>
    <w:rsid w:val="003C62C0"/>
    <w:rsid w:val="003C6647"/>
    <w:rsid w:val="003C6B88"/>
    <w:rsid w:val="003C6E9F"/>
    <w:rsid w:val="003C7437"/>
    <w:rsid w:val="003C74EA"/>
    <w:rsid w:val="003C7A0B"/>
    <w:rsid w:val="003D014D"/>
    <w:rsid w:val="003D0375"/>
    <w:rsid w:val="003D05C7"/>
    <w:rsid w:val="003D0A6B"/>
    <w:rsid w:val="003D0D2C"/>
    <w:rsid w:val="003D0F8F"/>
    <w:rsid w:val="003D19B2"/>
    <w:rsid w:val="003D202B"/>
    <w:rsid w:val="003D217C"/>
    <w:rsid w:val="003D31C9"/>
    <w:rsid w:val="003D340D"/>
    <w:rsid w:val="003D35CE"/>
    <w:rsid w:val="003D404C"/>
    <w:rsid w:val="003D42B9"/>
    <w:rsid w:val="003D4560"/>
    <w:rsid w:val="003D4D5A"/>
    <w:rsid w:val="003D515A"/>
    <w:rsid w:val="003D56F1"/>
    <w:rsid w:val="003D5ABF"/>
    <w:rsid w:val="003D74A4"/>
    <w:rsid w:val="003D74B5"/>
    <w:rsid w:val="003D7A03"/>
    <w:rsid w:val="003D7D07"/>
    <w:rsid w:val="003E0029"/>
    <w:rsid w:val="003E05E7"/>
    <w:rsid w:val="003E092B"/>
    <w:rsid w:val="003E1D8D"/>
    <w:rsid w:val="003E20CE"/>
    <w:rsid w:val="003E22DC"/>
    <w:rsid w:val="003E2605"/>
    <w:rsid w:val="003E2B17"/>
    <w:rsid w:val="003E2E41"/>
    <w:rsid w:val="003E377A"/>
    <w:rsid w:val="003E3DE3"/>
    <w:rsid w:val="003E4850"/>
    <w:rsid w:val="003E495E"/>
    <w:rsid w:val="003E4F3C"/>
    <w:rsid w:val="003E5045"/>
    <w:rsid w:val="003E5686"/>
    <w:rsid w:val="003E5C7C"/>
    <w:rsid w:val="003E611A"/>
    <w:rsid w:val="003E622B"/>
    <w:rsid w:val="003E68CF"/>
    <w:rsid w:val="003E6B15"/>
    <w:rsid w:val="003E70E7"/>
    <w:rsid w:val="003F00C1"/>
    <w:rsid w:val="003F026E"/>
    <w:rsid w:val="003F0644"/>
    <w:rsid w:val="003F1566"/>
    <w:rsid w:val="003F1A75"/>
    <w:rsid w:val="003F2853"/>
    <w:rsid w:val="003F3724"/>
    <w:rsid w:val="003F3A79"/>
    <w:rsid w:val="003F4080"/>
    <w:rsid w:val="003F464B"/>
    <w:rsid w:val="003F46AB"/>
    <w:rsid w:val="003F475C"/>
    <w:rsid w:val="003F499B"/>
    <w:rsid w:val="003F5547"/>
    <w:rsid w:val="003F5B3D"/>
    <w:rsid w:val="003F5B89"/>
    <w:rsid w:val="003F6656"/>
    <w:rsid w:val="003F6AFE"/>
    <w:rsid w:val="003F6BCA"/>
    <w:rsid w:val="003F73B6"/>
    <w:rsid w:val="003F751C"/>
    <w:rsid w:val="004006FA"/>
    <w:rsid w:val="004007E1"/>
    <w:rsid w:val="00400EBD"/>
    <w:rsid w:val="00400ED1"/>
    <w:rsid w:val="00401F4E"/>
    <w:rsid w:val="00403148"/>
    <w:rsid w:val="004037BC"/>
    <w:rsid w:val="00403D42"/>
    <w:rsid w:val="00404B50"/>
    <w:rsid w:val="00404CE4"/>
    <w:rsid w:val="00406006"/>
    <w:rsid w:val="004065E8"/>
    <w:rsid w:val="00406CD5"/>
    <w:rsid w:val="00406D3B"/>
    <w:rsid w:val="00406FF3"/>
    <w:rsid w:val="00407378"/>
    <w:rsid w:val="00407794"/>
    <w:rsid w:val="00410187"/>
    <w:rsid w:val="0041018C"/>
    <w:rsid w:val="00410368"/>
    <w:rsid w:val="00410EF2"/>
    <w:rsid w:val="00411649"/>
    <w:rsid w:val="004116C3"/>
    <w:rsid w:val="00412FCD"/>
    <w:rsid w:val="00413122"/>
    <w:rsid w:val="00413126"/>
    <w:rsid w:val="00413AB1"/>
    <w:rsid w:val="00414323"/>
    <w:rsid w:val="004143D1"/>
    <w:rsid w:val="00414683"/>
    <w:rsid w:val="00415AF3"/>
    <w:rsid w:val="004160E5"/>
    <w:rsid w:val="004162E1"/>
    <w:rsid w:val="004163AF"/>
    <w:rsid w:val="00416557"/>
    <w:rsid w:val="004167ED"/>
    <w:rsid w:val="00416C75"/>
    <w:rsid w:val="00417508"/>
    <w:rsid w:val="004176FD"/>
    <w:rsid w:val="004179D7"/>
    <w:rsid w:val="004179E4"/>
    <w:rsid w:val="00417F17"/>
    <w:rsid w:val="004204D7"/>
    <w:rsid w:val="0042161C"/>
    <w:rsid w:val="004218D9"/>
    <w:rsid w:val="00421A76"/>
    <w:rsid w:val="00421EBF"/>
    <w:rsid w:val="004222DE"/>
    <w:rsid w:val="004237AF"/>
    <w:rsid w:val="004239F9"/>
    <w:rsid w:val="0042450D"/>
    <w:rsid w:val="00425053"/>
    <w:rsid w:val="00425260"/>
    <w:rsid w:val="00425E04"/>
    <w:rsid w:val="0042605D"/>
    <w:rsid w:val="004263AE"/>
    <w:rsid w:val="00426A22"/>
    <w:rsid w:val="00426BBA"/>
    <w:rsid w:val="0042701C"/>
    <w:rsid w:val="0042713A"/>
    <w:rsid w:val="00427492"/>
    <w:rsid w:val="004274E2"/>
    <w:rsid w:val="00427A9C"/>
    <w:rsid w:val="00430B78"/>
    <w:rsid w:val="00431160"/>
    <w:rsid w:val="004317E9"/>
    <w:rsid w:val="00431DE3"/>
    <w:rsid w:val="00431EA7"/>
    <w:rsid w:val="00432532"/>
    <w:rsid w:val="00432F58"/>
    <w:rsid w:val="00432F9E"/>
    <w:rsid w:val="004333C1"/>
    <w:rsid w:val="004336BB"/>
    <w:rsid w:val="00433712"/>
    <w:rsid w:val="00433B66"/>
    <w:rsid w:val="00433E78"/>
    <w:rsid w:val="00433FD8"/>
    <w:rsid w:val="00434C5F"/>
    <w:rsid w:val="00435885"/>
    <w:rsid w:val="00435AA5"/>
    <w:rsid w:val="00436455"/>
    <w:rsid w:val="004365B3"/>
    <w:rsid w:val="00436E03"/>
    <w:rsid w:val="00437524"/>
    <w:rsid w:val="00437966"/>
    <w:rsid w:val="00440065"/>
    <w:rsid w:val="00440241"/>
    <w:rsid w:val="004417D2"/>
    <w:rsid w:val="004425D7"/>
    <w:rsid w:val="0044270C"/>
    <w:rsid w:val="00442737"/>
    <w:rsid w:val="00442777"/>
    <w:rsid w:val="00443460"/>
    <w:rsid w:val="004436F0"/>
    <w:rsid w:val="00443CCF"/>
    <w:rsid w:val="00444040"/>
    <w:rsid w:val="004442CA"/>
    <w:rsid w:val="004443FC"/>
    <w:rsid w:val="00444939"/>
    <w:rsid w:val="004453A6"/>
    <w:rsid w:val="00445591"/>
    <w:rsid w:val="00446E42"/>
    <w:rsid w:val="00446E85"/>
    <w:rsid w:val="004471A7"/>
    <w:rsid w:val="00447371"/>
    <w:rsid w:val="00447945"/>
    <w:rsid w:val="004501B9"/>
    <w:rsid w:val="004501F2"/>
    <w:rsid w:val="00450915"/>
    <w:rsid w:val="004509E2"/>
    <w:rsid w:val="00450C93"/>
    <w:rsid w:val="00450EE4"/>
    <w:rsid w:val="00451762"/>
    <w:rsid w:val="00451793"/>
    <w:rsid w:val="00451FE5"/>
    <w:rsid w:val="00452145"/>
    <w:rsid w:val="0045224C"/>
    <w:rsid w:val="0045277C"/>
    <w:rsid w:val="004527AC"/>
    <w:rsid w:val="00452C88"/>
    <w:rsid w:val="00452E42"/>
    <w:rsid w:val="0045327F"/>
    <w:rsid w:val="004537A2"/>
    <w:rsid w:val="004539B3"/>
    <w:rsid w:val="00453A07"/>
    <w:rsid w:val="004545BC"/>
    <w:rsid w:val="004545D4"/>
    <w:rsid w:val="004553AF"/>
    <w:rsid w:val="00455C0A"/>
    <w:rsid w:val="00455F0E"/>
    <w:rsid w:val="004565B7"/>
    <w:rsid w:val="00456704"/>
    <w:rsid w:val="00456B2F"/>
    <w:rsid w:val="004575EC"/>
    <w:rsid w:val="00457878"/>
    <w:rsid w:val="00457958"/>
    <w:rsid w:val="00460340"/>
    <w:rsid w:val="004616C0"/>
    <w:rsid w:val="00462D05"/>
    <w:rsid w:val="00462DD4"/>
    <w:rsid w:val="00463090"/>
    <w:rsid w:val="00463400"/>
    <w:rsid w:val="0046382D"/>
    <w:rsid w:val="00463A4C"/>
    <w:rsid w:val="00464A65"/>
    <w:rsid w:val="00464D00"/>
    <w:rsid w:val="00464DCF"/>
    <w:rsid w:val="00465CB6"/>
    <w:rsid w:val="004661D8"/>
    <w:rsid w:val="004665FC"/>
    <w:rsid w:val="00466704"/>
    <w:rsid w:val="00466731"/>
    <w:rsid w:val="00466FFF"/>
    <w:rsid w:val="004675A6"/>
    <w:rsid w:val="0046789E"/>
    <w:rsid w:val="00467E18"/>
    <w:rsid w:val="0047062B"/>
    <w:rsid w:val="004707DA"/>
    <w:rsid w:val="00470B39"/>
    <w:rsid w:val="0047129A"/>
    <w:rsid w:val="00471E9B"/>
    <w:rsid w:val="00472780"/>
    <w:rsid w:val="00472983"/>
    <w:rsid w:val="00472AB2"/>
    <w:rsid w:val="00472C58"/>
    <w:rsid w:val="004730DA"/>
    <w:rsid w:val="00473320"/>
    <w:rsid w:val="004734F7"/>
    <w:rsid w:val="004735A2"/>
    <w:rsid w:val="00473EE1"/>
    <w:rsid w:val="0047444A"/>
    <w:rsid w:val="00474E2E"/>
    <w:rsid w:val="004754E1"/>
    <w:rsid w:val="00476754"/>
    <w:rsid w:val="004768D8"/>
    <w:rsid w:val="00476D1A"/>
    <w:rsid w:val="0047757A"/>
    <w:rsid w:val="00477586"/>
    <w:rsid w:val="00477852"/>
    <w:rsid w:val="00477ECC"/>
    <w:rsid w:val="00480C70"/>
    <w:rsid w:val="0048105E"/>
    <w:rsid w:val="00481420"/>
    <w:rsid w:val="0048158A"/>
    <w:rsid w:val="004815FD"/>
    <w:rsid w:val="00481CDE"/>
    <w:rsid w:val="00481F0A"/>
    <w:rsid w:val="00482464"/>
    <w:rsid w:val="004825D3"/>
    <w:rsid w:val="00482AA8"/>
    <w:rsid w:val="00482F09"/>
    <w:rsid w:val="00483BAD"/>
    <w:rsid w:val="00483F56"/>
    <w:rsid w:val="00484014"/>
    <w:rsid w:val="00484566"/>
    <w:rsid w:val="004849AB"/>
    <w:rsid w:val="00484BF6"/>
    <w:rsid w:val="00485050"/>
    <w:rsid w:val="00485509"/>
    <w:rsid w:val="0048566C"/>
    <w:rsid w:val="0048593B"/>
    <w:rsid w:val="00486060"/>
    <w:rsid w:val="004877BF"/>
    <w:rsid w:val="00490103"/>
    <w:rsid w:val="0049049A"/>
    <w:rsid w:val="00490653"/>
    <w:rsid w:val="0049126F"/>
    <w:rsid w:val="00491B07"/>
    <w:rsid w:val="00492159"/>
    <w:rsid w:val="00492436"/>
    <w:rsid w:val="004928A8"/>
    <w:rsid w:val="00492A05"/>
    <w:rsid w:val="00492A62"/>
    <w:rsid w:val="00492F87"/>
    <w:rsid w:val="004930AB"/>
    <w:rsid w:val="004939C0"/>
    <w:rsid w:val="004947BC"/>
    <w:rsid w:val="00494BB1"/>
    <w:rsid w:val="00494E24"/>
    <w:rsid w:val="00494EF6"/>
    <w:rsid w:val="004956C2"/>
    <w:rsid w:val="00495E54"/>
    <w:rsid w:val="00495FFC"/>
    <w:rsid w:val="004962F7"/>
    <w:rsid w:val="0049634E"/>
    <w:rsid w:val="0049716D"/>
    <w:rsid w:val="004975AB"/>
    <w:rsid w:val="00497A27"/>
    <w:rsid w:val="00497BC0"/>
    <w:rsid w:val="004A1250"/>
    <w:rsid w:val="004A2C5D"/>
    <w:rsid w:val="004A3088"/>
    <w:rsid w:val="004A312C"/>
    <w:rsid w:val="004A31F7"/>
    <w:rsid w:val="004A3490"/>
    <w:rsid w:val="004A43A5"/>
    <w:rsid w:val="004A49A4"/>
    <w:rsid w:val="004A49F0"/>
    <w:rsid w:val="004A4BDA"/>
    <w:rsid w:val="004A4DD0"/>
    <w:rsid w:val="004A5141"/>
    <w:rsid w:val="004A5745"/>
    <w:rsid w:val="004A600A"/>
    <w:rsid w:val="004A72F5"/>
    <w:rsid w:val="004A74F2"/>
    <w:rsid w:val="004A7783"/>
    <w:rsid w:val="004A7B1A"/>
    <w:rsid w:val="004A7E73"/>
    <w:rsid w:val="004B051F"/>
    <w:rsid w:val="004B0BA2"/>
    <w:rsid w:val="004B1011"/>
    <w:rsid w:val="004B12C3"/>
    <w:rsid w:val="004B210B"/>
    <w:rsid w:val="004B23BF"/>
    <w:rsid w:val="004B2666"/>
    <w:rsid w:val="004B2755"/>
    <w:rsid w:val="004B2BF0"/>
    <w:rsid w:val="004B2CAA"/>
    <w:rsid w:val="004B2D4B"/>
    <w:rsid w:val="004B2F62"/>
    <w:rsid w:val="004B310B"/>
    <w:rsid w:val="004B3162"/>
    <w:rsid w:val="004B343F"/>
    <w:rsid w:val="004B4033"/>
    <w:rsid w:val="004B416D"/>
    <w:rsid w:val="004B422F"/>
    <w:rsid w:val="004B440E"/>
    <w:rsid w:val="004B45C1"/>
    <w:rsid w:val="004B4992"/>
    <w:rsid w:val="004B4A11"/>
    <w:rsid w:val="004B52A8"/>
    <w:rsid w:val="004B5E3D"/>
    <w:rsid w:val="004B739B"/>
    <w:rsid w:val="004B75B5"/>
    <w:rsid w:val="004C039F"/>
    <w:rsid w:val="004C1C09"/>
    <w:rsid w:val="004C2386"/>
    <w:rsid w:val="004C27D1"/>
    <w:rsid w:val="004C4638"/>
    <w:rsid w:val="004C4639"/>
    <w:rsid w:val="004C4845"/>
    <w:rsid w:val="004C54A3"/>
    <w:rsid w:val="004C598A"/>
    <w:rsid w:val="004C5D18"/>
    <w:rsid w:val="004C5E12"/>
    <w:rsid w:val="004C604E"/>
    <w:rsid w:val="004C6A4D"/>
    <w:rsid w:val="004C6AAF"/>
    <w:rsid w:val="004C737D"/>
    <w:rsid w:val="004C7996"/>
    <w:rsid w:val="004CB7F3"/>
    <w:rsid w:val="004D0BB9"/>
    <w:rsid w:val="004D0F7B"/>
    <w:rsid w:val="004D137C"/>
    <w:rsid w:val="004D1FC3"/>
    <w:rsid w:val="004D26E6"/>
    <w:rsid w:val="004D375B"/>
    <w:rsid w:val="004D3CAF"/>
    <w:rsid w:val="004D3DCB"/>
    <w:rsid w:val="004D52F9"/>
    <w:rsid w:val="004D5AA4"/>
    <w:rsid w:val="004D5C63"/>
    <w:rsid w:val="004D6049"/>
    <w:rsid w:val="004D606F"/>
    <w:rsid w:val="004D62A4"/>
    <w:rsid w:val="004D64B6"/>
    <w:rsid w:val="004D6E7E"/>
    <w:rsid w:val="004D705C"/>
    <w:rsid w:val="004D76B7"/>
    <w:rsid w:val="004D7BCF"/>
    <w:rsid w:val="004E0141"/>
    <w:rsid w:val="004E0145"/>
    <w:rsid w:val="004E07FC"/>
    <w:rsid w:val="004E0FBC"/>
    <w:rsid w:val="004E1D16"/>
    <w:rsid w:val="004E2174"/>
    <w:rsid w:val="004E2A7C"/>
    <w:rsid w:val="004E2D80"/>
    <w:rsid w:val="004E36CF"/>
    <w:rsid w:val="004E37E6"/>
    <w:rsid w:val="004E3AEC"/>
    <w:rsid w:val="004E3C48"/>
    <w:rsid w:val="004E3DCA"/>
    <w:rsid w:val="004E41FA"/>
    <w:rsid w:val="004E4AEF"/>
    <w:rsid w:val="004E529E"/>
    <w:rsid w:val="004E5352"/>
    <w:rsid w:val="004E6144"/>
    <w:rsid w:val="004E6D3D"/>
    <w:rsid w:val="004E739A"/>
    <w:rsid w:val="004E7CA6"/>
    <w:rsid w:val="004F0103"/>
    <w:rsid w:val="004F0E71"/>
    <w:rsid w:val="004F0F38"/>
    <w:rsid w:val="004F1778"/>
    <w:rsid w:val="004F187D"/>
    <w:rsid w:val="004F1BDA"/>
    <w:rsid w:val="004F2482"/>
    <w:rsid w:val="004F2778"/>
    <w:rsid w:val="004F2D95"/>
    <w:rsid w:val="004F3152"/>
    <w:rsid w:val="004F347E"/>
    <w:rsid w:val="004F48CD"/>
    <w:rsid w:val="004F4913"/>
    <w:rsid w:val="004F52DB"/>
    <w:rsid w:val="004F58D4"/>
    <w:rsid w:val="004F5D38"/>
    <w:rsid w:val="004F5E64"/>
    <w:rsid w:val="004F636A"/>
    <w:rsid w:val="004F65CB"/>
    <w:rsid w:val="005007A9"/>
    <w:rsid w:val="00500807"/>
    <w:rsid w:val="00500B14"/>
    <w:rsid w:val="00501306"/>
    <w:rsid w:val="00501AEE"/>
    <w:rsid w:val="00501C13"/>
    <w:rsid w:val="005023B6"/>
    <w:rsid w:val="005030CE"/>
    <w:rsid w:val="005031CB"/>
    <w:rsid w:val="00503CF9"/>
    <w:rsid w:val="00504565"/>
    <w:rsid w:val="005053F5"/>
    <w:rsid w:val="00505CBC"/>
    <w:rsid w:val="00506011"/>
    <w:rsid w:val="0050642D"/>
    <w:rsid w:val="00506AE1"/>
    <w:rsid w:val="005073C0"/>
    <w:rsid w:val="00507B4F"/>
    <w:rsid w:val="00510597"/>
    <w:rsid w:val="00510B73"/>
    <w:rsid w:val="00511157"/>
    <w:rsid w:val="00511642"/>
    <w:rsid w:val="005117A2"/>
    <w:rsid w:val="005117A8"/>
    <w:rsid w:val="005118A8"/>
    <w:rsid w:val="0051191A"/>
    <w:rsid w:val="0051246A"/>
    <w:rsid w:val="00512560"/>
    <w:rsid w:val="00512EB4"/>
    <w:rsid w:val="00513BD5"/>
    <w:rsid w:val="00513C76"/>
    <w:rsid w:val="00514A92"/>
    <w:rsid w:val="00515C89"/>
    <w:rsid w:val="0051671C"/>
    <w:rsid w:val="00516BD9"/>
    <w:rsid w:val="00516EA4"/>
    <w:rsid w:val="00520281"/>
    <w:rsid w:val="00520572"/>
    <w:rsid w:val="005207D2"/>
    <w:rsid w:val="00520B8F"/>
    <w:rsid w:val="00520F98"/>
    <w:rsid w:val="00521297"/>
    <w:rsid w:val="00521CBF"/>
    <w:rsid w:val="00522382"/>
    <w:rsid w:val="0052245A"/>
    <w:rsid w:val="00522A76"/>
    <w:rsid w:val="00522F22"/>
    <w:rsid w:val="005232AA"/>
    <w:rsid w:val="00523433"/>
    <w:rsid w:val="00523DB6"/>
    <w:rsid w:val="00524AA5"/>
    <w:rsid w:val="00524B62"/>
    <w:rsid w:val="00524D7B"/>
    <w:rsid w:val="005254BB"/>
    <w:rsid w:val="0052577D"/>
    <w:rsid w:val="00525A73"/>
    <w:rsid w:val="00526327"/>
    <w:rsid w:val="00526E98"/>
    <w:rsid w:val="00526EF0"/>
    <w:rsid w:val="0052705A"/>
    <w:rsid w:val="005270DE"/>
    <w:rsid w:val="00527B26"/>
    <w:rsid w:val="00527D03"/>
    <w:rsid w:val="00530077"/>
    <w:rsid w:val="0053012D"/>
    <w:rsid w:val="00530712"/>
    <w:rsid w:val="00530B62"/>
    <w:rsid w:val="0053185D"/>
    <w:rsid w:val="00531B1B"/>
    <w:rsid w:val="0053235D"/>
    <w:rsid w:val="00532BC2"/>
    <w:rsid w:val="00533316"/>
    <w:rsid w:val="00533F85"/>
    <w:rsid w:val="00534138"/>
    <w:rsid w:val="00534909"/>
    <w:rsid w:val="00534A98"/>
    <w:rsid w:val="00535BC2"/>
    <w:rsid w:val="005366B3"/>
    <w:rsid w:val="00536836"/>
    <w:rsid w:val="00536F2D"/>
    <w:rsid w:val="0053704A"/>
    <w:rsid w:val="005375B2"/>
    <w:rsid w:val="00537848"/>
    <w:rsid w:val="00537FD6"/>
    <w:rsid w:val="00540777"/>
    <w:rsid w:val="00541243"/>
    <w:rsid w:val="005416FC"/>
    <w:rsid w:val="0054184D"/>
    <w:rsid w:val="005420DE"/>
    <w:rsid w:val="005427C0"/>
    <w:rsid w:val="00542A72"/>
    <w:rsid w:val="00542AAA"/>
    <w:rsid w:val="00542D96"/>
    <w:rsid w:val="00543204"/>
    <w:rsid w:val="005433C3"/>
    <w:rsid w:val="0054342B"/>
    <w:rsid w:val="005439D5"/>
    <w:rsid w:val="00543B3B"/>
    <w:rsid w:val="00543EE5"/>
    <w:rsid w:val="0054460C"/>
    <w:rsid w:val="00545073"/>
    <w:rsid w:val="005452C1"/>
    <w:rsid w:val="00545A57"/>
    <w:rsid w:val="00545C2A"/>
    <w:rsid w:val="00545E6A"/>
    <w:rsid w:val="00546167"/>
    <w:rsid w:val="00546CE0"/>
    <w:rsid w:val="005470FB"/>
    <w:rsid w:val="00547484"/>
    <w:rsid w:val="0054776F"/>
    <w:rsid w:val="00550AE0"/>
    <w:rsid w:val="00550D84"/>
    <w:rsid w:val="00550F66"/>
    <w:rsid w:val="00550FF8"/>
    <w:rsid w:val="00551097"/>
    <w:rsid w:val="00551285"/>
    <w:rsid w:val="005513C6"/>
    <w:rsid w:val="005519D5"/>
    <w:rsid w:val="005527B3"/>
    <w:rsid w:val="00553500"/>
    <w:rsid w:val="005540D2"/>
    <w:rsid w:val="005541CC"/>
    <w:rsid w:val="00554287"/>
    <w:rsid w:val="00554368"/>
    <w:rsid w:val="005544D8"/>
    <w:rsid w:val="00555516"/>
    <w:rsid w:val="00555FB5"/>
    <w:rsid w:val="005560AD"/>
    <w:rsid w:val="005571B8"/>
    <w:rsid w:val="005571DA"/>
    <w:rsid w:val="00557322"/>
    <w:rsid w:val="00557686"/>
    <w:rsid w:val="005577D5"/>
    <w:rsid w:val="00557E83"/>
    <w:rsid w:val="0056007B"/>
    <w:rsid w:val="00560147"/>
    <w:rsid w:val="00560876"/>
    <w:rsid w:val="00561057"/>
    <w:rsid w:val="00561271"/>
    <w:rsid w:val="00561321"/>
    <w:rsid w:val="0056161E"/>
    <w:rsid w:val="00561A01"/>
    <w:rsid w:val="00561C19"/>
    <w:rsid w:val="00561F47"/>
    <w:rsid w:val="00563ACD"/>
    <w:rsid w:val="00563DD0"/>
    <w:rsid w:val="00563E65"/>
    <w:rsid w:val="0056410B"/>
    <w:rsid w:val="00564B0C"/>
    <w:rsid w:val="00564C13"/>
    <w:rsid w:val="00564DAC"/>
    <w:rsid w:val="0056520F"/>
    <w:rsid w:val="005655D7"/>
    <w:rsid w:val="00565869"/>
    <w:rsid w:val="0056587B"/>
    <w:rsid w:val="0056690E"/>
    <w:rsid w:val="00566962"/>
    <w:rsid w:val="005675FC"/>
    <w:rsid w:val="005676FB"/>
    <w:rsid w:val="005702DF"/>
    <w:rsid w:val="00570412"/>
    <w:rsid w:val="00570DA0"/>
    <w:rsid w:val="005710DD"/>
    <w:rsid w:val="005711A5"/>
    <w:rsid w:val="00571786"/>
    <w:rsid w:val="00571971"/>
    <w:rsid w:val="00571B8C"/>
    <w:rsid w:val="005725B4"/>
    <w:rsid w:val="00572F85"/>
    <w:rsid w:val="005731FC"/>
    <w:rsid w:val="00573433"/>
    <w:rsid w:val="00573E88"/>
    <w:rsid w:val="00574022"/>
    <w:rsid w:val="00574A81"/>
    <w:rsid w:val="00575106"/>
    <w:rsid w:val="00575776"/>
    <w:rsid w:val="005769C8"/>
    <w:rsid w:val="00576BFA"/>
    <w:rsid w:val="00577E26"/>
    <w:rsid w:val="00580D3F"/>
    <w:rsid w:val="00581226"/>
    <w:rsid w:val="00581BFE"/>
    <w:rsid w:val="00581DA9"/>
    <w:rsid w:val="00581EF8"/>
    <w:rsid w:val="005824A9"/>
    <w:rsid w:val="00583638"/>
    <w:rsid w:val="00584549"/>
    <w:rsid w:val="00585B27"/>
    <w:rsid w:val="00585BBC"/>
    <w:rsid w:val="00585E25"/>
    <w:rsid w:val="0058600B"/>
    <w:rsid w:val="0058646C"/>
    <w:rsid w:val="0058688F"/>
    <w:rsid w:val="00586D8C"/>
    <w:rsid w:val="00587529"/>
    <w:rsid w:val="00587CFA"/>
    <w:rsid w:val="00587EF4"/>
    <w:rsid w:val="00590112"/>
    <w:rsid w:val="0059064B"/>
    <w:rsid w:val="00591CE0"/>
    <w:rsid w:val="005920E4"/>
    <w:rsid w:val="00592210"/>
    <w:rsid w:val="005930BE"/>
    <w:rsid w:val="00593208"/>
    <w:rsid w:val="00593E2F"/>
    <w:rsid w:val="005944DA"/>
    <w:rsid w:val="005950B1"/>
    <w:rsid w:val="00595AD8"/>
    <w:rsid w:val="00595CDE"/>
    <w:rsid w:val="005963F4"/>
    <w:rsid w:val="00596E4F"/>
    <w:rsid w:val="005974A6"/>
    <w:rsid w:val="00597FF1"/>
    <w:rsid w:val="005A0196"/>
    <w:rsid w:val="005A066D"/>
    <w:rsid w:val="005A13AF"/>
    <w:rsid w:val="005A14D6"/>
    <w:rsid w:val="005A1503"/>
    <w:rsid w:val="005A1D54"/>
    <w:rsid w:val="005A1E33"/>
    <w:rsid w:val="005A207E"/>
    <w:rsid w:val="005A28BE"/>
    <w:rsid w:val="005A335B"/>
    <w:rsid w:val="005A35D5"/>
    <w:rsid w:val="005A3FBA"/>
    <w:rsid w:val="005A426C"/>
    <w:rsid w:val="005A49FE"/>
    <w:rsid w:val="005A54EE"/>
    <w:rsid w:val="005A55C0"/>
    <w:rsid w:val="005A5B77"/>
    <w:rsid w:val="005A69FF"/>
    <w:rsid w:val="005A79C9"/>
    <w:rsid w:val="005A7C2E"/>
    <w:rsid w:val="005B0244"/>
    <w:rsid w:val="005B0706"/>
    <w:rsid w:val="005B0A89"/>
    <w:rsid w:val="005B0E39"/>
    <w:rsid w:val="005B1027"/>
    <w:rsid w:val="005B1322"/>
    <w:rsid w:val="005B1337"/>
    <w:rsid w:val="005B14AF"/>
    <w:rsid w:val="005B18F5"/>
    <w:rsid w:val="005B3B2E"/>
    <w:rsid w:val="005B4D3A"/>
    <w:rsid w:val="005B525E"/>
    <w:rsid w:val="005B562D"/>
    <w:rsid w:val="005B5A4F"/>
    <w:rsid w:val="005B7250"/>
    <w:rsid w:val="005B7572"/>
    <w:rsid w:val="005B75C7"/>
    <w:rsid w:val="005C02E3"/>
    <w:rsid w:val="005C07F3"/>
    <w:rsid w:val="005C0910"/>
    <w:rsid w:val="005C098E"/>
    <w:rsid w:val="005C14A7"/>
    <w:rsid w:val="005C1710"/>
    <w:rsid w:val="005C1C42"/>
    <w:rsid w:val="005C1F1A"/>
    <w:rsid w:val="005C2926"/>
    <w:rsid w:val="005C43A5"/>
    <w:rsid w:val="005C54C3"/>
    <w:rsid w:val="005C5750"/>
    <w:rsid w:val="005C6756"/>
    <w:rsid w:val="005C6A79"/>
    <w:rsid w:val="005C78A8"/>
    <w:rsid w:val="005D0299"/>
    <w:rsid w:val="005D0B71"/>
    <w:rsid w:val="005D0CCF"/>
    <w:rsid w:val="005D24B1"/>
    <w:rsid w:val="005D285F"/>
    <w:rsid w:val="005D2AB3"/>
    <w:rsid w:val="005D3592"/>
    <w:rsid w:val="005D3AF3"/>
    <w:rsid w:val="005D4EB2"/>
    <w:rsid w:val="005D4F31"/>
    <w:rsid w:val="005D548C"/>
    <w:rsid w:val="005D5D34"/>
    <w:rsid w:val="005D60F8"/>
    <w:rsid w:val="005D62BF"/>
    <w:rsid w:val="005D63C4"/>
    <w:rsid w:val="005D6631"/>
    <w:rsid w:val="005D6B3A"/>
    <w:rsid w:val="005D6F85"/>
    <w:rsid w:val="005D7D3F"/>
    <w:rsid w:val="005D7DD0"/>
    <w:rsid w:val="005D7EDD"/>
    <w:rsid w:val="005E0086"/>
    <w:rsid w:val="005E15CA"/>
    <w:rsid w:val="005E1785"/>
    <w:rsid w:val="005E1797"/>
    <w:rsid w:val="005E1B41"/>
    <w:rsid w:val="005E1B67"/>
    <w:rsid w:val="005E249C"/>
    <w:rsid w:val="005E29F2"/>
    <w:rsid w:val="005E2DB2"/>
    <w:rsid w:val="005E2E12"/>
    <w:rsid w:val="005E2E6A"/>
    <w:rsid w:val="005E340E"/>
    <w:rsid w:val="005E36FC"/>
    <w:rsid w:val="005E3C7B"/>
    <w:rsid w:val="005E4160"/>
    <w:rsid w:val="005E4B37"/>
    <w:rsid w:val="005E4D27"/>
    <w:rsid w:val="005E52F4"/>
    <w:rsid w:val="005E532C"/>
    <w:rsid w:val="005E5A11"/>
    <w:rsid w:val="005E5CF1"/>
    <w:rsid w:val="005E6349"/>
    <w:rsid w:val="005E690B"/>
    <w:rsid w:val="005E7E95"/>
    <w:rsid w:val="005F0E12"/>
    <w:rsid w:val="005F152F"/>
    <w:rsid w:val="005F2051"/>
    <w:rsid w:val="005F23B1"/>
    <w:rsid w:val="005F2868"/>
    <w:rsid w:val="005F2B0B"/>
    <w:rsid w:val="005F2CB7"/>
    <w:rsid w:val="005F2DFF"/>
    <w:rsid w:val="005F2EDB"/>
    <w:rsid w:val="005F30D5"/>
    <w:rsid w:val="005F3BCF"/>
    <w:rsid w:val="005F4282"/>
    <w:rsid w:val="005F4BB2"/>
    <w:rsid w:val="005F4CE6"/>
    <w:rsid w:val="005F5077"/>
    <w:rsid w:val="005F5266"/>
    <w:rsid w:val="005F6130"/>
    <w:rsid w:val="005F6670"/>
    <w:rsid w:val="005F6E9B"/>
    <w:rsid w:val="005F73E3"/>
    <w:rsid w:val="005F7794"/>
    <w:rsid w:val="00600630"/>
    <w:rsid w:val="006013B1"/>
    <w:rsid w:val="0060178A"/>
    <w:rsid w:val="006017B2"/>
    <w:rsid w:val="0060193A"/>
    <w:rsid w:val="00601F2A"/>
    <w:rsid w:val="006029E4"/>
    <w:rsid w:val="00602AC8"/>
    <w:rsid w:val="00602E48"/>
    <w:rsid w:val="0060315A"/>
    <w:rsid w:val="00604174"/>
    <w:rsid w:val="00605CFE"/>
    <w:rsid w:val="00605E27"/>
    <w:rsid w:val="00605F04"/>
    <w:rsid w:val="00606367"/>
    <w:rsid w:val="006064FC"/>
    <w:rsid w:val="006066D6"/>
    <w:rsid w:val="00607A83"/>
    <w:rsid w:val="006104DE"/>
    <w:rsid w:val="006105D8"/>
    <w:rsid w:val="00610EDC"/>
    <w:rsid w:val="00611817"/>
    <w:rsid w:val="006118C6"/>
    <w:rsid w:val="00611974"/>
    <w:rsid w:val="00611B8D"/>
    <w:rsid w:val="00611CE7"/>
    <w:rsid w:val="00611CFA"/>
    <w:rsid w:val="00612314"/>
    <w:rsid w:val="0061311D"/>
    <w:rsid w:val="006139D5"/>
    <w:rsid w:val="00613EE0"/>
    <w:rsid w:val="0061445E"/>
    <w:rsid w:val="00614CE6"/>
    <w:rsid w:val="00614F99"/>
    <w:rsid w:val="006156CF"/>
    <w:rsid w:val="006159D7"/>
    <w:rsid w:val="00616492"/>
    <w:rsid w:val="0061663D"/>
    <w:rsid w:val="00616727"/>
    <w:rsid w:val="006168F2"/>
    <w:rsid w:val="00617A36"/>
    <w:rsid w:val="00617FA6"/>
    <w:rsid w:val="0062174C"/>
    <w:rsid w:val="00621ABC"/>
    <w:rsid w:val="00621DB6"/>
    <w:rsid w:val="006221E4"/>
    <w:rsid w:val="00622477"/>
    <w:rsid w:val="00622B8E"/>
    <w:rsid w:val="00622F9C"/>
    <w:rsid w:val="006231C8"/>
    <w:rsid w:val="00623BCB"/>
    <w:rsid w:val="0062419E"/>
    <w:rsid w:val="00624927"/>
    <w:rsid w:val="00624D1E"/>
    <w:rsid w:val="006260F8"/>
    <w:rsid w:val="006261F2"/>
    <w:rsid w:val="006265CA"/>
    <w:rsid w:val="0062690D"/>
    <w:rsid w:val="00626A91"/>
    <w:rsid w:val="0062741C"/>
    <w:rsid w:val="00627CF3"/>
    <w:rsid w:val="00627E27"/>
    <w:rsid w:val="006303AD"/>
    <w:rsid w:val="006304D3"/>
    <w:rsid w:val="00630918"/>
    <w:rsid w:val="00630A73"/>
    <w:rsid w:val="00630AD1"/>
    <w:rsid w:val="00630E92"/>
    <w:rsid w:val="00631193"/>
    <w:rsid w:val="006315F3"/>
    <w:rsid w:val="00631810"/>
    <w:rsid w:val="00631E12"/>
    <w:rsid w:val="00631F68"/>
    <w:rsid w:val="00632FF7"/>
    <w:rsid w:val="00633AE3"/>
    <w:rsid w:val="006347BA"/>
    <w:rsid w:val="00634C1C"/>
    <w:rsid w:val="006350EF"/>
    <w:rsid w:val="00635732"/>
    <w:rsid w:val="006360C8"/>
    <w:rsid w:val="0063624B"/>
    <w:rsid w:val="00636348"/>
    <w:rsid w:val="00636849"/>
    <w:rsid w:val="00636FAE"/>
    <w:rsid w:val="00636FE5"/>
    <w:rsid w:val="0063779F"/>
    <w:rsid w:val="0064170B"/>
    <w:rsid w:val="00641C49"/>
    <w:rsid w:val="00642B7F"/>
    <w:rsid w:val="00642EBC"/>
    <w:rsid w:val="00643CF9"/>
    <w:rsid w:val="006441FF"/>
    <w:rsid w:val="0064467E"/>
    <w:rsid w:val="00644C7C"/>
    <w:rsid w:val="00645F17"/>
    <w:rsid w:val="0064649D"/>
    <w:rsid w:val="00646723"/>
    <w:rsid w:val="006468C0"/>
    <w:rsid w:val="00646A9C"/>
    <w:rsid w:val="00646C86"/>
    <w:rsid w:val="00646E5A"/>
    <w:rsid w:val="006472C7"/>
    <w:rsid w:val="00647734"/>
    <w:rsid w:val="0064789F"/>
    <w:rsid w:val="0065025B"/>
    <w:rsid w:val="00650927"/>
    <w:rsid w:val="00651932"/>
    <w:rsid w:val="0065207A"/>
    <w:rsid w:val="006523CE"/>
    <w:rsid w:val="006528B7"/>
    <w:rsid w:val="00652AD5"/>
    <w:rsid w:val="00652C3C"/>
    <w:rsid w:val="00652E2A"/>
    <w:rsid w:val="006531CB"/>
    <w:rsid w:val="00653452"/>
    <w:rsid w:val="00653655"/>
    <w:rsid w:val="00653711"/>
    <w:rsid w:val="00653A52"/>
    <w:rsid w:val="00653D40"/>
    <w:rsid w:val="006540A5"/>
    <w:rsid w:val="006542C6"/>
    <w:rsid w:val="00654302"/>
    <w:rsid w:val="00654587"/>
    <w:rsid w:val="006549BE"/>
    <w:rsid w:val="006552C7"/>
    <w:rsid w:val="00655D86"/>
    <w:rsid w:val="006566CE"/>
    <w:rsid w:val="00656DFF"/>
    <w:rsid w:val="00657029"/>
    <w:rsid w:val="0065742C"/>
    <w:rsid w:val="0065784B"/>
    <w:rsid w:val="00657BFF"/>
    <w:rsid w:val="00657F13"/>
    <w:rsid w:val="00657F9B"/>
    <w:rsid w:val="00661A7C"/>
    <w:rsid w:val="00661EFD"/>
    <w:rsid w:val="0066220F"/>
    <w:rsid w:val="00662685"/>
    <w:rsid w:val="00662E8C"/>
    <w:rsid w:val="00663A90"/>
    <w:rsid w:val="00663BB1"/>
    <w:rsid w:val="00663FA6"/>
    <w:rsid w:val="006648EC"/>
    <w:rsid w:val="00664A03"/>
    <w:rsid w:val="006666EA"/>
    <w:rsid w:val="00666761"/>
    <w:rsid w:val="00666C01"/>
    <w:rsid w:val="00666F67"/>
    <w:rsid w:val="006672A5"/>
    <w:rsid w:val="00667450"/>
    <w:rsid w:val="0066788A"/>
    <w:rsid w:val="0067023B"/>
    <w:rsid w:val="006708E2"/>
    <w:rsid w:val="00670A72"/>
    <w:rsid w:val="00670FF5"/>
    <w:rsid w:val="006719F5"/>
    <w:rsid w:val="00671AE3"/>
    <w:rsid w:val="006720BD"/>
    <w:rsid w:val="0067250E"/>
    <w:rsid w:val="00672A00"/>
    <w:rsid w:val="00672C78"/>
    <w:rsid w:val="00672D8B"/>
    <w:rsid w:val="0067327D"/>
    <w:rsid w:val="0067354B"/>
    <w:rsid w:val="00673EE0"/>
    <w:rsid w:val="0067401E"/>
    <w:rsid w:val="00674267"/>
    <w:rsid w:val="006745B3"/>
    <w:rsid w:val="00674BD8"/>
    <w:rsid w:val="00674F20"/>
    <w:rsid w:val="00675220"/>
    <w:rsid w:val="00675336"/>
    <w:rsid w:val="00675353"/>
    <w:rsid w:val="00675E4C"/>
    <w:rsid w:val="006766D5"/>
    <w:rsid w:val="00676A8A"/>
    <w:rsid w:val="006775F4"/>
    <w:rsid w:val="00677897"/>
    <w:rsid w:val="00677C18"/>
    <w:rsid w:val="00677C4E"/>
    <w:rsid w:val="006804E4"/>
    <w:rsid w:val="0068070A"/>
    <w:rsid w:val="00680ABD"/>
    <w:rsid w:val="00680E2D"/>
    <w:rsid w:val="00681B78"/>
    <w:rsid w:val="00681C2E"/>
    <w:rsid w:val="00682024"/>
    <w:rsid w:val="0068256C"/>
    <w:rsid w:val="006828D0"/>
    <w:rsid w:val="00682E29"/>
    <w:rsid w:val="0068348C"/>
    <w:rsid w:val="00684038"/>
    <w:rsid w:val="00684423"/>
    <w:rsid w:val="00684ED5"/>
    <w:rsid w:val="00685717"/>
    <w:rsid w:val="00685883"/>
    <w:rsid w:val="00685FA3"/>
    <w:rsid w:val="00686230"/>
    <w:rsid w:val="006863BF"/>
    <w:rsid w:val="006866F2"/>
    <w:rsid w:val="00686A96"/>
    <w:rsid w:val="00686E6E"/>
    <w:rsid w:val="00686EC3"/>
    <w:rsid w:val="00686FD2"/>
    <w:rsid w:val="0068748C"/>
    <w:rsid w:val="00687952"/>
    <w:rsid w:val="00690647"/>
    <w:rsid w:val="006906FA"/>
    <w:rsid w:val="00690D66"/>
    <w:rsid w:val="00690F38"/>
    <w:rsid w:val="006913A2"/>
    <w:rsid w:val="0069195F"/>
    <w:rsid w:val="00691DD6"/>
    <w:rsid w:val="00692177"/>
    <w:rsid w:val="0069239B"/>
    <w:rsid w:val="0069251E"/>
    <w:rsid w:val="00692529"/>
    <w:rsid w:val="00692A03"/>
    <w:rsid w:val="006948D6"/>
    <w:rsid w:val="0069497A"/>
    <w:rsid w:val="00694A81"/>
    <w:rsid w:val="00694E3B"/>
    <w:rsid w:val="006950B3"/>
    <w:rsid w:val="00695722"/>
    <w:rsid w:val="006958D6"/>
    <w:rsid w:val="00695EAB"/>
    <w:rsid w:val="00696165"/>
    <w:rsid w:val="006965CA"/>
    <w:rsid w:val="0069775A"/>
    <w:rsid w:val="006A0410"/>
    <w:rsid w:val="006A04D1"/>
    <w:rsid w:val="006A076B"/>
    <w:rsid w:val="006A12F4"/>
    <w:rsid w:val="006A1796"/>
    <w:rsid w:val="006A1CD4"/>
    <w:rsid w:val="006A2E25"/>
    <w:rsid w:val="006A37A4"/>
    <w:rsid w:val="006A3A6B"/>
    <w:rsid w:val="006A3F9A"/>
    <w:rsid w:val="006A422F"/>
    <w:rsid w:val="006A478E"/>
    <w:rsid w:val="006A4816"/>
    <w:rsid w:val="006A500C"/>
    <w:rsid w:val="006A541A"/>
    <w:rsid w:val="006A6280"/>
    <w:rsid w:val="006A63F4"/>
    <w:rsid w:val="006A645F"/>
    <w:rsid w:val="006A6DEB"/>
    <w:rsid w:val="006B042E"/>
    <w:rsid w:val="006B0710"/>
    <w:rsid w:val="006B0BD8"/>
    <w:rsid w:val="006B1035"/>
    <w:rsid w:val="006B12F5"/>
    <w:rsid w:val="006B17E8"/>
    <w:rsid w:val="006B279E"/>
    <w:rsid w:val="006B29D8"/>
    <w:rsid w:val="006B2D06"/>
    <w:rsid w:val="006B2E1A"/>
    <w:rsid w:val="006B31D9"/>
    <w:rsid w:val="006B3333"/>
    <w:rsid w:val="006B35B1"/>
    <w:rsid w:val="006B387C"/>
    <w:rsid w:val="006B3B40"/>
    <w:rsid w:val="006B400E"/>
    <w:rsid w:val="006B45C0"/>
    <w:rsid w:val="006B4B6E"/>
    <w:rsid w:val="006B55D9"/>
    <w:rsid w:val="006B59A0"/>
    <w:rsid w:val="006B6237"/>
    <w:rsid w:val="006B6958"/>
    <w:rsid w:val="006B76DC"/>
    <w:rsid w:val="006B7990"/>
    <w:rsid w:val="006B7DA7"/>
    <w:rsid w:val="006C008E"/>
    <w:rsid w:val="006C03B1"/>
    <w:rsid w:val="006C082C"/>
    <w:rsid w:val="006C0F01"/>
    <w:rsid w:val="006C11CD"/>
    <w:rsid w:val="006C1252"/>
    <w:rsid w:val="006C1541"/>
    <w:rsid w:val="006C171F"/>
    <w:rsid w:val="006C1BE1"/>
    <w:rsid w:val="006C1D0C"/>
    <w:rsid w:val="006C1E88"/>
    <w:rsid w:val="006C2501"/>
    <w:rsid w:val="006C2550"/>
    <w:rsid w:val="006C2950"/>
    <w:rsid w:val="006C3C47"/>
    <w:rsid w:val="006C403F"/>
    <w:rsid w:val="006C407E"/>
    <w:rsid w:val="006C40C5"/>
    <w:rsid w:val="006C420A"/>
    <w:rsid w:val="006C450A"/>
    <w:rsid w:val="006C4AB5"/>
    <w:rsid w:val="006C529C"/>
    <w:rsid w:val="006C583B"/>
    <w:rsid w:val="006C6DA7"/>
    <w:rsid w:val="006C7786"/>
    <w:rsid w:val="006D0D10"/>
    <w:rsid w:val="006D12B8"/>
    <w:rsid w:val="006D15C1"/>
    <w:rsid w:val="006D195E"/>
    <w:rsid w:val="006D1A46"/>
    <w:rsid w:val="006D1D96"/>
    <w:rsid w:val="006D21C9"/>
    <w:rsid w:val="006D2657"/>
    <w:rsid w:val="006D2865"/>
    <w:rsid w:val="006D288C"/>
    <w:rsid w:val="006D2D1F"/>
    <w:rsid w:val="006D2F6F"/>
    <w:rsid w:val="006D30A8"/>
    <w:rsid w:val="006D3ED2"/>
    <w:rsid w:val="006D3FFF"/>
    <w:rsid w:val="006D414A"/>
    <w:rsid w:val="006D45DC"/>
    <w:rsid w:val="006D4A99"/>
    <w:rsid w:val="006D4B0D"/>
    <w:rsid w:val="006D4EF0"/>
    <w:rsid w:val="006D569B"/>
    <w:rsid w:val="006D5BEC"/>
    <w:rsid w:val="006D706F"/>
    <w:rsid w:val="006D71A1"/>
    <w:rsid w:val="006D7B1F"/>
    <w:rsid w:val="006D7E4E"/>
    <w:rsid w:val="006E0205"/>
    <w:rsid w:val="006E0E89"/>
    <w:rsid w:val="006E11DF"/>
    <w:rsid w:val="006E1736"/>
    <w:rsid w:val="006E1906"/>
    <w:rsid w:val="006E1C70"/>
    <w:rsid w:val="006E2ADE"/>
    <w:rsid w:val="006E2D6B"/>
    <w:rsid w:val="006E384E"/>
    <w:rsid w:val="006E4342"/>
    <w:rsid w:val="006E4445"/>
    <w:rsid w:val="006E4564"/>
    <w:rsid w:val="006E488C"/>
    <w:rsid w:val="006E4D01"/>
    <w:rsid w:val="006E4DD7"/>
    <w:rsid w:val="006E4F27"/>
    <w:rsid w:val="006E4FC9"/>
    <w:rsid w:val="006E5D67"/>
    <w:rsid w:val="006E5DE0"/>
    <w:rsid w:val="006E69E0"/>
    <w:rsid w:val="006E6E39"/>
    <w:rsid w:val="006E7B03"/>
    <w:rsid w:val="006F00D1"/>
    <w:rsid w:val="006F00D8"/>
    <w:rsid w:val="006F0502"/>
    <w:rsid w:val="006F0D1B"/>
    <w:rsid w:val="006F1165"/>
    <w:rsid w:val="006F1C25"/>
    <w:rsid w:val="006F2934"/>
    <w:rsid w:val="006F2ADF"/>
    <w:rsid w:val="006F3E43"/>
    <w:rsid w:val="006F4192"/>
    <w:rsid w:val="006F4A2D"/>
    <w:rsid w:val="006F4D0C"/>
    <w:rsid w:val="006F50C6"/>
    <w:rsid w:val="006F515E"/>
    <w:rsid w:val="006F5372"/>
    <w:rsid w:val="006F6190"/>
    <w:rsid w:val="006F629F"/>
    <w:rsid w:val="006F62B1"/>
    <w:rsid w:val="006F62C9"/>
    <w:rsid w:val="006F62CE"/>
    <w:rsid w:val="006F695E"/>
    <w:rsid w:val="006F6E57"/>
    <w:rsid w:val="006F7653"/>
    <w:rsid w:val="006F76AB"/>
    <w:rsid w:val="006F7E18"/>
    <w:rsid w:val="007006D0"/>
    <w:rsid w:val="007009F8"/>
    <w:rsid w:val="00700AD7"/>
    <w:rsid w:val="007019E8"/>
    <w:rsid w:val="00702079"/>
    <w:rsid w:val="007020CA"/>
    <w:rsid w:val="0070278F"/>
    <w:rsid w:val="00702C12"/>
    <w:rsid w:val="00702DFE"/>
    <w:rsid w:val="007038BF"/>
    <w:rsid w:val="00703C4D"/>
    <w:rsid w:val="00703C4F"/>
    <w:rsid w:val="00704FCB"/>
    <w:rsid w:val="00705BF0"/>
    <w:rsid w:val="00705DAE"/>
    <w:rsid w:val="00706406"/>
    <w:rsid w:val="00706C2B"/>
    <w:rsid w:val="00706C7E"/>
    <w:rsid w:val="00706CD9"/>
    <w:rsid w:val="007075A3"/>
    <w:rsid w:val="00707F43"/>
    <w:rsid w:val="00710199"/>
    <w:rsid w:val="007105A1"/>
    <w:rsid w:val="0071122D"/>
    <w:rsid w:val="00711396"/>
    <w:rsid w:val="00711439"/>
    <w:rsid w:val="00711B8D"/>
    <w:rsid w:val="007121A0"/>
    <w:rsid w:val="007126AC"/>
    <w:rsid w:val="00712BB6"/>
    <w:rsid w:val="00712E6E"/>
    <w:rsid w:val="00712E7D"/>
    <w:rsid w:val="007133F2"/>
    <w:rsid w:val="00713AF0"/>
    <w:rsid w:val="00713D8C"/>
    <w:rsid w:val="00713F74"/>
    <w:rsid w:val="00714BFC"/>
    <w:rsid w:val="007152CE"/>
    <w:rsid w:val="0071552B"/>
    <w:rsid w:val="00715EF6"/>
    <w:rsid w:val="00716A15"/>
    <w:rsid w:val="00717643"/>
    <w:rsid w:val="00717A00"/>
    <w:rsid w:val="00720268"/>
    <w:rsid w:val="007203D8"/>
    <w:rsid w:val="00720558"/>
    <w:rsid w:val="007205A1"/>
    <w:rsid w:val="00720646"/>
    <w:rsid w:val="0072139F"/>
    <w:rsid w:val="00721677"/>
    <w:rsid w:val="00721E10"/>
    <w:rsid w:val="0072205B"/>
    <w:rsid w:val="0072234A"/>
    <w:rsid w:val="00722434"/>
    <w:rsid w:val="00722B64"/>
    <w:rsid w:val="007234C3"/>
    <w:rsid w:val="00724141"/>
    <w:rsid w:val="007247B6"/>
    <w:rsid w:val="0072519E"/>
    <w:rsid w:val="007252ED"/>
    <w:rsid w:val="00725E23"/>
    <w:rsid w:val="00726268"/>
    <w:rsid w:val="00726CBB"/>
    <w:rsid w:val="00726F2F"/>
    <w:rsid w:val="00727683"/>
    <w:rsid w:val="007279C3"/>
    <w:rsid w:val="007300C1"/>
    <w:rsid w:val="0073062C"/>
    <w:rsid w:val="0073086A"/>
    <w:rsid w:val="00730FBB"/>
    <w:rsid w:val="00731053"/>
    <w:rsid w:val="0073137D"/>
    <w:rsid w:val="007313CA"/>
    <w:rsid w:val="00731A8A"/>
    <w:rsid w:val="0073249E"/>
    <w:rsid w:val="007329F0"/>
    <w:rsid w:val="00732E5A"/>
    <w:rsid w:val="00734016"/>
    <w:rsid w:val="00734286"/>
    <w:rsid w:val="0073444A"/>
    <w:rsid w:val="007344E0"/>
    <w:rsid w:val="0073677D"/>
    <w:rsid w:val="007368E3"/>
    <w:rsid w:val="007371B9"/>
    <w:rsid w:val="007371CC"/>
    <w:rsid w:val="0073720A"/>
    <w:rsid w:val="00737B48"/>
    <w:rsid w:val="00740197"/>
    <w:rsid w:val="00740290"/>
    <w:rsid w:val="007405F3"/>
    <w:rsid w:val="0074141E"/>
    <w:rsid w:val="007415CB"/>
    <w:rsid w:val="00741DA1"/>
    <w:rsid w:val="00742297"/>
    <w:rsid w:val="007422AA"/>
    <w:rsid w:val="007431DB"/>
    <w:rsid w:val="007433AE"/>
    <w:rsid w:val="00744695"/>
    <w:rsid w:val="00744E0F"/>
    <w:rsid w:val="00744E6D"/>
    <w:rsid w:val="00745059"/>
    <w:rsid w:val="007451E5"/>
    <w:rsid w:val="007452D3"/>
    <w:rsid w:val="007455BD"/>
    <w:rsid w:val="00746CAE"/>
    <w:rsid w:val="007475BD"/>
    <w:rsid w:val="00747602"/>
    <w:rsid w:val="007478A5"/>
    <w:rsid w:val="00747DF7"/>
    <w:rsid w:val="007502D8"/>
    <w:rsid w:val="00750560"/>
    <w:rsid w:val="00750EDC"/>
    <w:rsid w:val="00750F97"/>
    <w:rsid w:val="00751123"/>
    <w:rsid w:val="007518BC"/>
    <w:rsid w:val="00752EAB"/>
    <w:rsid w:val="007535E7"/>
    <w:rsid w:val="007537AF"/>
    <w:rsid w:val="00754567"/>
    <w:rsid w:val="00754627"/>
    <w:rsid w:val="00755B95"/>
    <w:rsid w:val="007573D1"/>
    <w:rsid w:val="007578CC"/>
    <w:rsid w:val="00757D0C"/>
    <w:rsid w:val="0076094B"/>
    <w:rsid w:val="00760F9A"/>
    <w:rsid w:val="0076136B"/>
    <w:rsid w:val="007619A5"/>
    <w:rsid w:val="00761D11"/>
    <w:rsid w:val="00761E83"/>
    <w:rsid w:val="007627C4"/>
    <w:rsid w:val="00762B8C"/>
    <w:rsid w:val="00762CEB"/>
    <w:rsid w:val="00762FAA"/>
    <w:rsid w:val="0076338F"/>
    <w:rsid w:val="007634F4"/>
    <w:rsid w:val="00763D09"/>
    <w:rsid w:val="00763ECE"/>
    <w:rsid w:val="00763ED3"/>
    <w:rsid w:val="00763F01"/>
    <w:rsid w:val="007641D6"/>
    <w:rsid w:val="00764A10"/>
    <w:rsid w:val="00764F6D"/>
    <w:rsid w:val="007664EB"/>
    <w:rsid w:val="007670A4"/>
    <w:rsid w:val="0076711A"/>
    <w:rsid w:val="007676FE"/>
    <w:rsid w:val="00767CA3"/>
    <w:rsid w:val="00767D76"/>
    <w:rsid w:val="007707E0"/>
    <w:rsid w:val="00770963"/>
    <w:rsid w:val="007709CA"/>
    <w:rsid w:val="00771090"/>
    <w:rsid w:val="00771457"/>
    <w:rsid w:val="00771967"/>
    <w:rsid w:val="0077216A"/>
    <w:rsid w:val="00772400"/>
    <w:rsid w:val="00772800"/>
    <w:rsid w:val="007732AD"/>
    <w:rsid w:val="00773445"/>
    <w:rsid w:val="00773558"/>
    <w:rsid w:val="0077355F"/>
    <w:rsid w:val="00773726"/>
    <w:rsid w:val="00774204"/>
    <w:rsid w:val="00774968"/>
    <w:rsid w:val="007752DC"/>
    <w:rsid w:val="00775302"/>
    <w:rsid w:val="00775F74"/>
    <w:rsid w:val="00775F86"/>
    <w:rsid w:val="007765EF"/>
    <w:rsid w:val="00776D34"/>
    <w:rsid w:val="00776ECC"/>
    <w:rsid w:val="007779B3"/>
    <w:rsid w:val="00777DBF"/>
    <w:rsid w:val="00780009"/>
    <w:rsid w:val="00780363"/>
    <w:rsid w:val="0078122E"/>
    <w:rsid w:val="00781688"/>
    <w:rsid w:val="00781FA9"/>
    <w:rsid w:val="00782369"/>
    <w:rsid w:val="00782597"/>
    <w:rsid w:val="00782782"/>
    <w:rsid w:val="00782858"/>
    <w:rsid w:val="00782903"/>
    <w:rsid w:val="00782A8C"/>
    <w:rsid w:val="00783C6F"/>
    <w:rsid w:val="00783D9B"/>
    <w:rsid w:val="00783E2A"/>
    <w:rsid w:val="00783EF5"/>
    <w:rsid w:val="00784283"/>
    <w:rsid w:val="007842C8"/>
    <w:rsid w:val="00785912"/>
    <w:rsid w:val="0078606A"/>
    <w:rsid w:val="0078768B"/>
    <w:rsid w:val="00787B82"/>
    <w:rsid w:val="00787F7A"/>
    <w:rsid w:val="00790255"/>
    <w:rsid w:val="00790403"/>
    <w:rsid w:val="007908DF"/>
    <w:rsid w:val="00791039"/>
    <w:rsid w:val="00791D62"/>
    <w:rsid w:val="00792666"/>
    <w:rsid w:val="007932D2"/>
    <w:rsid w:val="007940B2"/>
    <w:rsid w:val="00794933"/>
    <w:rsid w:val="00794DB1"/>
    <w:rsid w:val="00794EED"/>
    <w:rsid w:val="00794FE5"/>
    <w:rsid w:val="00795466"/>
    <w:rsid w:val="00795AB5"/>
    <w:rsid w:val="00795F7D"/>
    <w:rsid w:val="0079627C"/>
    <w:rsid w:val="00796306"/>
    <w:rsid w:val="00796C69"/>
    <w:rsid w:val="00796EEA"/>
    <w:rsid w:val="00797B21"/>
    <w:rsid w:val="00797E60"/>
    <w:rsid w:val="007A01CC"/>
    <w:rsid w:val="007A0568"/>
    <w:rsid w:val="007A0734"/>
    <w:rsid w:val="007A132A"/>
    <w:rsid w:val="007A13A3"/>
    <w:rsid w:val="007A1534"/>
    <w:rsid w:val="007A219B"/>
    <w:rsid w:val="007A2471"/>
    <w:rsid w:val="007A2819"/>
    <w:rsid w:val="007A2B37"/>
    <w:rsid w:val="007A33E0"/>
    <w:rsid w:val="007A34FD"/>
    <w:rsid w:val="007A3C87"/>
    <w:rsid w:val="007A488E"/>
    <w:rsid w:val="007A4AAB"/>
    <w:rsid w:val="007A4E89"/>
    <w:rsid w:val="007A55AD"/>
    <w:rsid w:val="007A5CE4"/>
    <w:rsid w:val="007A5F3B"/>
    <w:rsid w:val="007A641C"/>
    <w:rsid w:val="007A737D"/>
    <w:rsid w:val="007A738E"/>
    <w:rsid w:val="007A79B8"/>
    <w:rsid w:val="007A79FA"/>
    <w:rsid w:val="007B1639"/>
    <w:rsid w:val="007B1953"/>
    <w:rsid w:val="007B1A74"/>
    <w:rsid w:val="007B2389"/>
    <w:rsid w:val="007B258C"/>
    <w:rsid w:val="007B2E1A"/>
    <w:rsid w:val="007B378C"/>
    <w:rsid w:val="007B3851"/>
    <w:rsid w:val="007B3EBE"/>
    <w:rsid w:val="007B66AF"/>
    <w:rsid w:val="007B7136"/>
    <w:rsid w:val="007B763E"/>
    <w:rsid w:val="007B7CA2"/>
    <w:rsid w:val="007C07EE"/>
    <w:rsid w:val="007C0980"/>
    <w:rsid w:val="007C119A"/>
    <w:rsid w:val="007C11A3"/>
    <w:rsid w:val="007C12E0"/>
    <w:rsid w:val="007C13C7"/>
    <w:rsid w:val="007C1DBE"/>
    <w:rsid w:val="007C30BC"/>
    <w:rsid w:val="007C4159"/>
    <w:rsid w:val="007C4C02"/>
    <w:rsid w:val="007C4D52"/>
    <w:rsid w:val="007C513A"/>
    <w:rsid w:val="007C5C10"/>
    <w:rsid w:val="007C60B2"/>
    <w:rsid w:val="007C644A"/>
    <w:rsid w:val="007C64FD"/>
    <w:rsid w:val="007C66ED"/>
    <w:rsid w:val="007C6D3F"/>
    <w:rsid w:val="007C70EB"/>
    <w:rsid w:val="007C7EFA"/>
    <w:rsid w:val="007D0128"/>
    <w:rsid w:val="007D01F6"/>
    <w:rsid w:val="007D041D"/>
    <w:rsid w:val="007D0591"/>
    <w:rsid w:val="007D1018"/>
    <w:rsid w:val="007D1E89"/>
    <w:rsid w:val="007D2333"/>
    <w:rsid w:val="007D24F6"/>
    <w:rsid w:val="007D251D"/>
    <w:rsid w:val="007D29DB"/>
    <w:rsid w:val="007D2C12"/>
    <w:rsid w:val="007D375A"/>
    <w:rsid w:val="007D3909"/>
    <w:rsid w:val="007D3EF4"/>
    <w:rsid w:val="007D41E4"/>
    <w:rsid w:val="007D49E2"/>
    <w:rsid w:val="007D4CEC"/>
    <w:rsid w:val="007D686F"/>
    <w:rsid w:val="007D69C2"/>
    <w:rsid w:val="007D69D5"/>
    <w:rsid w:val="007D6DA5"/>
    <w:rsid w:val="007D6FA9"/>
    <w:rsid w:val="007D723A"/>
    <w:rsid w:val="007D72B0"/>
    <w:rsid w:val="007D7501"/>
    <w:rsid w:val="007D77D6"/>
    <w:rsid w:val="007D7B15"/>
    <w:rsid w:val="007E03E3"/>
    <w:rsid w:val="007E07E6"/>
    <w:rsid w:val="007E1164"/>
    <w:rsid w:val="007E1B70"/>
    <w:rsid w:val="007E1F57"/>
    <w:rsid w:val="007E2DF7"/>
    <w:rsid w:val="007E3273"/>
    <w:rsid w:val="007E364A"/>
    <w:rsid w:val="007E3DCE"/>
    <w:rsid w:val="007E5574"/>
    <w:rsid w:val="007E5C7F"/>
    <w:rsid w:val="007E7515"/>
    <w:rsid w:val="007E7C9E"/>
    <w:rsid w:val="007F0885"/>
    <w:rsid w:val="007F14DC"/>
    <w:rsid w:val="007F192C"/>
    <w:rsid w:val="007F1B7F"/>
    <w:rsid w:val="007F1BCA"/>
    <w:rsid w:val="007F28D6"/>
    <w:rsid w:val="007F2C1E"/>
    <w:rsid w:val="007F2F70"/>
    <w:rsid w:val="007F30E7"/>
    <w:rsid w:val="007F3491"/>
    <w:rsid w:val="007F46AF"/>
    <w:rsid w:val="007F4883"/>
    <w:rsid w:val="007F499D"/>
    <w:rsid w:val="007F4B72"/>
    <w:rsid w:val="007F51CB"/>
    <w:rsid w:val="007F544B"/>
    <w:rsid w:val="007F5761"/>
    <w:rsid w:val="007F5D4F"/>
    <w:rsid w:val="007F5EB2"/>
    <w:rsid w:val="007F6D23"/>
    <w:rsid w:val="007F762E"/>
    <w:rsid w:val="00800366"/>
    <w:rsid w:val="00800C8E"/>
    <w:rsid w:val="00800DC8"/>
    <w:rsid w:val="00801BB9"/>
    <w:rsid w:val="00801C27"/>
    <w:rsid w:val="00802702"/>
    <w:rsid w:val="00803127"/>
    <w:rsid w:val="008032F2"/>
    <w:rsid w:val="00803501"/>
    <w:rsid w:val="0080380A"/>
    <w:rsid w:val="0080390C"/>
    <w:rsid w:val="00803AF9"/>
    <w:rsid w:val="00803C34"/>
    <w:rsid w:val="00805312"/>
    <w:rsid w:val="00805A18"/>
    <w:rsid w:val="00805D5A"/>
    <w:rsid w:val="00805F8B"/>
    <w:rsid w:val="008060D4"/>
    <w:rsid w:val="008065AA"/>
    <w:rsid w:val="00806613"/>
    <w:rsid w:val="0080692F"/>
    <w:rsid w:val="00806B5D"/>
    <w:rsid w:val="00807651"/>
    <w:rsid w:val="008079D6"/>
    <w:rsid w:val="00807DAE"/>
    <w:rsid w:val="00807E2A"/>
    <w:rsid w:val="00807FB6"/>
    <w:rsid w:val="008101F0"/>
    <w:rsid w:val="008102E4"/>
    <w:rsid w:val="008105C6"/>
    <w:rsid w:val="00810F5A"/>
    <w:rsid w:val="00811984"/>
    <w:rsid w:val="00811A65"/>
    <w:rsid w:val="00811EE2"/>
    <w:rsid w:val="0081237D"/>
    <w:rsid w:val="00812C69"/>
    <w:rsid w:val="00813507"/>
    <w:rsid w:val="008135D1"/>
    <w:rsid w:val="00813EE7"/>
    <w:rsid w:val="00814143"/>
    <w:rsid w:val="008141AC"/>
    <w:rsid w:val="008147CB"/>
    <w:rsid w:val="0081502D"/>
    <w:rsid w:val="00815855"/>
    <w:rsid w:val="00815ADB"/>
    <w:rsid w:val="00815C5C"/>
    <w:rsid w:val="00816002"/>
    <w:rsid w:val="008162CF"/>
    <w:rsid w:val="00816454"/>
    <w:rsid w:val="00816952"/>
    <w:rsid w:val="00817041"/>
    <w:rsid w:val="00817089"/>
    <w:rsid w:val="0081762A"/>
    <w:rsid w:val="008177D9"/>
    <w:rsid w:val="00820044"/>
    <w:rsid w:val="008200F3"/>
    <w:rsid w:val="008205EC"/>
    <w:rsid w:val="008206E6"/>
    <w:rsid w:val="008206EA"/>
    <w:rsid w:val="00820A93"/>
    <w:rsid w:val="00820C7A"/>
    <w:rsid w:val="0082167F"/>
    <w:rsid w:val="0082220C"/>
    <w:rsid w:val="008229FD"/>
    <w:rsid w:val="00822DDE"/>
    <w:rsid w:val="00823742"/>
    <w:rsid w:val="00823E24"/>
    <w:rsid w:val="00823F06"/>
    <w:rsid w:val="00824CA6"/>
    <w:rsid w:val="00824E8C"/>
    <w:rsid w:val="00824FA4"/>
    <w:rsid w:val="00825064"/>
    <w:rsid w:val="00825F00"/>
    <w:rsid w:val="00826249"/>
    <w:rsid w:val="00826434"/>
    <w:rsid w:val="0082647D"/>
    <w:rsid w:val="00826AF2"/>
    <w:rsid w:val="00826DBC"/>
    <w:rsid w:val="008270D1"/>
    <w:rsid w:val="00827CF9"/>
    <w:rsid w:val="00827D18"/>
    <w:rsid w:val="008304A5"/>
    <w:rsid w:val="00831240"/>
    <w:rsid w:val="00832382"/>
    <w:rsid w:val="008328A5"/>
    <w:rsid w:val="00832AF4"/>
    <w:rsid w:val="008334F6"/>
    <w:rsid w:val="00833689"/>
    <w:rsid w:val="00833F42"/>
    <w:rsid w:val="0083479D"/>
    <w:rsid w:val="00834A97"/>
    <w:rsid w:val="00834CEA"/>
    <w:rsid w:val="008359AA"/>
    <w:rsid w:val="00836F1F"/>
    <w:rsid w:val="00837254"/>
    <w:rsid w:val="00837536"/>
    <w:rsid w:val="00840351"/>
    <w:rsid w:val="00840696"/>
    <w:rsid w:val="00840BAF"/>
    <w:rsid w:val="00840E75"/>
    <w:rsid w:val="00841B10"/>
    <w:rsid w:val="00842475"/>
    <w:rsid w:val="008429D4"/>
    <w:rsid w:val="00842D48"/>
    <w:rsid w:val="008430F3"/>
    <w:rsid w:val="008431E6"/>
    <w:rsid w:val="00843299"/>
    <w:rsid w:val="008435AD"/>
    <w:rsid w:val="00843DFE"/>
    <w:rsid w:val="008445F3"/>
    <w:rsid w:val="008456E5"/>
    <w:rsid w:val="00845ADE"/>
    <w:rsid w:val="0084650D"/>
    <w:rsid w:val="00846CD6"/>
    <w:rsid w:val="00846E45"/>
    <w:rsid w:val="00847C1E"/>
    <w:rsid w:val="008504C0"/>
    <w:rsid w:val="008504ED"/>
    <w:rsid w:val="008511F9"/>
    <w:rsid w:val="00851220"/>
    <w:rsid w:val="00851406"/>
    <w:rsid w:val="0085153D"/>
    <w:rsid w:val="008516F7"/>
    <w:rsid w:val="00851EC0"/>
    <w:rsid w:val="008526A8"/>
    <w:rsid w:val="00852BCD"/>
    <w:rsid w:val="00852CC4"/>
    <w:rsid w:val="00852F01"/>
    <w:rsid w:val="00853C5E"/>
    <w:rsid w:val="00853D6D"/>
    <w:rsid w:val="00853D6E"/>
    <w:rsid w:val="008548A9"/>
    <w:rsid w:val="00854909"/>
    <w:rsid w:val="00854C60"/>
    <w:rsid w:val="0085569F"/>
    <w:rsid w:val="00856609"/>
    <w:rsid w:val="008566E2"/>
    <w:rsid w:val="00856CB2"/>
    <w:rsid w:val="00856FCD"/>
    <w:rsid w:val="0085713D"/>
    <w:rsid w:val="00857B44"/>
    <w:rsid w:val="00857EE8"/>
    <w:rsid w:val="008601DD"/>
    <w:rsid w:val="0086075A"/>
    <w:rsid w:val="00860BC1"/>
    <w:rsid w:val="008614DC"/>
    <w:rsid w:val="008618BC"/>
    <w:rsid w:val="00861FF7"/>
    <w:rsid w:val="00862358"/>
    <w:rsid w:val="0086248D"/>
    <w:rsid w:val="00863312"/>
    <w:rsid w:val="00863C69"/>
    <w:rsid w:val="008646E4"/>
    <w:rsid w:val="00865778"/>
    <w:rsid w:val="00865E5C"/>
    <w:rsid w:val="008663DD"/>
    <w:rsid w:val="00866FEE"/>
    <w:rsid w:val="008679BB"/>
    <w:rsid w:val="00867EEF"/>
    <w:rsid w:val="00870166"/>
    <w:rsid w:val="0087027B"/>
    <w:rsid w:val="00870908"/>
    <w:rsid w:val="00870EE6"/>
    <w:rsid w:val="008713D9"/>
    <w:rsid w:val="00871B37"/>
    <w:rsid w:val="00872668"/>
    <w:rsid w:val="00872CAD"/>
    <w:rsid w:val="008732C1"/>
    <w:rsid w:val="008734A4"/>
    <w:rsid w:val="00874279"/>
    <w:rsid w:val="008742C4"/>
    <w:rsid w:val="00874DEE"/>
    <w:rsid w:val="0087511C"/>
    <w:rsid w:val="00875632"/>
    <w:rsid w:val="00875BD9"/>
    <w:rsid w:val="00875DD0"/>
    <w:rsid w:val="008763D7"/>
    <w:rsid w:val="008770DD"/>
    <w:rsid w:val="00877155"/>
    <w:rsid w:val="0087734D"/>
    <w:rsid w:val="008775BC"/>
    <w:rsid w:val="00877721"/>
    <w:rsid w:val="00881359"/>
    <w:rsid w:val="008815F2"/>
    <w:rsid w:val="008817DE"/>
    <w:rsid w:val="00881DD8"/>
    <w:rsid w:val="00881EB7"/>
    <w:rsid w:val="0088204D"/>
    <w:rsid w:val="00883653"/>
    <w:rsid w:val="00883712"/>
    <w:rsid w:val="00884B70"/>
    <w:rsid w:val="00884CEC"/>
    <w:rsid w:val="00885AFA"/>
    <w:rsid w:val="00885E54"/>
    <w:rsid w:val="00887078"/>
    <w:rsid w:val="008873B1"/>
    <w:rsid w:val="00887620"/>
    <w:rsid w:val="00887CCF"/>
    <w:rsid w:val="00887D32"/>
    <w:rsid w:val="008900F9"/>
    <w:rsid w:val="008902D1"/>
    <w:rsid w:val="00890529"/>
    <w:rsid w:val="00890546"/>
    <w:rsid w:val="008909CB"/>
    <w:rsid w:val="00891A38"/>
    <w:rsid w:val="00891B35"/>
    <w:rsid w:val="00892652"/>
    <w:rsid w:val="0089296F"/>
    <w:rsid w:val="00892C0C"/>
    <w:rsid w:val="00893286"/>
    <w:rsid w:val="008938AA"/>
    <w:rsid w:val="008938EC"/>
    <w:rsid w:val="0089438A"/>
    <w:rsid w:val="00894662"/>
    <w:rsid w:val="008946FC"/>
    <w:rsid w:val="00894DEF"/>
    <w:rsid w:val="00895AA3"/>
    <w:rsid w:val="00895AF5"/>
    <w:rsid w:val="0089631E"/>
    <w:rsid w:val="0089636A"/>
    <w:rsid w:val="0089696B"/>
    <w:rsid w:val="00896ACA"/>
    <w:rsid w:val="00896CCE"/>
    <w:rsid w:val="00896E7A"/>
    <w:rsid w:val="00897134"/>
    <w:rsid w:val="0089755A"/>
    <w:rsid w:val="008975BB"/>
    <w:rsid w:val="00897C37"/>
    <w:rsid w:val="00897E19"/>
    <w:rsid w:val="008A004B"/>
    <w:rsid w:val="008A01F7"/>
    <w:rsid w:val="008A133B"/>
    <w:rsid w:val="008A22A8"/>
    <w:rsid w:val="008A36F4"/>
    <w:rsid w:val="008A40A9"/>
    <w:rsid w:val="008A4A64"/>
    <w:rsid w:val="008A4CC8"/>
    <w:rsid w:val="008A4D88"/>
    <w:rsid w:val="008A5887"/>
    <w:rsid w:val="008A5D07"/>
    <w:rsid w:val="008A6179"/>
    <w:rsid w:val="008A6B42"/>
    <w:rsid w:val="008A6E67"/>
    <w:rsid w:val="008A6E87"/>
    <w:rsid w:val="008A7200"/>
    <w:rsid w:val="008A7BEB"/>
    <w:rsid w:val="008B0589"/>
    <w:rsid w:val="008B0F00"/>
    <w:rsid w:val="008B12C5"/>
    <w:rsid w:val="008B163D"/>
    <w:rsid w:val="008B1C96"/>
    <w:rsid w:val="008B2AF6"/>
    <w:rsid w:val="008B2C82"/>
    <w:rsid w:val="008B3158"/>
    <w:rsid w:val="008B33AF"/>
    <w:rsid w:val="008B3DAC"/>
    <w:rsid w:val="008B4292"/>
    <w:rsid w:val="008B4A6E"/>
    <w:rsid w:val="008B4AB3"/>
    <w:rsid w:val="008B4E75"/>
    <w:rsid w:val="008B572B"/>
    <w:rsid w:val="008B5931"/>
    <w:rsid w:val="008B5F39"/>
    <w:rsid w:val="008B6646"/>
    <w:rsid w:val="008B7666"/>
    <w:rsid w:val="008B779A"/>
    <w:rsid w:val="008B7EE0"/>
    <w:rsid w:val="008C0ED0"/>
    <w:rsid w:val="008C1007"/>
    <w:rsid w:val="008C1629"/>
    <w:rsid w:val="008C1B06"/>
    <w:rsid w:val="008C1DAD"/>
    <w:rsid w:val="008C23B9"/>
    <w:rsid w:val="008C23C6"/>
    <w:rsid w:val="008C2840"/>
    <w:rsid w:val="008C3351"/>
    <w:rsid w:val="008C40D3"/>
    <w:rsid w:val="008C4136"/>
    <w:rsid w:val="008C41CA"/>
    <w:rsid w:val="008C4522"/>
    <w:rsid w:val="008C46B4"/>
    <w:rsid w:val="008C4AEE"/>
    <w:rsid w:val="008C4FEC"/>
    <w:rsid w:val="008C5551"/>
    <w:rsid w:val="008C66BF"/>
    <w:rsid w:val="008C7DE9"/>
    <w:rsid w:val="008C7E60"/>
    <w:rsid w:val="008D014C"/>
    <w:rsid w:val="008D0935"/>
    <w:rsid w:val="008D0B63"/>
    <w:rsid w:val="008D0D06"/>
    <w:rsid w:val="008D0D14"/>
    <w:rsid w:val="008D0F72"/>
    <w:rsid w:val="008D19E0"/>
    <w:rsid w:val="008D1D19"/>
    <w:rsid w:val="008D1E47"/>
    <w:rsid w:val="008D3437"/>
    <w:rsid w:val="008D354C"/>
    <w:rsid w:val="008D3DA9"/>
    <w:rsid w:val="008D3F7D"/>
    <w:rsid w:val="008D41AE"/>
    <w:rsid w:val="008D4452"/>
    <w:rsid w:val="008D46EA"/>
    <w:rsid w:val="008D4A48"/>
    <w:rsid w:val="008D4CE8"/>
    <w:rsid w:val="008D4DDA"/>
    <w:rsid w:val="008D592B"/>
    <w:rsid w:val="008D5B3F"/>
    <w:rsid w:val="008D5BCC"/>
    <w:rsid w:val="008D6355"/>
    <w:rsid w:val="008D638B"/>
    <w:rsid w:val="008D64FE"/>
    <w:rsid w:val="008D661A"/>
    <w:rsid w:val="008D67A4"/>
    <w:rsid w:val="008D73BC"/>
    <w:rsid w:val="008D7837"/>
    <w:rsid w:val="008E046A"/>
    <w:rsid w:val="008E0856"/>
    <w:rsid w:val="008E0CA9"/>
    <w:rsid w:val="008E1C2A"/>
    <w:rsid w:val="008E21C2"/>
    <w:rsid w:val="008E22E2"/>
    <w:rsid w:val="008E2377"/>
    <w:rsid w:val="008E2C32"/>
    <w:rsid w:val="008E3173"/>
    <w:rsid w:val="008E40A6"/>
    <w:rsid w:val="008E4429"/>
    <w:rsid w:val="008E4515"/>
    <w:rsid w:val="008E4D62"/>
    <w:rsid w:val="008E5104"/>
    <w:rsid w:val="008E54ED"/>
    <w:rsid w:val="008E5CCF"/>
    <w:rsid w:val="008E6B59"/>
    <w:rsid w:val="008E715A"/>
    <w:rsid w:val="008E7188"/>
    <w:rsid w:val="008E7257"/>
    <w:rsid w:val="008E749D"/>
    <w:rsid w:val="008F073F"/>
    <w:rsid w:val="008F0883"/>
    <w:rsid w:val="008F0A8C"/>
    <w:rsid w:val="008F0E74"/>
    <w:rsid w:val="008F1BB9"/>
    <w:rsid w:val="008F2154"/>
    <w:rsid w:val="008F2DB3"/>
    <w:rsid w:val="008F33B4"/>
    <w:rsid w:val="008F3631"/>
    <w:rsid w:val="008F38A1"/>
    <w:rsid w:val="008F3F29"/>
    <w:rsid w:val="008F4121"/>
    <w:rsid w:val="008F4987"/>
    <w:rsid w:val="008F4CD9"/>
    <w:rsid w:val="008F5266"/>
    <w:rsid w:val="008F54ED"/>
    <w:rsid w:val="008F5C91"/>
    <w:rsid w:val="008F5F3D"/>
    <w:rsid w:val="008F69A4"/>
    <w:rsid w:val="008F7540"/>
    <w:rsid w:val="008F755A"/>
    <w:rsid w:val="008F7600"/>
    <w:rsid w:val="008F776B"/>
    <w:rsid w:val="008F7E80"/>
    <w:rsid w:val="00900DDD"/>
    <w:rsid w:val="00902215"/>
    <w:rsid w:val="0090328D"/>
    <w:rsid w:val="0090355F"/>
    <w:rsid w:val="00904199"/>
    <w:rsid w:val="0090479B"/>
    <w:rsid w:val="009047A0"/>
    <w:rsid w:val="009048D6"/>
    <w:rsid w:val="00904CC5"/>
    <w:rsid w:val="00904E80"/>
    <w:rsid w:val="00905C5B"/>
    <w:rsid w:val="00905EF5"/>
    <w:rsid w:val="009063AE"/>
    <w:rsid w:val="00906ECE"/>
    <w:rsid w:val="00907424"/>
    <w:rsid w:val="00907EA8"/>
    <w:rsid w:val="00907F88"/>
    <w:rsid w:val="00910FEF"/>
    <w:rsid w:val="00911149"/>
    <w:rsid w:val="00911199"/>
    <w:rsid w:val="00911A59"/>
    <w:rsid w:val="00911BAE"/>
    <w:rsid w:val="00911BC6"/>
    <w:rsid w:val="0091269A"/>
    <w:rsid w:val="009126FB"/>
    <w:rsid w:val="009127DE"/>
    <w:rsid w:val="0091290E"/>
    <w:rsid w:val="00912B69"/>
    <w:rsid w:val="0091363A"/>
    <w:rsid w:val="00914338"/>
    <w:rsid w:val="00914932"/>
    <w:rsid w:val="00914D7D"/>
    <w:rsid w:val="00914D7F"/>
    <w:rsid w:val="00914E1E"/>
    <w:rsid w:val="009152AE"/>
    <w:rsid w:val="009155D9"/>
    <w:rsid w:val="009156F4"/>
    <w:rsid w:val="009157CC"/>
    <w:rsid w:val="0091583E"/>
    <w:rsid w:val="00915940"/>
    <w:rsid w:val="00915A96"/>
    <w:rsid w:val="009164F3"/>
    <w:rsid w:val="009174B2"/>
    <w:rsid w:val="00917DFD"/>
    <w:rsid w:val="00917EB3"/>
    <w:rsid w:val="00917EED"/>
    <w:rsid w:val="00917FF4"/>
    <w:rsid w:val="009205C8"/>
    <w:rsid w:val="009208D3"/>
    <w:rsid w:val="00920D51"/>
    <w:rsid w:val="009212C3"/>
    <w:rsid w:val="009213A3"/>
    <w:rsid w:val="009216D1"/>
    <w:rsid w:val="009220AC"/>
    <w:rsid w:val="0092233A"/>
    <w:rsid w:val="00922701"/>
    <w:rsid w:val="00922706"/>
    <w:rsid w:val="009227AD"/>
    <w:rsid w:val="00922BE7"/>
    <w:rsid w:val="00923717"/>
    <w:rsid w:val="00923B98"/>
    <w:rsid w:val="00923C33"/>
    <w:rsid w:val="00923ED2"/>
    <w:rsid w:val="00923F56"/>
    <w:rsid w:val="0092401F"/>
    <w:rsid w:val="00924228"/>
    <w:rsid w:val="009246DE"/>
    <w:rsid w:val="00926289"/>
    <w:rsid w:val="009277EF"/>
    <w:rsid w:val="00927EFE"/>
    <w:rsid w:val="00930287"/>
    <w:rsid w:val="009314AA"/>
    <w:rsid w:val="0093201B"/>
    <w:rsid w:val="009325CD"/>
    <w:rsid w:val="00932A6F"/>
    <w:rsid w:val="00932FBF"/>
    <w:rsid w:val="00933AD5"/>
    <w:rsid w:val="0093476F"/>
    <w:rsid w:val="00934B69"/>
    <w:rsid w:val="00934C85"/>
    <w:rsid w:val="00934EEE"/>
    <w:rsid w:val="0093571B"/>
    <w:rsid w:val="00935A3B"/>
    <w:rsid w:val="00936227"/>
    <w:rsid w:val="00936839"/>
    <w:rsid w:val="00936931"/>
    <w:rsid w:val="00936A62"/>
    <w:rsid w:val="00937395"/>
    <w:rsid w:val="0093776E"/>
    <w:rsid w:val="00937FF7"/>
    <w:rsid w:val="00940533"/>
    <w:rsid w:val="00940739"/>
    <w:rsid w:val="00941499"/>
    <w:rsid w:val="00941686"/>
    <w:rsid w:val="009426F0"/>
    <w:rsid w:val="00942991"/>
    <w:rsid w:val="00942A9B"/>
    <w:rsid w:val="00943296"/>
    <w:rsid w:val="009434BD"/>
    <w:rsid w:val="0094357C"/>
    <w:rsid w:val="00944096"/>
    <w:rsid w:val="00944893"/>
    <w:rsid w:val="00944AF4"/>
    <w:rsid w:val="00944D55"/>
    <w:rsid w:val="00944FB2"/>
    <w:rsid w:val="009460E7"/>
    <w:rsid w:val="00946502"/>
    <w:rsid w:val="00946B4B"/>
    <w:rsid w:val="00946CE5"/>
    <w:rsid w:val="00947002"/>
    <w:rsid w:val="0094701E"/>
    <w:rsid w:val="00950243"/>
    <w:rsid w:val="00950696"/>
    <w:rsid w:val="009517A5"/>
    <w:rsid w:val="00951C3F"/>
    <w:rsid w:val="0095250F"/>
    <w:rsid w:val="00953168"/>
    <w:rsid w:val="0095341C"/>
    <w:rsid w:val="00953549"/>
    <w:rsid w:val="009547F9"/>
    <w:rsid w:val="00954AB9"/>
    <w:rsid w:val="00954FBF"/>
    <w:rsid w:val="009564D5"/>
    <w:rsid w:val="00956669"/>
    <w:rsid w:val="00956680"/>
    <w:rsid w:val="00956898"/>
    <w:rsid w:val="00956B79"/>
    <w:rsid w:val="00956C0E"/>
    <w:rsid w:val="00957148"/>
    <w:rsid w:val="0095734B"/>
    <w:rsid w:val="0095743E"/>
    <w:rsid w:val="0096075A"/>
    <w:rsid w:val="00960C97"/>
    <w:rsid w:val="00960F46"/>
    <w:rsid w:val="009618F3"/>
    <w:rsid w:val="00961902"/>
    <w:rsid w:val="00961A5C"/>
    <w:rsid w:val="00961C9B"/>
    <w:rsid w:val="00961D14"/>
    <w:rsid w:val="00961D94"/>
    <w:rsid w:val="0096211A"/>
    <w:rsid w:val="00962267"/>
    <w:rsid w:val="00962705"/>
    <w:rsid w:val="00962827"/>
    <w:rsid w:val="00962C4A"/>
    <w:rsid w:val="00962CA4"/>
    <w:rsid w:val="00963059"/>
    <w:rsid w:val="00963364"/>
    <w:rsid w:val="009634CC"/>
    <w:rsid w:val="00963B13"/>
    <w:rsid w:val="00963B4F"/>
    <w:rsid w:val="00964174"/>
    <w:rsid w:val="00964792"/>
    <w:rsid w:val="00964865"/>
    <w:rsid w:val="00964883"/>
    <w:rsid w:val="00964ABC"/>
    <w:rsid w:val="00964C9D"/>
    <w:rsid w:val="00964D11"/>
    <w:rsid w:val="009653BD"/>
    <w:rsid w:val="00965A37"/>
    <w:rsid w:val="009664BF"/>
    <w:rsid w:val="0096688A"/>
    <w:rsid w:val="009669E8"/>
    <w:rsid w:val="00966AD4"/>
    <w:rsid w:val="00966C95"/>
    <w:rsid w:val="009671D3"/>
    <w:rsid w:val="00967816"/>
    <w:rsid w:val="009704FE"/>
    <w:rsid w:val="009709B3"/>
    <w:rsid w:val="00970E92"/>
    <w:rsid w:val="009715F6"/>
    <w:rsid w:val="00971D02"/>
    <w:rsid w:val="00972588"/>
    <w:rsid w:val="009725E9"/>
    <w:rsid w:val="009728A1"/>
    <w:rsid w:val="009731E8"/>
    <w:rsid w:val="00973223"/>
    <w:rsid w:val="00973E25"/>
    <w:rsid w:val="009741BA"/>
    <w:rsid w:val="0097478D"/>
    <w:rsid w:val="00974851"/>
    <w:rsid w:val="00974958"/>
    <w:rsid w:val="009749A8"/>
    <w:rsid w:val="009759CC"/>
    <w:rsid w:val="009764E2"/>
    <w:rsid w:val="00976501"/>
    <w:rsid w:val="009768E3"/>
    <w:rsid w:val="00976CCB"/>
    <w:rsid w:val="00976DCE"/>
    <w:rsid w:val="00977F67"/>
    <w:rsid w:val="00980002"/>
    <w:rsid w:val="00981826"/>
    <w:rsid w:val="00981D10"/>
    <w:rsid w:val="00982264"/>
    <w:rsid w:val="00982AA6"/>
    <w:rsid w:val="00983490"/>
    <w:rsid w:val="00983AAC"/>
    <w:rsid w:val="00983D20"/>
    <w:rsid w:val="00983FDA"/>
    <w:rsid w:val="00984DA8"/>
    <w:rsid w:val="00985684"/>
    <w:rsid w:val="00985B4E"/>
    <w:rsid w:val="00986189"/>
    <w:rsid w:val="00986497"/>
    <w:rsid w:val="0098649B"/>
    <w:rsid w:val="00986B16"/>
    <w:rsid w:val="00986C31"/>
    <w:rsid w:val="009901E2"/>
    <w:rsid w:val="009902C4"/>
    <w:rsid w:val="0099033D"/>
    <w:rsid w:val="009904E1"/>
    <w:rsid w:val="00990ABC"/>
    <w:rsid w:val="00990FBA"/>
    <w:rsid w:val="0099233D"/>
    <w:rsid w:val="009929B6"/>
    <w:rsid w:val="00992F28"/>
    <w:rsid w:val="00993558"/>
    <w:rsid w:val="00993D17"/>
    <w:rsid w:val="009941F7"/>
    <w:rsid w:val="00994230"/>
    <w:rsid w:val="0099467A"/>
    <w:rsid w:val="00994E20"/>
    <w:rsid w:val="00994F2D"/>
    <w:rsid w:val="0099574A"/>
    <w:rsid w:val="0099597B"/>
    <w:rsid w:val="00996928"/>
    <w:rsid w:val="00997428"/>
    <w:rsid w:val="00997898"/>
    <w:rsid w:val="00997958"/>
    <w:rsid w:val="00997FF1"/>
    <w:rsid w:val="009A0351"/>
    <w:rsid w:val="009A049B"/>
    <w:rsid w:val="009A0A04"/>
    <w:rsid w:val="009A0A8A"/>
    <w:rsid w:val="009A0DA2"/>
    <w:rsid w:val="009A1437"/>
    <w:rsid w:val="009A168D"/>
    <w:rsid w:val="009A19A6"/>
    <w:rsid w:val="009A1BCA"/>
    <w:rsid w:val="009A1FC0"/>
    <w:rsid w:val="009A3709"/>
    <w:rsid w:val="009A383B"/>
    <w:rsid w:val="009A3C08"/>
    <w:rsid w:val="009A4137"/>
    <w:rsid w:val="009A426A"/>
    <w:rsid w:val="009A45BB"/>
    <w:rsid w:val="009A4D8F"/>
    <w:rsid w:val="009A5684"/>
    <w:rsid w:val="009A568B"/>
    <w:rsid w:val="009A5765"/>
    <w:rsid w:val="009A57A9"/>
    <w:rsid w:val="009A5C61"/>
    <w:rsid w:val="009A69E5"/>
    <w:rsid w:val="009A6A5B"/>
    <w:rsid w:val="009A6D80"/>
    <w:rsid w:val="009A6F05"/>
    <w:rsid w:val="009A74A9"/>
    <w:rsid w:val="009A7DA5"/>
    <w:rsid w:val="009B0A5A"/>
    <w:rsid w:val="009B0E4E"/>
    <w:rsid w:val="009B0F45"/>
    <w:rsid w:val="009B20C6"/>
    <w:rsid w:val="009B2CCC"/>
    <w:rsid w:val="009B2FE8"/>
    <w:rsid w:val="009B3759"/>
    <w:rsid w:val="009B3B90"/>
    <w:rsid w:val="009B3F0F"/>
    <w:rsid w:val="009B3F59"/>
    <w:rsid w:val="009B46F7"/>
    <w:rsid w:val="009B4EAA"/>
    <w:rsid w:val="009B4F49"/>
    <w:rsid w:val="009B4FA4"/>
    <w:rsid w:val="009B5030"/>
    <w:rsid w:val="009B58B2"/>
    <w:rsid w:val="009B5933"/>
    <w:rsid w:val="009B6386"/>
    <w:rsid w:val="009B6CF9"/>
    <w:rsid w:val="009B706C"/>
    <w:rsid w:val="009B7174"/>
    <w:rsid w:val="009B71D0"/>
    <w:rsid w:val="009B7775"/>
    <w:rsid w:val="009B779B"/>
    <w:rsid w:val="009B7B9A"/>
    <w:rsid w:val="009C1500"/>
    <w:rsid w:val="009C1C3C"/>
    <w:rsid w:val="009C21A6"/>
    <w:rsid w:val="009C2428"/>
    <w:rsid w:val="009C2A34"/>
    <w:rsid w:val="009C31BA"/>
    <w:rsid w:val="009C32F7"/>
    <w:rsid w:val="009C36BC"/>
    <w:rsid w:val="009C387E"/>
    <w:rsid w:val="009C3B43"/>
    <w:rsid w:val="009C40FF"/>
    <w:rsid w:val="009C43A7"/>
    <w:rsid w:val="009C561E"/>
    <w:rsid w:val="009C5EA3"/>
    <w:rsid w:val="009C7579"/>
    <w:rsid w:val="009C7869"/>
    <w:rsid w:val="009C7EC0"/>
    <w:rsid w:val="009D0385"/>
    <w:rsid w:val="009D04A8"/>
    <w:rsid w:val="009D0BEE"/>
    <w:rsid w:val="009D0D15"/>
    <w:rsid w:val="009D0DF7"/>
    <w:rsid w:val="009D0E05"/>
    <w:rsid w:val="009D0EB3"/>
    <w:rsid w:val="009D17B7"/>
    <w:rsid w:val="009D1BAB"/>
    <w:rsid w:val="009D2499"/>
    <w:rsid w:val="009D2F8F"/>
    <w:rsid w:val="009D302A"/>
    <w:rsid w:val="009D43AA"/>
    <w:rsid w:val="009D4788"/>
    <w:rsid w:val="009D479F"/>
    <w:rsid w:val="009D554C"/>
    <w:rsid w:val="009D5CA4"/>
    <w:rsid w:val="009D601D"/>
    <w:rsid w:val="009D60BB"/>
    <w:rsid w:val="009D610D"/>
    <w:rsid w:val="009D6A07"/>
    <w:rsid w:val="009D768A"/>
    <w:rsid w:val="009D7CB7"/>
    <w:rsid w:val="009D7CF5"/>
    <w:rsid w:val="009E1296"/>
    <w:rsid w:val="009E1B19"/>
    <w:rsid w:val="009E1C6D"/>
    <w:rsid w:val="009E1D2D"/>
    <w:rsid w:val="009E21F6"/>
    <w:rsid w:val="009E2280"/>
    <w:rsid w:val="009E2383"/>
    <w:rsid w:val="009E23F4"/>
    <w:rsid w:val="009E24D7"/>
    <w:rsid w:val="009E2614"/>
    <w:rsid w:val="009E2EBB"/>
    <w:rsid w:val="009E2F5B"/>
    <w:rsid w:val="009E3CC2"/>
    <w:rsid w:val="009E3DBB"/>
    <w:rsid w:val="009E42B8"/>
    <w:rsid w:val="009E437A"/>
    <w:rsid w:val="009E444E"/>
    <w:rsid w:val="009E4AF9"/>
    <w:rsid w:val="009E4EFE"/>
    <w:rsid w:val="009E50F7"/>
    <w:rsid w:val="009E5918"/>
    <w:rsid w:val="009E6731"/>
    <w:rsid w:val="009E6AEA"/>
    <w:rsid w:val="009E6E42"/>
    <w:rsid w:val="009E714B"/>
    <w:rsid w:val="009E72F5"/>
    <w:rsid w:val="009E75F6"/>
    <w:rsid w:val="009E76D1"/>
    <w:rsid w:val="009E7760"/>
    <w:rsid w:val="009E7B11"/>
    <w:rsid w:val="009F0448"/>
    <w:rsid w:val="009F052C"/>
    <w:rsid w:val="009F057C"/>
    <w:rsid w:val="009F08EC"/>
    <w:rsid w:val="009F09D9"/>
    <w:rsid w:val="009F0ACE"/>
    <w:rsid w:val="009F0AE0"/>
    <w:rsid w:val="009F132E"/>
    <w:rsid w:val="009F1AE3"/>
    <w:rsid w:val="009F23DF"/>
    <w:rsid w:val="009F2541"/>
    <w:rsid w:val="009F3B7B"/>
    <w:rsid w:val="009F3FC0"/>
    <w:rsid w:val="009F402B"/>
    <w:rsid w:val="009F4869"/>
    <w:rsid w:val="009F4E3C"/>
    <w:rsid w:val="009F512E"/>
    <w:rsid w:val="009F5A6E"/>
    <w:rsid w:val="009F5E12"/>
    <w:rsid w:val="009F5F27"/>
    <w:rsid w:val="009F5FDE"/>
    <w:rsid w:val="00A00E73"/>
    <w:rsid w:val="00A0106E"/>
    <w:rsid w:val="00A0256C"/>
    <w:rsid w:val="00A02F02"/>
    <w:rsid w:val="00A0335F"/>
    <w:rsid w:val="00A03836"/>
    <w:rsid w:val="00A0500F"/>
    <w:rsid w:val="00A05A9D"/>
    <w:rsid w:val="00A05DE1"/>
    <w:rsid w:val="00A063B3"/>
    <w:rsid w:val="00A0642C"/>
    <w:rsid w:val="00A0652F"/>
    <w:rsid w:val="00A071E9"/>
    <w:rsid w:val="00A07D3D"/>
    <w:rsid w:val="00A07E20"/>
    <w:rsid w:val="00A10745"/>
    <w:rsid w:val="00A10872"/>
    <w:rsid w:val="00A10DDF"/>
    <w:rsid w:val="00A11350"/>
    <w:rsid w:val="00A116C1"/>
    <w:rsid w:val="00A11784"/>
    <w:rsid w:val="00A117F4"/>
    <w:rsid w:val="00A11E8D"/>
    <w:rsid w:val="00A127C8"/>
    <w:rsid w:val="00A13508"/>
    <w:rsid w:val="00A13D1E"/>
    <w:rsid w:val="00A1404F"/>
    <w:rsid w:val="00A141A5"/>
    <w:rsid w:val="00A143A8"/>
    <w:rsid w:val="00A1460A"/>
    <w:rsid w:val="00A14978"/>
    <w:rsid w:val="00A15A16"/>
    <w:rsid w:val="00A15CE0"/>
    <w:rsid w:val="00A15EC3"/>
    <w:rsid w:val="00A16511"/>
    <w:rsid w:val="00A1684D"/>
    <w:rsid w:val="00A16E90"/>
    <w:rsid w:val="00A17A84"/>
    <w:rsid w:val="00A20D89"/>
    <w:rsid w:val="00A2121D"/>
    <w:rsid w:val="00A21595"/>
    <w:rsid w:val="00A21D62"/>
    <w:rsid w:val="00A21DFD"/>
    <w:rsid w:val="00A21F20"/>
    <w:rsid w:val="00A223F8"/>
    <w:rsid w:val="00A23635"/>
    <w:rsid w:val="00A23C9B"/>
    <w:rsid w:val="00A247BB"/>
    <w:rsid w:val="00A24B6F"/>
    <w:rsid w:val="00A24B9F"/>
    <w:rsid w:val="00A24F58"/>
    <w:rsid w:val="00A2513E"/>
    <w:rsid w:val="00A25218"/>
    <w:rsid w:val="00A25944"/>
    <w:rsid w:val="00A25982"/>
    <w:rsid w:val="00A25AEB"/>
    <w:rsid w:val="00A25B18"/>
    <w:rsid w:val="00A266B0"/>
    <w:rsid w:val="00A270F2"/>
    <w:rsid w:val="00A2771C"/>
    <w:rsid w:val="00A316B5"/>
    <w:rsid w:val="00A31E2D"/>
    <w:rsid w:val="00A324E1"/>
    <w:rsid w:val="00A33596"/>
    <w:rsid w:val="00A339CF"/>
    <w:rsid w:val="00A33B7B"/>
    <w:rsid w:val="00A33C6F"/>
    <w:rsid w:val="00A348F2"/>
    <w:rsid w:val="00A34BEC"/>
    <w:rsid w:val="00A352F6"/>
    <w:rsid w:val="00A35630"/>
    <w:rsid w:val="00A35750"/>
    <w:rsid w:val="00A35B83"/>
    <w:rsid w:val="00A35BF8"/>
    <w:rsid w:val="00A35C83"/>
    <w:rsid w:val="00A36563"/>
    <w:rsid w:val="00A36AE3"/>
    <w:rsid w:val="00A36FD7"/>
    <w:rsid w:val="00A37EEE"/>
    <w:rsid w:val="00A402A1"/>
    <w:rsid w:val="00A40674"/>
    <w:rsid w:val="00A40D85"/>
    <w:rsid w:val="00A41461"/>
    <w:rsid w:val="00A42183"/>
    <w:rsid w:val="00A42689"/>
    <w:rsid w:val="00A43876"/>
    <w:rsid w:val="00A43915"/>
    <w:rsid w:val="00A44065"/>
    <w:rsid w:val="00A442AE"/>
    <w:rsid w:val="00A44E8E"/>
    <w:rsid w:val="00A44F27"/>
    <w:rsid w:val="00A45284"/>
    <w:rsid w:val="00A45487"/>
    <w:rsid w:val="00A459FE"/>
    <w:rsid w:val="00A45EF5"/>
    <w:rsid w:val="00A460F1"/>
    <w:rsid w:val="00A46CE1"/>
    <w:rsid w:val="00A4720E"/>
    <w:rsid w:val="00A474C3"/>
    <w:rsid w:val="00A4755E"/>
    <w:rsid w:val="00A478A6"/>
    <w:rsid w:val="00A47DE9"/>
    <w:rsid w:val="00A507C2"/>
    <w:rsid w:val="00A50A91"/>
    <w:rsid w:val="00A50B2B"/>
    <w:rsid w:val="00A50CAF"/>
    <w:rsid w:val="00A50CBC"/>
    <w:rsid w:val="00A50E04"/>
    <w:rsid w:val="00A511F8"/>
    <w:rsid w:val="00A51C40"/>
    <w:rsid w:val="00A51E8B"/>
    <w:rsid w:val="00A51EDB"/>
    <w:rsid w:val="00A52240"/>
    <w:rsid w:val="00A52FE1"/>
    <w:rsid w:val="00A54B49"/>
    <w:rsid w:val="00A550E2"/>
    <w:rsid w:val="00A55981"/>
    <w:rsid w:val="00A57152"/>
    <w:rsid w:val="00A575FE"/>
    <w:rsid w:val="00A57C3B"/>
    <w:rsid w:val="00A60332"/>
    <w:rsid w:val="00A60448"/>
    <w:rsid w:val="00A60EDD"/>
    <w:rsid w:val="00A60FD4"/>
    <w:rsid w:val="00A62927"/>
    <w:rsid w:val="00A635DC"/>
    <w:rsid w:val="00A63D1D"/>
    <w:rsid w:val="00A6412D"/>
    <w:rsid w:val="00A64595"/>
    <w:rsid w:val="00A6533F"/>
    <w:rsid w:val="00A6550D"/>
    <w:rsid w:val="00A657EF"/>
    <w:rsid w:val="00A66166"/>
    <w:rsid w:val="00A67053"/>
    <w:rsid w:val="00A67659"/>
    <w:rsid w:val="00A700FF"/>
    <w:rsid w:val="00A7046B"/>
    <w:rsid w:val="00A70F70"/>
    <w:rsid w:val="00A712CD"/>
    <w:rsid w:val="00A7188F"/>
    <w:rsid w:val="00A71949"/>
    <w:rsid w:val="00A720AF"/>
    <w:rsid w:val="00A728D9"/>
    <w:rsid w:val="00A72A4E"/>
    <w:rsid w:val="00A72CC7"/>
    <w:rsid w:val="00A72EFD"/>
    <w:rsid w:val="00A7309D"/>
    <w:rsid w:val="00A73106"/>
    <w:rsid w:val="00A7326B"/>
    <w:rsid w:val="00A73440"/>
    <w:rsid w:val="00A7391F"/>
    <w:rsid w:val="00A74383"/>
    <w:rsid w:val="00A74579"/>
    <w:rsid w:val="00A74640"/>
    <w:rsid w:val="00A74731"/>
    <w:rsid w:val="00A7507E"/>
    <w:rsid w:val="00A77897"/>
    <w:rsid w:val="00A80849"/>
    <w:rsid w:val="00A80BB8"/>
    <w:rsid w:val="00A80DA8"/>
    <w:rsid w:val="00A8215B"/>
    <w:rsid w:val="00A825EF"/>
    <w:rsid w:val="00A82BC3"/>
    <w:rsid w:val="00A82EAA"/>
    <w:rsid w:val="00A82ED2"/>
    <w:rsid w:val="00A8391A"/>
    <w:rsid w:val="00A83BCC"/>
    <w:rsid w:val="00A84996"/>
    <w:rsid w:val="00A853C9"/>
    <w:rsid w:val="00A855D5"/>
    <w:rsid w:val="00A85BC7"/>
    <w:rsid w:val="00A86066"/>
    <w:rsid w:val="00A86492"/>
    <w:rsid w:val="00A864E9"/>
    <w:rsid w:val="00A869B9"/>
    <w:rsid w:val="00A86B32"/>
    <w:rsid w:val="00A86D6D"/>
    <w:rsid w:val="00A87087"/>
    <w:rsid w:val="00A879DE"/>
    <w:rsid w:val="00A87A35"/>
    <w:rsid w:val="00A87EC6"/>
    <w:rsid w:val="00A912DA"/>
    <w:rsid w:val="00A9151E"/>
    <w:rsid w:val="00A91822"/>
    <w:rsid w:val="00A91EE9"/>
    <w:rsid w:val="00A922EA"/>
    <w:rsid w:val="00A932A5"/>
    <w:rsid w:val="00A9330B"/>
    <w:rsid w:val="00A9364F"/>
    <w:rsid w:val="00A9370F"/>
    <w:rsid w:val="00A9379F"/>
    <w:rsid w:val="00A937AE"/>
    <w:rsid w:val="00A937DC"/>
    <w:rsid w:val="00A93A0D"/>
    <w:rsid w:val="00A94268"/>
    <w:rsid w:val="00A942DA"/>
    <w:rsid w:val="00A9461B"/>
    <w:rsid w:val="00A94A8C"/>
    <w:rsid w:val="00A94A9D"/>
    <w:rsid w:val="00A94B7B"/>
    <w:rsid w:val="00A94E08"/>
    <w:rsid w:val="00A95062"/>
    <w:rsid w:val="00A9543B"/>
    <w:rsid w:val="00A95EB9"/>
    <w:rsid w:val="00A95F19"/>
    <w:rsid w:val="00A96171"/>
    <w:rsid w:val="00A966EC"/>
    <w:rsid w:val="00A974D6"/>
    <w:rsid w:val="00A97EB9"/>
    <w:rsid w:val="00A97FD2"/>
    <w:rsid w:val="00AA0105"/>
    <w:rsid w:val="00AA0180"/>
    <w:rsid w:val="00AA06F2"/>
    <w:rsid w:val="00AA1F6A"/>
    <w:rsid w:val="00AA218B"/>
    <w:rsid w:val="00AA21DF"/>
    <w:rsid w:val="00AA227A"/>
    <w:rsid w:val="00AA23A7"/>
    <w:rsid w:val="00AA2577"/>
    <w:rsid w:val="00AA2A0A"/>
    <w:rsid w:val="00AA2C4B"/>
    <w:rsid w:val="00AA2C89"/>
    <w:rsid w:val="00AA2C8C"/>
    <w:rsid w:val="00AA2DC8"/>
    <w:rsid w:val="00AA33C4"/>
    <w:rsid w:val="00AA44F8"/>
    <w:rsid w:val="00AA4E6B"/>
    <w:rsid w:val="00AA4EFC"/>
    <w:rsid w:val="00AA58A5"/>
    <w:rsid w:val="00AA58BC"/>
    <w:rsid w:val="00AA590A"/>
    <w:rsid w:val="00AA5D23"/>
    <w:rsid w:val="00AA5EB6"/>
    <w:rsid w:val="00AA6326"/>
    <w:rsid w:val="00AA641D"/>
    <w:rsid w:val="00AA6800"/>
    <w:rsid w:val="00AA6AE2"/>
    <w:rsid w:val="00AA6B31"/>
    <w:rsid w:val="00AA74C2"/>
    <w:rsid w:val="00AB00A8"/>
    <w:rsid w:val="00AB0112"/>
    <w:rsid w:val="00AB0207"/>
    <w:rsid w:val="00AB0528"/>
    <w:rsid w:val="00AB05C7"/>
    <w:rsid w:val="00AB063C"/>
    <w:rsid w:val="00AB06EC"/>
    <w:rsid w:val="00AB0AE5"/>
    <w:rsid w:val="00AB0B00"/>
    <w:rsid w:val="00AB0C5B"/>
    <w:rsid w:val="00AB1202"/>
    <w:rsid w:val="00AB17D9"/>
    <w:rsid w:val="00AB2373"/>
    <w:rsid w:val="00AB2D39"/>
    <w:rsid w:val="00AB30FE"/>
    <w:rsid w:val="00AB3608"/>
    <w:rsid w:val="00AB3D0B"/>
    <w:rsid w:val="00AB404E"/>
    <w:rsid w:val="00AB433D"/>
    <w:rsid w:val="00AB475F"/>
    <w:rsid w:val="00AB4882"/>
    <w:rsid w:val="00AB48CA"/>
    <w:rsid w:val="00AB58A9"/>
    <w:rsid w:val="00AB62C8"/>
    <w:rsid w:val="00AB646B"/>
    <w:rsid w:val="00AB6E2C"/>
    <w:rsid w:val="00AB7027"/>
    <w:rsid w:val="00AB7982"/>
    <w:rsid w:val="00AB7C71"/>
    <w:rsid w:val="00AC021A"/>
    <w:rsid w:val="00AC1518"/>
    <w:rsid w:val="00AC1776"/>
    <w:rsid w:val="00AC1B31"/>
    <w:rsid w:val="00AC2CC5"/>
    <w:rsid w:val="00AC30C2"/>
    <w:rsid w:val="00AC310C"/>
    <w:rsid w:val="00AC3A4D"/>
    <w:rsid w:val="00AC3A64"/>
    <w:rsid w:val="00AC4297"/>
    <w:rsid w:val="00AC502C"/>
    <w:rsid w:val="00AC511A"/>
    <w:rsid w:val="00AC521B"/>
    <w:rsid w:val="00AC5794"/>
    <w:rsid w:val="00AC5F1A"/>
    <w:rsid w:val="00AC7C70"/>
    <w:rsid w:val="00AC7D66"/>
    <w:rsid w:val="00AD004C"/>
    <w:rsid w:val="00AD0F34"/>
    <w:rsid w:val="00AD14FC"/>
    <w:rsid w:val="00AD18A2"/>
    <w:rsid w:val="00AD1F14"/>
    <w:rsid w:val="00AD3193"/>
    <w:rsid w:val="00AD3357"/>
    <w:rsid w:val="00AD3425"/>
    <w:rsid w:val="00AD362E"/>
    <w:rsid w:val="00AD389F"/>
    <w:rsid w:val="00AD3D67"/>
    <w:rsid w:val="00AD4931"/>
    <w:rsid w:val="00AD4CC9"/>
    <w:rsid w:val="00AD565F"/>
    <w:rsid w:val="00AD5C38"/>
    <w:rsid w:val="00AD5EC6"/>
    <w:rsid w:val="00AD66DA"/>
    <w:rsid w:val="00AD66E0"/>
    <w:rsid w:val="00AD6B17"/>
    <w:rsid w:val="00AD6BD0"/>
    <w:rsid w:val="00AD6EE1"/>
    <w:rsid w:val="00AD784F"/>
    <w:rsid w:val="00AD799D"/>
    <w:rsid w:val="00AD7BDB"/>
    <w:rsid w:val="00AE05EB"/>
    <w:rsid w:val="00AE0714"/>
    <w:rsid w:val="00AE1444"/>
    <w:rsid w:val="00AE1A72"/>
    <w:rsid w:val="00AE1C27"/>
    <w:rsid w:val="00AE1D4D"/>
    <w:rsid w:val="00AE1D89"/>
    <w:rsid w:val="00AE2096"/>
    <w:rsid w:val="00AE30AE"/>
    <w:rsid w:val="00AE3631"/>
    <w:rsid w:val="00AE36E2"/>
    <w:rsid w:val="00AE385D"/>
    <w:rsid w:val="00AE462C"/>
    <w:rsid w:val="00AE4902"/>
    <w:rsid w:val="00AE5E7E"/>
    <w:rsid w:val="00AE6212"/>
    <w:rsid w:val="00AE638A"/>
    <w:rsid w:val="00AE6772"/>
    <w:rsid w:val="00AE71FD"/>
    <w:rsid w:val="00AE731C"/>
    <w:rsid w:val="00AE79C9"/>
    <w:rsid w:val="00AF0702"/>
    <w:rsid w:val="00AF0800"/>
    <w:rsid w:val="00AF085A"/>
    <w:rsid w:val="00AF0897"/>
    <w:rsid w:val="00AF0CDC"/>
    <w:rsid w:val="00AF0EB9"/>
    <w:rsid w:val="00AF19E5"/>
    <w:rsid w:val="00AF1A01"/>
    <w:rsid w:val="00AF1E65"/>
    <w:rsid w:val="00AF2302"/>
    <w:rsid w:val="00AF2997"/>
    <w:rsid w:val="00AF37A3"/>
    <w:rsid w:val="00AF3AF7"/>
    <w:rsid w:val="00AF3BAC"/>
    <w:rsid w:val="00AF4566"/>
    <w:rsid w:val="00AF4DD4"/>
    <w:rsid w:val="00AF5824"/>
    <w:rsid w:val="00AF650D"/>
    <w:rsid w:val="00AF6DA2"/>
    <w:rsid w:val="00AF75EB"/>
    <w:rsid w:val="00AF7D38"/>
    <w:rsid w:val="00B001DC"/>
    <w:rsid w:val="00B003E0"/>
    <w:rsid w:val="00B01584"/>
    <w:rsid w:val="00B0173E"/>
    <w:rsid w:val="00B01B09"/>
    <w:rsid w:val="00B0203A"/>
    <w:rsid w:val="00B020B3"/>
    <w:rsid w:val="00B0388D"/>
    <w:rsid w:val="00B038F7"/>
    <w:rsid w:val="00B03B09"/>
    <w:rsid w:val="00B03B0B"/>
    <w:rsid w:val="00B03BDD"/>
    <w:rsid w:val="00B040F4"/>
    <w:rsid w:val="00B0442E"/>
    <w:rsid w:val="00B04E5D"/>
    <w:rsid w:val="00B05167"/>
    <w:rsid w:val="00B052BA"/>
    <w:rsid w:val="00B055BF"/>
    <w:rsid w:val="00B0583B"/>
    <w:rsid w:val="00B06A84"/>
    <w:rsid w:val="00B06C11"/>
    <w:rsid w:val="00B06C9F"/>
    <w:rsid w:val="00B07063"/>
    <w:rsid w:val="00B071CA"/>
    <w:rsid w:val="00B0789D"/>
    <w:rsid w:val="00B1009C"/>
    <w:rsid w:val="00B102CB"/>
    <w:rsid w:val="00B103C0"/>
    <w:rsid w:val="00B10EAF"/>
    <w:rsid w:val="00B11584"/>
    <w:rsid w:val="00B1172C"/>
    <w:rsid w:val="00B11C8A"/>
    <w:rsid w:val="00B11D37"/>
    <w:rsid w:val="00B11D3E"/>
    <w:rsid w:val="00B124DB"/>
    <w:rsid w:val="00B12AFF"/>
    <w:rsid w:val="00B1337E"/>
    <w:rsid w:val="00B14998"/>
    <w:rsid w:val="00B1499D"/>
    <w:rsid w:val="00B14A0C"/>
    <w:rsid w:val="00B15099"/>
    <w:rsid w:val="00B154AD"/>
    <w:rsid w:val="00B162A8"/>
    <w:rsid w:val="00B16973"/>
    <w:rsid w:val="00B16B7C"/>
    <w:rsid w:val="00B16BDC"/>
    <w:rsid w:val="00B16C8D"/>
    <w:rsid w:val="00B17134"/>
    <w:rsid w:val="00B175FB"/>
    <w:rsid w:val="00B17B11"/>
    <w:rsid w:val="00B17DC6"/>
    <w:rsid w:val="00B2011C"/>
    <w:rsid w:val="00B2034E"/>
    <w:rsid w:val="00B20762"/>
    <w:rsid w:val="00B20D27"/>
    <w:rsid w:val="00B20E15"/>
    <w:rsid w:val="00B20E85"/>
    <w:rsid w:val="00B20F12"/>
    <w:rsid w:val="00B2223A"/>
    <w:rsid w:val="00B22320"/>
    <w:rsid w:val="00B223B5"/>
    <w:rsid w:val="00B2293D"/>
    <w:rsid w:val="00B23048"/>
    <w:rsid w:val="00B233DB"/>
    <w:rsid w:val="00B233EE"/>
    <w:rsid w:val="00B23683"/>
    <w:rsid w:val="00B23E35"/>
    <w:rsid w:val="00B24880"/>
    <w:rsid w:val="00B24A21"/>
    <w:rsid w:val="00B25099"/>
    <w:rsid w:val="00B264B6"/>
    <w:rsid w:val="00B26516"/>
    <w:rsid w:val="00B2668E"/>
    <w:rsid w:val="00B267FB"/>
    <w:rsid w:val="00B27086"/>
    <w:rsid w:val="00B27864"/>
    <w:rsid w:val="00B30581"/>
    <w:rsid w:val="00B305A1"/>
    <w:rsid w:val="00B30B9A"/>
    <w:rsid w:val="00B30DAD"/>
    <w:rsid w:val="00B31BAC"/>
    <w:rsid w:val="00B3238D"/>
    <w:rsid w:val="00B323DE"/>
    <w:rsid w:val="00B32527"/>
    <w:rsid w:val="00B326D6"/>
    <w:rsid w:val="00B34EF7"/>
    <w:rsid w:val="00B3501F"/>
    <w:rsid w:val="00B351AD"/>
    <w:rsid w:val="00B35A34"/>
    <w:rsid w:val="00B35D0C"/>
    <w:rsid w:val="00B36B24"/>
    <w:rsid w:val="00B36C5F"/>
    <w:rsid w:val="00B36C74"/>
    <w:rsid w:val="00B370E8"/>
    <w:rsid w:val="00B37F72"/>
    <w:rsid w:val="00B40082"/>
    <w:rsid w:val="00B40445"/>
    <w:rsid w:val="00B408F7"/>
    <w:rsid w:val="00B42B04"/>
    <w:rsid w:val="00B42DC0"/>
    <w:rsid w:val="00B42E36"/>
    <w:rsid w:val="00B42E4A"/>
    <w:rsid w:val="00B42EB4"/>
    <w:rsid w:val="00B4409F"/>
    <w:rsid w:val="00B443EF"/>
    <w:rsid w:val="00B44838"/>
    <w:rsid w:val="00B44987"/>
    <w:rsid w:val="00B45EDB"/>
    <w:rsid w:val="00B46B2F"/>
    <w:rsid w:val="00B4754C"/>
    <w:rsid w:val="00B4795C"/>
    <w:rsid w:val="00B50224"/>
    <w:rsid w:val="00B50788"/>
    <w:rsid w:val="00B5097F"/>
    <w:rsid w:val="00B51072"/>
    <w:rsid w:val="00B5132D"/>
    <w:rsid w:val="00B51BCD"/>
    <w:rsid w:val="00B526B2"/>
    <w:rsid w:val="00B52712"/>
    <w:rsid w:val="00B528C9"/>
    <w:rsid w:val="00B529CA"/>
    <w:rsid w:val="00B5388C"/>
    <w:rsid w:val="00B53B71"/>
    <w:rsid w:val="00B53E1C"/>
    <w:rsid w:val="00B54565"/>
    <w:rsid w:val="00B55740"/>
    <w:rsid w:val="00B55B0A"/>
    <w:rsid w:val="00B55BBC"/>
    <w:rsid w:val="00B55EF2"/>
    <w:rsid w:val="00B56265"/>
    <w:rsid w:val="00B56807"/>
    <w:rsid w:val="00B56B87"/>
    <w:rsid w:val="00B571D5"/>
    <w:rsid w:val="00B57B87"/>
    <w:rsid w:val="00B60982"/>
    <w:rsid w:val="00B61731"/>
    <w:rsid w:val="00B622E1"/>
    <w:rsid w:val="00B62F25"/>
    <w:rsid w:val="00B62FD3"/>
    <w:rsid w:val="00B630DC"/>
    <w:rsid w:val="00B630E4"/>
    <w:rsid w:val="00B6362A"/>
    <w:rsid w:val="00B6394B"/>
    <w:rsid w:val="00B639D7"/>
    <w:rsid w:val="00B63A6A"/>
    <w:rsid w:val="00B63A82"/>
    <w:rsid w:val="00B63F0D"/>
    <w:rsid w:val="00B70197"/>
    <w:rsid w:val="00B70F5F"/>
    <w:rsid w:val="00B7123A"/>
    <w:rsid w:val="00B7152F"/>
    <w:rsid w:val="00B72289"/>
    <w:rsid w:val="00B728FF"/>
    <w:rsid w:val="00B72AD2"/>
    <w:rsid w:val="00B72F67"/>
    <w:rsid w:val="00B73A00"/>
    <w:rsid w:val="00B73E28"/>
    <w:rsid w:val="00B74202"/>
    <w:rsid w:val="00B74333"/>
    <w:rsid w:val="00B74771"/>
    <w:rsid w:val="00B74844"/>
    <w:rsid w:val="00B748BA"/>
    <w:rsid w:val="00B74EEC"/>
    <w:rsid w:val="00B7500B"/>
    <w:rsid w:val="00B75147"/>
    <w:rsid w:val="00B75673"/>
    <w:rsid w:val="00B75995"/>
    <w:rsid w:val="00B75AB3"/>
    <w:rsid w:val="00B75D08"/>
    <w:rsid w:val="00B75D18"/>
    <w:rsid w:val="00B763B6"/>
    <w:rsid w:val="00B76527"/>
    <w:rsid w:val="00B76C0C"/>
    <w:rsid w:val="00B76DAF"/>
    <w:rsid w:val="00B770F0"/>
    <w:rsid w:val="00B8001D"/>
    <w:rsid w:val="00B800EA"/>
    <w:rsid w:val="00B80209"/>
    <w:rsid w:val="00B8095E"/>
    <w:rsid w:val="00B80EC5"/>
    <w:rsid w:val="00B81A98"/>
    <w:rsid w:val="00B82297"/>
    <w:rsid w:val="00B8252B"/>
    <w:rsid w:val="00B827DC"/>
    <w:rsid w:val="00B835DD"/>
    <w:rsid w:val="00B83DBB"/>
    <w:rsid w:val="00B847D5"/>
    <w:rsid w:val="00B84AE2"/>
    <w:rsid w:val="00B851CA"/>
    <w:rsid w:val="00B8543D"/>
    <w:rsid w:val="00B857A8"/>
    <w:rsid w:val="00B857D3"/>
    <w:rsid w:val="00B85AAA"/>
    <w:rsid w:val="00B86906"/>
    <w:rsid w:val="00B86A06"/>
    <w:rsid w:val="00B86CAF"/>
    <w:rsid w:val="00B87326"/>
    <w:rsid w:val="00B873E3"/>
    <w:rsid w:val="00B87B02"/>
    <w:rsid w:val="00B90007"/>
    <w:rsid w:val="00B9045E"/>
    <w:rsid w:val="00B907B1"/>
    <w:rsid w:val="00B90840"/>
    <w:rsid w:val="00B90D6F"/>
    <w:rsid w:val="00B91144"/>
    <w:rsid w:val="00B9116D"/>
    <w:rsid w:val="00B9201E"/>
    <w:rsid w:val="00B921DD"/>
    <w:rsid w:val="00B922E6"/>
    <w:rsid w:val="00B9261D"/>
    <w:rsid w:val="00B92A4A"/>
    <w:rsid w:val="00B92F19"/>
    <w:rsid w:val="00B932E3"/>
    <w:rsid w:val="00B936F4"/>
    <w:rsid w:val="00B941C4"/>
    <w:rsid w:val="00B9462E"/>
    <w:rsid w:val="00B94A34"/>
    <w:rsid w:val="00B94CE5"/>
    <w:rsid w:val="00B95207"/>
    <w:rsid w:val="00B956D4"/>
    <w:rsid w:val="00B95F80"/>
    <w:rsid w:val="00B961E1"/>
    <w:rsid w:val="00B96347"/>
    <w:rsid w:val="00B96FFF"/>
    <w:rsid w:val="00B97865"/>
    <w:rsid w:val="00B97D70"/>
    <w:rsid w:val="00BA11C7"/>
    <w:rsid w:val="00BA2934"/>
    <w:rsid w:val="00BA29C8"/>
    <w:rsid w:val="00BA2A81"/>
    <w:rsid w:val="00BA2B02"/>
    <w:rsid w:val="00BA3217"/>
    <w:rsid w:val="00BA3A72"/>
    <w:rsid w:val="00BA4479"/>
    <w:rsid w:val="00BA461E"/>
    <w:rsid w:val="00BA4E95"/>
    <w:rsid w:val="00BA5445"/>
    <w:rsid w:val="00BA5776"/>
    <w:rsid w:val="00BA5BA3"/>
    <w:rsid w:val="00BA6219"/>
    <w:rsid w:val="00BA6322"/>
    <w:rsid w:val="00BA6469"/>
    <w:rsid w:val="00BA7174"/>
    <w:rsid w:val="00BA7366"/>
    <w:rsid w:val="00BA73B9"/>
    <w:rsid w:val="00BA7F16"/>
    <w:rsid w:val="00BB000B"/>
    <w:rsid w:val="00BB082B"/>
    <w:rsid w:val="00BB09C7"/>
    <w:rsid w:val="00BB109E"/>
    <w:rsid w:val="00BB1973"/>
    <w:rsid w:val="00BB1996"/>
    <w:rsid w:val="00BB1DF4"/>
    <w:rsid w:val="00BB27E3"/>
    <w:rsid w:val="00BB3173"/>
    <w:rsid w:val="00BB39AF"/>
    <w:rsid w:val="00BB3B59"/>
    <w:rsid w:val="00BB3E53"/>
    <w:rsid w:val="00BB4F00"/>
    <w:rsid w:val="00BB4F99"/>
    <w:rsid w:val="00BB520A"/>
    <w:rsid w:val="00BB53F8"/>
    <w:rsid w:val="00BB5532"/>
    <w:rsid w:val="00BB5799"/>
    <w:rsid w:val="00BB59A9"/>
    <w:rsid w:val="00BB60B5"/>
    <w:rsid w:val="00BB6376"/>
    <w:rsid w:val="00BB6D19"/>
    <w:rsid w:val="00BB74D3"/>
    <w:rsid w:val="00BB76C9"/>
    <w:rsid w:val="00BB77F7"/>
    <w:rsid w:val="00BC0A46"/>
    <w:rsid w:val="00BC0F3C"/>
    <w:rsid w:val="00BC1716"/>
    <w:rsid w:val="00BC1B44"/>
    <w:rsid w:val="00BC2455"/>
    <w:rsid w:val="00BC24B9"/>
    <w:rsid w:val="00BC287D"/>
    <w:rsid w:val="00BC2DF1"/>
    <w:rsid w:val="00BC37EC"/>
    <w:rsid w:val="00BC3A8D"/>
    <w:rsid w:val="00BC3F90"/>
    <w:rsid w:val="00BC419C"/>
    <w:rsid w:val="00BC42A0"/>
    <w:rsid w:val="00BC489B"/>
    <w:rsid w:val="00BC4FCA"/>
    <w:rsid w:val="00BC5231"/>
    <w:rsid w:val="00BC55F9"/>
    <w:rsid w:val="00BC5BDC"/>
    <w:rsid w:val="00BC5C8F"/>
    <w:rsid w:val="00BC5D95"/>
    <w:rsid w:val="00BC600C"/>
    <w:rsid w:val="00BC619B"/>
    <w:rsid w:val="00BC6828"/>
    <w:rsid w:val="00BC6A3F"/>
    <w:rsid w:val="00BC74E6"/>
    <w:rsid w:val="00BC7598"/>
    <w:rsid w:val="00BC793F"/>
    <w:rsid w:val="00BC7C37"/>
    <w:rsid w:val="00BD0663"/>
    <w:rsid w:val="00BD0AEA"/>
    <w:rsid w:val="00BD0E6D"/>
    <w:rsid w:val="00BD0F3B"/>
    <w:rsid w:val="00BD100D"/>
    <w:rsid w:val="00BD1243"/>
    <w:rsid w:val="00BD23D9"/>
    <w:rsid w:val="00BD259F"/>
    <w:rsid w:val="00BD25CA"/>
    <w:rsid w:val="00BD2ED1"/>
    <w:rsid w:val="00BD35B2"/>
    <w:rsid w:val="00BD3C3C"/>
    <w:rsid w:val="00BD3CAF"/>
    <w:rsid w:val="00BD4DFA"/>
    <w:rsid w:val="00BD4F5C"/>
    <w:rsid w:val="00BD5508"/>
    <w:rsid w:val="00BD57A2"/>
    <w:rsid w:val="00BD5BCB"/>
    <w:rsid w:val="00BD5C87"/>
    <w:rsid w:val="00BD5C8E"/>
    <w:rsid w:val="00BD5E51"/>
    <w:rsid w:val="00BD5E72"/>
    <w:rsid w:val="00BD636E"/>
    <w:rsid w:val="00BD6392"/>
    <w:rsid w:val="00BD68A5"/>
    <w:rsid w:val="00BD6A99"/>
    <w:rsid w:val="00BD7522"/>
    <w:rsid w:val="00BD79EA"/>
    <w:rsid w:val="00BD7CEE"/>
    <w:rsid w:val="00BD7D0A"/>
    <w:rsid w:val="00BD7E58"/>
    <w:rsid w:val="00BD7F7E"/>
    <w:rsid w:val="00BE015C"/>
    <w:rsid w:val="00BE01C8"/>
    <w:rsid w:val="00BE03CF"/>
    <w:rsid w:val="00BE0EBB"/>
    <w:rsid w:val="00BE1CE4"/>
    <w:rsid w:val="00BE1D03"/>
    <w:rsid w:val="00BE284C"/>
    <w:rsid w:val="00BE33FF"/>
    <w:rsid w:val="00BE411E"/>
    <w:rsid w:val="00BE4C35"/>
    <w:rsid w:val="00BE4C49"/>
    <w:rsid w:val="00BE581C"/>
    <w:rsid w:val="00BE6A16"/>
    <w:rsid w:val="00BE7497"/>
    <w:rsid w:val="00BF0165"/>
    <w:rsid w:val="00BF0922"/>
    <w:rsid w:val="00BF0959"/>
    <w:rsid w:val="00BF1063"/>
    <w:rsid w:val="00BF16DB"/>
    <w:rsid w:val="00BF1AD4"/>
    <w:rsid w:val="00BF1E9A"/>
    <w:rsid w:val="00BF256B"/>
    <w:rsid w:val="00BF2B7D"/>
    <w:rsid w:val="00BF2D01"/>
    <w:rsid w:val="00BF3E86"/>
    <w:rsid w:val="00BF3FC1"/>
    <w:rsid w:val="00BF462E"/>
    <w:rsid w:val="00BF4B8F"/>
    <w:rsid w:val="00BF4D41"/>
    <w:rsid w:val="00BF55D5"/>
    <w:rsid w:val="00BF5807"/>
    <w:rsid w:val="00BF6475"/>
    <w:rsid w:val="00BF6A78"/>
    <w:rsid w:val="00BF7078"/>
    <w:rsid w:val="00BF7D12"/>
    <w:rsid w:val="00C0019F"/>
    <w:rsid w:val="00C0045C"/>
    <w:rsid w:val="00C00750"/>
    <w:rsid w:val="00C012DD"/>
    <w:rsid w:val="00C015F4"/>
    <w:rsid w:val="00C01B40"/>
    <w:rsid w:val="00C01C0F"/>
    <w:rsid w:val="00C02000"/>
    <w:rsid w:val="00C02322"/>
    <w:rsid w:val="00C02B32"/>
    <w:rsid w:val="00C02BBB"/>
    <w:rsid w:val="00C02F2B"/>
    <w:rsid w:val="00C02F53"/>
    <w:rsid w:val="00C03282"/>
    <w:rsid w:val="00C045E7"/>
    <w:rsid w:val="00C05375"/>
    <w:rsid w:val="00C0571D"/>
    <w:rsid w:val="00C058DE"/>
    <w:rsid w:val="00C06002"/>
    <w:rsid w:val="00C0658E"/>
    <w:rsid w:val="00C06C26"/>
    <w:rsid w:val="00C06E63"/>
    <w:rsid w:val="00C06F86"/>
    <w:rsid w:val="00C07564"/>
    <w:rsid w:val="00C1003E"/>
    <w:rsid w:val="00C11955"/>
    <w:rsid w:val="00C11BDD"/>
    <w:rsid w:val="00C120B0"/>
    <w:rsid w:val="00C12347"/>
    <w:rsid w:val="00C12654"/>
    <w:rsid w:val="00C12FEE"/>
    <w:rsid w:val="00C130D0"/>
    <w:rsid w:val="00C13309"/>
    <w:rsid w:val="00C13877"/>
    <w:rsid w:val="00C13EB6"/>
    <w:rsid w:val="00C142E4"/>
    <w:rsid w:val="00C146D3"/>
    <w:rsid w:val="00C1488F"/>
    <w:rsid w:val="00C14C34"/>
    <w:rsid w:val="00C15B34"/>
    <w:rsid w:val="00C15C9D"/>
    <w:rsid w:val="00C162A5"/>
    <w:rsid w:val="00C167D9"/>
    <w:rsid w:val="00C16B00"/>
    <w:rsid w:val="00C16E17"/>
    <w:rsid w:val="00C17346"/>
    <w:rsid w:val="00C1739F"/>
    <w:rsid w:val="00C175C6"/>
    <w:rsid w:val="00C1762E"/>
    <w:rsid w:val="00C17C2E"/>
    <w:rsid w:val="00C17F74"/>
    <w:rsid w:val="00C20409"/>
    <w:rsid w:val="00C206D2"/>
    <w:rsid w:val="00C2081B"/>
    <w:rsid w:val="00C20875"/>
    <w:rsid w:val="00C20971"/>
    <w:rsid w:val="00C20A24"/>
    <w:rsid w:val="00C20BF2"/>
    <w:rsid w:val="00C20C6B"/>
    <w:rsid w:val="00C20E32"/>
    <w:rsid w:val="00C21A0B"/>
    <w:rsid w:val="00C21BF7"/>
    <w:rsid w:val="00C21DF0"/>
    <w:rsid w:val="00C22513"/>
    <w:rsid w:val="00C23449"/>
    <w:rsid w:val="00C2353D"/>
    <w:rsid w:val="00C237FD"/>
    <w:rsid w:val="00C23C5B"/>
    <w:rsid w:val="00C23E48"/>
    <w:rsid w:val="00C24538"/>
    <w:rsid w:val="00C25654"/>
    <w:rsid w:val="00C25905"/>
    <w:rsid w:val="00C25AEF"/>
    <w:rsid w:val="00C25D09"/>
    <w:rsid w:val="00C25E1B"/>
    <w:rsid w:val="00C26887"/>
    <w:rsid w:val="00C26D33"/>
    <w:rsid w:val="00C27564"/>
    <w:rsid w:val="00C27C96"/>
    <w:rsid w:val="00C3041F"/>
    <w:rsid w:val="00C30C03"/>
    <w:rsid w:val="00C30F5D"/>
    <w:rsid w:val="00C3107C"/>
    <w:rsid w:val="00C31202"/>
    <w:rsid w:val="00C31C51"/>
    <w:rsid w:val="00C3203A"/>
    <w:rsid w:val="00C3256B"/>
    <w:rsid w:val="00C32E48"/>
    <w:rsid w:val="00C330FA"/>
    <w:rsid w:val="00C333A9"/>
    <w:rsid w:val="00C3351B"/>
    <w:rsid w:val="00C33B9E"/>
    <w:rsid w:val="00C33D1B"/>
    <w:rsid w:val="00C33D30"/>
    <w:rsid w:val="00C34C4D"/>
    <w:rsid w:val="00C355BE"/>
    <w:rsid w:val="00C355D6"/>
    <w:rsid w:val="00C35F9D"/>
    <w:rsid w:val="00C36202"/>
    <w:rsid w:val="00C366BA"/>
    <w:rsid w:val="00C40174"/>
    <w:rsid w:val="00C402B5"/>
    <w:rsid w:val="00C40496"/>
    <w:rsid w:val="00C40588"/>
    <w:rsid w:val="00C4078B"/>
    <w:rsid w:val="00C40B51"/>
    <w:rsid w:val="00C41105"/>
    <w:rsid w:val="00C41E0C"/>
    <w:rsid w:val="00C420BC"/>
    <w:rsid w:val="00C420C0"/>
    <w:rsid w:val="00C421D1"/>
    <w:rsid w:val="00C442C6"/>
    <w:rsid w:val="00C445D8"/>
    <w:rsid w:val="00C4503F"/>
    <w:rsid w:val="00C45117"/>
    <w:rsid w:val="00C45580"/>
    <w:rsid w:val="00C45A4D"/>
    <w:rsid w:val="00C46896"/>
    <w:rsid w:val="00C470AE"/>
    <w:rsid w:val="00C4731B"/>
    <w:rsid w:val="00C4738F"/>
    <w:rsid w:val="00C47A86"/>
    <w:rsid w:val="00C47AE4"/>
    <w:rsid w:val="00C5115A"/>
    <w:rsid w:val="00C515A3"/>
    <w:rsid w:val="00C52538"/>
    <w:rsid w:val="00C52604"/>
    <w:rsid w:val="00C52DBC"/>
    <w:rsid w:val="00C533D8"/>
    <w:rsid w:val="00C536BF"/>
    <w:rsid w:val="00C54431"/>
    <w:rsid w:val="00C546A4"/>
    <w:rsid w:val="00C54A63"/>
    <w:rsid w:val="00C54FB8"/>
    <w:rsid w:val="00C55066"/>
    <w:rsid w:val="00C550A3"/>
    <w:rsid w:val="00C55552"/>
    <w:rsid w:val="00C55754"/>
    <w:rsid w:val="00C55CFF"/>
    <w:rsid w:val="00C55DCE"/>
    <w:rsid w:val="00C564C1"/>
    <w:rsid w:val="00C5659B"/>
    <w:rsid w:val="00C56B3B"/>
    <w:rsid w:val="00C56DC5"/>
    <w:rsid w:val="00C5745C"/>
    <w:rsid w:val="00C576DE"/>
    <w:rsid w:val="00C579C4"/>
    <w:rsid w:val="00C57FFD"/>
    <w:rsid w:val="00C615CF"/>
    <w:rsid w:val="00C61988"/>
    <w:rsid w:val="00C623D4"/>
    <w:rsid w:val="00C6240A"/>
    <w:rsid w:val="00C62510"/>
    <w:rsid w:val="00C62646"/>
    <w:rsid w:val="00C62CDE"/>
    <w:rsid w:val="00C638E4"/>
    <w:rsid w:val="00C63D06"/>
    <w:rsid w:val="00C64009"/>
    <w:rsid w:val="00C64088"/>
    <w:rsid w:val="00C656D0"/>
    <w:rsid w:val="00C65BCB"/>
    <w:rsid w:val="00C65CEF"/>
    <w:rsid w:val="00C65F63"/>
    <w:rsid w:val="00C6620F"/>
    <w:rsid w:val="00C6705C"/>
    <w:rsid w:val="00C67BA8"/>
    <w:rsid w:val="00C71251"/>
    <w:rsid w:val="00C71683"/>
    <w:rsid w:val="00C71C4F"/>
    <w:rsid w:val="00C72FDD"/>
    <w:rsid w:val="00C7310F"/>
    <w:rsid w:val="00C7332C"/>
    <w:rsid w:val="00C73E3C"/>
    <w:rsid w:val="00C75F9D"/>
    <w:rsid w:val="00C760B9"/>
    <w:rsid w:val="00C767D8"/>
    <w:rsid w:val="00C76FF3"/>
    <w:rsid w:val="00C7719E"/>
    <w:rsid w:val="00C77A2A"/>
    <w:rsid w:val="00C77BC5"/>
    <w:rsid w:val="00C77E38"/>
    <w:rsid w:val="00C77FCE"/>
    <w:rsid w:val="00C800CC"/>
    <w:rsid w:val="00C80B66"/>
    <w:rsid w:val="00C80B72"/>
    <w:rsid w:val="00C81AC3"/>
    <w:rsid w:val="00C81CE1"/>
    <w:rsid w:val="00C82577"/>
    <w:rsid w:val="00C82665"/>
    <w:rsid w:val="00C82712"/>
    <w:rsid w:val="00C828F2"/>
    <w:rsid w:val="00C829B3"/>
    <w:rsid w:val="00C82AB8"/>
    <w:rsid w:val="00C82D76"/>
    <w:rsid w:val="00C82F85"/>
    <w:rsid w:val="00C83328"/>
    <w:rsid w:val="00C8333A"/>
    <w:rsid w:val="00C8371E"/>
    <w:rsid w:val="00C83CB6"/>
    <w:rsid w:val="00C845B0"/>
    <w:rsid w:val="00C84B24"/>
    <w:rsid w:val="00C852B0"/>
    <w:rsid w:val="00C85DA8"/>
    <w:rsid w:val="00C86C89"/>
    <w:rsid w:val="00C87E46"/>
    <w:rsid w:val="00C9017C"/>
    <w:rsid w:val="00C90FC1"/>
    <w:rsid w:val="00C91011"/>
    <w:rsid w:val="00C9103F"/>
    <w:rsid w:val="00C91A8A"/>
    <w:rsid w:val="00C91B1A"/>
    <w:rsid w:val="00C9208F"/>
    <w:rsid w:val="00C923DF"/>
    <w:rsid w:val="00C92435"/>
    <w:rsid w:val="00C928E0"/>
    <w:rsid w:val="00C93538"/>
    <w:rsid w:val="00C939EA"/>
    <w:rsid w:val="00C93BA5"/>
    <w:rsid w:val="00C93C2C"/>
    <w:rsid w:val="00C9420C"/>
    <w:rsid w:val="00C94884"/>
    <w:rsid w:val="00C948BA"/>
    <w:rsid w:val="00C948E8"/>
    <w:rsid w:val="00C94B12"/>
    <w:rsid w:val="00C94B9D"/>
    <w:rsid w:val="00C94CF3"/>
    <w:rsid w:val="00C95504"/>
    <w:rsid w:val="00C956B4"/>
    <w:rsid w:val="00C96175"/>
    <w:rsid w:val="00C96292"/>
    <w:rsid w:val="00C96D16"/>
    <w:rsid w:val="00C96F3F"/>
    <w:rsid w:val="00C97FB7"/>
    <w:rsid w:val="00CA00A6"/>
    <w:rsid w:val="00CA075E"/>
    <w:rsid w:val="00CA0792"/>
    <w:rsid w:val="00CA118D"/>
    <w:rsid w:val="00CA1219"/>
    <w:rsid w:val="00CA1BEB"/>
    <w:rsid w:val="00CA1C59"/>
    <w:rsid w:val="00CA1DA5"/>
    <w:rsid w:val="00CA205A"/>
    <w:rsid w:val="00CA2560"/>
    <w:rsid w:val="00CA2EF7"/>
    <w:rsid w:val="00CA33BD"/>
    <w:rsid w:val="00CA38EF"/>
    <w:rsid w:val="00CA41A6"/>
    <w:rsid w:val="00CA4B10"/>
    <w:rsid w:val="00CA4C2B"/>
    <w:rsid w:val="00CA6180"/>
    <w:rsid w:val="00CA622A"/>
    <w:rsid w:val="00CA71B2"/>
    <w:rsid w:val="00CA760A"/>
    <w:rsid w:val="00CA7728"/>
    <w:rsid w:val="00CA796C"/>
    <w:rsid w:val="00CB04D7"/>
    <w:rsid w:val="00CB103B"/>
    <w:rsid w:val="00CB1F29"/>
    <w:rsid w:val="00CB2894"/>
    <w:rsid w:val="00CB30CA"/>
    <w:rsid w:val="00CB3324"/>
    <w:rsid w:val="00CB360E"/>
    <w:rsid w:val="00CB366F"/>
    <w:rsid w:val="00CB38FE"/>
    <w:rsid w:val="00CB39EE"/>
    <w:rsid w:val="00CB538D"/>
    <w:rsid w:val="00CB5B45"/>
    <w:rsid w:val="00CB5EFD"/>
    <w:rsid w:val="00CB5F24"/>
    <w:rsid w:val="00CB6387"/>
    <w:rsid w:val="00CB684F"/>
    <w:rsid w:val="00CB6ABB"/>
    <w:rsid w:val="00CB6C9D"/>
    <w:rsid w:val="00CB6F19"/>
    <w:rsid w:val="00CB7503"/>
    <w:rsid w:val="00CC0379"/>
    <w:rsid w:val="00CC100E"/>
    <w:rsid w:val="00CC1070"/>
    <w:rsid w:val="00CC134B"/>
    <w:rsid w:val="00CC17D4"/>
    <w:rsid w:val="00CC1B2E"/>
    <w:rsid w:val="00CC2D2B"/>
    <w:rsid w:val="00CC364B"/>
    <w:rsid w:val="00CC4116"/>
    <w:rsid w:val="00CC5E19"/>
    <w:rsid w:val="00CC6645"/>
    <w:rsid w:val="00CC7282"/>
    <w:rsid w:val="00CD079C"/>
    <w:rsid w:val="00CD0D85"/>
    <w:rsid w:val="00CD1398"/>
    <w:rsid w:val="00CD13BD"/>
    <w:rsid w:val="00CD22E1"/>
    <w:rsid w:val="00CD2B5D"/>
    <w:rsid w:val="00CD2EDA"/>
    <w:rsid w:val="00CD345F"/>
    <w:rsid w:val="00CD349C"/>
    <w:rsid w:val="00CD34DA"/>
    <w:rsid w:val="00CD3BD7"/>
    <w:rsid w:val="00CD3C25"/>
    <w:rsid w:val="00CD3C76"/>
    <w:rsid w:val="00CD3C7F"/>
    <w:rsid w:val="00CD3CF1"/>
    <w:rsid w:val="00CD4160"/>
    <w:rsid w:val="00CD44C1"/>
    <w:rsid w:val="00CD4867"/>
    <w:rsid w:val="00CD4B08"/>
    <w:rsid w:val="00CD4DEB"/>
    <w:rsid w:val="00CD5A6D"/>
    <w:rsid w:val="00CD5C54"/>
    <w:rsid w:val="00CD6094"/>
    <w:rsid w:val="00CD65FE"/>
    <w:rsid w:val="00CD7070"/>
    <w:rsid w:val="00CD7D87"/>
    <w:rsid w:val="00CE0008"/>
    <w:rsid w:val="00CE0621"/>
    <w:rsid w:val="00CE084F"/>
    <w:rsid w:val="00CE0887"/>
    <w:rsid w:val="00CE09EC"/>
    <w:rsid w:val="00CE0AF8"/>
    <w:rsid w:val="00CE104F"/>
    <w:rsid w:val="00CE12AB"/>
    <w:rsid w:val="00CE17CD"/>
    <w:rsid w:val="00CE23B9"/>
    <w:rsid w:val="00CE2663"/>
    <w:rsid w:val="00CE270B"/>
    <w:rsid w:val="00CE2A68"/>
    <w:rsid w:val="00CE3130"/>
    <w:rsid w:val="00CE37CF"/>
    <w:rsid w:val="00CE3EB8"/>
    <w:rsid w:val="00CE47EB"/>
    <w:rsid w:val="00CE4E5B"/>
    <w:rsid w:val="00CE5187"/>
    <w:rsid w:val="00CE70EC"/>
    <w:rsid w:val="00CE770E"/>
    <w:rsid w:val="00CE77C5"/>
    <w:rsid w:val="00CE7C58"/>
    <w:rsid w:val="00CF0622"/>
    <w:rsid w:val="00CF0C9F"/>
    <w:rsid w:val="00CF0ED5"/>
    <w:rsid w:val="00CF0EDA"/>
    <w:rsid w:val="00CF1847"/>
    <w:rsid w:val="00CF2374"/>
    <w:rsid w:val="00CF27F0"/>
    <w:rsid w:val="00CF293C"/>
    <w:rsid w:val="00CF2E1C"/>
    <w:rsid w:val="00CF2EF7"/>
    <w:rsid w:val="00CF3A47"/>
    <w:rsid w:val="00CF3BB2"/>
    <w:rsid w:val="00CF3FAF"/>
    <w:rsid w:val="00CF43FE"/>
    <w:rsid w:val="00CF4AD6"/>
    <w:rsid w:val="00CF52B9"/>
    <w:rsid w:val="00CF58E1"/>
    <w:rsid w:val="00CF637D"/>
    <w:rsid w:val="00CF6474"/>
    <w:rsid w:val="00CF75B2"/>
    <w:rsid w:val="00CF7678"/>
    <w:rsid w:val="00CF769A"/>
    <w:rsid w:val="00D0025B"/>
    <w:rsid w:val="00D00432"/>
    <w:rsid w:val="00D009C6"/>
    <w:rsid w:val="00D00B4D"/>
    <w:rsid w:val="00D00F5D"/>
    <w:rsid w:val="00D019F6"/>
    <w:rsid w:val="00D01F77"/>
    <w:rsid w:val="00D029D8"/>
    <w:rsid w:val="00D032F2"/>
    <w:rsid w:val="00D037C0"/>
    <w:rsid w:val="00D0394F"/>
    <w:rsid w:val="00D04A8C"/>
    <w:rsid w:val="00D050B3"/>
    <w:rsid w:val="00D0551C"/>
    <w:rsid w:val="00D055A9"/>
    <w:rsid w:val="00D0585E"/>
    <w:rsid w:val="00D05D57"/>
    <w:rsid w:val="00D063BF"/>
    <w:rsid w:val="00D06600"/>
    <w:rsid w:val="00D072DC"/>
    <w:rsid w:val="00D07656"/>
    <w:rsid w:val="00D10136"/>
    <w:rsid w:val="00D10659"/>
    <w:rsid w:val="00D1093B"/>
    <w:rsid w:val="00D10A78"/>
    <w:rsid w:val="00D10BC8"/>
    <w:rsid w:val="00D10E9A"/>
    <w:rsid w:val="00D110EA"/>
    <w:rsid w:val="00D11214"/>
    <w:rsid w:val="00D114B2"/>
    <w:rsid w:val="00D11825"/>
    <w:rsid w:val="00D12072"/>
    <w:rsid w:val="00D122DC"/>
    <w:rsid w:val="00D12669"/>
    <w:rsid w:val="00D1350D"/>
    <w:rsid w:val="00D13677"/>
    <w:rsid w:val="00D144B8"/>
    <w:rsid w:val="00D148C2"/>
    <w:rsid w:val="00D14ACD"/>
    <w:rsid w:val="00D153B7"/>
    <w:rsid w:val="00D15A1B"/>
    <w:rsid w:val="00D171A5"/>
    <w:rsid w:val="00D176EB"/>
    <w:rsid w:val="00D17A87"/>
    <w:rsid w:val="00D2118F"/>
    <w:rsid w:val="00D219F1"/>
    <w:rsid w:val="00D21F1C"/>
    <w:rsid w:val="00D21FEF"/>
    <w:rsid w:val="00D22231"/>
    <w:rsid w:val="00D23265"/>
    <w:rsid w:val="00D23509"/>
    <w:rsid w:val="00D23F59"/>
    <w:rsid w:val="00D240FA"/>
    <w:rsid w:val="00D24E99"/>
    <w:rsid w:val="00D24EE1"/>
    <w:rsid w:val="00D24F6D"/>
    <w:rsid w:val="00D2539E"/>
    <w:rsid w:val="00D25EE3"/>
    <w:rsid w:val="00D26999"/>
    <w:rsid w:val="00D26A3B"/>
    <w:rsid w:val="00D27D89"/>
    <w:rsid w:val="00D27E80"/>
    <w:rsid w:val="00D3030E"/>
    <w:rsid w:val="00D30996"/>
    <w:rsid w:val="00D30C97"/>
    <w:rsid w:val="00D30EAD"/>
    <w:rsid w:val="00D313B5"/>
    <w:rsid w:val="00D315D2"/>
    <w:rsid w:val="00D31E2E"/>
    <w:rsid w:val="00D31EC8"/>
    <w:rsid w:val="00D32296"/>
    <w:rsid w:val="00D32B95"/>
    <w:rsid w:val="00D33377"/>
    <w:rsid w:val="00D336B5"/>
    <w:rsid w:val="00D33CB3"/>
    <w:rsid w:val="00D33D6D"/>
    <w:rsid w:val="00D33E4A"/>
    <w:rsid w:val="00D33F77"/>
    <w:rsid w:val="00D340A8"/>
    <w:rsid w:val="00D34437"/>
    <w:rsid w:val="00D34F74"/>
    <w:rsid w:val="00D35485"/>
    <w:rsid w:val="00D354EE"/>
    <w:rsid w:val="00D356A2"/>
    <w:rsid w:val="00D357D0"/>
    <w:rsid w:val="00D35B85"/>
    <w:rsid w:val="00D3626E"/>
    <w:rsid w:val="00D36270"/>
    <w:rsid w:val="00D36317"/>
    <w:rsid w:val="00D36435"/>
    <w:rsid w:val="00D3677C"/>
    <w:rsid w:val="00D37053"/>
    <w:rsid w:val="00D373AB"/>
    <w:rsid w:val="00D37736"/>
    <w:rsid w:val="00D40D96"/>
    <w:rsid w:val="00D40FAA"/>
    <w:rsid w:val="00D4179E"/>
    <w:rsid w:val="00D420E6"/>
    <w:rsid w:val="00D425A7"/>
    <w:rsid w:val="00D4264C"/>
    <w:rsid w:val="00D427E1"/>
    <w:rsid w:val="00D42C30"/>
    <w:rsid w:val="00D43388"/>
    <w:rsid w:val="00D43AC2"/>
    <w:rsid w:val="00D43D7E"/>
    <w:rsid w:val="00D442BD"/>
    <w:rsid w:val="00D44FDA"/>
    <w:rsid w:val="00D45215"/>
    <w:rsid w:val="00D45AE6"/>
    <w:rsid w:val="00D46406"/>
    <w:rsid w:val="00D465F4"/>
    <w:rsid w:val="00D46846"/>
    <w:rsid w:val="00D46AFA"/>
    <w:rsid w:val="00D46B03"/>
    <w:rsid w:val="00D46CF9"/>
    <w:rsid w:val="00D50B5B"/>
    <w:rsid w:val="00D50EE1"/>
    <w:rsid w:val="00D51865"/>
    <w:rsid w:val="00D5292D"/>
    <w:rsid w:val="00D52F6D"/>
    <w:rsid w:val="00D53191"/>
    <w:rsid w:val="00D53496"/>
    <w:rsid w:val="00D534FE"/>
    <w:rsid w:val="00D5360D"/>
    <w:rsid w:val="00D53C56"/>
    <w:rsid w:val="00D5468A"/>
    <w:rsid w:val="00D56255"/>
    <w:rsid w:val="00D5704F"/>
    <w:rsid w:val="00D570B3"/>
    <w:rsid w:val="00D576DF"/>
    <w:rsid w:val="00D57A15"/>
    <w:rsid w:val="00D60097"/>
    <w:rsid w:val="00D601B9"/>
    <w:rsid w:val="00D607B1"/>
    <w:rsid w:val="00D61232"/>
    <w:rsid w:val="00D614C4"/>
    <w:rsid w:val="00D61D33"/>
    <w:rsid w:val="00D6296F"/>
    <w:rsid w:val="00D62A22"/>
    <w:rsid w:val="00D62CFD"/>
    <w:rsid w:val="00D631DA"/>
    <w:rsid w:val="00D63706"/>
    <w:rsid w:val="00D63D08"/>
    <w:rsid w:val="00D63F4E"/>
    <w:rsid w:val="00D6409D"/>
    <w:rsid w:val="00D64431"/>
    <w:rsid w:val="00D65EA2"/>
    <w:rsid w:val="00D66120"/>
    <w:rsid w:val="00D66709"/>
    <w:rsid w:val="00D66979"/>
    <w:rsid w:val="00D66D6B"/>
    <w:rsid w:val="00D676CE"/>
    <w:rsid w:val="00D72594"/>
    <w:rsid w:val="00D72CFD"/>
    <w:rsid w:val="00D73298"/>
    <w:rsid w:val="00D73822"/>
    <w:rsid w:val="00D73943"/>
    <w:rsid w:val="00D73980"/>
    <w:rsid w:val="00D73BDF"/>
    <w:rsid w:val="00D74A76"/>
    <w:rsid w:val="00D74B7D"/>
    <w:rsid w:val="00D7542C"/>
    <w:rsid w:val="00D75557"/>
    <w:rsid w:val="00D75691"/>
    <w:rsid w:val="00D7588A"/>
    <w:rsid w:val="00D759F3"/>
    <w:rsid w:val="00D75EF6"/>
    <w:rsid w:val="00D7601A"/>
    <w:rsid w:val="00D7611C"/>
    <w:rsid w:val="00D767EB"/>
    <w:rsid w:val="00D76867"/>
    <w:rsid w:val="00D76A59"/>
    <w:rsid w:val="00D776EC"/>
    <w:rsid w:val="00D77CF3"/>
    <w:rsid w:val="00D802F7"/>
    <w:rsid w:val="00D8049B"/>
    <w:rsid w:val="00D80B3D"/>
    <w:rsid w:val="00D80D2D"/>
    <w:rsid w:val="00D810E0"/>
    <w:rsid w:val="00D811E6"/>
    <w:rsid w:val="00D819F5"/>
    <w:rsid w:val="00D81B14"/>
    <w:rsid w:val="00D81C0F"/>
    <w:rsid w:val="00D82F0E"/>
    <w:rsid w:val="00D839EF"/>
    <w:rsid w:val="00D8442B"/>
    <w:rsid w:val="00D84734"/>
    <w:rsid w:val="00D8489F"/>
    <w:rsid w:val="00D848F5"/>
    <w:rsid w:val="00D84B62"/>
    <w:rsid w:val="00D84C53"/>
    <w:rsid w:val="00D84EC1"/>
    <w:rsid w:val="00D853EF"/>
    <w:rsid w:val="00D85744"/>
    <w:rsid w:val="00D8580B"/>
    <w:rsid w:val="00D85E42"/>
    <w:rsid w:val="00D861B7"/>
    <w:rsid w:val="00D86EA7"/>
    <w:rsid w:val="00D86F79"/>
    <w:rsid w:val="00D87B58"/>
    <w:rsid w:val="00D900B7"/>
    <w:rsid w:val="00D9086D"/>
    <w:rsid w:val="00D90A2E"/>
    <w:rsid w:val="00D90B17"/>
    <w:rsid w:val="00D9106B"/>
    <w:rsid w:val="00D9139C"/>
    <w:rsid w:val="00D9142F"/>
    <w:rsid w:val="00D91854"/>
    <w:rsid w:val="00D9253C"/>
    <w:rsid w:val="00D929A4"/>
    <w:rsid w:val="00D93A14"/>
    <w:rsid w:val="00D93BD6"/>
    <w:rsid w:val="00D93EDF"/>
    <w:rsid w:val="00D9418D"/>
    <w:rsid w:val="00D94820"/>
    <w:rsid w:val="00D94CF9"/>
    <w:rsid w:val="00D95969"/>
    <w:rsid w:val="00D95BBA"/>
    <w:rsid w:val="00D95F82"/>
    <w:rsid w:val="00D961E9"/>
    <w:rsid w:val="00D97614"/>
    <w:rsid w:val="00DA031D"/>
    <w:rsid w:val="00DA034B"/>
    <w:rsid w:val="00DA0D39"/>
    <w:rsid w:val="00DA0F1E"/>
    <w:rsid w:val="00DA123E"/>
    <w:rsid w:val="00DA171C"/>
    <w:rsid w:val="00DA1969"/>
    <w:rsid w:val="00DA2147"/>
    <w:rsid w:val="00DA37DA"/>
    <w:rsid w:val="00DA3F4F"/>
    <w:rsid w:val="00DA4BB6"/>
    <w:rsid w:val="00DA5869"/>
    <w:rsid w:val="00DA5D8B"/>
    <w:rsid w:val="00DA6BD1"/>
    <w:rsid w:val="00DA6EC8"/>
    <w:rsid w:val="00DA739F"/>
    <w:rsid w:val="00DA747C"/>
    <w:rsid w:val="00DA7696"/>
    <w:rsid w:val="00DA7803"/>
    <w:rsid w:val="00DA7869"/>
    <w:rsid w:val="00DA7C12"/>
    <w:rsid w:val="00DB0540"/>
    <w:rsid w:val="00DB07A8"/>
    <w:rsid w:val="00DB082E"/>
    <w:rsid w:val="00DB091B"/>
    <w:rsid w:val="00DB0BB5"/>
    <w:rsid w:val="00DB0CF2"/>
    <w:rsid w:val="00DB1A64"/>
    <w:rsid w:val="00DB1D76"/>
    <w:rsid w:val="00DB2044"/>
    <w:rsid w:val="00DB22F7"/>
    <w:rsid w:val="00DB35A3"/>
    <w:rsid w:val="00DB391C"/>
    <w:rsid w:val="00DB393A"/>
    <w:rsid w:val="00DB3AC8"/>
    <w:rsid w:val="00DB444A"/>
    <w:rsid w:val="00DB478C"/>
    <w:rsid w:val="00DB50DA"/>
    <w:rsid w:val="00DB57A2"/>
    <w:rsid w:val="00DB5C5C"/>
    <w:rsid w:val="00DB672D"/>
    <w:rsid w:val="00DB6932"/>
    <w:rsid w:val="00DB6994"/>
    <w:rsid w:val="00DB69BF"/>
    <w:rsid w:val="00DB707E"/>
    <w:rsid w:val="00DB7388"/>
    <w:rsid w:val="00DB75B9"/>
    <w:rsid w:val="00DB7778"/>
    <w:rsid w:val="00DB77BE"/>
    <w:rsid w:val="00DC19C1"/>
    <w:rsid w:val="00DC1C66"/>
    <w:rsid w:val="00DC1DEF"/>
    <w:rsid w:val="00DC201E"/>
    <w:rsid w:val="00DC22C9"/>
    <w:rsid w:val="00DC2CB0"/>
    <w:rsid w:val="00DC32F2"/>
    <w:rsid w:val="00DC357D"/>
    <w:rsid w:val="00DC38DA"/>
    <w:rsid w:val="00DC3E28"/>
    <w:rsid w:val="00DC4A43"/>
    <w:rsid w:val="00DC4BCF"/>
    <w:rsid w:val="00DC52D5"/>
    <w:rsid w:val="00DC53F2"/>
    <w:rsid w:val="00DC5CC9"/>
    <w:rsid w:val="00DC5FEE"/>
    <w:rsid w:val="00DC6398"/>
    <w:rsid w:val="00DC641F"/>
    <w:rsid w:val="00DC651B"/>
    <w:rsid w:val="00DC6720"/>
    <w:rsid w:val="00DC6B6A"/>
    <w:rsid w:val="00DC7131"/>
    <w:rsid w:val="00DD0028"/>
    <w:rsid w:val="00DD15FA"/>
    <w:rsid w:val="00DD1A23"/>
    <w:rsid w:val="00DD21DA"/>
    <w:rsid w:val="00DD238C"/>
    <w:rsid w:val="00DD2A2B"/>
    <w:rsid w:val="00DD3826"/>
    <w:rsid w:val="00DD390F"/>
    <w:rsid w:val="00DD4019"/>
    <w:rsid w:val="00DD40A5"/>
    <w:rsid w:val="00DD41B5"/>
    <w:rsid w:val="00DD47FF"/>
    <w:rsid w:val="00DD4F44"/>
    <w:rsid w:val="00DD6108"/>
    <w:rsid w:val="00DD64FF"/>
    <w:rsid w:val="00DD655B"/>
    <w:rsid w:val="00DD68D0"/>
    <w:rsid w:val="00DD6D2A"/>
    <w:rsid w:val="00DD7728"/>
    <w:rsid w:val="00DD7AB2"/>
    <w:rsid w:val="00DE0497"/>
    <w:rsid w:val="00DE056C"/>
    <w:rsid w:val="00DE0938"/>
    <w:rsid w:val="00DE0AE2"/>
    <w:rsid w:val="00DE0B09"/>
    <w:rsid w:val="00DE181C"/>
    <w:rsid w:val="00DE2166"/>
    <w:rsid w:val="00DE2E2E"/>
    <w:rsid w:val="00DE2F8D"/>
    <w:rsid w:val="00DE39D2"/>
    <w:rsid w:val="00DE3C1F"/>
    <w:rsid w:val="00DE3C57"/>
    <w:rsid w:val="00DE3D16"/>
    <w:rsid w:val="00DE3F3C"/>
    <w:rsid w:val="00DE4607"/>
    <w:rsid w:val="00DE559B"/>
    <w:rsid w:val="00DE57E3"/>
    <w:rsid w:val="00DE6678"/>
    <w:rsid w:val="00DE69BA"/>
    <w:rsid w:val="00DE7567"/>
    <w:rsid w:val="00DE7B95"/>
    <w:rsid w:val="00DE7EFB"/>
    <w:rsid w:val="00DF18BD"/>
    <w:rsid w:val="00DF1C7B"/>
    <w:rsid w:val="00DF1F50"/>
    <w:rsid w:val="00DF2797"/>
    <w:rsid w:val="00DF336A"/>
    <w:rsid w:val="00DF3500"/>
    <w:rsid w:val="00DF3689"/>
    <w:rsid w:val="00DF458B"/>
    <w:rsid w:val="00DF4CC1"/>
    <w:rsid w:val="00DF500E"/>
    <w:rsid w:val="00DF5DD1"/>
    <w:rsid w:val="00DF62B4"/>
    <w:rsid w:val="00DF6BA6"/>
    <w:rsid w:val="00DF6BAF"/>
    <w:rsid w:val="00DF6E60"/>
    <w:rsid w:val="00DF7539"/>
    <w:rsid w:val="00DF77E1"/>
    <w:rsid w:val="00E001AF"/>
    <w:rsid w:val="00E004F8"/>
    <w:rsid w:val="00E00BD3"/>
    <w:rsid w:val="00E010EE"/>
    <w:rsid w:val="00E02D64"/>
    <w:rsid w:val="00E03A9D"/>
    <w:rsid w:val="00E04286"/>
    <w:rsid w:val="00E04433"/>
    <w:rsid w:val="00E0467E"/>
    <w:rsid w:val="00E048CF"/>
    <w:rsid w:val="00E04CA0"/>
    <w:rsid w:val="00E04F92"/>
    <w:rsid w:val="00E059A8"/>
    <w:rsid w:val="00E05FA1"/>
    <w:rsid w:val="00E06021"/>
    <w:rsid w:val="00E07652"/>
    <w:rsid w:val="00E07915"/>
    <w:rsid w:val="00E07998"/>
    <w:rsid w:val="00E07C71"/>
    <w:rsid w:val="00E1048C"/>
    <w:rsid w:val="00E106F4"/>
    <w:rsid w:val="00E10832"/>
    <w:rsid w:val="00E10F0F"/>
    <w:rsid w:val="00E1127F"/>
    <w:rsid w:val="00E1150F"/>
    <w:rsid w:val="00E1157A"/>
    <w:rsid w:val="00E11C70"/>
    <w:rsid w:val="00E124F2"/>
    <w:rsid w:val="00E131C3"/>
    <w:rsid w:val="00E13A8C"/>
    <w:rsid w:val="00E13AC7"/>
    <w:rsid w:val="00E13F1C"/>
    <w:rsid w:val="00E1423E"/>
    <w:rsid w:val="00E146C9"/>
    <w:rsid w:val="00E146D8"/>
    <w:rsid w:val="00E14BEF"/>
    <w:rsid w:val="00E14CF8"/>
    <w:rsid w:val="00E14DB1"/>
    <w:rsid w:val="00E15530"/>
    <w:rsid w:val="00E15593"/>
    <w:rsid w:val="00E15756"/>
    <w:rsid w:val="00E173EF"/>
    <w:rsid w:val="00E1785A"/>
    <w:rsid w:val="00E201B7"/>
    <w:rsid w:val="00E20267"/>
    <w:rsid w:val="00E20BB7"/>
    <w:rsid w:val="00E21019"/>
    <w:rsid w:val="00E212FA"/>
    <w:rsid w:val="00E21FF5"/>
    <w:rsid w:val="00E222F1"/>
    <w:rsid w:val="00E22C01"/>
    <w:rsid w:val="00E22C61"/>
    <w:rsid w:val="00E244CA"/>
    <w:rsid w:val="00E2498A"/>
    <w:rsid w:val="00E25800"/>
    <w:rsid w:val="00E25D6A"/>
    <w:rsid w:val="00E2712A"/>
    <w:rsid w:val="00E274DA"/>
    <w:rsid w:val="00E276BC"/>
    <w:rsid w:val="00E2770D"/>
    <w:rsid w:val="00E279E6"/>
    <w:rsid w:val="00E27C10"/>
    <w:rsid w:val="00E27E2C"/>
    <w:rsid w:val="00E27FE9"/>
    <w:rsid w:val="00E301CA"/>
    <w:rsid w:val="00E30455"/>
    <w:rsid w:val="00E3085C"/>
    <w:rsid w:val="00E31568"/>
    <w:rsid w:val="00E31761"/>
    <w:rsid w:val="00E327AB"/>
    <w:rsid w:val="00E32932"/>
    <w:rsid w:val="00E32D33"/>
    <w:rsid w:val="00E34404"/>
    <w:rsid w:val="00E34909"/>
    <w:rsid w:val="00E352BD"/>
    <w:rsid w:val="00E36306"/>
    <w:rsid w:val="00E365C7"/>
    <w:rsid w:val="00E36EBD"/>
    <w:rsid w:val="00E40085"/>
    <w:rsid w:val="00E4014D"/>
    <w:rsid w:val="00E40351"/>
    <w:rsid w:val="00E40CE5"/>
    <w:rsid w:val="00E4139F"/>
    <w:rsid w:val="00E4149C"/>
    <w:rsid w:val="00E4165D"/>
    <w:rsid w:val="00E41722"/>
    <w:rsid w:val="00E41D31"/>
    <w:rsid w:val="00E41D72"/>
    <w:rsid w:val="00E423BD"/>
    <w:rsid w:val="00E4245B"/>
    <w:rsid w:val="00E424C9"/>
    <w:rsid w:val="00E425EA"/>
    <w:rsid w:val="00E4291F"/>
    <w:rsid w:val="00E42E08"/>
    <w:rsid w:val="00E437BF"/>
    <w:rsid w:val="00E438D8"/>
    <w:rsid w:val="00E44023"/>
    <w:rsid w:val="00E443B7"/>
    <w:rsid w:val="00E451EE"/>
    <w:rsid w:val="00E45228"/>
    <w:rsid w:val="00E455A6"/>
    <w:rsid w:val="00E45E11"/>
    <w:rsid w:val="00E467D0"/>
    <w:rsid w:val="00E47185"/>
    <w:rsid w:val="00E475F9"/>
    <w:rsid w:val="00E5116E"/>
    <w:rsid w:val="00E51820"/>
    <w:rsid w:val="00E51B4C"/>
    <w:rsid w:val="00E51D4F"/>
    <w:rsid w:val="00E5263D"/>
    <w:rsid w:val="00E5288D"/>
    <w:rsid w:val="00E52B03"/>
    <w:rsid w:val="00E52BD4"/>
    <w:rsid w:val="00E52C81"/>
    <w:rsid w:val="00E52D2F"/>
    <w:rsid w:val="00E5394F"/>
    <w:rsid w:val="00E5437A"/>
    <w:rsid w:val="00E544CF"/>
    <w:rsid w:val="00E547A4"/>
    <w:rsid w:val="00E54ADB"/>
    <w:rsid w:val="00E54AF7"/>
    <w:rsid w:val="00E556F4"/>
    <w:rsid w:val="00E559D6"/>
    <w:rsid w:val="00E55AC3"/>
    <w:rsid w:val="00E5688B"/>
    <w:rsid w:val="00E56A75"/>
    <w:rsid w:val="00E56ABA"/>
    <w:rsid w:val="00E56F15"/>
    <w:rsid w:val="00E57F02"/>
    <w:rsid w:val="00E600D9"/>
    <w:rsid w:val="00E60130"/>
    <w:rsid w:val="00E61CC5"/>
    <w:rsid w:val="00E62C18"/>
    <w:rsid w:val="00E62C78"/>
    <w:rsid w:val="00E63145"/>
    <w:rsid w:val="00E633CC"/>
    <w:rsid w:val="00E6399C"/>
    <w:rsid w:val="00E63BC3"/>
    <w:rsid w:val="00E64056"/>
    <w:rsid w:val="00E6424E"/>
    <w:rsid w:val="00E642EA"/>
    <w:rsid w:val="00E6471B"/>
    <w:rsid w:val="00E649C7"/>
    <w:rsid w:val="00E64E26"/>
    <w:rsid w:val="00E65184"/>
    <w:rsid w:val="00E65DB8"/>
    <w:rsid w:val="00E65FBB"/>
    <w:rsid w:val="00E6604C"/>
    <w:rsid w:val="00E66712"/>
    <w:rsid w:val="00E66BA3"/>
    <w:rsid w:val="00E67650"/>
    <w:rsid w:val="00E67C24"/>
    <w:rsid w:val="00E70EF8"/>
    <w:rsid w:val="00E71199"/>
    <w:rsid w:val="00E71305"/>
    <w:rsid w:val="00E713B6"/>
    <w:rsid w:val="00E71722"/>
    <w:rsid w:val="00E717AA"/>
    <w:rsid w:val="00E7216F"/>
    <w:rsid w:val="00E72BA5"/>
    <w:rsid w:val="00E72F17"/>
    <w:rsid w:val="00E733F1"/>
    <w:rsid w:val="00E735B2"/>
    <w:rsid w:val="00E747E5"/>
    <w:rsid w:val="00E74AA1"/>
    <w:rsid w:val="00E74CCE"/>
    <w:rsid w:val="00E75E16"/>
    <w:rsid w:val="00E76605"/>
    <w:rsid w:val="00E76653"/>
    <w:rsid w:val="00E76663"/>
    <w:rsid w:val="00E770E8"/>
    <w:rsid w:val="00E77611"/>
    <w:rsid w:val="00E77A27"/>
    <w:rsid w:val="00E81B4C"/>
    <w:rsid w:val="00E8224A"/>
    <w:rsid w:val="00E8265D"/>
    <w:rsid w:val="00E829AB"/>
    <w:rsid w:val="00E82BA4"/>
    <w:rsid w:val="00E82D44"/>
    <w:rsid w:val="00E82FE4"/>
    <w:rsid w:val="00E835CF"/>
    <w:rsid w:val="00E83E4B"/>
    <w:rsid w:val="00E843FA"/>
    <w:rsid w:val="00E85349"/>
    <w:rsid w:val="00E85411"/>
    <w:rsid w:val="00E85502"/>
    <w:rsid w:val="00E855E8"/>
    <w:rsid w:val="00E85954"/>
    <w:rsid w:val="00E85C13"/>
    <w:rsid w:val="00E86001"/>
    <w:rsid w:val="00E8697E"/>
    <w:rsid w:val="00E872A8"/>
    <w:rsid w:val="00E87689"/>
    <w:rsid w:val="00E87963"/>
    <w:rsid w:val="00E8798C"/>
    <w:rsid w:val="00E87BD1"/>
    <w:rsid w:val="00E87EE7"/>
    <w:rsid w:val="00E9103F"/>
    <w:rsid w:val="00E9117B"/>
    <w:rsid w:val="00E91BB9"/>
    <w:rsid w:val="00E9207F"/>
    <w:rsid w:val="00E922FE"/>
    <w:rsid w:val="00E92440"/>
    <w:rsid w:val="00E9267D"/>
    <w:rsid w:val="00E92802"/>
    <w:rsid w:val="00E92B28"/>
    <w:rsid w:val="00E92BF6"/>
    <w:rsid w:val="00E92DCA"/>
    <w:rsid w:val="00E92E01"/>
    <w:rsid w:val="00E93488"/>
    <w:rsid w:val="00E9406B"/>
    <w:rsid w:val="00E942EE"/>
    <w:rsid w:val="00E94DBA"/>
    <w:rsid w:val="00E94F80"/>
    <w:rsid w:val="00E957AE"/>
    <w:rsid w:val="00E95CE1"/>
    <w:rsid w:val="00E960C0"/>
    <w:rsid w:val="00E961C2"/>
    <w:rsid w:val="00E966F0"/>
    <w:rsid w:val="00E967B9"/>
    <w:rsid w:val="00E967C8"/>
    <w:rsid w:val="00E96B1E"/>
    <w:rsid w:val="00E96ECD"/>
    <w:rsid w:val="00E9704C"/>
    <w:rsid w:val="00EA06BF"/>
    <w:rsid w:val="00EA07A2"/>
    <w:rsid w:val="00EA09B9"/>
    <w:rsid w:val="00EA0E83"/>
    <w:rsid w:val="00EA1734"/>
    <w:rsid w:val="00EA245B"/>
    <w:rsid w:val="00EA275F"/>
    <w:rsid w:val="00EA2F56"/>
    <w:rsid w:val="00EA3C6C"/>
    <w:rsid w:val="00EA4082"/>
    <w:rsid w:val="00EA4DCF"/>
    <w:rsid w:val="00EA5607"/>
    <w:rsid w:val="00EA5920"/>
    <w:rsid w:val="00EA5D5E"/>
    <w:rsid w:val="00EA669B"/>
    <w:rsid w:val="00EA66F6"/>
    <w:rsid w:val="00EA6918"/>
    <w:rsid w:val="00EA6D07"/>
    <w:rsid w:val="00EA6D2A"/>
    <w:rsid w:val="00EA7941"/>
    <w:rsid w:val="00EA7A6C"/>
    <w:rsid w:val="00EB0416"/>
    <w:rsid w:val="00EB096A"/>
    <w:rsid w:val="00EB0B55"/>
    <w:rsid w:val="00EB1065"/>
    <w:rsid w:val="00EB1245"/>
    <w:rsid w:val="00EB18CC"/>
    <w:rsid w:val="00EB21D7"/>
    <w:rsid w:val="00EB2C60"/>
    <w:rsid w:val="00EB308A"/>
    <w:rsid w:val="00EB3CC1"/>
    <w:rsid w:val="00EB4475"/>
    <w:rsid w:val="00EB4B7C"/>
    <w:rsid w:val="00EB5235"/>
    <w:rsid w:val="00EB5776"/>
    <w:rsid w:val="00EB582C"/>
    <w:rsid w:val="00EB6430"/>
    <w:rsid w:val="00EB6607"/>
    <w:rsid w:val="00EB6BAB"/>
    <w:rsid w:val="00EB6C5A"/>
    <w:rsid w:val="00EB6E6C"/>
    <w:rsid w:val="00EB7184"/>
    <w:rsid w:val="00EB7588"/>
    <w:rsid w:val="00EB7AF8"/>
    <w:rsid w:val="00EC03C8"/>
    <w:rsid w:val="00EC064A"/>
    <w:rsid w:val="00EC0D94"/>
    <w:rsid w:val="00EC0E98"/>
    <w:rsid w:val="00EC116C"/>
    <w:rsid w:val="00EC138F"/>
    <w:rsid w:val="00EC1395"/>
    <w:rsid w:val="00EC1431"/>
    <w:rsid w:val="00EC1B3F"/>
    <w:rsid w:val="00EC20CC"/>
    <w:rsid w:val="00EC28A7"/>
    <w:rsid w:val="00EC2AA8"/>
    <w:rsid w:val="00EC2AF5"/>
    <w:rsid w:val="00EC3000"/>
    <w:rsid w:val="00EC306F"/>
    <w:rsid w:val="00EC31DF"/>
    <w:rsid w:val="00EC3493"/>
    <w:rsid w:val="00EC353D"/>
    <w:rsid w:val="00EC3CE4"/>
    <w:rsid w:val="00EC3D74"/>
    <w:rsid w:val="00EC409E"/>
    <w:rsid w:val="00EC4354"/>
    <w:rsid w:val="00EC4555"/>
    <w:rsid w:val="00EC5E75"/>
    <w:rsid w:val="00EC670B"/>
    <w:rsid w:val="00EC72A0"/>
    <w:rsid w:val="00EC79D2"/>
    <w:rsid w:val="00EC7E9E"/>
    <w:rsid w:val="00ED0902"/>
    <w:rsid w:val="00ED09D4"/>
    <w:rsid w:val="00ED15DA"/>
    <w:rsid w:val="00ED1D9B"/>
    <w:rsid w:val="00ED2005"/>
    <w:rsid w:val="00ED2731"/>
    <w:rsid w:val="00ED29D0"/>
    <w:rsid w:val="00ED2C02"/>
    <w:rsid w:val="00ED2CA0"/>
    <w:rsid w:val="00ED3564"/>
    <w:rsid w:val="00ED36A0"/>
    <w:rsid w:val="00ED388E"/>
    <w:rsid w:val="00ED3B0D"/>
    <w:rsid w:val="00ED3E36"/>
    <w:rsid w:val="00ED3FC2"/>
    <w:rsid w:val="00ED41D9"/>
    <w:rsid w:val="00ED44D1"/>
    <w:rsid w:val="00ED45A5"/>
    <w:rsid w:val="00ED46CC"/>
    <w:rsid w:val="00ED4B9D"/>
    <w:rsid w:val="00ED606E"/>
    <w:rsid w:val="00ED6459"/>
    <w:rsid w:val="00ED6A7B"/>
    <w:rsid w:val="00ED6E09"/>
    <w:rsid w:val="00ED7184"/>
    <w:rsid w:val="00ED76F5"/>
    <w:rsid w:val="00EE01A4"/>
    <w:rsid w:val="00EE0A52"/>
    <w:rsid w:val="00EE0DB6"/>
    <w:rsid w:val="00EE0E59"/>
    <w:rsid w:val="00EE13B5"/>
    <w:rsid w:val="00EE1626"/>
    <w:rsid w:val="00EE186E"/>
    <w:rsid w:val="00EE18DA"/>
    <w:rsid w:val="00EE1DA7"/>
    <w:rsid w:val="00EE218D"/>
    <w:rsid w:val="00EE26F5"/>
    <w:rsid w:val="00EE3158"/>
    <w:rsid w:val="00EE3230"/>
    <w:rsid w:val="00EE3537"/>
    <w:rsid w:val="00EE3C6E"/>
    <w:rsid w:val="00EE3DD6"/>
    <w:rsid w:val="00EE3F59"/>
    <w:rsid w:val="00EE4246"/>
    <w:rsid w:val="00EE552C"/>
    <w:rsid w:val="00EE569B"/>
    <w:rsid w:val="00EE5B42"/>
    <w:rsid w:val="00EE6168"/>
    <w:rsid w:val="00EE68A1"/>
    <w:rsid w:val="00EE6BB0"/>
    <w:rsid w:val="00EE6C13"/>
    <w:rsid w:val="00EE75D5"/>
    <w:rsid w:val="00EE7A54"/>
    <w:rsid w:val="00EE7DF5"/>
    <w:rsid w:val="00EF07CD"/>
    <w:rsid w:val="00EF0A85"/>
    <w:rsid w:val="00EF0EB6"/>
    <w:rsid w:val="00EF1025"/>
    <w:rsid w:val="00EF10D6"/>
    <w:rsid w:val="00EF1E5E"/>
    <w:rsid w:val="00EF2777"/>
    <w:rsid w:val="00EF2B48"/>
    <w:rsid w:val="00EF2D7A"/>
    <w:rsid w:val="00EF2DAB"/>
    <w:rsid w:val="00EF3A12"/>
    <w:rsid w:val="00EF3CBB"/>
    <w:rsid w:val="00EF3E6F"/>
    <w:rsid w:val="00EF4134"/>
    <w:rsid w:val="00EF422E"/>
    <w:rsid w:val="00EF4FFB"/>
    <w:rsid w:val="00EF56AF"/>
    <w:rsid w:val="00EF58D8"/>
    <w:rsid w:val="00EF5C79"/>
    <w:rsid w:val="00EF5C80"/>
    <w:rsid w:val="00EF5CCE"/>
    <w:rsid w:val="00EF6812"/>
    <w:rsid w:val="00EF6B3B"/>
    <w:rsid w:val="00EF6C84"/>
    <w:rsid w:val="00EF6FFD"/>
    <w:rsid w:val="00F003FC"/>
    <w:rsid w:val="00F00C17"/>
    <w:rsid w:val="00F00CAF"/>
    <w:rsid w:val="00F00D53"/>
    <w:rsid w:val="00F00E4F"/>
    <w:rsid w:val="00F01617"/>
    <w:rsid w:val="00F0196D"/>
    <w:rsid w:val="00F03F78"/>
    <w:rsid w:val="00F041AA"/>
    <w:rsid w:val="00F043F9"/>
    <w:rsid w:val="00F04602"/>
    <w:rsid w:val="00F04AFB"/>
    <w:rsid w:val="00F05027"/>
    <w:rsid w:val="00F051F3"/>
    <w:rsid w:val="00F05C6F"/>
    <w:rsid w:val="00F05F8F"/>
    <w:rsid w:val="00F064C6"/>
    <w:rsid w:val="00F06602"/>
    <w:rsid w:val="00F06DE4"/>
    <w:rsid w:val="00F107D6"/>
    <w:rsid w:val="00F10D21"/>
    <w:rsid w:val="00F11AFB"/>
    <w:rsid w:val="00F11BF4"/>
    <w:rsid w:val="00F11C93"/>
    <w:rsid w:val="00F1258B"/>
    <w:rsid w:val="00F127A8"/>
    <w:rsid w:val="00F13618"/>
    <w:rsid w:val="00F13E48"/>
    <w:rsid w:val="00F14102"/>
    <w:rsid w:val="00F143F6"/>
    <w:rsid w:val="00F14903"/>
    <w:rsid w:val="00F14B42"/>
    <w:rsid w:val="00F15423"/>
    <w:rsid w:val="00F15955"/>
    <w:rsid w:val="00F15F87"/>
    <w:rsid w:val="00F16E24"/>
    <w:rsid w:val="00F17037"/>
    <w:rsid w:val="00F17242"/>
    <w:rsid w:val="00F175D4"/>
    <w:rsid w:val="00F17AB1"/>
    <w:rsid w:val="00F17F2D"/>
    <w:rsid w:val="00F203F1"/>
    <w:rsid w:val="00F20FA2"/>
    <w:rsid w:val="00F21843"/>
    <w:rsid w:val="00F223EB"/>
    <w:rsid w:val="00F2268C"/>
    <w:rsid w:val="00F229F2"/>
    <w:rsid w:val="00F22F7E"/>
    <w:rsid w:val="00F23715"/>
    <w:rsid w:val="00F23E52"/>
    <w:rsid w:val="00F240FF"/>
    <w:rsid w:val="00F247AB"/>
    <w:rsid w:val="00F249E9"/>
    <w:rsid w:val="00F24ADB"/>
    <w:rsid w:val="00F24E73"/>
    <w:rsid w:val="00F25A3D"/>
    <w:rsid w:val="00F26341"/>
    <w:rsid w:val="00F267DE"/>
    <w:rsid w:val="00F268A2"/>
    <w:rsid w:val="00F26A08"/>
    <w:rsid w:val="00F26C52"/>
    <w:rsid w:val="00F26CC1"/>
    <w:rsid w:val="00F27677"/>
    <w:rsid w:val="00F27988"/>
    <w:rsid w:val="00F27E79"/>
    <w:rsid w:val="00F30950"/>
    <w:rsid w:val="00F30E69"/>
    <w:rsid w:val="00F3162B"/>
    <w:rsid w:val="00F31A51"/>
    <w:rsid w:val="00F31AB0"/>
    <w:rsid w:val="00F31C5E"/>
    <w:rsid w:val="00F31EDA"/>
    <w:rsid w:val="00F31F0F"/>
    <w:rsid w:val="00F31FEC"/>
    <w:rsid w:val="00F327C1"/>
    <w:rsid w:val="00F32B4B"/>
    <w:rsid w:val="00F32E24"/>
    <w:rsid w:val="00F33172"/>
    <w:rsid w:val="00F33512"/>
    <w:rsid w:val="00F33977"/>
    <w:rsid w:val="00F33C04"/>
    <w:rsid w:val="00F34103"/>
    <w:rsid w:val="00F349A7"/>
    <w:rsid w:val="00F349CD"/>
    <w:rsid w:val="00F34A56"/>
    <w:rsid w:val="00F34B72"/>
    <w:rsid w:val="00F3550F"/>
    <w:rsid w:val="00F36D48"/>
    <w:rsid w:val="00F36DCB"/>
    <w:rsid w:val="00F36F5B"/>
    <w:rsid w:val="00F36FDD"/>
    <w:rsid w:val="00F3783C"/>
    <w:rsid w:val="00F378B6"/>
    <w:rsid w:val="00F40217"/>
    <w:rsid w:val="00F402F7"/>
    <w:rsid w:val="00F406B6"/>
    <w:rsid w:val="00F40D0A"/>
    <w:rsid w:val="00F41733"/>
    <w:rsid w:val="00F41A33"/>
    <w:rsid w:val="00F41DBE"/>
    <w:rsid w:val="00F420B5"/>
    <w:rsid w:val="00F420F5"/>
    <w:rsid w:val="00F42119"/>
    <w:rsid w:val="00F428CC"/>
    <w:rsid w:val="00F4325E"/>
    <w:rsid w:val="00F43A48"/>
    <w:rsid w:val="00F43A94"/>
    <w:rsid w:val="00F43F64"/>
    <w:rsid w:val="00F445E5"/>
    <w:rsid w:val="00F447DF"/>
    <w:rsid w:val="00F44A4F"/>
    <w:rsid w:val="00F44DD3"/>
    <w:rsid w:val="00F44F95"/>
    <w:rsid w:val="00F44F96"/>
    <w:rsid w:val="00F44FF7"/>
    <w:rsid w:val="00F4600D"/>
    <w:rsid w:val="00F461C0"/>
    <w:rsid w:val="00F47CA1"/>
    <w:rsid w:val="00F47CEB"/>
    <w:rsid w:val="00F47E95"/>
    <w:rsid w:val="00F507DE"/>
    <w:rsid w:val="00F50F84"/>
    <w:rsid w:val="00F51097"/>
    <w:rsid w:val="00F515A1"/>
    <w:rsid w:val="00F51C26"/>
    <w:rsid w:val="00F52C89"/>
    <w:rsid w:val="00F52D95"/>
    <w:rsid w:val="00F54207"/>
    <w:rsid w:val="00F542B9"/>
    <w:rsid w:val="00F54579"/>
    <w:rsid w:val="00F54885"/>
    <w:rsid w:val="00F548D3"/>
    <w:rsid w:val="00F549EC"/>
    <w:rsid w:val="00F54CA4"/>
    <w:rsid w:val="00F54E74"/>
    <w:rsid w:val="00F55024"/>
    <w:rsid w:val="00F55385"/>
    <w:rsid w:val="00F55D29"/>
    <w:rsid w:val="00F56480"/>
    <w:rsid w:val="00F568E1"/>
    <w:rsid w:val="00F5769D"/>
    <w:rsid w:val="00F57783"/>
    <w:rsid w:val="00F578B0"/>
    <w:rsid w:val="00F57C26"/>
    <w:rsid w:val="00F60749"/>
    <w:rsid w:val="00F61867"/>
    <w:rsid w:val="00F624D0"/>
    <w:rsid w:val="00F6365C"/>
    <w:rsid w:val="00F6385B"/>
    <w:rsid w:val="00F639D5"/>
    <w:rsid w:val="00F63A1F"/>
    <w:rsid w:val="00F63E18"/>
    <w:rsid w:val="00F641E5"/>
    <w:rsid w:val="00F64692"/>
    <w:rsid w:val="00F64A17"/>
    <w:rsid w:val="00F64A3B"/>
    <w:rsid w:val="00F64AA8"/>
    <w:rsid w:val="00F65706"/>
    <w:rsid w:val="00F65ADC"/>
    <w:rsid w:val="00F65C08"/>
    <w:rsid w:val="00F65E13"/>
    <w:rsid w:val="00F6653F"/>
    <w:rsid w:val="00F67913"/>
    <w:rsid w:val="00F67BC1"/>
    <w:rsid w:val="00F70D63"/>
    <w:rsid w:val="00F70F1B"/>
    <w:rsid w:val="00F71125"/>
    <w:rsid w:val="00F7132A"/>
    <w:rsid w:val="00F71525"/>
    <w:rsid w:val="00F71A88"/>
    <w:rsid w:val="00F71DEF"/>
    <w:rsid w:val="00F71EB9"/>
    <w:rsid w:val="00F7257D"/>
    <w:rsid w:val="00F7269D"/>
    <w:rsid w:val="00F7286F"/>
    <w:rsid w:val="00F72D32"/>
    <w:rsid w:val="00F72DDE"/>
    <w:rsid w:val="00F72DF4"/>
    <w:rsid w:val="00F7343D"/>
    <w:rsid w:val="00F740F2"/>
    <w:rsid w:val="00F74510"/>
    <w:rsid w:val="00F745DD"/>
    <w:rsid w:val="00F74BE0"/>
    <w:rsid w:val="00F75C43"/>
    <w:rsid w:val="00F75C61"/>
    <w:rsid w:val="00F765AE"/>
    <w:rsid w:val="00F76753"/>
    <w:rsid w:val="00F76B83"/>
    <w:rsid w:val="00F77130"/>
    <w:rsid w:val="00F77385"/>
    <w:rsid w:val="00F77473"/>
    <w:rsid w:val="00F7757C"/>
    <w:rsid w:val="00F77800"/>
    <w:rsid w:val="00F8034D"/>
    <w:rsid w:val="00F8048E"/>
    <w:rsid w:val="00F80633"/>
    <w:rsid w:val="00F8080F"/>
    <w:rsid w:val="00F80945"/>
    <w:rsid w:val="00F80D74"/>
    <w:rsid w:val="00F80E08"/>
    <w:rsid w:val="00F80F86"/>
    <w:rsid w:val="00F81286"/>
    <w:rsid w:val="00F8189B"/>
    <w:rsid w:val="00F8196A"/>
    <w:rsid w:val="00F82647"/>
    <w:rsid w:val="00F82D8B"/>
    <w:rsid w:val="00F82F37"/>
    <w:rsid w:val="00F83970"/>
    <w:rsid w:val="00F85382"/>
    <w:rsid w:val="00F853AC"/>
    <w:rsid w:val="00F85667"/>
    <w:rsid w:val="00F86652"/>
    <w:rsid w:val="00F8683A"/>
    <w:rsid w:val="00F86DAD"/>
    <w:rsid w:val="00F87CF6"/>
    <w:rsid w:val="00F902E6"/>
    <w:rsid w:val="00F90D58"/>
    <w:rsid w:val="00F91CD2"/>
    <w:rsid w:val="00F91F0B"/>
    <w:rsid w:val="00F92249"/>
    <w:rsid w:val="00F92A7B"/>
    <w:rsid w:val="00F92B67"/>
    <w:rsid w:val="00F92FEC"/>
    <w:rsid w:val="00F93366"/>
    <w:rsid w:val="00F9361E"/>
    <w:rsid w:val="00F93AF8"/>
    <w:rsid w:val="00F93E7E"/>
    <w:rsid w:val="00F93E9F"/>
    <w:rsid w:val="00F94AEE"/>
    <w:rsid w:val="00F95215"/>
    <w:rsid w:val="00F952D6"/>
    <w:rsid w:val="00F95BC2"/>
    <w:rsid w:val="00F95D06"/>
    <w:rsid w:val="00F96011"/>
    <w:rsid w:val="00F96348"/>
    <w:rsid w:val="00F964F2"/>
    <w:rsid w:val="00F9691C"/>
    <w:rsid w:val="00F97245"/>
    <w:rsid w:val="00F97EA6"/>
    <w:rsid w:val="00FA01F9"/>
    <w:rsid w:val="00FA0271"/>
    <w:rsid w:val="00FA04F4"/>
    <w:rsid w:val="00FA09EC"/>
    <w:rsid w:val="00FA0D96"/>
    <w:rsid w:val="00FA1DD2"/>
    <w:rsid w:val="00FA20BB"/>
    <w:rsid w:val="00FA2385"/>
    <w:rsid w:val="00FA2ABC"/>
    <w:rsid w:val="00FA3BD6"/>
    <w:rsid w:val="00FA4023"/>
    <w:rsid w:val="00FA41F2"/>
    <w:rsid w:val="00FA44EC"/>
    <w:rsid w:val="00FA4759"/>
    <w:rsid w:val="00FA4A24"/>
    <w:rsid w:val="00FA4EB5"/>
    <w:rsid w:val="00FA4EF5"/>
    <w:rsid w:val="00FA515B"/>
    <w:rsid w:val="00FA5FA8"/>
    <w:rsid w:val="00FA617D"/>
    <w:rsid w:val="00FA6428"/>
    <w:rsid w:val="00FB04D7"/>
    <w:rsid w:val="00FB07D5"/>
    <w:rsid w:val="00FB0D73"/>
    <w:rsid w:val="00FB1361"/>
    <w:rsid w:val="00FB2469"/>
    <w:rsid w:val="00FB249D"/>
    <w:rsid w:val="00FB2BD3"/>
    <w:rsid w:val="00FB2F76"/>
    <w:rsid w:val="00FB41E3"/>
    <w:rsid w:val="00FB4358"/>
    <w:rsid w:val="00FB4651"/>
    <w:rsid w:val="00FB468D"/>
    <w:rsid w:val="00FB46A2"/>
    <w:rsid w:val="00FB528B"/>
    <w:rsid w:val="00FB5327"/>
    <w:rsid w:val="00FB5580"/>
    <w:rsid w:val="00FB58CE"/>
    <w:rsid w:val="00FB5A8E"/>
    <w:rsid w:val="00FB5E2F"/>
    <w:rsid w:val="00FB63D2"/>
    <w:rsid w:val="00FB7229"/>
    <w:rsid w:val="00FB73DB"/>
    <w:rsid w:val="00FB74F0"/>
    <w:rsid w:val="00FB752F"/>
    <w:rsid w:val="00FB7649"/>
    <w:rsid w:val="00FB7870"/>
    <w:rsid w:val="00FB79B3"/>
    <w:rsid w:val="00FC0002"/>
    <w:rsid w:val="00FC0010"/>
    <w:rsid w:val="00FC0DA5"/>
    <w:rsid w:val="00FC0E9A"/>
    <w:rsid w:val="00FC12BB"/>
    <w:rsid w:val="00FC16D6"/>
    <w:rsid w:val="00FC1867"/>
    <w:rsid w:val="00FC1994"/>
    <w:rsid w:val="00FC2192"/>
    <w:rsid w:val="00FC2BF9"/>
    <w:rsid w:val="00FC31B7"/>
    <w:rsid w:val="00FC31B9"/>
    <w:rsid w:val="00FC4065"/>
    <w:rsid w:val="00FC48A8"/>
    <w:rsid w:val="00FC4E65"/>
    <w:rsid w:val="00FC5867"/>
    <w:rsid w:val="00FC5C6B"/>
    <w:rsid w:val="00FC64FC"/>
    <w:rsid w:val="00FC674C"/>
    <w:rsid w:val="00FC6904"/>
    <w:rsid w:val="00FC6AA6"/>
    <w:rsid w:val="00FC6F3B"/>
    <w:rsid w:val="00FC715C"/>
    <w:rsid w:val="00FC77DE"/>
    <w:rsid w:val="00FC79BB"/>
    <w:rsid w:val="00FC7DDD"/>
    <w:rsid w:val="00FD0B00"/>
    <w:rsid w:val="00FD0DD7"/>
    <w:rsid w:val="00FD188F"/>
    <w:rsid w:val="00FD1897"/>
    <w:rsid w:val="00FD1F1E"/>
    <w:rsid w:val="00FD222C"/>
    <w:rsid w:val="00FD2466"/>
    <w:rsid w:val="00FD25E7"/>
    <w:rsid w:val="00FD2E35"/>
    <w:rsid w:val="00FD3136"/>
    <w:rsid w:val="00FD34C3"/>
    <w:rsid w:val="00FD485C"/>
    <w:rsid w:val="00FD6193"/>
    <w:rsid w:val="00FD622B"/>
    <w:rsid w:val="00FD6903"/>
    <w:rsid w:val="00FD7A99"/>
    <w:rsid w:val="00FE02CE"/>
    <w:rsid w:val="00FE043F"/>
    <w:rsid w:val="00FE07B9"/>
    <w:rsid w:val="00FE0855"/>
    <w:rsid w:val="00FE1622"/>
    <w:rsid w:val="00FE20D5"/>
    <w:rsid w:val="00FE27DB"/>
    <w:rsid w:val="00FE2AD1"/>
    <w:rsid w:val="00FE2D46"/>
    <w:rsid w:val="00FE3335"/>
    <w:rsid w:val="00FE4350"/>
    <w:rsid w:val="00FE4826"/>
    <w:rsid w:val="00FE5DE5"/>
    <w:rsid w:val="00FE65DF"/>
    <w:rsid w:val="00FE6838"/>
    <w:rsid w:val="00FF002A"/>
    <w:rsid w:val="00FF16B5"/>
    <w:rsid w:val="00FF17A3"/>
    <w:rsid w:val="00FF1800"/>
    <w:rsid w:val="00FF2372"/>
    <w:rsid w:val="00FF244B"/>
    <w:rsid w:val="00FF2B35"/>
    <w:rsid w:val="00FF2BEF"/>
    <w:rsid w:val="00FF2FFB"/>
    <w:rsid w:val="00FF3A71"/>
    <w:rsid w:val="00FF3E27"/>
    <w:rsid w:val="00FF4039"/>
    <w:rsid w:val="00FF4630"/>
    <w:rsid w:val="00FF50C3"/>
    <w:rsid w:val="00FF5A28"/>
    <w:rsid w:val="00FF5B10"/>
    <w:rsid w:val="00FF5BD7"/>
    <w:rsid w:val="00FF5DBE"/>
    <w:rsid w:val="00FF64B0"/>
    <w:rsid w:val="00FF6574"/>
    <w:rsid w:val="00FF68D6"/>
    <w:rsid w:val="00FF6FC4"/>
    <w:rsid w:val="00FF71B7"/>
    <w:rsid w:val="00FF753B"/>
    <w:rsid w:val="00FF77E3"/>
    <w:rsid w:val="00FF79C7"/>
    <w:rsid w:val="0148A1C4"/>
    <w:rsid w:val="0220CFDA"/>
    <w:rsid w:val="0266F763"/>
    <w:rsid w:val="06B9739E"/>
    <w:rsid w:val="0709B7D8"/>
    <w:rsid w:val="081ACD33"/>
    <w:rsid w:val="085D487F"/>
    <w:rsid w:val="0860DC05"/>
    <w:rsid w:val="0A0B7D06"/>
    <w:rsid w:val="0AB2ACEF"/>
    <w:rsid w:val="0ADAE435"/>
    <w:rsid w:val="0BD39929"/>
    <w:rsid w:val="0C39163C"/>
    <w:rsid w:val="0C65F295"/>
    <w:rsid w:val="0CDD91E0"/>
    <w:rsid w:val="0CED8551"/>
    <w:rsid w:val="0DC2DE4C"/>
    <w:rsid w:val="0E8959D0"/>
    <w:rsid w:val="0E993472"/>
    <w:rsid w:val="0FF27324"/>
    <w:rsid w:val="1093A3F4"/>
    <w:rsid w:val="10E7CD76"/>
    <w:rsid w:val="126A7AFA"/>
    <w:rsid w:val="135E68EC"/>
    <w:rsid w:val="1394A2B2"/>
    <w:rsid w:val="144FB770"/>
    <w:rsid w:val="159949A3"/>
    <w:rsid w:val="16F9A4AA"/>
    <w:rsid w:val="1831A3F5"/>
    <w:rsid w:val="1864D74C"/>
    <w:rsid w:val="19065FCB"/>
    <w:rsid w:val="1A6905A0"/>
    <w:rsid w:val="1E21BF34"/>
    <w:rsid w:val="1EA2B05B"/>
    <w:rsid w:val="1F07D2FA"/>
    <w:rsid w:val="1F81BCBA"/>
    <w:rsid w:val="2027FC98"/>
    <w:rsid w:val="204EDA07"/>
    <w:rsid w:val="2161970F"/>
    <w:rsid w:val="21CF2DC5"/>
    <w:rsid w:val="21E69324"/>
    <w:rsid w:val="22172D3A"/>
    <w:rsid w:val="2228357F"/>
    <w:rsid w:val="22706E84"/>
    <w:rsid w:val="23322665"/>
    <w:rsid w:val="24E2E820"/>
    <w:rsid w:val="259B4344"/>
    <w:rsid w:val="26BC100F"/>
    <w:rsid w:val="271328CE"/>
    <w:rsid w:val="28103AB1"/>
    <w:rsid w:val="282C4A6E"/>
    <w:rsid w:val="284E863D"/>
    <w:rsid w:val="288907DC"/>
    <w:rsid w:val="28BE4563"/>
    <w:rsid w:val="290ABECB"/>
    <w:rsid w:val="2A8B97C8"/>
    <w:rsid w:val="2B2C6329"/>
    <w:rsid w:val="2B764178"/>
    <w:rsid w:val="2BD3B0BF"/>
    <w:rsid w:val="2C8D9532"/>
    <w:rsid w:val="2C8FA50B"/>
    <w:rsid w:val="2CA42C07"/>
    <w:rsid w:val="2D03A6D0"/>
    <w:rsid w:val="2DCB857A"/>
    <w:rsid w:val="2EF32B46"/>
    <w:rsid w:val="2F03D273"/>
    <w:rsid w:val="3195B4F4"/>
    <w:rsid w:val="33623C6C"/>
    <w:rsid w:val="34B269F2"/>
    <w:rsid w:val="3524CB81"/>
    <w:rsid w:val="367F4A52"/>
    <w:rsid w:val="36B171B9"/>
    <w:rsid w:val="37A72199"/>
    <w:rsid w:val="37C36FA0"/>
    <w:rsid w:val="38BA902F"/>
    <w:rsid w:val="38E3AFAE"/>
    <w:rsid w:val="393BE10C"/>
    <w:rsid w:val="39E7DBDE"/>
    <w:rsid w:val="39F64A45"/>
    <w:rsid w:val="3A413BB6"/>
    <w:rsid w:val="3A50EF12"/>
    <w:rsid w:val="3B76B770"/>
    <w:rsid w:val="3BCC8BDC"/>
    <w:rsid w:val="3BF1E8AE"/>
    <w:rsid w:val="3D42C62F"/>
    <w:rsid w:val="3D570455"/>
    <w:rsid w:val="3E206502"/>
    <w:rsid w:val="3E403247"/>
    <w:rsid w:val="3F656F17"/>
    <w:rsid w:val="40B36D81"/>
    <w:rsid w:val="4162808D"/>
    <w:rsid w:val="41A8EA43"/>
    <w:rsid w:val="420DCFD2"/>
    <w:rsid w:val="4218B3B1"/>
    <w:rsid w:val="429C7E62"/>
    <w:rsid w:val="438303C8"/>
    <w:rsid w:val="4499E640"/>
    <w:rsid w:val="45727779"/>
    <w:rsid w:val="45BCCD71"/>
    <w:rsid w:val="470BB592"/>
    <w:rsid w:val="498C12EF"/>
    <w:rsid w:val="4AEDFDD9"/>
    <w:rsid w:val="4C3DEA3D"/>
    <w:rsid w:val="4D008C73"/>
    <w:rsid w:val="4D469E94"/>
    <w:rsid w:val="50B8E929"/>
    <w:rsid w:val="50EB137F"/>
    <w:rsid w:val="50FFE055"/>
    <w:rsid w:val="52AAC5F3"/>
    <w:rsid w:val="52C4F301"/>
    <w:rsid w:val="532BDF46"/>
    <w:rsid w:val="53E85671"/>
    <w:rsid w:val="555DF0C2"/>
    <w:rsid w:val="55EA2DEC"/>
    <w:rsid w:val="57DFE056"/>
    <w:rsid w:val="5898CD22"/>
    <w:rsid w:val="58C94760"/>
    <w:rsid w:val="59495FA6"/>
    <w:rsid w:val="59BD6CF1"/>
    <w:rsid w:val="5A102EE9"/>
    <w:rsid w:val="5A59B93D"/>
    <w:rsid w:val="5AA15A8C"/>
    <w:rsid w:val="5C030A86"/>
    <w:rsid w:val="5DEB77A4"/>
    <w:rsid w:val="5E4F6647"/>
    <w:rsid w:val="5E9C3825"/>
    <w:rsid w:val="5FF3ED8D"/>
    <w:rsid w:val="60169B55"/>
    <w:rsid w:val="629BC06D"/>
    <w:rsid w:val="63D46CD5"/>
    <w:rsid w:val="6443E957"/>
    <w:rsid w:val="64A12B2C"/>
    <w:rsid w:val="65116008"/>
    <w:rsid w:val="6517EA4A"/>
    <w:rsid w:val="66B224D6"/>
    <w:rsid w:val="66FBAE19"/>
    <w:rsid w:val="67FC7E36"/>
    <w:rsid w:val="67FFC359"/>
    <w:rsid w:val="690F2561"/>
    <w:rsid w:val="698162F8"/>
    <w:rsid w:val="6A8DD84D"/>
    <w:rsid w:val="6B79A0BD"/>
    <w:rsid w:val="6BA2E603"/>
    <w:rsid w:val="6DEDF315"/>
    <w:rsid w:val="6E5B95DB"/>
    <w:rsid w:val="6EEE3102"/>
    <w:rsid w:val="6F27B471"/>
    <w:rsid w:val="6FADA6C6"/>
    <w:rsid w:val="6FDA55B6"/>
    <w:rsid w:val="724F269B"/>
    <w:rsid w:val="725937BA"/>
    <w:rsid w:val="731F4C9D"/>
    <w:rsid w:val="7369C94A"/>
    <w:rsid w:val="739867B9"/>
    <w:rsid w:val="73C66EF4"/>
    <w:rsid w:val="7485BD83"/>
    <w:rsid w:val="75379554"/>
    <w:rsid w:val="756CB9FA"/>
    <w:rsid w:val="75A1774F"/>
    <w:rsid w:val="7653813F"/>
    <w:rsid w:val="769DE430"/>
    <w:rsid w:val="77C7DAAB"/>
    <w:rsid w:val="77F5998E"/>
    <w:rsid w:val="78196CEA"/>
    <w:rsid w:val="78862183"/>
    <w:rsid w:val="78B13771"/>
    <w:rsid w:val="78C5D5BB"/>
    <w:rsid w:val="7AA2B2BF"/>
    <w:rsid w:val="7B5547B6"/>
    <w:rsid w:val="7E4A2B79"/>
    <w:rsid w:val="7F10D495"/>
    <w:rsid w:val="7F18C7CA"/>
    <w:rsid w:val="7FB92831"/>
    <w:rsid w:val="7FF7136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68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6A84"/>
    <w:rPr>
      <w:rFonts w:ascii="Arial" w:hAnsi="Arial"/>
      <w:lang w:eastAsia="en-US"/>
    </w:rPr>
  </w:style>
  <w:style w:type="paragraph" w:styleId="Heading1">
    <w:name w:val="heading 1"/>
    <w:basedOn w:val="Normal"/>
    <w:next w:val="BodyText"/>
    <w:link w:val="Heading1Char"/>
    <w:qFormat/>
    <w:rsid w:val="00DE3C57"/>
    <w:pPr>
      <w:keepNext/>
      <w:tabs>
        <w:tab w:val="left" w:pos="284"/>
      </w:tabs>
      <w:spacing w:before="600" w:after="400"/>
      <w:outlineLvl w:val="0"/>
    </w:pPr>
    <w:rPr>
      <w:caps/>
      <w:color w:val="1D3278"/>
      <w:kern w:val="28"/>
      <w:sz w:val="40"/>
      <w:szCs w:val="36"/>
    </w:rPr>
  </w:style>
  <w:style w:type="paragraph" w:styleId="Heading2">
    <w:name w:val="heading 2"/>
    <w:basedOn w:val="Normal"/>
    <w:next w:val="BodyText"/>
    <w:link w:val="Heading2Char"/>
    <w:qFormat/>
    <w:rsid w:val="00FC31B7"/>
    <w:pPr>
      <w:keepNext/>
      <w:widowControl w:val="0"/>
      <w:numPr>
        <w:numId w:val="18"/>
      </w:numPr>
      <w:pBdr>
        <w:bottom w:val="single" w:sz="4" w:space="4" w:color="53C8E9"/>
      </w:pBdr>
      <w:spacing w:before="240" w:after="100"/>
      <w:ind w:left="357" w:hanging="357"/>
      <w:outlineLvl w:val="1"/>
    </w:pPr>
    <w:rPr>
      <w:rFonts w:ascii="Arial Bold" w:hAnsi="Arial Bold"/>
      <w:b/>
      <w:color w:val="53C8E9"/>
      <w:kern w:val="28"/>
      <w:sz w:val="28"/>
      <w:szCs w:val="36"/>
    </w:rPr>
  </w:style>
  <w:style w:type="paragraph" w:styleId="Heading3">
    <w:name w:val="heading 3"/>
    <w:basedOn w:val="Heading2"/>
    <w:next w:val="BodyText"/>
    <w:link w:val="Heading3Char"/>
    <w:qFormat/>
    <w:rsid w:val="00522F22"/>
    <w:pPr>
      <w:numPr>
        <w:numId w:val="0"/>
      </w:numPr>
      <w:pBdr>
        <w:bottom w:val="none" w:sz="0" w:space="0" w:color="auto"/>
      </w:pBdr>
      <w:outlineLvl w:val="2"/>
    </w:pPr>
    <w:rPr>
      <w:color w:val="auto"/>
      <w:sz w:val="26"/>
    </w:rPr>
  </w:style>
  <w:style w:type="paragraph" w:styleId="Heading4">
    <w:name w:val="heading 4"/>
    <w:basedOn w:val="Heading3"/>
    <w:next w:val="Normal"/>
    <w:link w:val="Heading4Char"/>
    <w:qFormat/>
    <w:rsid w:val="002E21A8"/>
    <w:pPr>
      <w:spacing w:before="320"/>
      <w:outlineLvl w:val="3"/>
    </w:pPr>
    <w:rPr>
      <w:color w:val="00426F"/>
      <w:sz w:val="25"/>
    </w:rPr>
  </w:style>
  <w:style w:type="paragraph" w:styleId="Heading5">
    <w:name w:val="heading 5"/>
    <w:basedOn w:val="Heading4"/>
    <w:next w:val="BodyText"/>
    <w:link w:val="Heading5Char"/>
    <w:qFormat/>
    <w:rsid w:val="00026B37"/>
    <w:pPr>
      <w:spacing w:after="60" w:line="320" w:lineRule="exact"/>
      <w:outlineLvl w:val="4"/>
    </w:pPr>
    <w:rPr>
      <w:b w:val="0"/>
      <w:i/>
      <w:sz w:val="24"/>
    </w:rPr>
  </w:style>
  <w:style w:type="paragraph" w:styleId="Heading6">
    <w:name w:val="heading 6"/>
    <w:basedOn w:val="Heading1"/>
    <w:next w:val="Normal"/>
    <w:link w:val="Heading6Char"/>
    <w:qFormat/>
    <w:rsid w:val="00FA09EC"/>
    <w:pPr>
      <w:spacing w:before="120"/>
      <w:outlineLvl w:val="5"/>
    </w:pPr>
    <w:rPr>
      <w:rFonts w:ascii="Times New Roman" w:hAnsi="Times New Roman"/>
      <w:b/>
      <w:i/>
      <w:caps w:val="0"/>
      <w:kern w:val="0"/>
      <w:sz w:val="24"/>
    </w:rPr>
  </w:style>
  <w:style w:type="paragraph" w:styleId="Heading7">
    <w:name w:val="heading 7"/>
    <w:basedOn w:val="Heading5"/>
    <w:next w:val="Normal"/>
    <w:link w:val="Heading7Char"/>
    <w:qFormat/>
    <w:rsid w:val="00FA09EC"/>
    <w:pPr>
      <w:spacing w:before="120"/>
      <w:ind w:left="425"/>
      <w:jc w:val="both"/>
      <w:outlineLvl w:val="6"/>
    </w:pPr>
    <w:rPr>
      <w:i w:val="0"/>
      <w:sz w:val="23"/>
    </w:rPr>
  </w:style>
  <w:style w:type="paragraph" w:styleId="Heading8">
    <w:name w:val="heading 8"/>
    <w:basedOn w:val="Heading7"/>
    <w:next w:val="Normal"/>
    <w:link w:val="Heading8Char"/>
    <w:qFormat/>
    <w:rsid w:val="00FA09EC"/>
    <w:pPr>
      <w:outlineLvl w:val="7"/>
    </w:pPr>
    <w:rPr>
      <w:i/>
    </w:rPr>
  </w:style>
  <w:style w:type="paragraph" w:styleId="Heading9">
    <w:name w:val="heading 9"/>
    <w:basedOn w:val="Heading8"/>
    <w:next w:val="Normal"/>
    <w:link w:val="Heading9Char"/>
    <w:qFormat/>
    <w:rsid w:val="00FA09EC"/>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autoRedefine/>
    <w:rsid w:val="00081E7B"/>
    <w:pPr>
      <w:spacing w:before="160" w:after="100"/>
    </w:pPr>
    <w:rPr>
      <w:rFonts w:ascii="Arial" w:eastAsiaTheme="minorHAnsi" w:hAnsi="Arial" w:cs="Arial"/>
      <w:bCs/>
      <w:sz w:val="23"/>
      <w:lang w:eastAsia="en-US"/>
    </w:rPr>
  </w:style>
  <w:style w:type="character" w:customStyle="1" w:styleId="BodyTextChar">
    <w:name w:val="Body Text Char"/>
    <w:basedOn w:val="DefaultParagraphFont"/>
    <w:link w:val="BodyText"/>
    <w:rsid w:val="00081E7B"/>
    <w:rPr>
      <w:rFonts w:ascii="Arial" w:eastAsiaTheme="minorHAnsi" w:hAnsi="Arial" w:cs="Arial"/>
      <w:bCs/>
      <w:sz w:val="23"/>
      <w:lang w:eastAsia="en-US"/>
    </w:rPr>
  </w:style>
  <w:style w:type="character" w:customStyle="1" w:styleId="Heading1Char">
    <w:name w:val="Heading 1 Char"/>
    <w:link w:val="Heading1"/>
    <w:rsid w:val="00FA09EC"/>
    <w:rPr>
      <w:rFonts w:ascii="Arial" w:hAnsi="Arial"/>
      <w:caps/>
      <w:color w:val="1D3278"/>
      <w:kern w:val="28"/>
      <w:sz w:val="40"/>
      <w:szCs w:val="36"/>
      <w:lang w:eastAsia="en-US"/>
    </w:rPr>
  </w:style>
  <w:style w:type="character" w:customStyle="1" w:styleId="Heading2Char">
    <w:name w:val="Heading 2 Char"/>
    <w:link w:val="Heading2"/>
    <w:rsid w:val="00FC31B7"/>
    <w:rPr>
      <w:rFonts w:ascii="Arial Bold" w:hAnsi="Arial Bold"/>
      <w:b/>
      <w:color w:val="53C8E9"/>
      <w:kern w:val="28"/>
      <w:sz w:val="28"/>
      <w:szCs w:val="36"/>
      <w:lang w:eastAsia="en-US"/>
    </w:rPr>
  </w:style>
  <w:style w:type="character" w:customStyle="1" w:styleId="Heading3Char">
    <w:name w:val="Heading 3 Char"/>
    <w:link w:val="Heading3"/>
    <w:rsid w:val="00383B36"/>
    <w:rPr>
      <w:rFonts w:ascii="Arial Bold" w:hAnsi="Arial Bold"/>
      <w:b/>
      <w:kern w:val="28"/>
      <w:sz w:val="26"/>
      <w:szCs w:val="36"/>
      <w:lang w:eastAsia="en-US"/>
    </w:rPr>
  </w:style>
  <w:style w:type="character" w:customStyle="1" w:styleId="Heading4Char">
    <w:name w:val="Heading 4 Char"/>
    <w:link w:val="Heading4"/>
    <w:rsid w:val="002E21A8"/>
    <w:rPr>
      <w:rFonts w:ascii="Arial Bold" w:hAnsi="Arial Bold"/>
      <w:b/>
      <w:color w:val="00426F"/>
      <w:kern w:val="28"/>
      <w:sz w:val="25"/>
      <w:szCs w:val="36"/>
      <w:lang w:eastAsia="en-US"/>
    </w:rPr>
  </w:style>
  <w:style w:type="character" w:customStyle="1" w:styleId="Heading5Char">
    <w:name w:val="Heading 5 Char"/>
    <w:link w:val="Heading5"/>
    <w:rsid w:val="00383B36"/>
    <w:rPr>
      <w:rFonts w:ascii="Arial Bold" w:hAnsi="Arial Bold"/>
      <w:i/>
      <w:kern w:val="28"/>
      <w:sz w:val="24"/>
      <w:szCs w:val="36"/>
      <w:lang w:eastAsia="en-US"/>
    </w:rPr>
  </w:style>
  <w:style w:type="character" w:customStyle="1" w:styleId="Heading6Char">
    <w:name w:val="Heading 6 Char"/>
    <w:link w:val="Heading6"/>
    <w:rsid w:val="00FA09EC"/>
    <w:rPr>
      <w:b/>
      <w:i/>
      <w:color w:val="1D3278"/>
      <w:sz w:val="24"/>
      <w:szCs w:val="36"/>
      <w:lang w:eastAsia="en-US"/>
    </w:rPr>
  </w:style>
  <w:style w:type="character" w:customStyle="1" w:styleId="Heading7Char">
    <w:name w:val="Heading 7 Char"/>
    <w:link w:val="Heading7"/>
    <w:rsid w:val="00FA09EC"/>
    <w:rPr>
      <w:rFonts w:ascii="Arial Bold" w:hAnsi="Arial Bold"/>
      <w:kern w:val="28"/>
      <w:sz w:val="23"/>
      <w:szCs w:val="36"/>
      <w:lang w:eastAsia="en-US"/>
    </w:rPr>
  </w:style>
  <w:style w:type="character" w:customStyle="1" w:styleId="Heading8Char">
    <w:name w:val="Heading 8 Char"/>
    <w:link w:val="Heading8"/>
    <w:rsid w:val="00FA09EC"/>
    <w:rPr>
      <w:rFonts w:ascii="Arial Bold" w:hAnsi="Arial Bold"/>
      <w:i/>
      <w:kern w:val="28"/>
      <w:sz w:val="23"/>
      <w:szCs w:val="36"/>
      <w:lang w:eastAsia="en-US"/>
    </w:rPr>
  </w:style>
  <w:style w:type="character" w:customStyle="1" w:styleId="Heading9Char">
    <w:name w:val="Heading 9 Char"/>
    <w:link w:val="Heading9"/>
    <w:rsid w:val="00FA09EC"/>
    <w:rPr>
      <w:rFonts w:ascii="Arial Bold" w:hAnsi="Arial Bold"/>
      <w:kern w:val="28"/>
      <w:sz w:val="23"/>
      <w:szCs w:val="36"/>
      <w:lang w:eastAsia="en-US"/>
    </w:rPr>
  </w:style>
  <w:style w:type="paragraph" w:styleId="BalloonText">
    <w:name w:val="Balloon Text"/>
    <w:basedOn w:val="Normal"/>
    <w:link w:val="BalloonTextChar"/>
    <w:rsid w:val="00FA09EC"/>
    <w:rPr>
      <w:rFonts w:ascii="Tahoma" w:hAnsi="Tahoma" w:cs="Tahoma"/>
      <w:sz w:val="16"/>
      <w:szCs w:val="16"/>
    </w:rPr>
  </w:style>
  <w:style w:type="character" w:customStyle="1" w:styleId="BalloonTextChar">
    <w:name w:val="Balloon Text Char"/>
    <w:link w:val="BalloonText"/>
    <w:rsid w:val="00FA09EC"/>
    <w:rPr>
      <w:rFonts w:ascii="Tahoma" w:hAnsi="Tahoma" w:cs="Tahoma"/>
      <w:sz w:val="16"/>
      <w:szCs w:val="16"/>
      <w:lang w:eastAsia="en-US"/>
    </w:rPr>
  </w:style>
  <w:style w:type="paragraph" w:customStyle="1" w:styleId="BodyText-Box">
    <w:name w:val="Body Text - Box"/>
    <w:basedOn w:val="BodyText"/>
    <w:autoRedefine/>
    <w:rsid w:val="00FA09EC"/>
    <w:pPr>
      <w:tabs>
        <w:tab w:val="left" w:pos="567"/>
      </w:tabs>
      <w:ind w:right="-143"/>
    </w:pPr>
    <w:rPr>
      <w:rFonts w:ascii="Times New Roman" w:hAnsi="Times New Roman"/>
      <w:color w:val="000000"/>
      <w:sz w:val="21"/>
      <w:szCs w:val="21"/>
      <w:lang w:eastAsia="en-AU"/>
      <w14:textFill>
        <w14:solidFill>
          <w14:srgbClr w14:val="000000">
            <w14:lumMod w14:val="65000"/>
          </w14:srgbClr>
        </w14:solidFill>
      </w14:textFill>
    </w:rPr>
  </w:style>
  <w:style w:type="paragraph" w:customStyle="1" w:styleId="BodyTextBox">
    <w:name w:val="Body Text Box"/>
    <w:basedOn w:val="Normal"/>
    <w:link w:val="BodyTextBoxChar"/>
    <w:autoRedefine/>
    <w:rsid w:val="00081E7B"/>
    <w:pPr>
      <w:spacing w:before="120" w:after="80" w:line="240" w:lineRule="atLeast"/>
    </w:pPr>
    <w:rPr>
      <w:rFonts w:cs="Arial"/>
      <w:color w:val="008EBA"/>
      <w:sz w:val="23"/>
      <w:szCs w:val="23"/>
    </w:rPr>
  </w:style>
  <w:style w:type="character" w:customStyle="1" w:styleId="BodyTextBoxChar">
    <w:name w:val="Body Text Box Char"/>
    <w:link w:val="BodyTextBox"/>
    <w:rsid w:val="00081E7B"/>
    <w:rPr>
      <w:rFonts w:ascii="Arial" w:hAnsi="Arial" w:cs="Arial"/>
      <w:color w:val="008EBA"/>
      <w:sz w:val="23"/>
      <w:szCs w:val="23"/>
      <w:lang w:eastAsia="en-US"/>
    </w:rPr>
  </w:style>
  <w:style w:type="paragraph" w:customStyle="1" w:styleId="ObjectHeading">
    <w:name w:val="Object Heading"/>
    <w:basedOn w:val="Heading3"/>
    <w:next w:val="Normal"/>
    <w:rsid w:val="00FA09EC"/>
    <w:pPr>
      <w:tabs>
        <w:tab w:val="left" w:pos="1418"/>
      </w:tabs>
      <w:ind w:left="1418" w:hanging="1418"/>
    </w:pPr>
    <w:rPr>
      <w:kern w:val="0"/>
    </w:rPr>
  </w:style>
  <w:style w:type="paragraph" w:customStyle="1" w:styleId="BoxHeading">
    <w:name w:val="Box Heading"/>
    <w:basedOn w:val="ObjectHeading"/>
    <w:autoRedefine/>
    <w:rsid w:val="00D00432"/>
    <w:pPr>
      <w:keepNext w:val="0"/>
      <w:tabs>
        <w:tab w:val="clear" w:pos="1418"/>
      </w:tabs>
      <w:spacing w:before="80" w:after="60"/>
      <w:ind w:left="0" w:firstLine="0"/>
      <w:outlineLvl w:val="9"/>
    </w:pPr>
    <w:rPr>
      <w:rFonts w:eastAsia="Calibri" w:cs="Arial"/>
      <w:bCs/>
      <w:sz w:val="23"/>
      <w:szCs w:val="23"/>
      <w:lang w:val="en-US"/>
    </w:rPr>
  </w:style>
  <w:style w:type="paragraph" w:customStyle="1" w:styleId="Bullet1">
    <w:name w:val="Bullet 1"/>
    <w:basedOn w:val="BodyText"/>
    <w:link w:val="Bullet1Char"/>
    <w:autoRedefine/>
    <w:qFormat/>
    <w:rsid w:val="00A635DC"/>
    <w:pPr>
      <w:numPr>
        <w:numId w:val="12"/>
      </w:numPr>
      <w:spacing w:before="120" w:after="80"/>
    </w:pPr>
    <w:rPr>
      <w:rFonts w:eastAsia="Times New Roman"/>
    </w:rPr>
  </w:style>
  <w:style w:type="character" w:customStyle="1" w:styleId="Bullet1Char">
    <w:name w:val="Bullet 1 Char"/>
    <w:link w:val="Bullet1"/>
    <w:rsid w:val="00A635DC"/>
    <w:rPr>
      <w:rFonts w:ascii="Arial" w:hAnsi="Arial" w:cs="Arial"/>
      <w:bCs/>
      <w:sz w:val="23"/>
      <w:lang w:eastAsia="en-US"/>
    </w:rPr>
  </w:style>
  <w:style w:type="paragraph" w:customStyle="1" w:styleId="Bullet1inabox">
    <w:name w:val="Bullet 1 in a box"/>
    <w:basedOn w:val="Bullet1"/>
    <w:autoRedefine/>
    <w:rsid w:val="00081E7B"/>
    <w:pPr>
      <w:numPr>
        <w:numId w:val="28"/>
      </w:numPr>
      <w:spacing w:before="100" w:after="60"/>
    </w:pPr>
    <w:rPr>
      <w:rFonts w:eastAsiaTheme="minorHAnsi" w:cs="Times New Roman"/>
      <w:color w:val="008EBA"/>
    </w:rPr>
  </w:style>
  <w:style w:type="paragraph" w:customStyle="1" w:styleId="Bullet1Paragraph">
    <w:name w:val="Bullet 1 Paragraph"/>
    <w:basedOn w:val="Normal"/>
    <w:rsid w:val="00FA09EC"/>
    <w:pPr>
      <w:ind w:left="425"/>
    </w:pPr>
  </w:style>
  <w:style w:type="paragraph" w:customStyle="1" w:styleId="Bullet2">
    <w:name w:val="Bullet 2"/>
    <w:basedOn w:val="Bullet1"/>
    <w:rsid w:val="00081E7B"/>
    <w:pPr>
      <w:numPr>
        <w:numId w:val="29"/>
      </w:numPr>
      <w:tabs>
        <w:tab w:val="clear" w:pos="785"/>
        <w:tab w:val="left" w:pos="851"/>
      </w:tabs>
      <w:spacing w:line="240" w:lineRule="atLeast"/>
    </w:pPr>
    <w:rPr>
      <w:bCs w:val="0"/>
    </w:rPr>
  </w:style>
  <w:style w:type="paragraph" w:customStyle="1" w:styleId="Bullet2innumberedlist">
    <w:name w:val="Bullet 2 in numbered list"/>
    <w:basedOn w:val="Bullet2"/>
    <w:rsid w:val="00FA09EC"/>
    <w:pPr>
      <w:numPr>
        <w:numId w:val="0"/>
      </w:numPr>
      <w:tabs>
        <w:tab w:val="num" w:pos="851"/>
      </w:tabs>
      <w:ind w:left="851" w:hanging="426"/>
    </w:pPr>
  </w:style>
  <w:style w:type="paragraph" w:customStyle="1" w:styleId="Bullet2Paragraph">
    <w:name w:val="Bullet 2 Paragraph"/>
    <w:basedOn w:val="Bullet1Paragraph"/>
    <w:rsid w:val="00FA09EC"/>
    <w:pPr>
      <w:ind w:left="851"/>
    </w:pPr>
  </w:style>
  <w:style w:type="paragraph" w:customStyle="1" w:styleId="Bullet3">
    <w:name w:val="Bullet 3"/>
    <w:basedOn w:val="Bullet2"/>
    <w:rsid w:val="00FA09EC"/>
    <w:pPr>
      <w:numPr>
        <w:numId w:val="2"/>
      </w:numPr>
    </w:pPr>
  </w:style>
  <w:style w:type="paragraph" w:customStyle="1" w:styleId="Bullet3Paragraph">
    <w:name w:val="Bullet 3 Paragraph"/>
    <w:basedOn w:val="Bullet2Paragraph"/>
    <w:rsid w:val="00FA09EC"/>
    <w:pPr>
      <w:ind w:left="1276"/>
    </w:pPr>
  </w:style>
  <w:style w:type="paragraph" w:customStyle="1" w:styleId="Bullet4">
    <w:name w:val="Bullet 4"/>
    <w:basedOn w:val="Bullet3"/>
    <w:rsid w:val="00FA09EC"/>
    <w:pPr>
      <w:numPr>
        <w:numId w:val="3"/>
      </w:numPr>
    </w:pPr>
  </w:style>
  <w:style w:type="paragraph" w:customStyle="1" w:styleId="Bullet4Paragraph">
    <w:name w:val="Bullet 4 Paragraph"/>
    <w:basedOn w:val="Bullet3Paragraph"/>
    <w:rsid w:val="00FA09EC"/>
    <w:pPr>
      <w:ind w:left="1701"/>
    </w:pPr>
  </w:style>
  <w:style w:type="paragraph" w:customStyle="1" w:styleId="ChapterHeadingStyle">
    <w:name w:val="Chapter Heading Style"/>
    <w:basedOn w:val="Normal"/>
    <w:rsid w:val="00FA09EC"/>
    <w:pPr>
      <w:keepNext/>
      <w:keepLines/>
      <w:pBdr>
        <w:bottom w:val="threeDEmboss" w:sz="24" w:space="1" w:color="000000"/>
      </w:pBdr>
      <w:tabs>
        <w:tab w:val="left" w:pos="1134"/>
        <w:tab w:val="left" w:pos="2268"/>
      </w:tabs>
      <w:spacing w:after="120"/>
      <w:ind w:left="2268" w:hanging="2268"/>
      <w:outlineLvl w:val="0"/>
    </w:pPr>
    <w:rPr>
      <w:rFonts w:ascii="Tahoma" w:hAnsi="Tahoma"/>
      <w:b/>
      <w:caps/>
      <w:color w:val="000000"/>
      <w:kern w:val="28"/>
      <w:sz w:val="32"/>
    </w:rPr>
  </w:style>
  <w:style w:type="paragraph" w:customStyle="1" w:styleId="Chart5X">
    <w:name w:val="Chart 5.X"/>
    <w:basedOn w:val="Normal"/>
    <w:next w:val="Normal"/>
    <w:rsid w:val="00FA09EC"/>
    <w:pPr>
      <w:keepLines/>
      <w:widowControl w:val="0"/>
      <w:numPr>
        <w:numId w:val="4"/>
      </w:numPr>
      <w:tabs>
        <w:tab w:val="left" w:pos="1304"/>
      </w:tabs>
      <w:spacing w:before="360" w:after="120"/>
      <w:ind w:left="357" w:hanging="357"/>
    </w:pPr>
    <w:rPr>
      <w:bCs/>
      <w:i/>
      <w:color w:val="4F4F4F"/>
      <w:kern w:val="28"/>
      <w:sz w:val="22"/>
      <w:szCs w:val="22"/>
    </w:rPr>
  </w:style>
  <w:style w:type="paragraph" w:customStyle="1" w:styleId="ChartHeading">
    <w:name w:val="Chart Heading"/>
    <w:basedOn w:val="Normal"/>
    <w:autoRedefine/>
    <w:rsid w:val="00FA09EC"/>
    <w:pPr>
      <w:keepNext/>
      <w:widowControl w:val="0"/>
      <w:spacing w:before="240" w:after="120"/>
    </w:pPr>
    <w:rPr>
      <w:b/>
      <w:sz w:val="24"/>
    </w:rPr>
  </w:style>
  <w:style w:type="character" w:styleId="CommentReference">
    <w:name w:val="annotation reference"/>
    <w:uiPriority w:val="99"/>
    <w:unhideWhenUsed/>
    <w:rsid w:val="00FA09EC"/>
    <w:rPr>
      <w:sz w:val="16"/>
      <w:szCs w:val="16"/>
    </w:rPr>
  </w:style>
  <w:style w:type="paragraph" w:styleId="CommentText">
    <w:name w:val="annotation text"/>
    <w:basedOn w:val="Normal"/>
    <w:link w:val="CommentTextChar"/>
    <w:uiPriority w:val="99"/>
    <w:unhideWhenUsed/>
    <w:rsid w:val="00FA09EC"/>
  </w:style>
  <w:style w:type="character" w:customStyle="1" w:styleId="CommentTextChar">
    <w:name w:val="Comment Text Char"/>
    <w:link w:val="CommentText"/>
    <w:uiPriority w:val="99"/>
    <w:rsid w:val="00FA09EC"/>
    <w:rPr>
      <w:lang w:eastAsia="en-US"/>
    </w:rPr>
  </w:style>
  <w:style w:type="paragraph" w:styleId="CommentSubject">
    <w:name w:val="annotation subject"/>
    <w:basedOn w:val="CommentText"/>
    <w:next w:val="CommentText"/>
    <w:link w:val="CommentSubjectChar"/>
    <w:unhideWhenUsed/>
    <w:rsid w:val="00FA09EC"/>
    <w:rPr>
      <w:b/>
      <w:bCs/>
    </w:rPr>
  </w:style>
  <w:style w:type="character" w:customStyle="1" w:styleId="CommentSubjectChar">
    <w:name w:val="Comment Subject Char"/>
    <w:link w:val="CommentSubject"/>
    <w:rsid w:val="00FA09EC"/>
    <w:rPr>
      <w:b/>
      <w:bCs/>
      <w:lang w:eastAsia="en-US"/>
    </w:rPr>
  </w:style>
  <w:style w:type="character" w:styleId="EndnoteReference">
    <w:name w:val="endnote reference"/>
    <w:rsid w:val="00FA09EC"/>
    <w:rPr>
      <w:i/>
      <w:sz w:val="16"/>
      <w:vertAlign w:val="superscript"/>
    </w:rPr>
  </w:style>
  <w:style w:type="paragraph" w:styleId="Footer">
    <w:name w:val="footer"/>
    <w:basedOn w:val="Normal"/>
    <w:link w:val="FooterChar"/>
    <w:uiPriority w:val="99"/>
    <w:rsid w:val="00FA09EC"/>
    <w:pPr>
      <w:pBdr>
        <w:top w:val="single" w:sz="4" w:space="1" w:color="auto"/>
      </w:pBdr>
      <w:tabs>
        <w:tab w:val="right" w:pos="7655"/>
      </w:tabs>
    </w:pPr>
    <w:rPr>
      <w:sz w:val="18"/>
    </w:rPr>
  </w:style>
  <w:style w:type="character" w:customStyle="1" w:styleId="FooterChar">
    <w:name w:val="Footer Char"/>
    <w:link w:val="Footer"/>
    <w:uiPriority w:val="99"/>
    <w:rsid w:val="00FA09EC"/>
    <w:rPr>
      <w:rFonts w:ascii="Arial" w:hAnsi="Arial"/>
      <w:sz w:val="18"/>
      <w:lang w:eastAsia="en-US"/>
    </w:rPr>
  </w:style>
  <w:style w:type="character" w:styleId="FootnoteReference">
    <w:name w:val="footnote reference"/>
    <w:rsid w:val="00FA09EC"/>
    <w:rPr>
      <w:vertAlign w:val="superscript"/>
    </w:rPr>
  </w:style>
  <w:style w:type="paragraph" w:styleId="FootnoteText">
    <w:name w:val="footnote text"/>
    <w:basedOn w:val="Normal"/>
    <w:link w:val="FootnoteTextChar"/>
    <w:rsid w:val="00FA09EC"/>
    <w:pPr>
      <w:spacing w:before="80" w:after="80"/>
      <w:ind w:left="709" w:hanging="142"/>
    </w:pPr>
    <w:rPr>
      <w:i/>
      <w:sz w:val="16"/>
    </w:rPr>
  </w:style>
  <w:style w:type="character" w:customStyle="1" w:styleId="FootnoteTextChar">
    <w:name w:val="Footnote Text Char"/>
    <w:link w:val="FootnoteText"/>
    <w:rsid w:val="00FA09EC"/>
    <w:rPr>
      <w:i/>
      <w:sz w:val="16"/>
      <w:lang w:eastAsia="en-US"/>
    </w:rPr>
  </w:style>
  <w:style w:type="paragraph" w:styleId="Header">
    <w:name w:val="header"/>
    <w:basedOn w:val="Normal"/>
    <w:link w:val="HeaderChar"/>
    <w:uiPriority w:val="99"/>
    <w:rsid w:val="00FA09EC"/>
    <w:pPr>
      <w:tabs>
        <w:tab w:val="center" w:pos="4153"/>
        <w:tab w:val="right" w:pos="8306"/>
      </w:tabs>
    </w:pPr>
  </w:style>
  <w:style w:type="character" w:customStyle="1" w:styleId="HeaderChar">
    <w:name w:val="Header Char"/>
    <w:link w:val="Header"/>
    <w:uiPriority w:val="99"/>
    <w:rsid w:val="00FA09EC"/>
    <w:rPr>
      <w:lang w:eastAsia="en-US"/>
    </w:rPr>
  </w:style>
  <w:style w:type="paragraph" w:customStyle="1" w:styleId="HeaderHeading">
    <w:name w:val="Header Heading"/>
    <w:basedOn w:val="Normal"/>
    <w:rsid w:val="00FA09EC"/>
    <w:pPr>
      <w:pageBreakBefore/>
      <w:widowControl w:val="0"/>
      <w:pBdr>
        <w:bottom w:val="single" w:sz="8" w:space="6" w:color="auto"/>
      </w:pBdr>
      <w:tabs>
        <w:tab w:val="right" w:pos="4196"/>
        <w:tab w:val="right" w:pos="5046"/>
        <w:tab w:val="right" w:pos="5897"/>
        <w:tab w:val="right" w:pos="6747"/>
        <w:tab w:val="right" w:pos="7598"/>
      </w:tabs>
      <w:autoSpaceDE w:val="0"/>
      <w:autoSpaceDN w:val="0"/>
    </w:pPr>
    <w:rPr>
      <w:rFonts w:ascii="Lucida Sans" w:hAnsi="Lucida Sans" w:cs="Arial"/>
      <w:lang w:eastAsia="en-AU"/>
    </w:rPr>
  </w:style>
  <w:style w:type="paragraph" w:customStyle="1" w:styleId="Heading1BP2">
    <w:name w:val="Heading 1 BP2"/>
    <w:rsid w:val="00FA09EC"/>
    <w:pPr>
      <w:keepNext/>
      <w:tabs>
        <w:tab w:val="left" w:pos="284"/>
      </w:tabs>
      <w:spacing w:before="400" w:after="240"/>
    </w:pPr>
    <w:rPr>
      <w:rFonts w:ascii="Lucida Sans" w:hAnsi="Lucida Sans"/>
      <w:kern w:val="28"/>
      <w:sz w:val="36"/>
      <w:szCs w:val="36"/>
      <w:lang w:eastAsia="en-US"/>
    </w:rPr>
  </w:style>
  <w:style w:type="character" w:styleId="Hyperlink">
    <w:name w:val="Hyperlink"/>
    <w:uiPriority w:val="99"/>
    <w:rsid w:val="00FA09EC"/>
    <w:rPr>
      <w:color w:val="0563C1"/>
      <w:u w:val="single"/>
    </w:rPr>
  </w:style>
  <w:style w:type="paragraph" w:customStyle="1" w:styleId="ListBullet1">
    <w:name w:val="List Bullet1"/>
    <w:basedOn w:val="Normal"/>
    <w:autoRedefine/>
    <w:rsid w:val="00FA09EC"/>
    <w:pPr>
      <w:numPr>
        <w:numId w:val="5"/>
      </w:numPr>
      <w:spacing w:line="360" w:lineRule="auto"/>
    </w:pPr>
    <w:rPr>
      <w:sz w:val="28"/>
    </w:rPr>
  </w:style>
  <w:style w:type="paragraph" w:styleId="ListParagraph">
    <w:name w:val="List Paragraph"/>
    <w:basedOn w:val="Normal"/>
    <w:uiPriority w:val="1"/>
    <w:qFormat/>
    <w:rsid w:val="00FA09EC"/>
    <w:pPr>
      <w:spacing w:after="200" w:line="276" w:lineRule="auto"/>
      <w:ind w:left="720"/>
      <w:contextualSpacing/>
    </w:pPr>
    <w:rPr>
      <w:rFonts w:eastAsia="Calibri"/>
      <w:szCs w:val="22"/>
    </w:rPr>
  </w:style>
  <w:style w:type="paragraph" w:styleId="NoSpacing">
    <w:name w:val="No Spacing"/>
    <w:basedOn w:val="Normal"/>
    <w:link w:val="NoSpacingChar"/>
    <w:qFormat/>
    <w:rsid w:val="00FA09EC"/>
  </w:style>
  <w:style w:type="character" w:customStyle="1" w:styleId="NoSpacingChar">
    <w:name w:val="No Spacing Char"/>
    <w:link w:val="NoSpacing"/>
    <w:rsid w:val="00FA09EC"/>
    <w:rPr>
      <w:lang w:eastAsia="en-US"/>
    </w:rPr>
  </w:style>
  <w:style w:type="paragraph" w:customStyle="1" w:styleId="Object">
    <w:name w:val="Object"/>
    <w:basedOn w:val="Normal"/>
    <w:next w:val="Normal"/>
    <w:rsid w:val="00FA09EC"/>
    <w:pPr>
      <w:jc w:val="center"/>
    </w:pPr>
  </w:style>
  <w:style w:type="paragraph" w:customStyle="1" w:styleId="ObjectFootnote">
    <w:name w:val="Object Footnote"/>
    <w:basedOn w:val="Object"/>
    <w:next w:val="Normal"/>
    <w:rsid w:val="00FA09EC"/>
    <w:pPr>
      <w:spacing w:after="60"/>
    </w:pPr>
    <w:rPr>
      <w:i/>
      <w:sz w:val="14"/>
    </w:rPr>
  </w:style>
  <w:style w:type="paragraph" w:customStyle="1" w:styleId="ObjectFootnotelettered">
    <w:name w:val="Object Footnote lettered"/>
    <w:basedOn w:val="ObjectFootnote"/>
    <w:rsid w:val="00FA09EC"/>
    <w:pPr>
      <w:tabs>
        <w:tab w:val="left" w:pos="709"/>
      </w:tabs>
      <w:ind w:left="426"/>
      <w:jc w:val="left"/>
    </w:pPr>
  </w:style>
  <w:style w:type="paragraph" w:customStyle="1" w:styleId="ObjectFootnoteleft">
    <w:name w:val="Object Footnote left"/>
    <w:basedOn w:val="ObjectFootnotelettered"/>
    <w:rsid w:val="00FA09EC"/>
    <w:pPr>
      <w:ind w:left="709" w:hanging="283"/>
    </w:pPr>
  </w:style>
  <w:style w:type="character" w:styleId="PageNumber">
    <w:name w:val="page number"/>
    <w:rsid w:val="00FA09EC"/>
  </w:style>
  <w:style w:type="paragraph" w:styleId="Quote">
    <w:name w:val="Quote"/>
    <w:basedOn w:val="Normal"/>
    <w:next w:val="Normal"/>
    <w:link w:val="QuoteChar"/>
    <w:uiPriority w:val="29"/>
    <w:qFormat/>
    <w:rsid w:val="00FA09EC"/>
    <w:pPr>
      <w:spacing w:before="200" w:after="160"/>
      <w:ind w:left="864" w:right="864"/>
      <w:jc w:val="center"/>
    </w:pPr>
    <w:rPr>
      <w:i/>
      <w:iCs/>
      <w:color w:val="404040"/>
    </w:rPr>
  </w:style>
  <w:style w:type="character" w:customStyle="1" w:styleId="QuoteChar">
    <w:name w:val="Quote Char"/>
    <w:link w:val="Quote"/>
    <w:uiPriority w:val="29"/>
    <w:rsid w:val="00FA09EC"/>
    <w:rPr>
      <w:i/>
      <w:iCs/>
      <w:color w:val="404040"/>
      <w:lang w:eastAsia="en-US"/>
    </w:rPr>
  </w:style>
  <w:style w:type="paragraph" w:customStyle="1" w:styleId="Style211HeadingBold">
    <w:name w:val="Style 2.1.1 Heading + Bold"/>
    <w:basedOn w:val="Normal"/>
    <w:rsid w:val="00FA09EC"/>
    <w:rPr>
      <w:b/>
      <w:bCs/>
      <w:i/>
      <w:iCs/>
    </w:rPr>
  </w:style>
  <w:style w:type="paragraph" w:customStyle="1" w:styleId="StyleBoxHeadingLeft0Firstline0">
    <w:name w:val="Style Box Heading + Left:  0&quot; First line:  0&quot;"/>
    <w:basedOn w:val="BoxHeading"/>
    <w:autoRedefine/>
    <w:rsid w:val="00FA09EC"/>
    <w:pPr>
      <w:keepLines/>
      <w:widowControl/>
      <w:tabs>
        <w:tab w:val="left" w:pos="567"/>
        <w:tab w:val="num" w:pos="1276"/>
      </w:tabs>
      <w:spacing w:before="120" w:after="120"/>
    </w:pPr>
    <w:rPr>
      <w:bCs w:val="0"/>
      <w:color w:val="000000"/>
      <w:lang w:val="en-AU" w:eastAsia="en-AU"/>
    </w:rPr>
  </w:style>
  <w:style w:type="paragraph" w:customStyle="1" w:styleId="StyleName">
    <w:name w:val="Style Name"/>
    <w:basedOn w:val="Normal"/>
    <w:rsid w:val="00FA09EC"/>
    <w:pPr>
      <w:ind w:left="851" w:hanging="851"/>
      <w:jc w:val="center"/>
    </w:pPr>
    <w:rPr>
      <w:b/>
      <w:i/>
      <w:color w:val="000000"/>
      <w:sz w:val="24"/>
      <w:lang w:val="en-GB" w:eastAsia="en-AU"/>
    </w:rPr>
  </w:style>
  <w:style w:type="paragraph" w:customStyle="1" w:styleId="Table5X">
    <w:name w:val="Table 5.X"/>
    <w:basedOn w:val="Normal"/>
    <w:next w:val="Normal"/>
    <w:rsid w:val="007475BD"/>
    <w:pPr>
      <w:widowControl w:val="0"/>
      <w:tabs>
        <w:tab w:val="left" w:pos="1304"/>
      </w:tabs>
      <w:spacing w:before="360" w:after="120"/>
    </w:pPr>
    <w:rPr>
      <w:bCs/>
      <w:i/>
      <w:color w:val="4F4F4F"/>
      <w:kern w:val="28"/>
      <w:sz w:val="22"/>
      <w:szCs w:val="22"/>
    </w:rPr>
  </w:style>
  <w:style w:type="paragraph" w:customStyle="1" w:styleId="TableFootnote">
    <w:name w:val="Table Footnote"/>
    <w:basedOn w:val="Normal"/>
    <w:rsid w:val="00FA09EC"/>
    <w:pPr>
      <w:spacing w:before="60" w:after="60"/>
      <w:ind w:left="284"/>
    </w:pPr>
    <w:rPr>
      <w:i/>
      <w:sz w:val="14"/>
    </w:rPr>
  </w:style>
  <w:style w:type="table" w:styleId="TableGrid">
    <w:name w:val="Table Grid"/>
    <w:basedOn w:val="TableNormal"/>
    <w:rsid w:val="00FA09EC"/>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rsid w:val="00FA09EC"/>
    <w:pPr>
      <w:keepNext/>
      <w:keepLines/>
      <w:numPr>
        <w:numId w:val="7"/>
      </w:numPr>
      <w:spacing w:before="120" w:after="120"/>
    </w:pPr>
    <w:rPr>
      <w:b/>
      <w:sz w:val="24"/>
    </w:rPr>
  </w:style>
  <w:style w:type="paragraph" w:customStyle="1" w:styleId="TableHeadingCont">
    <w:name w:val="Table Heading Cont'"/>
    <w:basedOn w:val="TableHeading"/>
    <w:rsid w:val="00FA09EC"/>
    <w:pPr>
      <w:tabs>
        <w:tab w:val="clear" w:pos="1440"/>
        <w:tab w:val="left" w:pos="1418"/>
      </w:tabs>
    </w:pPr>
  </w:style>
  <w:style w:type="character" w:customStyle="1" w:styleId="UnresolvedMention1">
    <w:name w:val="Unresolved Mention1"/>
    <w:uiPriority w:val="99"/>
    <w:semiHidden/>
    <w:unhideWhenUsed/>
    <w:rsid w:val="00FA09EC"/>
    <w:rPr>
      <w:color w:val="808080"/>
      <w:shd w:val="clear" w:color="auto" w:fill="E6E6E6"/>
    </w:rPr>
  </w:style>
  <w:style w:type="paragraph" w:styleId="Revision">
    <w:name w:val="Revision"/>
    <w:hidden/>
    <w:uiPriority w:val="99"/>
    <w:semiHidden/>
    <w:rsid w:val="001519BF"/>
    <w:rPr>
      <w:lang w:val="en-US" w:eastAsia="en-US"/>
    </w:rPr>
  </w:style>
  <w:style w:type="paragraph" w:customStyle="1" w:styleId="msonormal0">
    <w:name w:val="msonormal"/>
    <w:basedOn w:val="Normal"/>
    <w:rsid w:val="00543B3B"/>
    <w:pPr>
      <w:spacing w:before="100" w:beforeAutospacing="1" w:after="100" w:afterAutospacing="1"/>
    </w:pPr>
    <w:rPr>
      <w:sz w:val="24"/>
      <w:szCs w:val="24"/>
      <w:lang w:eastAsia="en-AU"/>
    </w:rPr>
  </w:style>
  <w:style w:type="character" w:customStyle="1" w:styleId="StyleArial9ptBoldCustomColorRGB37169225">
    <w:name w:val="Style Arial 9 pt Bold Custom Color(RGB(37169225))"/>
    <w:basedOn w:val="DefaultParagraphFont"/>
    <w:rsid w:val="00DF6BAF"/>
    <w:rPr>
      <w:rFonts w:ascii="Arial" w:hAnsi="Arial"/>
      <w:b/>
      <w:bCs/>
      <w:color w:val="00ABE6"/>
      <w:sz w:val="18"/>
    </w:rPr>
  </w:style>
  <w:style w:type="paragraph" w:customStyle="1" w:styleId="StyleArial9ptBoldCustomColorRGB37169225Right">
    <w:name w:val="Style Arial 9 pt Bold Custom Color(RGB(37169225)) Right"/>
    <w:basedOn w:val="Normal"/>
    <w:rsid w:val="00FA04F4"/>
    <w:pPr>
      <w:jc w:val="right"/>
    </w:pPr>
    <w:rPr>
      <w:b/>
      <w:bCs/>
      <w:color w:val="00ABE6"/>
      <w:sz w:val="18"/>
    </w:rPr>
  </w:style>
  <w:style w:type="paragraph" w:customStyle="1" w:styleId="Table6x">
    <w:name w:val="Table 6.x"/>
    <w:basedOn w:val="Normal"/>
    <w:qFormat/>
    <w:rsid w:val="004E6144"/>
    <w:pPr>
      <w:widowControl w:val="0"/>
      <w:tabs>
        <w:tab w:val="left" w:pos="1134"/>
      </w:tabs>
      <w:spacing w:before="360" w:after="120"/>
    </w:pPr>
    <w:rPr>
      <w:bCs/>
      <w:i/>
      <w:color w:val="57514D"/>
      <w:kern w:val="28"/>
      <w:szCs w:val="22"/>
      <w:lang w:val="en-US"/>
    </w:rPr>
  </w:style>
  <w:style w:type="paragraph" w:customStyle="1" w:styleId="21Heading2">
    <w:name w:val="2.1 Heading 2"/>
    <w:basedOn w:val="Normal"/>
    <w:qFormat/>
    <w:rsid w:val="00383B36"/>
    <w:pPr>
      <w:numPr>
        <w:numId w:val="8"/>
      </w:numPr>
      <w:pBdr>
        <w:bottom w:val="single" w:sz="4" w:space="4" w:color="00ABE6"/>
      </w:pBdr>
      <w:spacing w:before="240" w:after="100"/>
    </w:pPr>
    <w:rPr>
      <w:b/>
      <w:color w:val="00ABE6"/>
      <w:sz w:val="28"/>
    </w:rPr>
  </w:style>
  <w:style w:type="paragraph" w:customStyle="1" w:styleId="Chart21">
    <w:name w:val="Chart 2.1"/>
    <w:basedOn w:val="Normal"/>
    <w:qFormat/>
    <w:rsid w:val="00383B36"/>
    <w:pPr>
      <w:numPr>
        <w:numId w:val="9"/>
      </w:numPr>
      <w:spacing w:before="240" w:after="120"/>
    </w:pPr>
    <w:rPr>
      <w:i/>
      <w:color w:val="4F4F4F"/>
      <w:sz w:val="22"/>
    </w:rPr>
  </w:style>
  <w:style w:type="paragraph" w:customStyle="1" w:styleId="Table21">
    <w:name w:val="Table 2.1"/>
    <w:basedOn w:val="Normal"/>
    <w:qFormat/>
    <w:rsid w:val="00383B36"/>
    <w:pPr>
      <w:numPr>
        <w:numId w:val="10"/>
      </w:numPr>
      <w:spacing w:before="240" w:after="120"/>
    </w:pPr>
    <w:rPr>
      <w:i/>
      <w:color w:val="4F4F4F"/>
      <w:sz w:val="22"/>
      <w:lang w:val="fr-FR"/>
    </w:rPr>
  </w:style>
  <w:style w:type="paragraph" w:customStyle="1" w:styleId="11Heading2">
    <w:name w:val="1.1 Heading 2"/>
    <w:basedOn w:val="Normal"/>
    <w:qFormat/>
    <w:rsid w:val="00E633CC"/>
    <w:pPr>
      <w:numPr>
        <w:numId w:val="11"/>
      </w:numPr>
      <w:pBdr>
        <w:bottom w:val="single" w:sz="4" w:space="4" w:color="00ABE6"/>
      </w:pBdr>
      <w:spacing w:before="240" w:after="100"/>
      <w:ind w:left="357" w:hanging="357"/>
    </w:pPr>
    <w:rPr>
      <w:b/>
      <w:color w:val="00ABE6"/>
      <w:sz w:val="28"/>
    </w:rPr>
  </w:style>
  <w:style w:type="character" w:customStyle="1" w:styleId="normaltextrun">
    <w:name w:val="normaltextrun"/>
    <w:basedOn w:val="DefaultParagraphFont"/>
    <w:rsid w:val="00926289"/>
  </w:style>
  <w:style w:type="paragraph" w:customStyle="1" w:styleId="Default">
    <w:name w:val="Default"/>
    <w:rsid w:val="00165957"/>
    <w:pPr>
      <w:autoSpaceDE w:val="0"/>
      <w:autoSpaceDN w:val="0"/>
      <w:adjustRightInd w:val="0"/>
    </w:pPr>
    <w:rPr>
      <w:rFonts w:ascii="Arial" w:hAnsi="Arial" w:cs="Arial"/>
      <w:color w:val="000000"/>
      <w:sz w:val="24"/>
      <w:szCs w:val="24"/>
    </w:rPr>
  </w:style>
  <w:style w:type="paragraph" w:customStyle="1" w:styleId="paragraph">
    <w:name w:val="paragraph"/>
    <w:basedOn w:val="Normal"/>
    <w:rsid w:val="00726CBB"/>
    <w:pPr>
      <w:spacing w:before="100" w:beforeAutospacing="1" w:after="100" w:afterAutospacing="1"/>
    </w:pPr>
    <w:rPr>
      <w:sz w:val="24"/>
      <w:szCs w:val="24"/>
      <w:lang w:eastAsia="en-AU"/>
    </w:rPr>
  </w:style>
  <w:style w:type="character" w:customStyle="1" w:styleId="eop">
    <w:name w:val="eop"/>
    <w:basedOn w:val="DefaultParagraphFont"/>
    <w:rsid w:val="00726CBB"/>
  </w:style>
  <w:style w:type="character" w:customStyle="1" w:styleId="UnresolvedMention2">
    <w:name w:val="Unresolved Mention2"/>
    <w:basedOn w:val="DefaultParagraphFont"/>
    <w:uiPriority w:val="99"/>
    <w:unhideWhenUsed/>
    <w:rsid w:val="009A6D80"/>
    <w:rPr>
      <w:color w:val="605E5C"/>
      <w:shd w:val="clear" w:color="auto" w:fill="E1DFDD"/>
    </w:rPr>
  </w:style>
  <w:style w:type="character" w:customStyle="1" w:styleId="Mention1">
    <w:name w:val="Mention1"/>
    <w:basedOn w:val="DefaultParagraphFont"/>
    <w:uiPriority w:val="99"/>
    <w:unhideWhenUsed/>
    <w:rsid w:val="009A6D80"/>
    <w:rPr>
      <w:color w:val="2B579A"/>
      <w:shd w:val="clear" w:color="auto" w:fill="E1DFDD"/>
    </w:rPr>
  </w:style>
  <w:style w:type="character" w:customStyle="1" w:styleId="UnresolvedMention3">
    <w:name w:val="Unresolved Mention3"/>
    <w:basedOn w:val="DefaultParagraphFont"/>
    <w:uiPriority w:val="99"/>
    <w:unhideWhenUsed/>
    <w:rsid w:val="0054184D"/>
    <w:rPr>
      <w:color w:val="605E5C"/>
      <w:shd w:val="clear" w:color="auto" w:fill="E1DFDD"/>
    </w:rPr>
  </w:style>
  <w:style w:type="character" w:customStyle="1" w:styleId="Mention2">
    <w:name w:val="Mention2"/>
    <w:basedOn w:val="DefaultParagraphFont"/>
    <w:uiPriority w:val="99"/>
    <w:unhideWhenUsed/>
    <w:rsid w:val="0054184D"/>
    <w:rPr>
      <w:color w:val="2B579A"/>
      <w:shd w:val="clear" w:color="auto" w:fill="E1DFDD"/>
    </w:rPr>
  </w:style>
  <w:style w:type="character" w:customStyle="1" w:styleId="UnresolvedMention4">
    <w:name w:val="Unresolved Mention4"/>
    <w:basedOn w:val="DefaultParagraphFont"/>
    <w:uiPriority w:val="99"/>
    <w:unhideWhenUsed/>
    <w:rsid w:val="00090718"/>
    <w:rPr>
      <w:color w:val="605E5C"/>
      <w:shd w:val="clear" w:color="auto" w:fill="E1DFDD"/>
    </w:rPr>
  </w:style>
  <w:style w:type="character" w:customStyle="1" w:styleId="Mention3">
    <w:name w:val="Mention3"/>
    <w:basedOn w:val="DefaultParagraphFont"/>
    <w:uiPriority w:val="99"/>
    <w:unhideWhenUsed/>
    <w:rsid w:val="00090718"/>
    <w:rPr>
      <w:color w:val="2B579A"/>
      <w:shd w:val="clear" w:color="auto" w:fill="E1DFDD"/>
    </w:rPr>
  </w:style>
  <w:style w:type="table" w:customStyle="1" w:styleId="TableGrid1">
    <w:name w:val="Table Grid1"/>
    <w:basedOn w:val="TableNormal"/>
    <w:next w:val="TableGrid"/>
    <w:uiPriority w:val="39"/>
    <w:rsid w:val="003E49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unhideWhenUsed/>
    <w:rsid w:val="00147415"/>
    <w:rPr>
      <w:color w:val="605E5C"/>
      <w:shd w:val="clear" w:color="auto" w:fill="E1DFDD"/>
    </w:rPr>
  </w:style>
  <w:style w:type="character" w:customStyle="1" w:styleId="Mention4">
    <w:name w:val="Mention4"/>
    <w:basedOn w:val="DefaultParagraphFont"/>
    <w:uiPriority w:val="99"/>
    <w:unhideWhenUsed/>
    <w:rsid w:val="00D055A9"/>
    <w:rPr>
      <w:color w:val="2B579A"/>
      <w:shd w:val="clear" w:color="auto" w:fill="E1DFDD"/>
    </w:rPr>
  </w:style>
  <w:style w:type="paragraph" w:customStyle="1" w:styleId="Chart2X">
    <w:name w:val="Chart 2.X"/>
    <w:basedOn w:val="Normal"/>
    <w:next w:val="Normal"/>
    <w:rsid w:val="00336F22"/>
    <w:pPr>
      <w:keepLines/>
      <w:numPr>
        <w:numId w:val="17"/>
      </w:numPr>
      <w:tabs>
        <w:tab w:val="left" w:pos="1304"/>
      </w:tabs>
      <w:spacing w:before="360" w:after="120"/>
      <w:ind w:left="357" w:hanging="357"/>
    </w:pPr>
    <w:rPr>
      <w:i/>
      <w:color w:val="57514D"/>
      <w:sz w:val="22"/>
      <w:lang w:val="en-US"/>
    </w:rPr>
  </w:style>
  <w:style w:type="paragraph" w:customStyle="1" w:styleId="Table3X">
    <w:name w:val="Table 3.X"/>
    <w:basedOn w:val="Normal"/>
    <w:rsid w:val="00ED46CC"/>
    <w:pPr>
      <w:widowControl w:val="0"/>
      <w:numPr>
        <w:numId w:val="6"/>
      </w:numPr>
      <w:tabs>
        <w:tab w:val="left" w:pos="1134"/>
      </w:tabs>
      <w:spacing w:before="360" w:after="120"/>
    </w:pPr>
    <w:rPr>
      <w:bCs/>
      <w:i/>
      <w:color w:val="4F4F4F"/>
      <w:kern w:val="28"/>
      <w:sz w:val="22"/>
      <w:szCs w:val="22"/>
      <w:lang w:val="en-US"/>
    </w:rPr>
  </w:style>
  <w:style w:type="paragraph" w:customStyle="1" w:styleId="StyleListParagraph85pt">
    <w:name w:val="Style List Paragraph + 8.5 pt"/>
    <w:basedOn w:val="ListParagraph"/>
    <w:rsid w:val="00A95062"/>
    <w:pPr>
      <w:ind w:left="0"/>
    </w:pPr>
    <w:rPr>
      <w:sz w:val="17"/>
    </w:rPr>
  </w:style>
  <w:style w:type="paragraph" w:customStyle="1" w:styleId="StyleListParagraph85pt1">
    <w:name w:val="Style List Paragraph + 8.5 pt1"/>
    <w:basedOn w:val="ListParagraph"/>
    <w:rsid w:val="00245311"/>
    <w:pPr>
      <w:numPr>
        <w:numId w:val="22"/>
      </w:numPr>
    </w:pPr>
    <w:rPr>
      <w:sz w:val="17"/>
    </w:rPr>
  </w:style>
  <w:style w:type="paragraph" w:customStyle="1" w:styleId="Style85ptBlackLeft0cmHanging063cm">
    <w:name w:val="Style 8.5 pt Black Left:  0 cm Hanging:  0.63 cm"/>
    <w:basedOn w:val="Normal"/>
    <w:rsid w:val="006F695E"/>
    <w:pPr>
      <w:ind w:left="357" w:hanging="357"/>
    </w:pPr>
    <w:rPr>
      <w:color w:val="008EBA"/>
      <w:sz w:val="17"/>
    </w:rPr>
  </w:style>
  <w:style w:type="paragraph" w:customStyle="1" w:styleId="Bullet2inabox">
    <w:name w:val="Bullet 2 in a box"/>
    <w:basedOn w:val="Normal"/>
    <w:qFormat/>
    <w:rsid w:val="00081E7B"/>
    <w:pPr>
      <w:numPr>
        <w:numId w:val="30"/>
      </w:numPr>
      <w:spacing w:before="100" w:after="60" w:line="240" w:lineRule="atLeast"/>
    </w:pPr>
    <w:rPr>
      <w:color w:val="000000" w:themeColor="text1"/>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6159">
      <w:bodyDiv w:val="1"/>
      <w:marLeft w:val="0"/>
      <w:marRight w:val="0"/>
      <w:marTop w:val="0"/>
      <w:marBottom w:val="0"/>
      <w:divBdr>
        <w:top w:val="none" w:sz="0" w:space="0" w:color="auto"/>
        <w:left w:val="none" w:sz="0" w:space="0" w:color="auto"/>
        <w:bottom w:val="none" w:sz="0" w:space="0" w:color="auto"/>
        <w:right w:val="none" w:sz="0" w:space="0" w:color="auto"/>
      </w:divBdr>
    </w:div>
    <w:div w:id="59066025">
      <w:bodyDiv w:val="1"/>
      <w:marLeft w:val="0"/>
      <w:marRight w:val="0"/>
      <w:marTop w:val="0"/>
      <w:marBottom w:val="0"/>
      <w:divBdr>
        <w:top w:val="none" w:sz="0" w:space="0" w:color="auto"/>
        <w:left w:val="none" w:sz="0" w:space="0" w:color="auto"/>
        <w:bottom w:val="none" w:sz="0" w:space="0" w:color="auto"/>
        <w:right w:val="none" w:sz="0" w:space="0" w:color="auto"/>
      </w:divBdr>
    </w:div>
    <w:div w:id="63914179">
      <w:bodyDiv w:val="1"/>
      <w:marLeft w:val="0"/>
      <w:marRight w:val="0"/>
      <w:marTop w:val="0"/>
      <w:marBottom w:val="0"/>
      <w:divBdr>
        <w:top w:val="none" w:sz="0" w:space="0" w:color="auto"/>
        <w:left w:val="none" w:sz="0" w:space="0" w:color="auto"/>
        <w:bottom w:val="none" w:sz="0" w:space="0" w:color="auto"/>
        <w:right w:val="none" w:sz="0" w:space="0" w:color="auto"/>
      </w:divBdr>
    </w:div>
    <w:div w:id="95102190">
      <w:bodyDiv w:val="1"/>
      <w:marLeft w:val="0"/>
      <w:marRight w:val="0"/>
      <w:marTop w:val="0"/>
      <w:marBottom w:val="0"/>
      <w:divBdr>
        <w:top w:val="none" w:sz="0" w:space="0" w:color="auto"/>
        <w:left w:val="none" w:sz="0" w:space="0" w:color="auto"/>
        <w:bottom w:val="none" w:sz="0" w:space="0" w:color="auto"/>
        <w:right w:val="none" w:sz="0" w:space="0" w:color="auto"/>
      </w:divBdr>
    </w:div>
    <w:div w:id="102964285">
      <w:bodyDiv w:val="1"/>
      <w:marLeft w:val="0"/>
      <w:marRight w:val="0"/>
      <w:marTop w:val="0"/>
      <w:marBottom w:val="0"/>
      <w:divBdr>
        <w:top w:val="none" w:sz="0" w:space="0" w:color="auto"/>
        <w:left w:val="none" w:sz="0" w:space="0" w:color="auto"/>
        <w:bottom w:val="none" w:sz="0" w:space="0" w:color="auto"/>
        <w:right w:val="none" w:sz="0" w:space="0" w:color="auto"/>
      </w:divBdr>
    </w:div>
    <w:div w:id="128743895">
      <w:bodyDiv w:val="1"/>
      <w:marLeft w:val="0"/>
      <w:marRight w:val="0"/>
      <w:marTop w:val="0"/>
      <w:marBottom w:val="0"/>
      <w:divBdr>
        <w:top w:val="none" w:sz="0" w:space="0" w:color="auto"/>
        <w:left w:val="none" w:sz="0" w:space="0" w:color="auto"/>
        <w:bottom w:val="none" w:sz="0" w:space="0" w:color="auto"/>
        <w:right w:val="none" w:sz="0" w:space="0" w:color="auto"/>
      </w:divBdr>
    </w:div>
    <w:div w:id="139688899">
      <w:bodyDiv w:val="1"/>
      <w:marLeft w:val="0"/>
      <w:marRight w:val="0"/>
      <w:marTop w:val="0"/>
      <w:marBottom w:val="0"/>
      <w:divBdr>
        <w:top w:val="none" w:sz="0" w:space="0" w:color="auto"/>
        <w:left w:val="none" w:sz="0" w:space="0" w:color="auto"/>
        <w:bottom w:val="none" w:sz="0" w:space="0" w:color="auto"/>
        <w:right w:val="none" w:sz="0" w:space="0" w:color="auto"/>
      </w:divBdr>
    </w:div>
    <w:div w:id="156194855">
      <w:bodyDiv w:val="1"/>
      <w:marLeft w:val="0"/>
      <w:marRight w:val="0"/>
      <w:marTop w:val="0"/>
      <w:marBottom w:val="0"/>
      <w:divBdr>
        <w:top w:val="none" w:sz="0" w:space="0" w:color="auto"/>
        <w:left w:val="none" w:sz="0" w:space="0" w:color="auto"/>
        <w:bottom w:val="none" w:sz="0" w:space="0" w:color="auto"/>
        <w:right w:val="none" w:sz="0" w:space="0" w:color="auto"/>
      </w:divBdr>
    </w:div>
    <w:div w:id="182935183">
      <w:bodyDiv w:val="1"/>
      <w:marLeft w:val="0"/>
      <w:marRight w:val="0"/>
      <w:marTop w:val="0"/>
      <w:marBottom w:val="0"/>
      <w:divBdr>
        <w:top w:val="none" w:sz="0" w:space="0" w:color="auto"/>
        <w:left w:val="none" w:sz="0" w:space="0" w:color="auto"/>
        <w:bottom w:val="none" w:sz="0" w:space="0" w:color="auto"/>
        <w:right w:val="none" w:sz="0" w:space="0" w:color="auto"/>
      </w:divBdr>
    </w:div>
    <w:div w:id="191770415">
      <w:bodyDiv w:val="1"/>
      <w:marLeft w:val="0"/>
      <w:marRight w:val="0"/>
      <w:marTop w:val="0"/>
      <w:marBottom w:val="0"/>
      <w:divBdr>
        <w:top w:val="none" w:sz="0" w:space="0" w:color="auto"/>
        <w:left w:val="none" w:sz="0" w:space="0" w:color="auto"/>
        <w:bottom w:val="none" w:sz="0" w:space="0" w:color="auto"/>
        <w:right w:val="none" w:sz="0" w:space="0" w:color="auto"/>
      </w:divBdr>
    </w:div>
    <w:div w:id="251474030">
      <w:bodyDiv w:val="1"/>
      <w:marLeft w:val="0"/>
      <w:marRight w:val="0"/>
      <w:marTop w:val="0"/>
      <w:marBottom w:val="0"/>
      <w:divBdr>
        <w:top w:val="none" w:sz="0" w:space="0" w:color="auto"/>
        <w:left w:val="none" w:sz="0" w:space="0" w:color="auto"/>
        <w:bottom w:val="none" w:sz="0" w:space="0" w:color="auto"/>
        <w:right w:val="none" w:sz="0" w:space="0" w:color="auto"/>
      </w:divBdr>
    </w:div>
    <w:div w:id="255407702">
      <w:bodyDiv w:val="1"/>
      <w:marLeft w:val="0"/>
      <w:marRight w:val="0"/>
      <w:marTop w:val="0"/>
      <w:marBottom w:val="0"/>
      <w:divBdr>
        <w:top w:val="none" w:sz="0" w:space="0" w:color="auto"/>
        <w:left w:val="none" w:sz="0" w:space="0" w:color="auto"/>
        <w:bottom w:val="none" w:sz="0" w:space="0" w:color="auto"/>
        <w:right w:val="none" w:sz="0" w:space="0" w:color="auto"/>
      </w:divBdr>
    </w:div>
    <w:div w:id="336155303">
      <w:bodyDiv w:val="1"/>
      <w:marLeft w:val="0"/>
      <w:marRight w:val="0"/>
      <w:marTop w:val="0"/>
      <w:marBottom w:val="0"/>
      <w:divBdr>
        <w:top w:val="none" w:sz="0" w:space="0" w:color="auto"/>
        <w:left w:val="none" w:sz="0" w:space="0" w:color="auto"/>
        <w:bottom w:val="none" w:sz="0" w:space="0" w:color="auto"/>
        <w:right w:val="none" w:sz="0" w:space="0" w:color="auto"/>
      </w:divBdr>
    </w:div>
    <w:div w:id="355040126">
      <w:bodyDiv w:val="1"/>
      <w:marLeft w:val="0"/>
      <w:marRight w:val="0"/>
      <w:marTop w:val="0"/>
      <w:marBottom w:val="0"/>
      <w:divBdr>
        <w:top w:val="none" w:sz="0" w:space="0" w:color="auto"/>
        <w:left w:val="none" w:sz="0" w:space="0" w:color="auto"/>
        <w:bottom w:val="none" w:sz="0" w:space="0" w:color="auto"/>
        <w:right w:val="none" w:sz="0" w:space="0" w:color="auto"/>
      </w:divBdr>
    </w:div>
    <w:div w:id="361903477">
      <w:bodyDiv w:val="1"/>
      <w:marLeft w:val="0"/>
      <w:marRight w:val="0"/>
      <w:marTop w:val="0"/>
      <w:marBottom w:val="0"/>
      <w:divBdr>
        <w:top w:val="none" w:sz="0" w:space="0" w:color="auto"/>
        <w:left w:val="none" w:sz="0" w:space="0" w:color="auto"/>
        <w:bottom w:val="none" w:sz="0" w:space="0" w:color="auto"/>
        <w:right w:val="none" w:sz="0" w:space="0" w:color="auto"/>
      </w:divBdr>
    </w:div>
    <w:div w:id="403335649">
      <w:bodyDiv w:val="1"/>
      <w:marLeft w:val="0"/>
      <w:marRight w:val="0"/>
      <w:marTop w:val="0"/>
      <w:marBottom w:val="0"/>
      <w:divBdr>
        <w:top w:val="none" w:sz="0" w:space="0" w:color="auto"/>
        <w:left w:val="none" w:sz="0" w:space="0" w:color="auto"/>
        <w:bottom w:val="none" w:sz="0" w:space="0" w:color="auto"/>
        <w:right w:val="none" w:sz="0" w:space="0" w:color="auto"/>
      </w:divBdr>
    </w:div>
    <w:div w:id="432357076">
      <w:bodyDiv w:val="1"/>
      <w:marLeft w:val="0"/>
      <w:marRight w:val="0"/>
      <w:marTop w:val="0"/>
      <w:marBottom w:val="0"/>
      <w:divBdr>
        <w:top w:val="none" w:sz="0" w:space="0" w:color="auto"/>
        <w:left w:val="none" w:sz="0" w:space="0" w:color="auto"/>
        <w:bottom w:val="none" w:sz="0" w:space="0" w:color="auto"/>
        <w:right w:val="none" w:sz="0" w:space="0" w:color="auto"/>
      </w:divBdr>
    </w:div>
    <w:div w:id="446044059">
      <w:bodyDiv w:val="1"/>
      <w:marLeft w:val="0"/>
      <w:marRight w:val="0"/>
      <w:marTop w:val="0"/>
      <w:marBottom w:val="0"/>
      <w:divBdr>
        <w:top w:val="none" w:sz="0" w:space="0" w:color="auto"/>
        <w:left w:val="none" w:sz="0" w:space="0" w:color="auto"/>
        <w:bottom w:val="none" w:sz="0" w:space="0" w:color="auto"/>
        <w:right w:val="none" w:sz="0" w:space="0" w:color="auto"/>
      </w:divBdr>
    </w:div>
    <w:div w:id="520749335">
      <w:bodyDiv w:val="1"/>
      <w:marLeft w:val="0"/>
      <w:marRight w:val="0"/>
      <w:marTop w:val="0"/>
      <w:marBottom w:val="0"/>
      <w:divBdr>
        <w:top w:val="none" w:sz="0" w:space="0" w:color="auto"/>
        <w:left w:val="none" w:sz="0" w:space="0" w:color="auto"/>
        <w:bottom w:val="none" w:sz="0" w:space="0" w:color="auto"/>
        <w:right w:val="none" w:sz="0" w:space="0" w:color="auto"/>
      </w:divBdr>
    </w:div>
    <w:div w:id="538517327">
      <w:bodyDiv w:val="1"/>
      <w:marLeft w:val="0"/>
      <w:marRight w:val="0"/>
      <w:marTop w:val="0"/>
      <w:marBottom w:val="0"/>
      <w:divBdr>
        <w:top w:val="none" w:sz="0" w:space="0" w:color="auto"/>
        <w:left w:val="none" w:sz="0" w:space="0" w:color="auto"/>
        <w:bottom w:val="none" w:sz="0" w:space="0" w:color="auto"/>
        <w:right w:val="none" w:sz="0" w:space="0" w:color="auto"/>
      </w:divBdr>
    </w:div>
    <w:div w:id="556622782">
      <w:bodyDiv w:val="1"/>
      <w:marLeft w:val="0"/>
      <w:marRight w:val="0"/>
      <w:marTop w:val="0"/>
      <w:marBottom w:val="0"/>
      <w:divBdr>
        <w:top w:val="none" w:sz="0" w:space="0" w:color="auto"/>
        <w:left w:val="none" w:sz="0" w:space="0" w:color="auto"/>
        <w:bottom w:val="none" w:sz="0" w:space="0" w:color="auto"/>
        <w:right w:val="none" w:sz="0" w:space="0" w:color="auto"/>
      </w:divBdr>
    </w:div>
    <w:div w:id="561674942">
      <w:bodyDiv w:val="1"/>
      <w:marLeft w:val="0"/>
      <w:marRight w:val="0"/>
      <w:marTop w:val="0"/>
      <w:marBottom w:val="0"/>
      <w:divBdr>
        <w:top w:val="none" w:sz="0" w:space="0" w:color="auto"/>
        <w:left w:val="none" w:sz="0" w:space="0" w:color="auto"/>
        <w:bottom w:val="none" w:sz="0" w:space="0" w:color="auto"/>
        <w:right w:val="none" w:sz="0" w:space="0" w:color="auto"/>
      </w:divBdr>
    </w:div>
    <w:div w:id="609900010">
      <w:bodyDiv w:val="1"/>
      <w:marLeft w:val="0"/>
      <w:marRight w:val="0"/>
      <w:marTop w:val="0"/>
      <w:marBottom w:val="0"/>
      <w:divBdr>
        <w:top w:val="none" w:sz="0" w:space="0" w:color="auto"/>
        <w:left w:val="none" w:sz="0" w:space="0" w:color="auto"/>
        <w:bottom w:val="none" w:sz="0" w:space="0" w:color="auto"/>
        <w:right w:val="none" w:sz="0" w:space="0" w:color="auto"/>
      </w:divBdr>
    </w:div>
    <w:div w:id="623660282">
      <w:bodyDiv w:val="1"/>
      <w:marLeft w:val="0"/>
      <w:marRight w:val="0"/>
      <w:marTop w:val="0"/>
      <w:marBottom w:val="0"/>
      <w:divBdr>
        <w:top w:val="none" w:sz="0" w:space="0" w:color="auto"/>
        <w:left w:val="none" w:sz="0" w:space="0" w:color="auto"/>
        <w:bottom w:val="none" w:sz="0" w:space="0" w:color="auto"/>
        <w:right w:val="none" w:sz="0" w:space="0" w:color="auto"/>
      </w:divBdr>
    </w:div>
    <w:div w:id="639308330">
      <w:bodyDiv w:val="1"/>
      <w:marLeft w:val="0"/>
      <w:marRight w:val="0"/>
      <w:marTop w:val="0"/>
      <w:marBottom w:val="0"/>
      <w:divBdr>
        <w:top w:val="none" w:sz="0" w:space="0" w:color="auto"/>
        <w:left w:val="none" w:sz="0" w:space="0" w:color="auto"/>
        <w:bottom w:val="none" w:sz="0" w:space="0" w:color="auto"/>
        <w:right w:val="none" w:sz="0" w:space="0" w:color="auto"/>
      </w:divBdr>
    </w:div>
    <w:div w:id="673724901">
      <w:bodyDiv w:val="1"/>
      <w:marLeft w:val="0"/>
      <w:marRight w:val="0"/>
      <w:marTop w:val="0"/>
      <w:marBottom w:val="0"/>
      <w:divBdr>
        <w:top w:val="none" w:sz="0" w:space="0" w:color="auto"/>
        <w:left w:val="none" w:sz="0" w:space="0" w:color="auto"/>
        <w:bottom w:val="none" w:sz="0" w:space="0" w:color="auto"/>
        <w:right w:val="none" w:sz="0" w:space="0" w:color="auto"/>
      </w:divBdr>
    </w:div>
    <w:div w:id="695161615">
      <w:bodyDiv w:val="1"/>
      <w:marLeft w:val="0"/>
      <w:marRight w:val="0"/>
      <w:marTop w:val="0"/>
      <w:marBottom w:val="0"/>
      <w:divBdr>
        <w:top w:val="none" w:sz="0" w:space="0" w:color="auto"/>
        <w:left w:val="none" w:sz="0" w:space="0" w:color="auto"/>
        <w:bottom w:val="none" w:sz="0" w:space="0" w:color="auto"/>
        <w:right w:val="none" w:sz="0" w:space="0" w:color="auto"/>
      </w:divBdr>
    </w:div>
    <w:div w:id="731733785">
      <w:bodyDiv w:val="1"/>
      <w:marLeft w:val="0"/>
      <w:marRight w:val="0"/>
      <w:marTop w:val="0"/>
      <w:marBottom w:val="0"/>
      <w:divBdr>
        <w:top w:val="none" w:sz="0" w:space="0" w:color="auto"/>
        <w:left w:val="none" w:sz="0" w:space="0" w:color="auto"/>
        <w:bottom w:val="none" w:sz="0" w:space="0" w:color="auto"/>
        <w:right w:val="none" w:sz="0" w:space="0" w:color="auto"/>
      </w:divBdr>
    </w:div>
    <w:div w:id="744912492">
      <w:bodyDiv w:val="1"/>
      <w:marLeft w:val="0"/>
      <w:marRight w:val="0"/>
      <w:marTop w:val="0"/>
      <w:marBottom w:val="0"/>
      <w:divBdr>
        <w:top w:val="none" w:sz="0" w:space="0" w:color="auto"/>
        <w:left w:val="none" w:sz="0" w:space="0" w:color="auto"/>
        <w:bottom w:val="none" w:sz="0" w:space="0" w:color="auto"/>
        <w:right w:val="none" w:sz="0" w:space="0" w:color="auto"/>
      </w:divBdr>
    </w:div>
    <w:div w:id="754131925">
      <w:bodyDiv w:val="1"/>
      <w:marLeft w:val="0"/>
      <w:marRight w:val="0"/>
      <w:marTop w:val="0"/>
      <w:marBottom w:val="0"/>
      <w:divBdr>
        <w:top w:val="none" w:sz="0" w:space="0" w:color="auto"/>
        <w:left w:val="none" w:sz="0" w:space="0" w:color="auto"/>
        <w:bottom w:val="none" w:sz="0" w:space="0" w:color="auto"/>
        <w:right w:val="none" w:sz="0" w:space="0" w:color="auto"/>
      </w:divBdr>
    </w:div>
    <w:div w:id="755446516">
      <w:bodyDiv w:val="1"/>
      <w:marLeft w:val="0"/>
      <w:marRight w:val="0"/>
      <w:marTop w:val="0"/>
      <w:marBottom w:val="0"/>
      <w:divBdr>
        <w:top w:val="none" w:sz="0" w:space="0" w:color="auto"/>
        <w:left w:val="none" w:sz="0" w:space="0" w:color="auto"/>
        <w:bottom w:val="none" w:sz="0" w:space="0" w:color="auto"/>
        <w:right w:val="none" w:sz="0" w:space="0" w:color="auto"/>
      </w:divBdr>
    </w:div>
    <w:div w:id="757215385">
      <w:bodyDiv w:val="1"/>
      <w:marLeft w:val="0"/>
      <w:marRight w:val="0"/>
      <w:marTop w:val="0"/>
      <w:marBottom w:val="0"/>
      <w:divBdr>
        <w:top w:val="none" w:sz="0" w:space="0" w:color="auto"/>
        <w:left w:val="none" w:sz="0" w:space="0" w:color="auto"/>
        <w:bottom w:val="none" w:sz="0" w:space="0" w:color="auto"/>
        <w:right w:val="none" w:sz="0" w:space="0" w:color="auto"/>
      </w:divBdr>
    </w:div>
    <w:div w:id="838158852">
      <w:bodyDiv w:val="1"/>
      <w:marLeft w:val="0"/>
      <w:marRight w:val="0"/>
      <w:marTop w:val="0"/>
      <w:marBottom w:val="0"/>
      <w:divBdr>
        <w:top w:val="none" w:sz="0" w:space="0" w:color="auto"/>
        <w:left w:val="none" w:sz="0" w:space="0" w:color="auto"/>
        <w:bottom w:val="none" w:sz="0" w:space="0" w:color="auto"/>
        <w:right w:val="none" w:sz="0" w:space="0" w:color="auto"/>
      </w:divBdr>
    </w:div>
    <w:div w:id="870074618">
      <w:bodyDiv w:val="1"/>
      <w:marLeft w:val="0"/>
      <w:marRight w:val="0"/>
      <w:marTop w:val="0"/>
      <w:marBottom w:val="0"/>
      <w:divBdr>
        <w:top w:val="none" w:sz="0" w:space="0" w:color="auto"/>
        <w:left w:val="none" w:sz="0" w:space="0" w:color="auto"/>
        <w:bottom w:val="none" w:sz="0" w:space="0" w:color="auto"/>
        <w:right w:val="none" w:sz="0" w:space="0" w:color="auto"/>
      </w:divBdr>
    </w:div>
    <w:div w:id="880214330">
      <w:bodyDiv w:val="1"/>
      <w:marLeft w:val="0"/>
      <w:marRight w:val="0"/>
      <w:marTop w:val="0"/>
      <w:marBottom w:val="0"/>
      <w:divBdr>
        <w:top w:val="none" w:sz="0" w:space="0" w:color="auto"/>
        <w:left w:val="none" w:sz="0" w:space="0" w:color="auto"/>
        <w:bottom w:val="none" w:sz="0" w:space="0" w:color="auto"/>
        <w:right w:val="none" w:sz="0" w:space="0" w:color="auto"/>
      </w:divBdr>
    </w:div>
    <w:div w:id="883442575">
      <w:bodyDiv w:val="1"/>
      <w:marLeft w:val="0"/>
      <w:marRight w:val="0"/>
      <w:marTop w:val="0"/>
      <w:marBottom w:val="0"/>
      <w:divBdr>
        <w:top w:val="none" w:sz="0" w:space="0" w:color="auto"/>
        <w:left w:val="none" w:sz="0" w:space="0" w:color="auto"/>
        <w:bottom w:val="none" w:sz="0" w:space="0" w:color="auto"/>
        <w:right w:val="none" w:sz="0" w:space="0" w:color="auto"/>
      </w:divBdr>
    </w:div>
    <w:div w:id="923303228">
      <w:bodyDiv w:val="1"/>
      <w:marLeft w:val="0"/>
      <w:marRight w:val="0"/>
      <w:marTop w:val="0"/>
      <w:marBottom w:val="0"/>
      <w:divBdr>
        <w:top w:val="none" w:sz="0" w:space="0" w:color="auto"/>
        <w:left w:val="none" w:sz="0" w:space="0" w:color="auto"/>
        <w:bottom w:val="none" w:sz="0" w:space="0" w:color="auto"/>
        <w:right w:val="none" w:sz="0" w:space="0" w:color="auto"/>
      </w:divBdr>
    </w:div>
    <w:div w:id="943994685">
      <w:bodyDiv w:val="1"/>
      <w:marLeft w:val="0"/>
      <w:marRight w:val="0"/>
      <w:marTop w:val="0"/>
      <w:marBottom w:val="0"/>
      <w:divBdr>
        <w:top w:val="none" w:sz="0" w:space="0" w:color="auto"/>
        <w:left w:val="none" w:sz="0" w:space="0" w:color="auto"/>
        <w:bottom w:val="none" w:sz="0" w:space="0" w:color="auto"/>
        <w:right w:val="none" w:sz="0" w:space="0" w:color="auto"/>
      </w:divBdr>
    </w:div>
    <w:div w:id="952135210">
      <w:bodyDiv w:val="1"/>
      <w:marLeft w:val="0"/>
      <w:marRight w:val="0"/>
      <w:marTop w:val="0"/>
      <w:marBottom w:val="0"/>
      <w:divBdr>
        <w:top w:val="none" w:sz="0" w:space="0" w:color="auto"/>
        <w:left w:val="none" w:sz="0" w:space="0" w:color="auto"/>
        <w:bottom w:val="none" w:sz="0" w:space="0" w:color="auto"/>
        <w:right w:val="none" w:sz="0" w:space="0" w:color="auto"/>
      </w:divBdr>
    </w:div>
    <w:div w:id="963346272">
      <w:bodyDiv w:val="1"/>
      <w:marLeft w:val="0"/>
      <w:marRight w:val="0"/>
      <w:marTop w:val="0"/>
      <w:marBottom w:val="0"/>
      <w:divBdr>
        <w:top w:val="none" w:sz="0" w:space="0" w:color="auto"/>
        <w:left w:val="none" w:sz="0" w:space="0" w:color="auto"/>
        <w:bottom w:val="none" w:sz="0" w:space="0" w:color="auto"/>
        <w:right w:val="none" w:sz="0" w:space="0" w:color="auto"/>
      </w:divBdr>
      <w:divsChild>
        <w:div w:id="525412386">
          <w:marLeft w:val="0"/>
          <w:marRight w:val="0"/>
          <w:marTop w:val="0"/>
          <w:marBottom w:val="0"/>
          <w:divBdr>
            <w:top w:val="none" w:sz="0" w:space="0" w:color="auto"/>
            <w:left w:val="none" w:sz="0" w:space="0" w:color="auto"/>
            <w:bottom w:val="none" w:sz="0" w:space="0" w:color="auto"/>
            <w:right w:val="none" w:sz="0" w:space="0" w:color="auto"/>
          </w:divBdr>
        </w:div>
      </w:divsChild>
    </w:div>
    <w:div w:id="974261731">
      <w:bodyDiv w:val="1"/>
      <w:marLeft w:val="0"/>
      <w:marRight w:val="0"/>
      <w:marTop w:val="0"/>
      <w:marBottom w:val="0"/>
      <w:divBdr>
        <w:top w:val="none" w:sz="0" w:space="0" w:color="auto"/>
        <w:left w:val="none" w:sz="0" w:space="0" w:color="auto"/>
        <w:bottom w:val="none" w:sz="0" w:space="0" w:color="auto"/>
        <w:right w:val="none" w:sz="0" w:space="0" w:color="auto"/>
      </w:divBdr>
    </w:div>
    <w:div w:id="991182851">
      <w:bodyDiv w:val="1"/>
      <w:marLeft w:val="0"/>
      <w:marRight w:val="0"/>
      <w:marTop w:val="0"/>
      <w:marBottom w:val="0"/>
      <w:divBdr>
        <w:top w:val="none" w:sz="0" w:space="0" w:color="auto"/>
        <w:left w:val="none" w:sz="0" w:space="0" w:color="auto"/>
        <w:bottom w:val="none" w:sz="0" w:space="0" w:color="auto"/>
        <w:right w:val="none" w:sz="0" w:space="0" w:color="auto"/>
      </w:divBdr>
    </w:div>
    <w:div w:id="1006591201">
      <w:bodyDiv w:val="1"/>
      <w:marLeft w:val="0"/>
      <w:marRight w:val="0"/>
      <w:marTop w:val="0"/>
      <w:marBottom w:val="0"/>
      <w:divBdr>
        <w:top w:val="none" w:sz="0" w:space="0" w:color="auto"/>
        <w:left w:val="none" w:sz="0" w:space="0" w:color="auto"/>
        <w:bottom w:val="none" w:sz="0" w:space="0" w:color="auto"/>
        <w:right w:val="none" w:sz="0" w:space="0" w:color="auto"/>
      </w:divBdr>
    </w:div>
    <w:div w:id="1024132937">
      <w:bodyDiv w:val="1"/>
      <w:marLeft w:val="0"/>
      <w:marRight w:val="0"/>
      <w:marTop w:val="0"/>
      <w:marBottom w:val="0"/>
      <w:divBdr>
        <w:top w:val="none" w:sz="0" w:space="0" w:color="auto"/>
        <w:left w:val="none" w:sz="0" w:space="0" w:color="auto"/>
        <w:bottom w:val="none" w:sz="0" w:space="0" w:color="auto"/>
        <w:right w:val="none" w:sz="0" w:space="0" w:color="auto"/>
      </w:divBdr>
    </w:div>
    <w:div w:id="1029985878">
      <w:bodyDiv w:val="1"/>
      <w:marLeft w:val="0"/>
      <w:marRight w:val="0"/>
      <w:marTop w:val="0"/>
      <w:marBottom w:val="0"/>
      <w:divBdr>
        <w:top w:val="none" w:sz="0" w:space="0" w:color="auto"/>
        <w:left w:val="none" w:sz="0" w:space="0" w:color="auto"/>
        <w:bottom w:val="none" w:sz="0" w:space="0" w:color="auto"/>
        <w:right w:val="none" w:sz="0" w:space="0" w:color="auto"/>
      </w:divBdr>
    </w:div>
    <w:div w:id="1045835294">
      <w:bodyDiv w:val="1"/>
      <w:marLeft w:val="0"/>
      <w:marRight w:val="0"/>
      <w:marTop w:val="0"/>
      <w:marBottom w:val="0"/>
      <w:divBdr>
        <w:top w:val="none" w:sz="0" w:space="0" w:color="auto"/>
        <w:left w:val="none" w:sz="0" w:space="0" w:color="auto"/>
        <w:bottom w:val="none" w:sz="0" w:space="0" w:color="auto"/>
        <w:right w:val="none" w:sz="0" w:space="0" w:color="auto"/>
      </w:divBdr>
    </w:div>
    <w:div w:id="1054692945">
      <w:bodyDiv w:val="1"/>
      <w:marLeft w:val="0"/>
      <w:marRight w:val="0"/>
      <w:marTop w:val="0"/>
      <w:marBottom w:val="0"/>
      <w:divBdr>
        <w:top w:val="none" w:sz="0" w:space="0" w:color="auto"/>
        <w:left w:val="none" w:sz="0" w:space="0" w:color="auto"/>
        <w:bottom w:val="none" w:sz="0" w:space="0" w:color="auto"/>
        <w:right w:val="none" w:sz="0" w:space="0" w:color="auto"/>
      </w:divBdr>
    </w:div>
    <w:div w:id="1084377902">
      <w:bodyDiv w:val="1"/>
      <w:marLeft w:val="0"/>
      <w:marRight w:val="0"/>
      <w:marTop w:val="0"/>
      <w:marBottom w:val="0"/>
      <w:divBdr>
        <w:top w:val="none" w:sz="0" w:space="0" w:color="auto"/>
        <w:left w:val="none" w:sz="0" w:space="0" w:color="auto"/>
        <w:bottom w:val="none" w:sz="0" w:space="0" w:color="auto"/>
        <w:right w:val="none" w:sz="0" w:space="0" w:color="auto"/>
      </w:divBdr>
    </w:div>
    <w:div w:id="1087576832">
      <w:bodyDiv w:val="1"/>
      <w:marLeft w:val="0"/>
      <w:marRight w:val="0"/>
      <w:marTop w:val="0"/>
      <w:marBottom w:val="0"/>
      <w:divBdr>
        <w:top w:val="none" w:sz="0" w:space="0" w:color="auto"/>
        <w:left w:val="none" w:sz="0" w:space="0" w:color="auto"/>
        <w:bottom w:val="none" w:sz="0" w:space="0" w:color="auto"/>
        <w:right w:val="none" w:sz="0" w:space="0" w:color="auto"/>
      </w:divBdr>
    </w:div>
    <w:div w:id="1123500569">
      <w:bodyDiv w:val="1"/>
      <w:marLeft w:val="0"/>
      <w:marRight w:val="0"/>
      <w:marTop w:val="0"/>
      <w:marBottom w:val="0"/>
      <w:divBdr>
        <w:top w:val="none" w:sz="0" w:space="0" w:color="auto"/>
        <w:left w:val="none" w:sz="0" w:space="0" w:color="auto"/>
        <w:bottom w:val="none" w:sz="0" w:space="0" w:color="auto"/>
        <w:right w:val="none" w:sz="0" w:space="0" w:color="auto"/>
      </w:divBdr>
    </w:div>
    <w:div w:id="1125662326">
      <w:bodyDiv w:val="1"/>
      <w:marLeft w:val="0"/>
      <w:marRight w:val="0"/>
      <w:marTop w:val="0"/>
      <w:marBottom w:val="0"/>
      <w:divBdr>
        <w:top w:val="none" w:sz="0" w:space="0" w:color="auto"/>
        <w:left w:val="none" w:sz="0" w:space="0" w:color="auto"/>
        <w:bottom w:val="none" w:sz="0" w:space="0" w:color="auto"/>
        <w:right w:val="none" w:sz="0" w:space="0" w:color="auto"/>
      </w:divBdr>
    </w:div>
    <w:div w:id="1141728051">
      <w:bodyDiv w:val="1"/>
      <w:marLeft w:val="0"/>
      <w:marRight w:val="0"/>
      <w:marTop w:val="0"/>
      <w:marBottom w:val="0"/>
      <w:divBdr>
        <w:top w:val="none" w:sz="0" w:space="0" w:color="auto"/>
        <w:left w:val="none" w:sz="0" w:space="0" w:color="auto"/>
        <w:bottom w:val="none" w:sz="0" w:space="0" w:color="auto"/>
        <w:right w:val="none" w:sz="0" w:space="0" w:color="auto"/>
      </w:divBdr>
    </w:div>
    <w:div w:id="1144397979">
      <w:bodyDiv w:val="1"/>
      <w:marLeft w:val="0"/>
      <w:marRight w:val="0"/>
      <w:marTop w:val="0"/>
      <w:marBottom w:val="0"/>
      <w:divBdr>
        <w:top w:val="none" w:sz="0" w:space="0" w:color="auto"/>
        <w:left w:val="none" w:sz="0" w:space="0" w:color="auto"/>
        <w:bottom w:val="none" w:sz="0" w:space="0" w:color="auto"/>
        <w:right w:val="none" w:sz="0" w:space="0" w:color="auto"/>
      </w:divBdr>
    </w:div>
    <w:div w:id="1149593558">
      <w:bodyDiv w:val="1"/>
      <w:marLeft w:val="0"/>
      <w:marRight w:val="0"/>
      <w:marTop w:val="0"/>
      <w:marBottom w:val="0"/>
      <w:divBdr>
        <w:top w:val="none" w:sz="0" w:space="0" w:color="auto"/>
        <w:left w:val="none" w:sz="0" w:space="0" w:color="auto"/>
        <w:bottom w:val="none" w:sz="0" w:space="0" w:color="auto"/>
        <w:right w:val="none" w:sz="0" w:space="0" w:color="auto"/>
      </w:divBdr>
    </w:div>
    <w:div w:id="1165364343">
      <w:bodyDiv w:val="1"/>
      <w:marLeft w:val="0"/>
      <w:marRight w:val="0"/>
      <w:marTop w:val="0"/>
      <w:marBottom w:val="0"/>
      <w:divBdr>
        <w:top w:val="none" w:sz="0" w:space="0" w:color="auto"/>
        <w:left w:val="none" w:sz="0" w:space="0" w:color="auto"/>
        <w:bottom w:val="none" w:sz="0" w:space="0" w:color="auto"/>
        <w:right w:val="none" w:sz="0" w:space="0" w:color="auto"/>
      </w:divBdr>
    </w:div>
    <w:div w:id="1174303572">
      <w:bodyDiv w:val="1"/>
      <w:marLeft w:val="0"/>
      <w:marRight w:val="0"/>
      <w:marTop w:val="0"/>
      <w:marBottom w:val="0"/>
      <w:divBdr>
        <w:top w:val="none" w:sz="0" w:space="0" w:color="auto"/>
        <w:left w:val="none" w:sz="0" w:space="0" w:color="auto"/>
        <w:bottom w:val="none" w:sz="0" w:space="0" w:color="auto"/>
        <w:right w:val="none" w:sz="0" w:space="0" w:color="auto"/>
      </w:divBdr>
    </w:div>
    <w:div w:id="1203135936">
      <w:bodyDiv w:val="1"/>
      <w:marLeft w:val="0"/>
      <w:marRight w:val="0"/>
      <w:marTop w:val="0"/>
      <w:marBottom w:val="0"/>
      <w:divBdr>
        <w:top w:val="none" w:sz="0" w:space="0" w:color="auto"/>
        <w:left w:val="none" w:sz="0" w:space="0" w:color="auto"/>
        <w:bottom w:val="none" w:sz="0" w:space="0" w:color="auto"/>
        <w:right w:val="none" w:sz="0" w:space="0" w:color="auto"/>
      </w:divBdr>
    </w:div>
    <w:div w:id="1271812345">
      <w:bodyDiv w:val="1"/>
      <w:marLeft w:val="0"/>
      <w:marRight w:val="0"/>
      <w:marTop w:val="0"/>
      <w:marBottom w:val="0"/>
      <w:divBdr>
        <w:top w:val="none" w:sz="0" w:space="0" w:color="auto"/>
        <w:left w:val="none" w:sz="0" w:space="0" w:color="auto"/>
        <w:bottom w:val="none" w:sz="0" w:space="0" w:color="auto"/>
        <w:right w:val="none" w:sz="0" w:space="0" w:color="auto"/>
      </w:divBdr>
    </w:div>
    <w:div w:id="1278752594">
      <w:bodyDiv w:val="1"/>
      <w:marLeft w:val="0"/>
      <w:marRight w:val="0"/>
      <w:marTop w:val="0"/>
      <w:marBottom w:val="0"/>
      <w:divBdr>
        <w:top w:val="none" w:sz="0" w:space="0" w:color="auto"/>
        <w:left w:val="none" w:sz="0" w:space="0" w:color="auto"/>
        <w:bottom w:val="none" w:sz="0" w:space="0" w:color="auto"/>
        <w:right w:val="none" w:sz="0" w:space="0" w:color="auto"/>
      </w:divBdr>
    </w:div>
    <w:div w:id="1278833696">
      <w:bodyDiv w:val="1"/>
      <w:marLeft w:val="0"/>
      <w:marRight w:val="0"/>
      <w:marTop w:val="0"/>
      <w:marBottom w:val="0"/>
      <w:divBdr>
        <w:top w:val="none" w:sz="0" w:space="0" w:color="auto"/>
        <w:left w:val="none" w:sz="0" w:space="0" w:color="auto"/>
        <w:bottom w:val="none" w:sz="0" w:space="0" w:color="auto"/>
        <w:right w:val="none" w:sz="0" w:space="0" w:color="auto"/>
      </w:divBdr>
    </w:div>
    <w:div w:id="1317412574">
      <w:bodyDiv w:val="1"/>
      <w:marLeft w:val="0"/>
      <w:marRight w:val="0"/>
      <w:marTop w:val="0"/>
      <w:marBottom w:val="0"/>
      <w:divBdr>
        <w:top w:val="none" w:sz="0" w:space="0" w:color="auto"/>
        <w:left w:val="none" w:sz="0" w:space="0" w:color="auto"/>
        <w:bottom w:val="none" w:sz="0" w:space="0" w:color="auto"/>
        <w:right w:val="none" w:sz="0" w:space="0" w:color="auto"/>
      </w:divBdr>
    </w:div>
    <w:div w:id="1326859699">
      <w:bodyDiv w:val="1"/>
      <w:marLeft w:val="0"/>
      <w:marRight w:val="0"/>
      <w:marTop w:val="0"/>
      <w:marBottom w:val="0"/>
      <w:divBdr>
        <w:top w:val="none" w:sz="0" w:space="0" w:color="auto"/>
        <w:left w:val="none" w:sz="0" w:space="0" w:color="auto"/>
        <w:bottom w:val="none" w:sz="0" w:space="0" w:color="auto"/>
        <w:right w:val="none" w:sz="0" w:space="0" w:color="auto"/>
      </w:divBdr>
    </w:div>
    <w:div w:id="1395081558">
      <w:bodyDiv w:val="1"/>
      <w:marLeft w:val="0"/>
      <w:marRight w:val="0"/>
      <w:marTop w:val="0"/>
      <w:marBottom w:val="0"/>
      <w:divBdr>
        <w:top w:val="none" w:sz="0" w:space="0" w:color="auto"/>
        <w:left w:val="none" w:sz="0" w:space="0" w:color="auto"/>
        <w:bottom w:val="none" w:sz="0" w:space="0" w:color="auto"/>
        <w:right w:val="none" w:sz="0" w:space="0" w:color="auto"/>
      </w:divBdr>
    </w:div>
    <w:div w:id="1424451040">
      <w:bodyDiv w:val="1"/>
      <w:marLeft w:val="0"/>
      <w:marRight w:val="0"/>
      <w:marTop w:val="0"/>
      <w:marBottom w:val="0"/>
      <w:divBdr>
        <w:top w:val="none" w:sz="0" w:space="0" w:color="auto"/>
        <w:left w:val="none" w:sz="0" w:space="0" w:color="auto"/>
        <w:bottom w:val="none" w:sz="0" w:space="0" w:color="auto"/>
        <w:right w:val="none" w:sz="0" w:space="0" w:color="auto"/>
      </w:divBdr>
    </w:div>
    <w:div w:id="1425343272">
      <w:bodyDiv w:val="1"/>
      <w:marLeft w:val="0"/>
      <w:marRight w:val="0"/>
      <w:marTop w:val="0"/>
      <w:marBottom w:val="0"/>
      <w:divBdr>
        <w:top w:val="none" w:sz="0" w:space="0" w:color="auto"/>
        <w:left w:val="none" w:sz="0" w:space="0" w:color="auto"/>
        <w:bottom w:val="none" w:sz="0" w:space="0" w:color="auto"/>
        <w:right w:val="none" w:sz="0" w:space="0" w:color="auto"/>
      </w:divBdr>
    </w:div>
    <w:div w:id="1477139099">
      <w:bodyDiv w:val="1"/>
      <w:marLeft w:val="0"/>
      <w:marRight w:val="0"/>
      <w:marTop w:val="0"/>
      <w:marBottom w:val="0"/>
      <w:divBdr>
        <w:top w:val="none" w:sz="0" w:space="0" w:color="auto"/>
        <w:left w:val="none" w:sz="0" w:space="0" w:color="auto"/>
        <w:bottom w:val="none" w:sz="0" w:space="0" w:color="auto"/>
        <w:right w:val="none" w:sz="0" w:space="0" w:color="auto"/>
      </w:divBdr>
    </w:div>
    <w:div w:id="1498493549">
      <w:bodyDiv w:val="1"/>
      <w:marLeft w:val="0"/>
      <w:marRight w:val="0"/>
      <w:marTop w:val="0"/>
      <w:marBottom w:val="0"/>
      <w:divBdr>
        <w:top w:val="none" w:sz="0" w:space="0" w:color="auto"/>
        <w:left w:val="none" w:sz="0" w:space="0" w:color="auto"/>
        <w:bottom w:val="none" w:sz="0" w:space="0" w:color="auto"/>
        <w:right w:val="none" w:sz="0" w:space="0" w:color="auto"/>
      </w:divBdr>
    </w:div>
    <w:div w:id="1512599341">
      <w:bodyDiv w:val="1"/>
      <w:marLeft w:val="0"/>
      <w:marRight w:val="0"/>
      <w:marTop w:val="0"/>
      <w:marBottom w:val="0"/>
      <w:divBdr>
        <w:top w:val="none" w:sz="0" w:space="0" w:color="auto"/>
        <w:left w:val="none" w:sz="0" w:space="0" w:color="auto"/>
        <w:bottom w:val="none" w:sz="0" w:space="0" w:color="auto"/>
        <w:right w:val="none" w:sz="0" w:space="0" w:color="auto"/>
      </w:divBdr>
    </w:div>
    <w:div w:id="1513299256">
      <w:bodyDiv w:val="1"/>
      <w:marLeft w:val="0"/>
      <w:marRight w:val="0"/>
      <w:marTop w:val="0"/>
      <w:marBottom w:val="0"/>
      <w:divBdr>
        <w:top w:val="none" w:sz="0" w:space="0" w:color="auto"/>
        <w:left w:val="none" w:sz="0" w:space="0" w:color="auto"/>
        <w:bottom w:val="none" w:sz="0" w:space="0" w:color="auto"/>
        <w:right w:val="none" w:sz="0" w:space="0" w:color="auto"/>
      </w:divBdr>
    </w:div>
    <w:div w:id="1558665123">
      <w:bodyDiv w:val="1"/>
      <w:marLeft w:val="0"/>
      <w:marRight w:val="0"/>
      <w:marTop w:val="0"/>
      <w:marBottom w:val="0"/>
      <w:divBdr>
        <w:top w:val="none" w:sz="0" w:space="0" w:color="auto"/>
        <w:left w:val="none" w:sz="0" w:space="0" w:color="auto"/>
        <w:bottom w:val="none" w:sz="0" w:space="0" w:color="auto"/>
        <w:right w:val="none" w:sz="0" w:space="0" w:color="auto"/>
      </w:divBdr>
    </w:div>
    <w:div w:id="1597397413">
      <w:bodyDiv w:val="1"/>
      <w:marLeft w:val="0"/>
      <w:marRight w:val="0"/>
      <w:marTop w:val="0"/>
      <w:marBottom w:val="0"/>
      <w:divBdr>
        <w:top w:val="none" w:sz="0" w:space="0" w:color="auto"/>
        <w:left w:val="none" w:sz="0" w:space="0" w:color="auto"/>
        <w:bottom w:val="none" w:sz="0" w:space="0" w:color="auto"/>
        <w:right w:val="none" w:sz="0" w:space="0" w:color="auto"/>
      </w:divBdr>
    </w:div>
    <w:div w:id="1599220224">
      <w:bodyDiv w:val="1"/>
      <w:marLeft w:val="0"/>
      <w:marRight w:val="0"/>
      <w:marTop w:val="0"/>
      <w:marBottom w:val="0"/>
      <w:divBdr>
        <w:top w:val="none" w:sz="0" w:space="0" w:color="auto"/>
        <w:left w:val="none" w:sz="0" w:space="0" w:color="auto"/>
        <w:bottom w:val="none" w:sz="0" w:space="0" w:color="auto"/>
        <w:right w:val="none" w:sz="0" w:space="0" w:color="auto"/>
      </w:divBdr>
    </w:div>
    <w:div w:id="1698895208">
      <w:bodyDiv w:val="1"/>
      <w:marLeft w:val="0"/>
      <w:marRight w:val="0"/>
      <w:marTop w:val="0"/>
      <w:marBottom w:val="0"/>
      <w:divBdr>
        <w:top w:val="none" w:sz="0" w:space="0" w:color="auto"/>
        <w:left w:val="none" w:sz="0" w:space="0" w:color="auto"/>
        <w:bottom w:val="none" w:sz="0" w:space="0" w:color="auto"/>
        <w:right w:val="none" w:sz="0" w:space="0" w:color="auto"/>
      </w:divBdr>
    </w:div>
    <w:div w:id="1735351289">
      <w:bodyDiv w:val="1"/>
      <w:marLeft w:val="0"/>
      <w:marRight w:val="0"/>
      <w:marTop w:val="0"/>
      <w:marBottom w:val="0"/>
      <w:divBdr>
        <w:top w:val="none" w:sz="0" w:space="0" w:color="auto"/>
        <w:left w:val="none" w:sz="0" w:space="0" w:color="auto"/>
        <w:bottom w:val="none" w:sz="0" w:space="0" w:color="auto"/>
        <w:right w:val="none" w:sz="0" w:space="0" w:color="auto"/>
      </w:divBdr>
    </w:div>
    <w:div w:id="1744373755">
      <w:bodyDiv w:val="1"/>
      <w:marLeft w:val="0"/>
      <w:marRight w:val="0"/>
      <w:marTop w:val="0"/>
      <w:marBottom w:val="0"/>
      <w:divBdr>
        <w:top w:val="none" w:sz="0" w:space="0" w:color="auto"/>
        <w:left w:val="none" w:sz="0" w:space="0" w:color="auto"/>
        <w:bottom w:val="none" w:sz="0" w:space="0" w:color="auto"/>
        <w:right w:val="none" w:sz="0" w:space="0" w:color="auto"/>
      </w:divBdr>
    </w:div>
    <w:div w:id="1759670938">
      <w:bodyDiv w:val="1"/>
      <w:marLeft w:val="0"/>
      <w:marRight w:val="0"/>
      <w:marTop w:val="0"/>
      <w:marBottom w:val="0"/>
      <w:divBdr>
        <w:top w:val="none" w:sz="0" w:space="0" w:color="auto"/>
        <w:left w:val="none" w:sz="0" w:space="0" w:color="auto"/>
        <w:bottom w:val="none" w:sz="0" w:space="0" w:color="auto"/>
        <w:right w:val="none" w:sz="0" w:space="0" w:color="auto"/>
      </w:divBdr>
    </w:div>
    <w:div w:id="1779056877">
      <w:bodyDiv w:val="1"/>
      <w:marLeft w:val="0"/>
      <w:marRight w:val="0"/>
      <w:marTop w:val="0"/>
      <w:marBottom w:val="0"/>
      <w:divBdr>
        <w:top w:val="none" w:sz="0" w:space="0" w:color="auto"/>
        <w:left w:val="none" w:sz="0" w:space="0" w:color="auto"/>
        <w:bottom w:val="none" w:sz="0" w:space="0" w:color="auto"/>
        <w:right w:val="none" w:sz="0" w:space="0" w:color="auto"/>
      </w:divBdr>
    </w:div>
    <w:div w:id="1783956611">
      <w:bodyDiv w:val="1"/>
      <w:marLeft w:val="0"/>
      <w:marRight w:val="0"/>
      <w:marTop w:val="0"/>
      <w:marBottom w:val="0"/>
      <w:divBdr>
        <w:top w:val="none" w:sz="0" w:space="0" w:color="auto"/>
        <w:left w:val="none" w:sz="0" w:space="0" w:color="auto"/>
        <w:bottom w:val="none" w:sz="0" w:space="0" w:color="auto"/>
        <w:right w:val="none" w:sz="0" w:space="0" w:color="auto"/>
      </w:divBdr>
    </w:div>
    <w:div w:id="1792284151">
      <w:bodyDiv w:val="1"/>
      <w:marLeft w:val="0"/>
      <w:marRight w:val="0"/>
      <w:marTop w:val="0"/>
      <w:marBottom w:val="0"/>
      <w:divBdr>
        <w:top w:val="none" w:sz="0" w:space="0" w:color="auto"/>
        <w:left w:val="none" w:sz="0" w:space="0" w:color="auto"/>
        <w:bottom w:val="none" w:sz="0" w:space="0" w:color="auto"/>
        <w:right w:val="none" w:sz="0" w:space="0" w:color="auto"/>
      </w:divBdr>
    </w:div>
    <w:div w:id="1804033093">
      <w:bodyDiv w:val="1"/>
      <w:marLeft w:val="0"/>
      <w:marRight w:val="0"/>
      <w:marTop w:val="0"/>
      <w:marBottom w:val="0"/>
      <w:divBdr>
        <w:top w:val="none" w:sz="0" w:space="0" w:color="auto"/>
        <w:left w:val="none" w:sz="0" w:space="0" w:color="auto"/>
        <w:bottom w:val="none" w:sz="0" w:space="0" w:color="auto"/>
        <w:right w:val="none" w:sz="0" w:space="0" w:color="auto"/>
      </w:divBdr>
    </w:div>
    <w:div w:id="1816605032">
      <w:bodyDiv w:val="1"/>
      <w:marLeft w:val="0"/>
      <w:marRight w:val="0"/>
      <w:marTop w:val="0"/>
      <w:marBottom w:val="0"/>
      <w:divBdr>
        <w:top w:val="none" w:sz="0" w:space="0" w:color="auto"/>
        <w:left w:val="none" w:sz="0" w:space="0" w:color="auto"/>
        <w:bottom w:val="none" w:sz="0" w:space="0" w:color="auto"/>
        <w:right w:val="none" w:sz="0" w:space="0" w:color="auto"/>
      </w:divBdr>
    </w:div>
    <w:div w:id="1855149652">
      <w:bodyDiv w:val="1"/>
      <w:marLeft w:val="0"/>
      <w:marRight w:val="0"/>
      <w:marTop w:val="0"/>
      <w:marBottom w:val="0"/>
      <w:divBdr>
        <w:top w:val="none" w:sz="0" w:space="0" w:color="auto"/>
        <w:left w:val="none" w:sz="0" w:space="0" w:color="auto"/>
        <w:bottom w:val="none" w:sz="0" w:space="0" w:color="auto"/>
        <w:right w:val="none" w:sz="0" w:space="0" w:color="auto"/>
      </w:divBdr>
    </w:div>
    <w:div w:id="1857108925">
      <w:bodyDiv w:val="1"/>
      <w:marLeft w:val="0"/>
      <w:marRight w:val="0"/>
      <w:marTop w:val="0"/>
      <w:marBottom w:val="0"/>
      <w:divBdr>
        <w:top w:val="none" w:sz="0" w:space="0" w:color="auto"/>
        <w:left w:val="none" w:sz="0" w:space="0" w:color="auto"/>
        <w:bottom w:val="none" w:sz="0" w:space="0" w:color="auto"/>
        <w:right w:val="none" w:sz="0" w:space="0" w:color="auto"/>
      </w:divBdr>
    </w:div>
    <w:div w:id="1857186684">
      <w:bodyDiv w:val="1"/>
      <w:marLeft w:val="0"/>
      <w:marRight w:val="0"/>
      <w:marTop w:val="0"/>
      <w:marBottom w:val="0"/>
      <w:divBdr>
        <w:top w:val="none" w:sz="0" w:space="0" w:color="auto"/>
        <w:left w:val="none" w:sz="0" w:space="0" w:color="auto"/>
        <w:bottom w:val="none" w:sz="0" w:space="0" w:color="auto"/>
        <w:right w:val="none" w:sz="0" w:space="0" w:color="auto"/>
      </w:divBdr>
    </w:div>
    <w:div w:id="1871456839">
      <w:bodyDiv w:val="1"/>
      <w:marLeft w:val="0"/>
      <w:marRight w:val="0"/>
      <w:marTop w:val="0"/>
      <w:marBottom w:val="0"/>
      <w:divBdr>
        <w:top w:val="none" w:sz="0" w:space="0" w:color="auto"/>
        <w:left w:val="none" w:sz="0" w:space="0" w:color="auto"/>
        <w:bottom w:val="none" w:sz="0" w:space="0" w:color="auto"/>
        <w:right w:val="none" w:sz="0" w:space="0" w:color="auto"/>
      </w:divBdr>
    </w:div>
    <w:div w:id="1873571828">
      <w:bodyDiv w:val="1"/>
      <w:marLeft w:val="0"/>
      <w:marRight w:val="0"/>
      <w:marTop w:val="0"/>
      <w:marBottom w:val="0"/>
      <w:divBdr>
        <w:top w:val="none" w:sz="0" w:space="0" w:color="auto"/>
        <w:left w:val="none" w:sz="0" w:space="0" w:color="auto"/>
        <w:bottom w:val="none" w:sz="0" w:space="0" w:color="auto"/>
        <w:right w:val="none" w:sz="0" w:space="0" w:color="auto"/>
      </w:divBdr>
    </w:div>
    <w:div w:id="1880243687">
      <w:bodyDiv w:val="1"/>
      <w:marLeft w:val="0"/>
      <w:marRight w:val="0"/>
      <w:marTop w:val="0"/>
      <w:marBottom w:val="0"/>
      <w:divBdr>
        <w:top w:val="none" w:sz="0" w:space="0" w:color="auto"/>
        <w:left w:val="none" w:sz="0" w:space="0" w:color="auto"/>
        <w:bottom w:val="none" w:sz="0" w:space="0" w:color="auto"/>
        <w:right w:val="none" w:sz="0" w:space="0" w:color="auto"/>
      </w:divBdr>
    </w:div>
    <w:div w:id="1887182454">
      <w:bodyDiv w:val="1"/>
      <w:marLeft w:val="0"/>
      <w:marRight w:val="0"/>
      <w:marTop w:val="0"/>
      <w:marBottom w:val="0"/>
      <w:divBdr>
        <w:top w:val="none" w:sz="0" w:space="0" w:color="auto"/>
        <w:left w:val="none" w:sz="0" w:space="0" w:color="auto"/>
        <w:bottom w:val="none" w:sz="0" w:space="0" w:color="auto"/>
        <w:right w:val="none" w:sz="0" w:space="0" w:color="auto"/>
      </w:divBdr>
    </w:div>
    <w:div w:id="1963685420">
      <w:bodyDiv w:val="1"/>
      <w:marLeft w:val="0"/>
      <w:marRight w:val="0"/>
      <w:marTop w:val="0"/>
      <w:marBottom w:val="0"/>
      <w:divBdr>
        <w:top w:val="none" w:sz="0" w:space="0" w:color="auto"/>
        <w:left w:val="none" w:sz="0" w:space="0" w:color="auto"/>
        <w:bottom w:val="none" w:sz="0" w:space="0" w:color="auto"/>
        <w:right w:val="none" w:sz="0" w:space="0" w:color="auto"/>
      </w:divBdr>
    </w:div>
    <w:div w:id="1977032133">
      <w:bodyDiv w:val="1"/>
      <w:marLeft w:val="0"/>
      <w:marRight w:val="0"/>
      <w:marTop w:val="0"/>
      <w:marBottom w:val="0"/>
      <w:divBdr>
        <w:top w:val="none" w:sz="0" w:space="0" w:color="auto"/>
        <w:left w:val="none" w:sz="0" w:space="0" w:color="auto"/>
        <w:bottom w:val="none" w:sz="0" w:space="0" w:color="auto"/>
        <w:right w:val="none" w:sz="0" w:space="0" w:color="auto"/>
      </w:divBdr>
    </w:div>
    <w:div w:id="1984193897">
      <w:bodyDiv w:val="1"/>
      <w:marLeft w:val="0"/>
      <w:marRight w:val="0"/>
      <w:marTop w:val="0"/>
      <w:marBottom w:val="0"/>
      <w:divBdr>
        <w:top w:val="none" w:sz="0" w:space="0" w:color="auto"/>
        <w:left w:val="none" w:sz="0" w:space="0" w:color="auto"/>
        <w:bottom w:val="none" w:sz="0" w:space="0" w:color="auto"/>
        <w:right w:val="none" w:sz="0" w:space="0" w:color="auto"/>
      </w:divBdr>
      <w:divsChild>
        <w:div w:id="1347252809">
          <w:marLeft w:val="0"/>
          <w:marRight w:val="0"/>
          <w:marTop w:val="0"/>
          <w:marBottom w:val="0"/>
          <w:divBdr>
            <w:top w:val="none" w:sz="0" w:space="0" w:color="auto"/>
            <w:left w:val="none" w:sz="0" w:space="0" w:color="auto"/>
            <w:bottom w:val="none" w:sz="0" w:space="0" w:color="auto"/>
            <w:right w:val="none" w:sz="0" w:space="0" w:color="auto"/>
          </w:divBdr>
        </w:div>
        <w:div w:id="1749419839">
          <w:marLeft w:val="0"/>
          <w:marRight w:val="0"/>
          <w:marTop w:val="0"/>
          <w:marBottom w:val="0"/>
          <w:divBdr>
            <w:top w:val="none" w:sz="0" w:space="0" w:color="auto"/>
            <w:left w:val="none" w:sz="0" w:space="0" w:color="auto"/>
            <w:bottom w:val="none" w:sz="0" w:space="0" w:color="auto"/>
            <w:right w:val="none" w:sz="0" w:space="0" w:color="auto"/>
          </w:divBdr>
        </w:div>
        <w:div w:id="2115898042">
          <w:marLeft w:val="0"/>
          <w:marRight w:val="0"/>
          <w:marTop w:val="0"/>
          <w:marBottom w:val="0"/>
          <w:divBdr>
            <w:top w:val="none" w:sz="0" w:space="0" w:color="auto"/>
            <w:left w:val="none" w:sz="0" w:space="0" w:color="auto"/>
            <w:bottom w:val="none" w:sz="0" w:space="0" w:color="auto"/>
            <w:right w:val="none" w:sz="0" w:space="0" w:color="auto"/>
          </w:divBdr>
        </w:div>
      </w:divsChild>
    </w:div>
    <w:div w:id="1985818677">
      <w:bodyDiv w:val="1"/>
      <w:marLeft w:val="0"/>
      <w:marRight w:val="0"/>
      <w:marTop w:val="0"/>
      <w:marBottom w:val="0"/>
      <w:divBdr>
        <w:top w:val="none" w:sz="0" w:space="0" w:color="auto"/>
        <w:left w:val="none" w:sz="0" w:space="0" w:color="auto"/>
        <w:bottom w:val="none" w:sz="0" w:space="0" w:color="auto"/>
        <w:right w:val="none" w:sz="0" w:space="0" w:color="auto"/>
      </w:divBdr>
    </w:div>
    <w:div w:id="2003048809">
      <w:bodyDiv w:val="1"/>
      <w:marLeft w:val="0"/>
      <w:marRight w:val="0"/>
      <w:marTop w:val="0"/>
      <w:marBottom w:val="0"/>
      <w:divBdr>
        <w:top w:val="none" w:sz="0" w:space="0" w:color="auto"/>
        <w:left w:val="none" w:sz="0" w:space="0" w:color="auto"/>
        <w:bottom w:val="none" w:sz="0" w:space="0" w:color="auto"/>
        <w:right w:val="none" w:sz="0" w:space="0" w:color="auto"/>
      </w:divBdr>
    </w:div>
    <w:div w:id="2025669280">
      <w:bodyDiv w:val="1"/>
      <w:marLeft w:val="0"/>
      <w:marRight w:val="0"/>
      <w:marTop w:val="0"/>
      <w:marBottom w:val="0"/>
      <w:divBdr>
        <w:top w:val="none" w:sz="0" w:space="0" w:color="auto"/>
        <w:left w:val="none" w:sz="0" w:space="0" w:color="auto"/>
        <w:bottom w:val="none" w:sz="0" w:space="0" w:color="auto"/>
        <w:right w:val="none" w:sz="0" w:space="0" w:color="auto"/>
      </w:divBdr>
    </w:div>
    <w:div w:id="2064526268">
      <w:bodyDiv w:val="1"/>
      <w:marLeft w:val="0"/>
      <w:marRight w:val="0"/>
      <w:marTop w:val="0"/>
      <w:marBottom w:val="0"/>
      <w:divBdr>
        <w:top w:val="none" w:sz="0" w:space="0" w:color="auto"/>
        <w:left w:val="none" w:sz="0" w:space="0" w:color="auto"/>
        <w:bottom w:val="none" w:sz="0" w:space="0" w:color="auto"/>
        <w:right w:val="none" w:sz="0" w:space="0" w:color="auto"/>
      </w:divBdr>
    </w:div>
    <w:div w:id="2070222544">
      <w:bodyDiv w:val="1"/>
      <w:marLeft w:val="0"/>
      <w:marRight w:val="0"/>
      <w:marTop w:val="0"/>
      <w:marBottom w:val="0"/>
      <w:divBdr>
        <w:top w:val="none" w:sz="0" w:space="0" w:color="auto"/>
        <w:left w:val="none" w:sz="0" w:space="0" w:color="auto"/>
        <w:bottom w:val="none" w:sz="0" w:space="0" w:color="auto"/>
        <w:right w:val="none" w:sz="0" w:space="0" w:color="auto"/>
      </w:divBdr>
    </w:div>
    <w:div w:id="2087872940">
      <w:bodyDiv w:val="1"/>
      <w:marLeft w:val="0"/>
      <w:marRight w:val="0"/>
      <w:marTop w:val="0"/>
      <w:marBottom w:val="0"/>
      <w:divBdr>
        <w:top w:val="none" w:sz="0" w:space="0" w:color="auto"/>
        <w:left w:val="none" w:sz="0" w:space="0" w:color="auto"/>
        <w:bottom w:val="none" w:sz="0" w:space="0" w:color="auto"/>
        <w:right w:val="none" w:sz="0" w:space="0" w:color="auto"/>
      </w:divBdr>
    </w:div>
    <w:div w:id="2114157448">
      <w:bodyDiv w:val="1"/>
      <w:marLeft w:val="0"/>
      <w:marRight w:val="0"/>
      <w:marTop w:val="0"/>
      <w:marBottom w:val="0"/>
      <w:divBdr>
        <w:top w:val="none" w:sz="0" w:space="0" w:color="auto"/>
        <w:left w:val="none" w:sz="0" w:space="0" w:color="auto"/>
        <w:bottom w:val="none" w:sz="0" w:space="0" w:color="auto"/>
        <w:right w:val="none" w:sz="0" w:space="0" w:color="auto"/>
      </w:divBdr>
    </w:div>
    <w:div w:id="2129658202">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chart" Target="charts/chart4.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chart" Target="charts/chart7.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3.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hart" Target="charts/chart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header" Target="header1.xml"/><Relationship Id="rId27"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oleObject" Target="https://nswgov.sharepoint.com/sites/2020-21BP3-RelationshipLeads/Shared%20Documents/General/02.%20Education%20Cluster/02.%20Green/Attachment%20B%20%20Outcome%20Indicator%20-%20Education%20(GREE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nswgov.sharepoint.com/sites/2020-21BP3-RelationshipLeads/Shared%20Documents/General/02.%20Education%20Cluster/02.%20Green/Attachment%20B%20%20Outcome%20Indicator%20-%20Education%20(GREE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nswgov.sharepoint.com/sites/2020-21BP3-RelationshipLeads/Shared%20Documents/General/02.%20Education%20Cluster/02.%20Green/Attachment%20B%20%20Outcome%20Indicator%20-%20Education%20(GREEN).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nswgov.sharepoint.com/sites/2020-21BP3-RelationshipLeads/Shared%20Documents/General/02.%20Education%20Cluster/02.%20Green/Attachment%20B%20%20Outcome%20Indicator%20-%20Education%20(GREEN).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nswgov.sharepoint.com/sites/2020-21BP3-RelationshipLeads/Shared%20Documents/General/02.%20Education%20Cluster/02.%20Green/Attachment%20B%20%20Outcome%20Indicator%20-%20Education%20(GREEN).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nswgov.sharepoint.com/sites/2020-21BP3-RelationshipLeads/Shared%20Documents/General/02.%20Education%20Cluster/03.%20White/Attachment%20B%20%20Outcome%20Indicator%20-%20Education%20(WHIT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nswgov.sharepoint.com/sites/2020-21BP3-RelationshipLeads/Shared%20Documents/General/02.%20Education%20Cluster/03.%20White/Attachment%20B%20%20Outcome%20Indicator%20-%20Education%20(WHITE).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'Mauve BP3 charts'!$K$5</c:f>
              <c:strCache>
                <c:ptCount val="1"/>
                <c:pt idx="0">
                  <c:v>%</c:v>
                </c:pt>
              </c:strCache>
            </c:strRef>
          </c:tx>
          <c:spPr>
            <a:ln w="28575" cap="rnd">
              <a:solidFill>
                <a:srgbClr val="00426F"/>
              </a:solidFill>
              <a:round/>
            </a:ln>
            <a:effectLst/>
          </c:spPr>
          <c:marker>
            <c:symbol val="none"/>
          </c:marker>
          <c:cat>
            <c:strRef>
              <c:f>'Mauve BP3 charts'!$J$6:$J$12</c:f>
              <c:strCache>
                <c:ptCount val="7"/>
                <c:pt idx="0">
                  <c:v>2016
Actual</c:v>
                </c:pt>
                <c:pt idx="1">
                  <c:v>2017
Actual</c:v>
                </c:pt>
                <c:pt idx="2">
                  <c:v>2018
Actual</c:v>
                </c:pt>
                <c:pt idx="3">
                  <c:v>2019
Actual</c:v>
                </c:pt>
                <c:pt idx="4">
                  <c:v>2020
Forecast</c:v>
                </c:pt>
                <c:pt idx="5">
                  <c:v>2021
Forecast</c:v>
                </c:pt>
                <c:pt idx="6">
                  <c:v>2022
Target</c:v>
                </c:pt>
              </c:strCache>
            </c:strRef>
          </c:cat>
          <c:val>
            <c:numRef>
              <c:f>'Mauve BP3 charts'!$K$6:$K$12</c:f>
              <c:numCache>
                <c:formatCode>General</c:formatCode>
                <c:ptCount val="7"/>
                <c:pt idx="0">
                  <c:v>85.1</c:v>
                </c:pt>
                <c:pt idx="1">
                  <c:v>94.1</c:v>
                </c:pt>
                <c:pt idx="2">
                  <c:v>93.5</c:v>
                </c:pt>
                <c:pt idx="3">
                  <c:v>94.5</c:v>
                </c:pt>
              </c:numCache>
            </c:numRef>
          </c:val>
          <c:smooth val="0"/>
          <c:extLst>
            <c:ext xmlns:c16="http://schemas.microsoft.com/office/drawing/2014/chart" uri="{C3380CC4-5D6E-409C-BE32-E72D297353CC}">
              <c16:uniqueId val="{00000000-C7F4-406F-9A0B-9E3F20D1CCD8}"/>
            </c:ext>
          </c:extLst>
        </c:ser>
        <c:ser>
          <c:idx val="1"/>
          <c:order val="1"/>
          <c:tx>
            <c:strRef>
              <c:f>'Mauve BP3 charts'!$L$5</c:f>
              <c:strCache>
                <c:ptCount val="1"/>
                <c:pt idx="0">
                  <c:v>%</c:v>
                </c:pt>
              </c:strCache>
            </c:strRef>
          </c:tx>
          <c:spPr>
            <a:ln w="28575" cap="rnd">
              <a:solidFill>
                <a:srgbClr val="00426F"/>
              </a:solidFill>
              <a:prstDash val="dash"/>
              <a:round/>
            </a:ln>
            <a:effectLst/>
          </c:spPr>
          <c:marker>
            <c:symbol val="none"/>
          </c:marker>
          <c:cat>
            <c:strRef>
              <c:f>'Mauve BP3 charts'!$J$6:$J$12</c:f>
              <c:strCache>
                <c:ptCount val="7"/>
                <c:pt idx="0">
                  <c:v>2016
Actual</c:v>
                </c:pt>
                <c:pt idx="1">
                  <c:v>2017
Actual</c:v>
                </c:pt>
                <c:pt idx="2">
                  <c:v>2018
Actual</c:v>
                </c:pt>
                <c:pt idx="3">
                  <c:v>2019
Actual</c:v>
                </c:pt>
                <c:pt idx="4">
                  <c:v>2020
Forecast</c:v>
                </c:pt>
                <c:pt idx="5">
                  <c:v>2021
Forecast</c:v>
                </c:pt>
                <c:pt idx="6">
                  <c:v>2022
Target</c:v>
                </c:pt>
              </c:strCache>
            </c:strRef>
          </c:cat>
          <c:val>
            <c:numRef>
              <c:f>'Mauve BP3 charts'!$L$6:$L$12</c:f>
              <c:numCache>
                <c:formatCode>General</c:formatCode>
                <c:ptCount val="7"/>
                <c:pt idx="3">
                  <c:v>94.5</c:v>
                </c:pt>
                <c:pt idx="4">
                  <c:v>94.6</c:v>
                </c:pt>
                <c:pt idx="5">
                  <c:v>94.6</c:v>
                </c:pt>
              </c:numCache>
            </c:numRef>
          </c:val>
          <c:smooth val="0"/>
          <c:extLst>
            <c:ext xmlns:c16="http://schemas.microsoft.com/office/drawing/2014/chart" uri="{C3380CC4-5D6E-409C-BE32-E72D297353CC}">
              <c16:uniqueId val="{00000001-C7F4-406F-9A0B-9E3F20D1CCD8}"/>
            </c:ext>
          </c:extLst>
        </c:ser>
        <c:ser>
          <c:idx val="2"/>
          <c:order val="2"/>
          <c:tx>
            <c:strRef>
              <c:f>'Mauve BP3 charts'!$M$5</c:f>
              <c:strCache>
                <c:ptCount val="1"/>
                <c:pt idx="0">
                  <c:v>%</c:v>
                </c:pt>
              </c:strCache>
            </c:strRef>
          </c:tx>
          <c:spPr>
            <a:ln w="28575" cap="rnd">
              <a:noFill/>
              <a:round/>
            </a:ln>
            <a:effectLst/>
          </c:spPr>
          <c:marker>
            <c:symbol val="diamond"/>
            <c:size val="9"/>
            <c:spPr>
              <a:solidFill>
                <a:srgbClr val="00426F"/>
              </a:solidFill>
              <a:ln w="9525">
                <a:noFill/>
              </a:ln>
              <a:effectLst/>
            </c:spPr>
          </c:marker>
          <c:cat>
            <c:strRef>
              <c:f>'Mauve BP3 charts'!$J$6:$J$12</c:f>
              <c:strCache>
                <c:ptCount val="7"/>
                <c:pt idx="0">
                  <c:v>2016
Actual</c:v>
                </c:pt>
                <c:pt idx="1">
                  <c:v>2017
Actual</c:v>
                </c:pt>
                <c:pt idx="2">
                  <c:v>2018
Actual</c:v>
                </c:pt>
                <c:pt idx="3">
                  <c:v>2019
Actual</c:v>
                </c:pt>
                <c:pt idx="4">
                  <c:v>2020
Forecast</c:v>
                </c:pt>
                <c:pt idx="5">
                  <c:v>2021
Forecast</c:v>
                </c:pt>
                <c:pt idx="6">
                  <c:v>2022
Target</c:v>
                </c:pt>
              </c:strCache>
            </c:strRef>
          </c:cat>
          <c:val>
            <c:numRef>
              <c:f>'Mauve BP3 charts'!$M$6:$M$12</c:f>
              <c:numCache>
                <c:formatCode>General</c:formatCode>
                <c:ptCount val="7"/>
                <c:pt idx="6">
                  <c:v>95</c:v>
                </c:pt>
              </c:numCache>
            </c:numRef>
          </c:val>
          <c:smooth val="0"/>
          <c:extLst>
            <c:ext xmlns:c16="http://schemas.microsoft.com/office/drawing/2014/chart" uri="{C3380CC4-5D6E-409C-BE32-E72D297353CC}">
              <c16:uniqueId val="{00000002-C7F4-406F-9A0B-9E3F20D1CCD8}"/>
            </c:ext>
          </c:extLst>
        </c:ser>
        <c:dLbls>
          <c:showLegendKey val="0"/>
          <c:showVal val="0"/>
          <c:showCatName val="0"/>
          <c:showSerName val="0"/>
          <c:showPercent val="0"/>
          <c:showBubbleSize val="0"/>
        </c:dLbls>
        <c:smooth val="0"/>
        <c:axId val="1548642895"/>
        <c:axId val="1616297919"/>
      </c:lineChart>
      <c:catAx>
        <c:axId val="1548642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6297919"/>
        <c:crosses val="autoZero"/>
        <c:auto val="1"/>
        <c:lblAlgn val="ctr"/>
        <c:lblOffset val="100"/>
        <c:noMultiLvlLbl val="0"/>
      </c:catAx>
      <c:valAx>
        <c:axId val="1616297919"/>
        <c:scaling>
          <c:orientation val="minMax"/>
          <c:min val="0"/>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486428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'Mauve BP3 charts'!$K$30</c:f>
              <c:strCache>
                <c:ptCount val="1"/>
                <c:pt idx="0">
                  <c:v>%</c:v>
                </c:pt>
              </c:strCache>
            </c:strRef>
          </c:tx>
          <c:spPr>
            <a:ln w="28575" cap="rnd">
              <a:solidFill>
                <a:srgbClr val="00426F"/>
              </a:solidFill>
              <a:round/>
            </a:ln>
            <a:effectLst/>
          </c:spPr>
          <c:marker>
            <c:symbol val="none"/>
          </c:marker>
          <c:cat>
            <c:strRef>
              <c:f>'Mauve BP3 charts'!$J$31:$J$35</c:f>
              <c:strCache>
                <c:ptCount val="5"/>
                <c:pt idx="0">
                  <c:v>2018
Actual</c:v>
                </c:pt>
                <c:pt idx="1">
                  <c:v>2019
Actual</c:v>
                </c:pt>
                <c:pt idx="2">
                  <c:v>2020
Forecast</c:v>
                </c:pt>
                <c:pt idx="3">
                  <c:v>2021
Forecast</c:v>
                </c:pt>
                <c:pt idx="4">
                  <c:v>2022
Target</c:v>
                </c:pt>
              </c:strCache>
            </c:strRef>
          </c:cat>
          <c:val>
            <c:numRef>
              <c:f>'Mauve BP3 charts'!$K$31:$K$35</c:f>
              <c:numCache>
                <c:formatCode>General</c:formatCode>
                <c:ptCount val="5"/>
                <c:pt idx="0">
                  <c:v>74.7</c:v>
                </c:pt>
                <c:pt idx="1">
                  <c:v>74.3</c:v>
                </c:pt>
              </c:numCache>
            </c:numRef>
          </c:val>
          <c:smooth val="0"/>
          <c:extLst>
            <c:ext xmlns:c16="http://schemas.microsoft.com/office/drawing/2014/chart" uri="{C3380CC4-5D6E-409C-BE32-E72D297353CC}">
              <c16:uniqueId val="{00000000-779B-4F6B-AC80-86A0D9BC0298}"/>
            </c:ext>
          </c:extLst>
        </c:ser>
        <c:ser>
          <c:idx val="1"/>
          <c:order val="1"/>
          <c:tx>
            <c:strRef>
              <c:f>'Mauve BP3 charts'!$L$30</c:f>
              <c:strCache>
                <c:ptCount val="1"/>
                <c:pt idx="0">
                  <c:v>%</c:v>
                </c:pt>
              </c:strCache>
            </c:strRef>
          </c:tx>
          <c:spPr>
            <a:ln w="28575" cap="rnd">
              <a:solidFill>
                <a:srgbClr val="00426F"/>
              </a:solidFill>
              <a:prstDash val="dash"/>
              <a:round/>
            </a:ln>
            <a:effectLst/>
          </c:spPr>
          <c:marker>
            <c:symbol val="none"/>
          </c:marker>
          <c:cat>
            <c:strRef>
              <c:f>'Mauve BP3 charts'!$J$31:$J$35</c:f>
              <c:strCache>
                <c:ptCount val="5"/>
                <c:pt idx="0">
                  <c:v>2018
Actual</c:v>
                </c:pt>
                <c:pt idx="1">
                  <c:v>2019
Actual</c:v>
                </c:pt>
                <c:pt idx="2">
                  <c:v>2020
Forecast</c:v>
                </c:pt>
                <c:pt idx="3">
                  <c:v>2021
Forecast</c:v>
                </c:pt>
                <c:pt idx="4">
                  <c:v>2022
Target</c:v>
                </c:pt>
              </c:strCache>
            </c:strRef>
          </c:cat>
          <c:val>
            <c:numRef>
              <c:f>'Mauve BP3 charts'!$L$31:$L$35</c:f>
              <c:numCache>
                <c:formatCode>General</c:formatCode>
                <c:ptCount val="5"/>
                <c:pt idx="1">
                  <c:v>74.3</c:v>
                </c:pt>
                <c:pt idx="2">
                  <c:v>77.349999999999994</c:v>
                </c:pt>
                <c:pt idx="3">
                  <c:v>78.680000000000007</c:v>
                </c:pt>
              </c:numCache>
            </c:numRef>
          </c:val>
          <c:smooth val="0"/>
          <c:extLst>
            <c:ext xmlns:c16="http://schemas.microsoft.com/office/drawing/2014/chart" uri="{C3380CC4-5D6E-409C-BE32-E72D297353CC}">
              <c16:uniqueId val="{00000001-779B-4F6B-AC80-86A0D9BC0298}"/>
            </c:ext>
          </c:extLst>
        </c:ser>
        <c:ser>
          <c:idx val="2"/>
          <c:order val="2"/>
          <c:tx>
            <c:strRef>
              <c:f>'Mauve BP3 charts'!$M$30</c:f>
              <c:strCache>
                <c:ptCount val="1"/>
                <c:pt idx="0">
                  <c:v>%</c:v>
                </c:pt>
              </c:strCache>
            </c:strRef>
          </c:tx>
          <c:spPr>
            <a:ln w="28575" cap="rnd">
              <a:noFill/>
              <a:round/>
            </a:ln>
            <a:effectLst/>
          </c:spPr>
          <c:marker>
            <c:symbol val="diamond"/>
            <c:size val="9"/>
            <c:spPr>
              <a:solidFill>
                <a:srgbClr val="00426F"/>
              </a:solidFill>
              <a:ln w="9525">
                <a:noFill/>
              </a:ln>
              <a:effectLst/>
            </c:spPr>
          </c:marker>
          <c:cat>
            <c:strRef>
              <c:f>'Mauve BP3 charts'!$J$31:$J$35</c:f>
              <c:strCache>
                <c:ptCount val="5"/>
                <c:pt idx="0">
                  <c:v>2018
Actual</c:v>
                </c:pt>
                <c:pt idx="1">
                  <c:v>2019
Actual</c:v>
                </c:pt>
                <c:pt idx="2">
                  <c:v>2020
Forecast</c:v>
                </c:pt>
                <c:pt idx="3">
                  <c:v>2021
Forecast</c:v>
                </c:pt>
                <c:pt idx="4">
                  <c:v>2022
Target</c:v>
                </c:pt>
              </c:strCache>
            </c:strRef>
          </c:cat>
          <c:val>
            <c:numRef>
              <c:f>'Mauve BP3 charts'!$M$31:$M$35</c:f>
              <c:numCache>
                <c:formatCode>General</c:formatCode>
                <c:ptCount val="5"/>
                <c:pt idx="4">
                  <c:v>80</c:v>
                </c:pt>
              </c:numCache>
            </c:numRef>
          </c:val>
          <c:smooth val="0"/>
          <c:extLst>
            <c:ext xmlns:c16="http://schemas.microsoft.com/office/drawing/2014/chart" uri="{C3380CC4-5D6E-409C-BE32-E72D297353CC}">
              <c16:uniqueId val="{00000002-779B-4F6B-AC80-86A0D9BC0298}"/>
            </c:ext>
          </c:extLst>
        </c:ser>
        <c:dLbls>
          <c:showLegendKey val="0"/>
          <c:showVal val="0"/>
          <c:showCatName val="0"/>
          <c:showSerName val="0"/>
          <c:showPercent val="0"/>
          <c:showBubbleSize val="0"/>
        </c:dLbls>
        <c:smooth val="0"/>
        <c:axId val="1548642895"/>
        <c:axId val="1616297919"/>
      </c:lineChart>
      <c:catAx>
        <c:axId val="1548642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6297919"/>
        <c:crosses val="autoZero"/>
        <c:auto val="1"/>
        <c:lblAlgn val="ctr"/>
        <c:lblOffset val="100"/>
        <c:noMultiLvlLbl val="0"/>
      </c:catAx>
      <c:valAx>
        <c:axId val="1616297919"/>
        <c:scaling>
          <c:orientation val="minMax"/>
          <c:max val="100"/>
          <c:min val="0"/>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486428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'Mauve BP3 charts'!$K$56</c:f>
              <c:strCache>
                <c:ptCount val="1"/>
                <c:pt idx="0">
                  <c:v>%</c:v>
                </c:pt>
              </c:strCache>
            </c:strRef>
          </c:tx>
          <c:spPr>
            <a:ln w="28575" cap="rnd">
              <a:solidFill>
                <a:srgbClr val="00426F"/>
              </a:solidFill>
              <a:round/>
            </a:ln>
            <a:effectLst/>
          </c:spPr>
          <c:marker>
            <c:symbol val="none"/>
          </c:marker>
          <c:cat>
            <c:strRef>
              <c:f>'Mauve BP3 charts'!$J$57:$J$63</c:f>
              <c:strCache>
                <c:ptCount val="7"/>
                <c:pt idx="0">
                  <c:v>2016
Actual</c:v>
                </c:pt>
                <c:pt idx="1">
                  <c:v>2017
Actual</c:v>
                </c:pt>
                <c:pt idx="2">
                  <c:v>2018
Actual</c:v>
                </c:pt>
                <c:pt idx="3">
                  <c:v>2019
Actual</c:v>
                </c:pt>
                <c:pt idx="4">
                  <c:v>2020
Forecast</c:v>
                </c:pt>
                <c:pt idx="5">
                  <c:v>2021
Forecast</c:v>
                </c:pt>
                <c:pt idx="6">
                  <c:v>2022
Target</c:v>
                </c:pt>
              </c:strCache>
            </c:strRef>
          </c:cat>
          <c:val>
            <c:numRef>
              <c:f>'Mauve BP3 charts'!$K$57:$K$63</c:f>
              <c:numCache>
                <c:formatCode>General</c:formatCode>
                <c:ptCount val="7"/>
                <c:pt idx="0">
                  <c:v>29.8</c:v>
                </c:pt>
                <c:pt idx="1">
                  <c:v>31.3</c:v>
                </c:pt>
                <c:pt idx="2">
                  <c:v>31.9</c:v>
                </c:pt>
                <c:pt idx="3">
                  <c:v>32.200000000000003</c:v>
                </c:pt>
              </c:numCache>
            </c:numRef>
          </c:val>
          <c:smooth val="0"/>
          <c:extLst>
            <c:ext xmlns:c16="http://schemas.microsoft.com/office/drawing/2014/chart" uri="{C3380CC4-5D6E-409C-BE32-E72D297353CC}">
              <c16:uniqueId val="{00000000-CC36-483D-845A-3F4B0AB587E0}"/>
            </c:ext>
          </c:extLst>
        </c:ser>
        <c:ser>
          <c:idx val="1"/>
          <c:order val="1"/>
          <c:tx>
            <c:strRef>
              <c:f>'Mauve BP3 charts'!$L$56</c:f>
              <c:strCache>
                <c:ptCount val="1"/>
                <c:pt idx="0">
                  <c:v>%</c:v>
                </c:pt>
              </c:strCache>
            </c:strRef>
          </c:tx>
          <c:spPr>
            <a:ln w="28575" cap="rnd">
              <a:solidFill>
                <a:srgbClr val="00426F"/>
              </a:solidFill>
              <a:prstDash val="dash"/>
              <a:round/>
            </a:ln>
            <a:effectLst/>
          </c:spPr>
          <c:marker>
            <c:symbol val="none"/>
          </c:marker>
          <c:cat>
            <c:strRef>
              <c:f>'Mauve BP3 charts'!$J$57:$J$63</c:f>
              <c:strCache>
                <c:ptCount val="7"/>
                <c:pt idx="0">
                  <c:v>2016
Actual</c:v>
                </c:pt>
                <c:pt idx="1">
                  <c:v>2017
Actual</c:v>
                </c:pt>
                <c:pt idx="2">
                  <c:v>2018
Actual</c:v>
                </c:pt>
                <c:pt idx="3">
                  <c:v>2019
Actual</c:v>
                </c:pt>
                <c:pt idx="4">
                  <c:v>2020
Forecast</c:v>
                </c:pt>
                <c:pt idx="5">
                  <c:v>2021
Forecast</c:v>
                </c:pt>
                <c:pt idx="6">
                  <c:v>2022
Target</c:v>
                </c:pt>
              </c:strCache>
            </c:strRef>
          </c:cat>
          <c:val>
            <c:numRef>
              <c:f>'Mauve BP3 charts'!$L$57:$L$63</c:f>
              <c:numCache>
                <c:formatCode>General</c:formatCode>
                <c:ptCount val="7"/>
                <c:pt idx="3">
                  <c:v>32.200000000000003</c:v>
                </c:pt>
                <c:pt idx="4">
                  <c:v>33.5</c:v>
                </c:pt>
                <c:pt idx="5">
                  <c:v>35.299999999999997</c:v>
                </c:pt>
              </c:numCache>
            </c:numRef>
          </c:val>
          <c:smooth val="0"/>
          <c:extLst>
            <c:ext xmlns:c16="http://schemas.microsoft.com/office/drawing/2014/chart" uri="{C3380CC4-5D6E-409C-BE32-E72D297353CC}">
              <c16:uniqueId val="{00000001-CC36-483D-845A-3F4B0AB587E0}"/>
            </c:ext>
          </c:extLst>
        </c:ser>
        <c:ser>
          <c:idx val="2"/>
          <c:order val="2"/>
          <c:tx>
            <c:strRef>
              <c:f>'Mauve BP3 charts'!$M$56</c:f>
              <c:strCache>
                <c:ptCount val="1"/>
                <c:pt idx="0">
                  <c:v>%</c:v>
                </c:pt>
              </c:strCache>
            </c:strRef>
          </c:tx>
          <c:spPr>
            <a:ln w="28575" cap="rnd">
              <a:noFill/>
              <a:round/>
            </a:ln>
            <a:effectLst/>
          </c:spPr>
          <c:marker>
            <c:symbol val="diamond"/>
            <c:size val="9"/>
            <c:spPr>
              <a:solidFill>
                <a:srgbClr val="00426F"/>
              </a:solidFill>
              <a:ln w="9525">
                <a:noFill/>
              </a:ln>
              <a:effectLst/>
            </c:spPr>
          </c:marker>
          <c:cat>
            <c:strRef>
              <c:f>'Mauve BP3 charts'!$J$57:$J$63</c:f>
              <c:strCache>
                <c:ptCount val="7"/>
                <c:pt idx="0">
                  <c:v>2016
Actual</c:v>
                </c:pt>
                <c:pt idx="1">
                  <c:v>2017
Actual</c:v>
                </c:pt>
                <c:pt idx="2">
                  <c:v>2018
Actual</c:v>
                </c:pt>
                <c:pt idx="3">
                  <c:v>2019
Actual</c:v>
                </c:pt>
                <c:pt idx="4">
                  <c:v>2020
Forecast</c:v>
                </c:pt>
                <c:pt idx="5">
                  <c:v>2021
Forecast</c:v>
                </c:pt>
                <c:pt idx="6">
                  <c:v>2022
Target</c:v>
                </c:pt>
              </c:strCache>
            </c:strRef>
          </c:cat>
          <c:val>
            <c:numRef>
              <c:f>'Mauve BP3 charts'!$M$57:$M$63</c:f>
              <c:numCache>
                <c:formatCode>General</c:formatCode>
                <c:ptCount val="7"/>
                <c:pt idx="6">
                  <c:v>36.4</c:v>
                </c:pt>
              </c:numCache>
            </c:numRef>
          </c:val>
          <c:smooth val="0"/>
          <c:extLst>
            <c:ext xmlns:c16="http://schemas.microsoft.com/office/drawing/2014/chart" uri="{C3380CC4-5D6E-409C-BE32-E72D297353CC}">
              <c16:uniqueId val="{00000002-CC36-483D-845A-3F4B0AB587E0}"/>
            </c:ext>
          </c:extLst>
        </c:ser>
        <c:dLbls>
          <c:showLegendKey val="0"/>
          <c:showVal val="0"/>
          <c:showCatName val="0"/>
          <c:showSerName val="0"/>
          <c:showPercent val="0"/>
          <c:showBubbleSize val="0"/>
        </c:dLbls>
        <c:smooth val="0"/>
        <c:axId val="1548642895"/>
        <c:axId val="1616297919"/>
      </c:lineChart>
      <c:catAx>
        <c:axId val="1548642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6297919"/>
        <c:crosses val="autoZero"/>
        <c:auto val="1"/>
        <c:lblAlgn val="ctr"/>
        <c:lblOffset val="100"/>
        <c:noMultiLvlLbl val="0"/>
      </c:catAx>
      <c:valAx>
        <c:axId val="1616297919"/>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486428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'Mauve BP3 charts'!$K$81</c:f>
              <c:strCache>
                <c:ptCount val="1"/>
                <c:pt idx="0">
                  <c:v>%</c:v>
                </c:pt>
              </c:strCache>
            </c:strRef>
          </c:tx>
          <c:spPr>
            <a:ln w="28575" cap="rnd">
              <a:solidFill>
                <a:srgbClr val="00426F"/>
              </a:solidFill>
              <a:round/>
            </a:ln>
            <a:effectLst/>
          </c:spPr>
          <c:marker>
            <c:symbol val="none"/>
          </c:marker>
          <c:cat>
            <c:strRef>
              <c:f>'Mauve BP3 charts'!$J$82:$J$89</c:f>
              <c:strCache>
                <c:ptCount val="8"/>
                <c:pt idx="0">
                  <c:v>2016
Actual</c:v>
                </c:pt>
                <c:pt idx="1">
                  <c:v>2017
Actual</c:v>
                </c:pt>
                <c:pt idx="2">
                  <c:v>2018
Actual</c:v>
                </c:pt>
                <c:pt idx="3">
                  <c:v>2019
Actual</c:v>
                </c:pt>
                <c:pt idx="4">
                  <c:v>2020
Forecast</c:v>
                </c:pt>
                <c:pt idx="5">
                  <c:v>2021
Forecast</c:v>
                </c:pt>
                <c:pt idx="6">
                  <c:v>2022
Forecast</c:v>
                </c:pt>
                <c:pt idx="7">
                  <c:v>2023
Target</c:v>
                </c:pt>
              </c:strCache>
            </c:strRef>
          </c:cat>
          <c:val>
            <c:numRef>
              <c:f>'Mauve BP3 charts'!$K$82:$K$89</c:f>
              <c:numCache>
                <c:formatCode>General</c:formatCode>
                <c:ptCount val="8"/>
                <c:pt idx="0">
                  <c:v>45</c:v>
                </c:pt>
                <c:pt idx="1">
                  <c:v>47</c:v>
                </c:pt>
                <c:pt idx="2">
                  <c:v>45</c:v>
                </c:pt>
                <c:pt idx="3">
                  <c:v>45</c:v>
                </c:pt>
              </c:numCache>
            </c:numRef>
          </c:val>
          <c:smooth val="0"/>
          <c:extLst>
            <c:ext xmlns:c16="http://schemas.microsoft.com/office/drawing/2014/chart" uri="{C3380CC4-5D6E-409C-BE32-E72D297353CC}">
              <c16:uniqueId val="{00000000-4545-4B15-A996-3B776BA245CE}"/>
            </c:ext>
          </c:extLst>
        </c:ser>
        <c:ser>
          <c:idx val="1"/>
          <c:order val="1"/>
          <c:tx>
            <c:strRef>
              <c:f>'Mauve BP3 charts'!$L$81</c:f>
              <c:strCache>
                <c:ptCount val="1"/>
                <c:pt idx="0">
                  <c:v>%</c:v>
                </c:pt>
              </c:strCache>
            </c:strRef>
          </c:tx>
          <c:spPr>
            <a:ln w="28575" cap="rnd">
              <a:solidFill>
                <a:srgbClr val="00426F"/>
              </a:solidFill>
              <a:prstDash val="dash"/>
              <a:round/>
            </a:ln>
            <a:effectLst/>
          </c:spPr>
          <c:marker>
            <c:symbol val="none"/>
          </c:marker>
          <c:cat>
            <c:strRef>
              <c:f>'Mauve BP3 charts'!$J$82:$J$89</c:f>
              <c:strCache>
                <c:ptCount val="8"/>
                <c:pt idx="0">
                  <c:v>2016
Actual</c:v>
                </c:pt>
                <c:pt idx="1">
                  <c:v>2017
Actual</c:v>
                </c:pt>
                <c:pt idx="2">
                  <c:v>2018
Actual</c:v>
                </c:pt>
                <c:pt idx="3">
                  <c:v>2019
Actual</c:v>
                </c:pt>
                <c:pt idx="4">
                  <c:v>2020
Forecast</c:v>
                </c:pt>
                <c:pt idx="5">
                  <c:v>2021
Forecast</c:v>
                </c:pt>
                <c:pt idx="6">
                  <c:v>2022
Forecast</c:v>
                </c:pt>
                <c:pt idx="7">
                  <c:v>2023
Target</c:v>
                </c:pt>
              </c:strCache>
            </c:strRef>
          </c:cat>
          <c:val>
            <c:numRef>
              <c:f>'Mauve BP3 charts'!$L$82:$L$89</c:f>
              <c:numCache>
                <c:formatCode>General</c:formatCode>
                <c:ptCount val="8"/>
                <c:pt idx="3">
                  <c:v>45</c:v>
                </c:pt>
                <c:pt idx="4">
                  <c:v>46</c:v>
                </c:pt>
                <c:pt idx="5">
                  <c:v>51</c:v>
                </c:pt>
                <c:pt idx="6">
                  <c:v>58</c:v>
                </c:pt>
              </c:numCache>
            </c:numRef>
          </c:val>
          <c:smooth val="0"/>
          <c:extLst>
            <c:ext xmlns:c16="http://schemas.microsoft.com/office/drawing/2014/chart" uri="{C3380CC4-5D6E-409C-BE32-E72D297353CC}">
              <c16:uniqueId val="{00000001-4545-4B15-A996-3B776BA245CE}"/>
            </c:ext>
          </c:extLst>
        </c:ser>
        <c:ser>
          <c:idx val="2"/>
          <c:order val="2"/>
          <c:tx>
            <c:strRef>
              <c:f>'Mauve BP3 charts'!$M$81</c:f>
              <c:strCache>
                <c:ptCount val="1"/>
                <c:pt idx="0">
                  <c:v>%</c:v>
                </c:pt>
              </c:strCache>
            </c:strRef>
          </c:tx>
          <c:spPr>
            <a:ln w="28575" cap="rnd">
              <a:noFill/>
              <a:round/>
            </a:ln>
            <a:effectLst/>
          </c:spPr>
          <c:marker>
            <c:symbol val="diamond"/>
            <c:size val="9"/>
            <c:spPr>
              <a:solidFill>
                <a:srgbClr val="00426F"/>
              </a:solidFill>
              <a:ln w="9525">
                <a:noFill/>
              </a:ln>
              <a:effectLst/>
            </c:spPr>
          </c:marker>
          <c:cat>
            <c:strRef>
              <c:f>'Mauve BP3 charts'!$J$82:$J$89</c:f>
              <c:strCache>
                <c:ptCount val="8"/>
                <c:pt idx="0">
                  <c:v>2016
Actual</c:v>
                </c:pt>
                <c:pt idx="1">
                  <c:v>2017
Actual</c:v>
                </c:pt>
                <c:pt idx="2">
                  <c:v>2018
Actual</c:v>
                </c:pt>
                <c:pt idx="3">
                  <c:v>2019
Actual</c:v>
                </c:pt>
                <c:pt idx="4">
                  <c:v>2020
Forecast</c:v>
                </c:pt>
                <c:pt idx="5">
                  <c:v>2021
Forecast</c:v>
                </c:pt>
                <c:pt idx="6">
                  <c:v>2022
Forecast</c:v>
                </c:pt>
                <c:pt idx="7">
                  <c:v>2023
Target</c:v>
                </c:pt>
              </c:strCache>
            </c:strRef>
          </c:cat>
          <c:val>
            <c:numRef>
              <c:f>'Mauve BP3 charts'!$M$82:$M$89</c:f>
              <c:numCache>
                <c:formatCode>General</c:formatCode>
                <c:ptCount val="8"/>
                <c:pt idx="7">
                  <c:v>69</c:v>
                </c:pt>
              </c:numCache>
            </c:numRef>
          </c:val>
          <c:smooth val="0"/>
          <c:extLst>
            <c:ext xmlns:c16="http://schemas.microsoft.com/office/drawing/2014/chart" uri="{C3380CC4-5D6E-409C-BE32-E72D297353CC}">
              <c16:uniqueId val="{00000002-4545-4B15-A996-3B776BA245CE}"/>
            </c:ext>
          </c:extLst>
        </c:ser>
        <c:dLbls>
          <c:showLegendKey val="0"/>
          <c:showVal val="0"/>
          <c:showCatName val="0"/>
          <c:showSerName val="0"/>
          <c:showPercent val="0"/>
          <c:showBubbleSize val="0"/>
        </c:dLbls>
        <c:smooth val="0"/>
        <c:axId val="1548642895"/>
        <c:axId val="1616297919"/>
      </c:lineChart>
      <c:catAx>
        <c:axId val="1548642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6297919"/>
        <c:crosses val="autoZero"/>
        <c:auto val="1"/>
        <c:lblAlgn val="ctr"/>
        <c:lblOffset val="100"/>
        <c:noMultiLvlLbl val="0"/>
      </c:catAx>
      <c:valAx>
        <c:axId val="1616297919"/>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486428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'Mauve BP3 charts'!$K$133</c:f>
              <c:strCache>
                <c:ptCount val="1"/>
                <c:pt idx="0">
                  <c:v>%</c:v>
                </c:pt>
              </c:strCache>
            </c:strRef>
          </c:tx>
          <c:spPr>
            <a:ln w="28575" cap="rnd">
              <a:solidFill>
                <a:srgbClr val="00426F"/>
              </a:solidFill>
              <a:round/>
            </a:ln>
            <a:effectLst/>
          </c:spPr>
          <c:marker>
            <c:symbol val="none"/>
          </c:marker>
          <c:cat>
            <c:strRef>
              <c:f>'Mauve BP3 charts'!$J$134:$J$140</c:f>
              <c:strCache>
                <c:ptCount val="7"/>
                <c:pt idx="0">
                  <c:v>2016
Actual</c:v>
                </c:pt>
                <c:pt idx="1">
                  <c:v>2017
Actual</c:v>
                </c:pt>
                <c:pt idx="2">
                  <c:v>2018
Actual</c:v>
                </c:pt>
                <c:pt idx="3">
                  <c:v>2019
Actual</c:v>
                </c:pt>
                <c:pt idx="4">
                  <c:v>2020
Forecast</c:v>
                </c:pt>
                <c:pt idx="5">
                  <c:v>2021
Forecast</c:v>
                </c:pt>
                <c:pt idx="6">
                  <c:v>2022
Target</c:v>
                </c:pt>
              </c:strCache>
            </c:strRef>
          </c:cat>
          <c:val>
            <c:numRef>
              <c:f>'Mauve BP3 charts'!$K$134:$K$140</c:f>
              <c:numCache>
                <c:formatCode>General</c:formatCode>
                <c:ptCount val="7"/>
                <c:pt idx="0">
                  <c:v>70.3</c:v>
                </c:pt>
                <c:pt idx="1">
                  <c:v>69.8</c:v>
                </c:pt>
                <c:pt idx="2">
                  <c:v>71.400000000000006</c:v>
                </c:pt>
                <c:pt idx="3">
                  <c:v>69.900000000000006</c:v>
                </c:pt>
              </c:numCache>
            </c:numRef>
          </c:val>
          <c:smooth val="0"/>
          <c:extLst>
            <c:ext xmlns:c16="http://schemas.microsoft.com/office/drawing/2014/chart" uri="{C3380CC4-5D6E-409C-BE32-E72D297353CC}">
              <c16:uniqueId val="{00000000-ED2D-4907-8049-3994DF6BFDB5}"/>
            </c:ext>
          </c:extLst>
        </c:ser>
        <c:ser>
          <c:idx val="1"/>
          <c:order val="1"/>
          <c:tx>
            <c:strRef>
              <c:f>'Mauve BP3 charts'!$L$133</c:f>
              <c:strCache>
                <c:ptCount val="1"/>
                <c:pt idx="0">
                  <c:v>%</c:v>
                </c:pt>
              </c:strCache>
            </c:strRef>
          </c:tx>
          <c:spPr>
            <a:ln w="28575" cap="rnd">
              <a:solidFill>
                <a:srgbClr val="00426F"/>
              </a:solidFill>
              <a:prstDash val="dash"/>
              <a:round/>
            </a:ln>
            <a:effectLst/>
          </c:spPr>
          <c:marker>
            <c:symbol val="none"/>
          </c:marker>
          <c:cat>
            <c:strRef>
              <c:f>'Mauve BP3 charts'!$J$134:$J$140</c:f>
              <c:strCache>
                <c:ptCount val="7"/>
                <c:pt idx="0">
                  <c:v>2016
Actual</c:v>
                </c:pt>
                <c:pt idx="1">
                  <c:v>2017
Actual</c:v>
                </c:pt>
                <c:pt idx="2">
                  <c:v>2018
Actual</c:v>
                </c:pt>
                <c:pt idx="3">
                  <c:v>2019
Actual</c:v>
                </c:pt>
                <c:pt idx="4">
                  <c:v>2020
Forecast</c:v>
                </c:pt>
                <c:pt idx="5">
                  <c:v>2021
Forecast</c:v>
                </c:pt>
                <c:pt idx="6">
                  <c:v>2022
Target</c:v>
                </c:pt>
              </c:strCache>
            </c:strRef>
          </c:cat>
          <c:val>
            <c:numRef>
              <c:f>'Mauve BP3 charts'!$L$134:$L$140</c:f>
              <c:numCache>
                <c:formatCode>General</c:formatCode>
                <c:ptCount val="7"/>
                <c:pt idx="3">
                  <c:v>69.900000000000006</c:v>
                </c:pt>
                <c:pt idx="4">
                  <c:v>72.400000000000006</c:v>
                </c:pt>
                <c:pt idx="5">
                  <c:v>72.7</c:v>
                </c:pt>
              </c:numCache>
            </c:numRef>
          </c:val>
          <c:smooth val="0"/>
          <c:extLst>
            <c:ext xmlns:c16="http://schemas.microsoft.com/office/drawing/2014/chart" uri="{C3380CC4-5D6E-409C-BE32-E72D297353CC}">
              <c16:uniqueId val="{00000001-ED2D-4907-8049-3994DF6BFDB5}"/>
            </c:ext>
          </c:extLst>
        </c:ser>
        <c:ser>
          <c:idx val="2"/>
          <c:order val="2"/>
          <c:tx>
            <c:strRef>
              <c:f>'Mauve BP3 charts'!$M$133</c:f>
              <c:strCache>
                <c:ptCount val="1"/>
                <c:pt idx="0">
                  <c:v>%</c:v>
                </c:pt>
              </c:strCache>
            </c:strRef>
          </c:tx>
          <c:spPr>
            <a:ln w="28575" cap="rnd">
              <a:noFill/>
              <a:round/>
            </a:ln>
            <a:effectLst/>
          </c:spPr>
          <c:marker>
            <c:symbol val="diamond"/>
            <c:size val="9"/>
            <c:spPr>
              <a:solidFill>
                <a:srgbClr val="00426F"/>
              </a:solidFill>
              <a:ln w="9525">
                <a:noFill/>
              </a:ln>
              <a:effectLst/>
            </c:spPr>
          </c:marker>
          <c:cat>
            <c:strRef>
              <c:f>'Mauve BP3 charts'!$J$134:$J$140</c:f>
              <c:strCache>
                <c:ptCount val="7"/>
                <c:pt idx="0">
                  <c:v>2016
Actual</c:v>
                </c:pt>
                <c:pt idx="1">
                  <c:v>2017
Actual</c:v>
                </c:pt>
                <c:pt idx="2">
                  <c:v>2018
Actual</c:v>
                </c:pt>
                <c:pt idx="3">
                  <c:v>2019
Actual</c:v>
                </c:pt>
                <c:pt idx="4">
                  <c:v>2020
Forecast</c:v>
                </c:pt>
                <c:pt idx="5">
                  <c:v>2021
Forecast</c:v>
                </c:pt>
                <c:pt idx="6">
                  <c:v>2022
Target</c:v>
                </c:pt>
              </c:strCache>
            </c:strRef>
          </c:cat>
          <c:val>
            <c:numRef>
              <c:f>'Mauve BP3 charts'!$M$134:$M$140</c:f>
              <c:numCache>
                <c:formatCode>General</c:formatCode>
                <c:ptCount val="7"/>
                <c:pt idx="6">
                  <c:v>73</c:v>
                </c:pt>
              </c:numCache>
            </c:numRef>
          </c:val>
          <c:smooth val="0"/>
          <c:extLst>
            <c:ext xmlns:c16="http://schemas.microsoft.com/office/drawing/2014/chart" uri="{C3380CC4-5D6E-409C-BE32-E72D297353CC}">
              <c16:uniqueId val="{00000002-ED2D-4907-8049-3994DF6BFDB5}"/>
            </c:ext>
          </c:extLst>
        </c:ser>
        <c:dLbls>
          <c:showLegendKey val="0"/>
          <c:showVal val="0"/>
          <c:showCatName val="0"/>
          <c:showSerName val="0"/>
          <c:showPercent val="0"/>
          <c:showBubbleSize val="0"/>
        </c:dLbls>
        <c:smooth val="0"/>
        <c:axId val="1548642895"/>
        <c:axId val="1616297919"/>
      </c:lineChart>
      <c:catAx>
        <c:axId val="1548642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6297919"/>
        <c:crosses val="autoZero"/>
        <c:auto val="1"/>
        <c:lblAlgn val="ctr"/>
        <c:lblOffset val="100"/>
        <c:noMultiLvlLbl val="0"/>
      </c:catAx>
      <c:valAx>
        <c:axId val="1616297919"/>
        <c:scaling>
          <c:orientation val="minMax"/>
          <c:max val="100"/>
          <c:min val="50"/>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48642895"/>
        <c:crosses val="autoZero"/>
        <c:crossBetween val="between"/>
        <c:majorUnit val="1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'White BP3 charts'!$K$157</c:f>
              <c:strCache>
                <c:ptCount val="1"/>
                <c:pt idx="0">
                  <c:v>15-19 years</c:v>
                </c:pt>
              </c:strCache>
            </c:strRef>
          </c:tx>
          <c:spPr>
            <a:ln w="28575" cap="rnd">
              <a:solidFill>
                <a:srgbClr val="00426F"/>
              </a:solidFill>
              <a:round/>
            </a:ln>
            <a:effectLst/>
          </c:spPr>
          <c:marker>
            <c:symbol val="none"/>
          </c:marker>
          <c:cat>
            <c:strRef>
              <c:f>'White BP3 charts'!$J$160:$J$166</c:f>
              <c:strCache>
                <c:ptCount val="7"/>
                <c:pt idx="0">
                  <c:v>2016
Actual</c:v>
                </c:pt>
                <c:pt idx="1">
                  <c:v>2017
Actual</c:v>
                </c:pt>
                <c:pt idx="2">
                  <c:v>2018
Actual</c:v>
                </c:pt>
                <c:pt idx="3">
                  <c:v>2019
Actual</c:v>
                </c:pt>
                <c:pt idx="4">
                  <c:v>2020
Forecast</c:v>
                </c:pt>
                <c:pt idx="5">
                  <c:v>2021</c:v>
                </c:pt>
                <c:pt idx="6">
                  <c:v>2022
Target</c:v>
                </c:pt>
              </c:strCache>
            </c:strRef>
          </c:cat>
          <c:val>
            <c:numRef>
              <c:f>'White BP3 charts'!$K$160:$K$166</c:f>
              <c:numCache>
                <c:formatCode>General</c:formatCode>
                <c:ptCount val="7"/>
                <c:pt idx="0">
                  <c:v>90</c:v>
                </c:pt>
                <c:pt idx="1">
                  <c:v>92</c:v>
                </c:pt>
                <c:pt idx="2">
                  <c:v>90.9</c:v>
                </c:pt>
                <c:pt idx="3">
                  <c:v>87.7</c:v>
                </c:pt>
              </c:numCache>
            </c:numRef>
          </c:val>
          <c:smooth val="0"/>
          <c:extLst>
            <c:ext xmlns:c16="http://schemas.microsoft.com/office/drawing/2014/chart" uri="{C3380CC4-5D6E-409C-BE32-E72D297353CC}">
              <c16:uniqueId val="{00000000-71C2-46A1-AB60-279EE4C12E35}"/>
            </c:ext>
          </c:extLst>
        </c:ser>
        <c:ser>
          <c:idx val="1"/>
          <c:order val="1"/>
          <c:tx>
            <c:strRef>
              <c:f>'White BP3 charts'!$L$157</c:f>
              <c:strCache>
                <c:ptCount val="1"/>
                <c:pt idx="0">
                  <c:v>15-19 years</c:v>
                </c:pt>
              </c:strCache>
            </c:strRef>
          </c:tx>
          <c:spPr>
            <a:ln w="28575" cap="rnd">
              <a:solidFill>
                <a:srgbClr val="00426F"/>
              </a:solidFill>
              <a:prstDash val="dash"/>
              <a:round/>
            </a:ln>
            <a:effectLst/>
          </c:spPr>
          <c:marker>
            <c:symbol val="none"/>
          </c:marker>
          <c:cat>
            <c:strRef>
              <c:f>'White BP3 charts'!$J$160:$J$166</c:f>
              <c:strCache>
                <c:ptCount val="7"/>
                <c:pt idx="0">
                  <c:v>2016
Actual</c:v>
                </c:pt>
                <c:pt idx="1">
                  <c:v>2017
Actual</c:v>
                </c:pt>
                <c:pt idx="2">
                  <c:v>2018
Actual</c:v>
                </c:pt>
                <c:pt idx="3">
                  <c:v>2019
Actual</c:v>
                </c:pt>
                <c:pt idx="4">
                  <c:v>2020
Forecast</c:v>
                </c:pt>
                <c:pt idx="5">
                  <c:v>2021</c:v>
                </c:pt>
                <c:pt idx="6">
                  <c:v>2022
Target</c:v>
                </c:pt>
              </c:strCache>
            </c:strRef>
          </c:cat>
          <c:val>
            <c:numRef>
              <c:f>'White BP3 charts'!$L$160:$L$166</c:f>
              <c:numCache>
                <c:formatCode>General</c:formatCode>
                <c:ptCount val="7"/>
                <c:pt idx="3">
                  <c:v>87.7</c:v>
                </c:pt>
                <c:pt idx="4">
                  <c:v>93.35</c:v>
                </c:pt>
              </c:numCache>
            </c:numRef>
          </c:val>
          <c:smooth val="0"/>
          <c:extLst>
            <c:ext xmlns:c16="http://schemas.microsoft.com/office/drawing/2014/chart" uri="{C3380CC4-5D6E-409C-BE32-E72D297353CC}">
              <c16:uniqueId val="{00000001-71C2-46A1-AB60-279EE4C12E35}"/>
            </c:ext>
          </c:extLst>
        </c:ser>
        <c:ser>
          <c:idx val="2"/>
          <c:order val="2"/>
          <c:tx>
            <c:strRef>
              <c:f>'White BP3 charts'!$M$157</c:f>
              <c:strCache>
                <c:ptCount val="1"/>
                <c:pt idx="0">
                  <c:v>15-19 years</c:v>
                </c:pt>
              </c:strCache>
            </c:strRef>
          </c:tx>
          <c:spPr>
            <a:ln w="28575" cap="rnd">
              <a:noFill/>
              <a:round/>
            </a:ln>
            <a:effectLst/>
          </c:spPr>
          <c:marker>
            <c:symbol val="diamond"/>
            <c:size val="9"/>
            <c:spPr>
              <a:solidFill>
                <a:srgbClr val="00426F"/>
              </a:solidFill>
              <a:ln w="9525">
                <a:noFill/>
              </a:ln>
              <a:effectLst/>
            </c:spPr>
          </c:marker>
          <c:cat>
            <c:strRef>
              <c:f>'White BP3 charts'!$J$160:$J$166</c:f>
              <c:strCache>
                <c:ptCount val="7"/>
                <c:pt idx="0">
                  <c:v>2016
Actual</c:v>
                </c:pt>
                <c:pt idx="1">
                  <c:v>2017
Actual</c:v>
                </c:pt>
                <c:pt idx="2">
                  <c:v>2018
Actual</c:v>
                </c:pt>
                <c:pt idx="3">
                  <c:v>2019
Actual</c:v>
                </c:pt>
                <c:pt idx="4">
                  <c:v>2020
Forecast</c:v>
                </c:pt>
                <c:pt idx="5">
                  <c:v>2021</c:v>
                </c:pt>
                <c:pt idx="6">
                  <c:v>2022
Target</c:v>
                </c:pt>
              </c:strCache>
            </c:strRef>
          </c:cat>
          <c:val>
            <c:numRef>
              <c:f>'White BP3 charts'!$M$160:$M$166</c:f>
              <c:numCache>
                <c:formatCode>General</c:formatCode>
                <c:ptCount val="7"/>
                <c:pt idx="6">
                  <c:v>95.8</c:v>
                </c:pt>
              </c:numCache>
            </c:numRef>
          </c:val>
          <c:smooth val="0"/>
          <c:extLst>
            <c:ext xmlns:c16="http://schemas.microsoft.com/office/drawing/2014/chart" uri="{C3380CC4-5D6E-409C-BE32-E72D297353CC}">
              <c16:uniqueId val="{00000002-71C2-46A1-AB60-279EE4C12E35}"/>
            </c:ext>
          </c:extLst>
        </c:ser>
        <c:ser>
          <c:idx val="3"/>
          <c:order val="3"/>
          <c:tx>
            <c:strRef>
              <c:f>'White BP3 charts'!$N$157</c:f>
              <c:strCache>
                <c:ptCount val="1"/>
                <c:pt idx="0">
                  <c:v>20-24 years</c:v>
                </c:pt>
              </c:strCache>
            </c:strRef>
          </c:tx>
          <c:spPr>
            <a:ln w="28575" cap="rnd">
              <a:solidFill>
                <a:srgbClr val="008EBA"/>
              </a:solidFill>
              <a:round/>
            </a:ln>
            <a:effectLst/>
          </c:spPr>
          <c:marker>
            <c:symbol val="none"/>
          </c:marker>
          <c:cat>
            <c:strRef>
              <c:f>'White BP3 charts'!$J$160:$J$166</c:f>
              <c:strCache>
                <c:ptCount val="7"/>
                <c:pt idx="0">
                  <c:v>2016
Actual</c:v>
                </c:pt>
                <c:pt idx="1">
                  <c:v>2017
Actual</c:v>
                </c:pt>
                <c:pt idx="2">
                  <c:v>2018
Actual</c:v>
                </c:pt>
                <c:pt idx="3">
                  <c:v>2019
Actual</c:v>
                </c:pt>
                <c:pt idx="4">
                  <c:v>2020
Forecast</c:v>
                </c:pt>
                <c:pt idx="5">
                  <c:v>2021</c:v>
                </c:pt>
                <c:pt idx="6">
                  <c:v>2022
Target</c:v>
                </c:pt>
              </c:strCache>
            </c:strRef>
          </c:cat>
          <c:val>
            <c:numRef>
              <c:f>'White BP3 charts'!$N$160:$N$166</c:f>
              <c:numCache>
                <c:formatCode>General</c:formatCode>
                <c:ptCount val="7"/>
                <c:pt idx="0">
                  <c:v>77</c:v>
                </c:pt>
                <c:pt idx="1">
                  <c:v>78</c:v>
                </c:pt>
                <c:pt idx="2">
                  <c:v>75.599999999999994</c:v>
                </c:pt>
                <c:pt idx="3">
                  <c:v>78.2</c:v>
                </c:pt>
              </c:numCache>
            </c:numRef>
          </c:val>
          <c:smooth val="0"/>
          <c:extLst>
            <c:ext xmlns:c16="http://schemas.microsoft.com/office/drawing/2014/chart" uri="{C3380CC4-5D6E-409C-BE32-E72D297353CC}">
              <c16:uniqueId val="{00000003-71C2-46A1-AB60-279EE4C12E35}"/>
            </c:ext>
          </c:extLst>
        </c:ser>
        <c:ser>
          <c:idx val="4"/>
          <c:order val="4"/>
          <c:tx>
            <c:strRef>
              <c:f>'White BP3 charts'!$O$157</c:f>
              <c:strCache>
                <c:ptCount val="1"/>
                <c:pt idx="0">
                  <c:v>20-24 years</c:v>
                </c:pt>
              </c:strCache>
            </c:strRef>
          </c:tx>
          <c:spPr>
            <a:ln w="28575" cap="rnd">
              <a:solidFill>
                <a:srgbClr val="008EBA"/>
              </a:solidFill>
              <a:prstDash val="dash"/>
              <a:round/>
            </a:ln>
            <a:effectLst/>
          </c:spPr>
          <c:marker>
            <c:symbol val="none"/>
          </c:marker>
          <c:cat>
            <c:strRef>
              <c:f>'White BP3 charts'!$J$160:$J$166</c:f>
              <c:strCache>
                <c:ptCount val="7"/>
                <c:pt idx="0">
                  <c:v>2016
Actual</c:v>
                </c:pt>
                <c:pt idx="1">
                  <c:v>2017
Actual</c:v>
                </c:pt>
                <c:pt idx="2">
                  <c:v>2018
Actual</c:v>
                </c:pt>
                <c:pt idx="3">
                  <c:v>2019
Actual</c:v>
                </c:pt>
                <c:pt idx="4">
                  <c:v>2020
Forecast</c:v>
                </c:pt>
                <c:pt idx="5">
                  <c:v>2021</c:v>
                </c:pt>
                <c:pt idx="6">
                  <c:v>2022
Target</c:v>
                </c:pt>
              </c:strCache>
            </c:strRef>
          </c:cat>
          <c:val>
            <c:numRef>
              <c:f>'White BP3 charts'!$O$160:$O$166</c:f>
              <c:numCache>
                <c:formatCode>General</c:formatCode>
                <c:ptCount val="7"/>
                <c:pt idx="3">
                  <c:v>78.2</c:v>
                </c:pt>
                <c:pt idx="4">
                  <c:v>78.2</c:v>
                </c:pt>
              </c:numCache>
            </c:numRef>
          </c:val>
          <c:smooth val="0"/>
          <c:extLst>
            <c:ext xmlns:c16="http://schemas.microsoft.com/office/drawing/2014/chart" uri="{C3380CC4-5D6E-409C-BE32-E72D297353CC}">
              <c16:uniqueId val="{00000004-71C2-46A1-AB60-279EE4C12E35}"/>
            </c:ext>
          </c:extLst>
        </c:ser>
        <c:ser>
          <c:idx val="5"/>
          <c:order val="5"/>
          <c:tx>
            <c:strRef>
              <c:f>'White BP3 charts'!$P$157</c:f>
              <c:strCache>
                <c:ptCount val="1"/>
                <c:pt idx="0">
                  <c:v>20-24 years</c:v>
                </c:pt>
              </c:strCache>
            </c:strRef>
          </c:tx>
          <c:spPr>
            <a:ln w="28575" cap="rnd">
              <a:noFill/>
              <a:round/>
            </a:ln>
            <a:effectLst/>
          </c:spPr>
          <c:marker>
            <c:symbol val="diamond"/>
            <c:size val="9"/>
            <c:spPr>
              <a:solidFill>
                <a:srgbClr val="008EBA"/>
              </a:solidFill>
              <a:ln w="9525">
                <a:noFill/>
              </a:ln>
              <a:effectLst/>
            </c:spPr>
          </c:marker>
          <c:cat>
            <c:strRef>
              <c:f>'White BP3 charts'!$J$160:$J$166</c:f>
              <c:strCache>
                <c:ptCount val="7"/>
                <c:pt idx="0">
                  <c:v>2016
Actual</c:v>
                </c:pt>
                <c:pt idx="1">
                  <c:v>2017
Actual</c:v>
                </c:pt>
                <c:pt idx="2">
                  <c:v>2018
Actual</c:v>
                </c:pt>
                <c:pt idx="3">
                  <c:v>2019
Actual</c:v>
                </c:pt>
                <c:pt idx="4">
                  <c:v>2020
Forecast</c:v>
                </c:pt>
                <c:pt idx="5">
                  <c:v>2021</c:v>
                </c:pt>
                <c:pt idx="6">
                  <c:v>2022
Target</c:v>
                </c:pt>
              </c:strCache>
            </c:strRef>
          </c:cat>
          <c:val>
            <c:numRef>
              <c:f>'White BP3 charts'!$P$160:$P$166</c:f>
              <c:numCache>
                <c:formatCode>General</c:formatCode>
                <c:ptCount val="7"/>
                <c:pt idx="6">
                  <c:v>77.7</c:v>
                </c:pt>
              </c:numCache>
            </c:numRef>
          </c:val>
          <c:smooth val="0"/>
          <c:extLst>
            <c:ext xmlns:c16="http://schemas.microsoft.com/office/drawing/2014/chart" uri="{C3380CC4-5D6E-409C-BE32-E72D297353CC}">
              <c16:uniqueId val="{00000005-71C2-46A1-AB60-279EE4C12E35}"/>
            </c:ext>
          </c:extLst>
        </c:ser>
        <c:ser>
          <c:idx val="6"/>
          <c:order val="6"/>
          <c:tx>
            <c:strRef>
              <c:f>'White BP3 charts'!$Q$157</c:f>
              <c:strCache>
                <c:ptCount val="1"/>
                <c:pt idx="0">
                  <c:v>25-29 years</c:v>
                </c:pt>
              </c:strCache>
            </c:strRef>
          </c:tx>
          <c:spPr>
            <a:ln w="28575" cap="rnd">
              <a:solidFill>
                <a:srgbClr val="50C8E9"/>
              </a:solidFill>
              <a:round/>
            </a:ln>
            <a:effectLst/>
          </c:spPr>
          <c:marker>
            <c:symbol val="none"/>
          </c:marker>
          <c:cat>
            <c:strRef>
              <c:f>'White BP3 charts'!$J$160:$J$166</c:f>
              <c:strCache>
                <c:ptCount val="7"/>
                <c:pt idx="0">
                  <c:v>2016
Actual</c:v>
                </c:pt>
                <c:pt idx="1">
                  <c:v>2017
Actual</c:v>
                </c:pt>
                <c:pt idx="2">
                  <c:v>2018
Actual</c:v>
                </c:pt>
                <c:pt idx="3">
                  <c:v>2019
Actual</c:v>
                </c:pt>
                <c:pt idx="4">
                  <c:v>2020
Forecast</c:v>
                </c:pt>
                <c:pt idx="5">
                  <c:v>2021</c:v>
                </c:pt>
                <c:pt idx="6">
                  <c:v>2022
Target</c:v>
                </c:pt>
              </c:strCache>
            </c:strRef>
          </c:cat>
          <c:val>
            <c:numRef>
              <c:f>'White BP3 charts'!$Q$160:$Q$166</c:f>
              <c:numCache>
                <c:formatCode>General</c:formatCode>
                <c:ptCount val="7"/>
                <c:pt idx="0">
                  <c:v>74</c:v>
                </c:pt>
                <c:pt idx="1">
                  <c:v>71</c:v>
                </c:pt>
                <c:pt idx="2">
                  <c:v>72</c:v>
                </c:pt>
                <c:pt idx="3">
                  <c:v>73.599999999999994</c:v>
                </c:pt>
              </c:numCache>
            </c:numRef>
          </c:val>
          <c:smooth val="0"/>
          <c:extLst>
            <c:ext xmlns:c16="http://schemas.microsoft.com/office/drawing/2014/chart" uri="{C3380CC4-5D6E-409C-BE32-E72D297353CC}">
              <c16:uniqueId val="{00000006-71C2-46A1-AB60-279EE4C12E35}"/>
            </c:ext>
          </c:extLst>
        </c:ser>
        <c:ser>
          <c:idx val="7"/>
          <c:order val="7"/>
          <c:tx>
            <c:strRef>
              <c:f>'White BP3 charts'!$R$157</c:f>
              <c:strCache>
                <c:ptCount val="1"/>
                <c:pt idx="0">
                  <c:v>25-29 years</c:v>
                </c:pt>
              </c:strCache>
            </c:strRef>
          </c:tx>
          <c:spPr>
            <a:ln w="28575" cap="rnd">
              <a:solidFill>
                <a:srgbClr val="50C8E9"/>
              </a:solidFill>
              <a:prstDash val="dash"/>
              <a:round/>
            </a:ln>
            <a:effectLst/>
          </c:spPr>
          <c:marker>
            <c:symbol val="none"/>
          </c:marker>
          <c:cat>
            <c:strRef>
              <c:f>'White BP3 charts'!$J$160:$J$166</c:f>
              <c:strCache>
                <c:ptCount val="7"/>
                <c:pt idx="0">
                  <c:v>2016
Actual</c:v>
                </c:pt>
                <c:pt idx="1">
                  <c:v>2017
Actual</c:v>
                </c:pt>
                <c:pt idx="2">
                  <c:v>2018
Actual</c:v>
                </c:pt>
                <c:pt idx="3">
                  <c:v>2019
Actual</c:v>
                </c:pt>
                <c:pt idx="4">
                  <c:v>2020
Forecast</c:v>
                </c:pt>
                <c:pt idx="5">
                  <c:v>2021</c:v>
                </c:pt>
                <c:pt idx="6">
                  <c:v>2022
Target</c:v>
                </c:pt>
              </c:strCache>
            </c:strRef>
          </c:cat>
          <c:val>
            <c:numRef>
              <c:f>'White BP3 charts'!$R$160:$R$166</c:f>
              <c:numCache>
                <c:formatCode>General</c:formatCode>
                <c:ptCount val="7"/>
                <c:pt idx="3">
                  <c:v>73.599999999999994</c:v>
                </c:pt>
                <c:pt idx="4">
                  <c:v>74.099999999999994</c:v>
                </c:pt>
              </c:numCache>
            </c:numRef>
          </c:val>
          <c:smooth val="0"/>
          <c:extLst>
            <c:ext xmlns:c16="http://schemas.microsoft.com/office/drawing/2014/chart" uri="{C3380CC4-5D6E-409C-BE32-E72D297353CC}">
              <c16:uniqueId val="{00000007-71C2-46A1-AB60-279EE4C12E35}"/>
            </c:ext>
          </c:extLst>
        </c:ser>
        <c:ser>
          <c:idx val="8"/>
          <c:order val="8"/>
          <c:tx>
            <c:strRef>
              <c:f>'White BP3 charts'!$S$157</c:f>
              <c:strCache>
                <c:ptCount val="1"/>
                <c:pt idx="0">
                  <c:v>25-29 years</c:v>
                </c:pt>
              </c:strCache>
            </c:strRef>
          </c:tx>
          <c:spPr>
            <a:ln w="28575" cap="rnd">
              <a:solidFill>
                <a:srgbClr val="50C8E9"/>
              </a:solidFill>
              <a:round/>
            </a:ln>
            <a:effectLst/>
          </c:spPr>
          <c:marker>
            <c:symbol val="diamond"/>
            <c:size val="9"/>
            <c:spPr>
              <a:solidFill>
                <a:srgbClr val="50C8E9"/>
              </a:solidFill>
              <a:ln w="9525">
                <a:noFill/>
              </a:ln>
              <a:effectLst/>
            </c:spPr>
          </c:marker>
          <c:cat>
            <c:strRef>
              <c:f>'White BP3 charts'!$J$160:$J$166</c:f>
              <c:strCache>
                <c:ptCount val="7"/>
                <c:pt idx="0">
                  <c:v>2016
Actual</c:v>
                </c:pt>
                <c:pt idx="1">
                  <c:v>2017
Actual</c:v>
                </c:pt>
                <c:pt idx="2">
                  <c:v>2018
Actual</c:v>
                </c:pt>
                <c:pt idx="3">
                  <c:v>2019
Actual</c:v>
                </c:pt>
                <c:pt idx="4">
                  <c:v>2020
Forecast</c:v>
                </c:pt>
                <c:pt idx="5">
                  <c:v>2021</c:v>
                </c:pt>
                <c:pt idx="6">
                  <c:v>2022
Target</c:v>
                </c:pt>
              </c:strCache>
            </c:strRef>
          </c:cat>
          <c:val>
            <c:numRef>
              <c:f>'White BP3 charts'!$S$160:$S$166</c:f>
              <c:numCache>
                <c:formatCode>General</c:formatCode>
                <c:ptCount val="7"/>
                <c:pt idx="6">
                  <c:v>74.3</c:v>
                </c:pt>
              </c:numCache>
            </c:numRef>
          </c:val>
          <c:smooth val="0"/>
          <c:extLst>
            <c:ext xmlns:c16="http://schemas.microsoft.com/office/drawing/2014/chart" uri="{C3380CC4-5D6E-409C-BE32-E72D297353CC}">
              <c16:uniqueId val="{00000008-71C2-46A1-AB60-279EE4C12E35}"/>
            </c:ext>
          </c:extLst>
        </c:ser>
        <c:ser>
          <c:idx val="9"/>
          <c:order val="9"/>
          <c:tx>
            <c:strRef>
              <c:f>'White BP3 charts'!$T$157</c:f>
              <c:strCache>
                <c:ptCount val="1"/>
                <c:pt idx="0">
                  <c:v>Average</c:v>
                </c:pt>
              </c:strCache>
            </c:strRef>
          </c:tx>
          <c:spPr>
            <a:ln w="28575" cap="rnd">
              <a:solidFill>
                <a:srgbClr val="9ACA3C"/>
              </a:solidFill>
              <a:round/>
            </a:ln>
            <a:effectLst/>
          </c:spPr>
          <c:marker>
            <c:symbol val="none"/>
          </c:marker>
          <c:cat>
            <c:strRef>
              <c:f>'White BP3 charts'!$J$160:$J$166</c:f>
              <c:strCache>
                <c:ptCount val="7"/>
                <c:pt idx="0">
                  <c:v>2016
Actual</c:v>
                </c:pt>
                <c:pt idx="1">
                  <c:v>2017
Actual</c:v>
                </c:pt>
                <c:pt idx="2">
                  <c:v>2018
Actual</c:v>
                </c:pt>
                <c:pt idx="3">
                  <c:v>2019
Actual</c:v>
                </c:pt>
                <c:pt idx="4">
                  <c:v>2020
Forecast</c:v>
                </c:pt>
                <c:pt idx="5">
                  <c:v>2021</c:v>
                </c:pt>
                <c:pt idx="6">
                  <c:v>2022
Target</c:v>
                </c:pt>
              </c:strCache>
            </c:strRef>
          </c:cat>
          <c:val>
            <c:numRef>
              <c:f>'White BP3 charts'!$T$160:$T$166</c:f>
              <c:numCache>
                <c:formatCode>General</c:formatCode>
                <c:ptCount val="7"/>
                <c:pt idx="0">
                  <c:v>79.8</c:v>
                </c:pt>
                <c:pt idx="1">
                  <c:v>79.8</c:v>
                </c:pt>
                <c:pt idx="2">
                  <c:v>78.7</c:v>
                </c:pt>
                <c:pt idx="3">
                  <c:v>79.2</c:v>
                </c:pt>
              </c:numCache>
            </c:numRef>
          </c:val>
          <c:smooth val="0"/>
          <c:extLst>
            <c:ext xmlns:c16="http://schemas.microsoft.com/office/drawing/2014/chart" uri="{C3380CC4-5D6E-409C-BE32-E72D297353CC}">
              <c16:uniqueId val="{00000009-71C2-46A1-AB60-279EE4C12E35}"/>
            </c:ext>
          </c:extLst>
        </c:ser>
        <c:ser>
          <c:idx val="10"/>
          <c:order val="10"/>
          <c:tx>
            <c:strRef>
              <c:f>'White BP3 charts'!$U$157</c:f>
              <c:strCache>
                <c:ptCount val="1"/>
                <c:pt idx="0">
                  <c:v>Average</c:v>
                </c:pt>
              </c:strCache>
            </c:strRef>
          </c:tx>
          <c:spPr>
            <a:ln w="28575" cap="rnd">
              <a:solidFill>
                <a:srgbClr val="9ACA3C"/>
              </a:solidFill>
              <a:prstDash val="dash"/>
              <a:round/>
            </a:ln>
            <a:effectLst/>
          </c:spPr>
          <c:marker>
            <c:symbol val="none"/>
          </c:marker>
          <c:cat>
            <c:strRef>
              <c:f>'White BP3 charts'!$J$160:$J$166</c:f>
              <c:strCache>
                <c:ptCount val="7"/>
                <c:pt idx="0">
                  <c:v>2016
Actual</c:v>
                </c:pt>
                <c:pt idx="1">
                  <c:v>2017
Actual</c:v>
                </c:pt>
                <c:pt idx="2">
                  <c:v>2018
Actual</c:v>
                </c:pt>
                <c:pt idx="3">
                  <c:v>2019
Actual</c:v>
                </c:pt>
                <c:pt idx="4">
                  <c:v>2020
Forecast</c:v>
                </c:pt>
                <c:pt idx="5">
                  <c:v>2021</c:v>
                </c:pt>
                <c:pt idx="6">
                  <c:v>2022
Target</c:v>
                </c:pt>
              </c:strCache>
            </c:strRef>
          </c:cat>
          <c:val>
            <c:numRef>
              <c:f>'White BP3 charts'!$U$160:$U$166</c:f>
              <c:numCache>
                <c:formatCode>General</c:formatCode>
                <c:ptCount val="7"/>
                <c:pt idx="3">
                  <c:v>79.2</c:v>
                </c:pt>
                <c:pt idx="4">
                  <c:v>80.150000000000006</c:v>
                </c:pt>
              </c:numCache>
            </c:numRef>
          </c:val>
          <c:smooth val="0"/>
          <c:extLst>
            <c:ext xmlns:c16="http://schemas.microsoft.com/office/drawing/2014/chart" uri="{C3380CC4-5D6E-409C-BE32-E72D297353CC}">
              <c16:uniqueId val="{0000000A-71C2-46A1-AB60-279EE4C12E35}"/>
            </c:ext>
          </c:extLst>
        </c:ser>
        <c:ser>
          <c:idx val="11"/>
          <c:order val="11"/>
          <c:tx>
            <c:strRef>
              <c:f>'White BP3 charts'!$V$157</c:f>
              <c:strCache>
                <c:ptCount val="1"/>
                <c:pt idx="0">
                  <c:v>Average</c:v>
                </c:pt>
              </c:strCache>
            </c:strRef>
          </c:tx>
          <c:spPr>
            <a:ln w="28575" cap="rnd">
              <a:solidFill>
                <a:srgbClr val="9ACA3C"/>
              </a:solidFill>
              <a:round/>
            </a:ln>
            <a:effectLst/>
          </c:spPr>
          <c:marker>
            <c:symbol val="diamond"/>
            <c:size val="9"/>
            <c:spPr>
              <a:solidFill>
                <a:srgbClr val="9ACA3C"/>
              </a:solidFill>
              <a:ln w="9525">
                <a:noFill/>
              </a:ln>
              <a:effectLst/>
            </c:spPr>
          </c:marker>
          <c:cat>
            <c:strRef>
              <c:f>'White BP3 charts'!$J$160:$J$166</c:f>
              <c:strCache>
                <c:ptCount val="7"/>
                <c:pt idx="0">
                  <c:v>2016
Actual</c:v>
                </c:pt>
                <c:pt idx="1">
                  <c:v>2017
Actual</c:v>
                </c:pt>
                <c:pt idx="2">
                  <c:v>2018
Actual</c:v>
                </c:pt>
                <c:pt idx="3">
                  <c:v>2019
Actual</c:v>
                </c:pt>
                <c:pt idx="4">
                  <c:v>2020
Forecast</c:v>
                </c:pt>
                <c:pt idx="5">
                  <c:v>2021</c:v>
                </c:pt>
                <c:pt idx="6">
                  <c:v>2022
Target</c:v>
                </c:pt>
              </c:strCache>
            </c:strRef>
          </c:cat>
          <c:val>
            <c:numRef>
              <c:f>'White BP3 charts'!$V$160:$V$166</c:f>
              <c:numCache>
                <c:formatCode>General</c:formatCode>
                <c:ptCount val="7"/>
                <c:pt idx="6">
                  <c:v>81.599999999999994</c:v>
                </c:pt>
              </c:numCache>
            </c:numRef>
          </c:val>
          <c:smooth val="0"/>
          <c:extLst>
            <c:ext xmlns:c16="http://schemas.microsoft.com/office/drawing/2014/chart" uri="{C3380CC4-5D6E-409C-BE32-E72D297353CC}">
              <c16:uniqueId val="{0000000B-71C2-46A1-AB60-279EE4C12E35}"/>
            </c:ext>
          </c:extLst>
        </c:ser>
        <c:dLbls>
          <c:showLegendKey val="0"/>
          <c:showVal val="0"/>
          <c:showCatName val="0"/>
          <c:showSerName val="0"/>
          <c:showPercent val="0"/>
          <c:showBubbleSize val="0"/>
        </c:dLbls>
        <c:smooth val="0"/>
        <c:axId val="552085088"/>
        <c:axId val="441956432"/>
      </c:lineChart>
      <c:catAx>
        <c:axId val="55208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41956432"/>
        <c:crosses val="autoZero"/>
        <c:auto val="1"/>
        <c:lblAlgn val="ctr"/>
        <c:lblOffset val="100"/>
        <c:noMultiLvlLbl val="0"/>
      </c:catAx>
      <c:valAx>
        <c:axId val="441956432"/>
        <c:scaling>
          <c:orientation val="minMax"/>
          <c:max val="100"/>
          <c:min val="50"/>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2085088"/>
        <c:crosses val="autoZero"/>
        <c:crossBetween val="between"/>
        <c:majorUnit val="10"/>
      </c:valAx>
      <c:spPr>
        <a:noFill/>
        <a:ln>
          <a:noFill/>
        </a:ln>
        <a:effectLst/>
      </c:spPr>
    </c:plotArea>
    <c:legend>
      <c:legendPos val="b"/>
      <c:legendEntry>
        <c:idx val="1"/>
        <c:delete val="1"/>
      </c:legendEntry>
      <c:legendEntry>
        <c:idx val="2"/>
        <c:delete val="1"/>
      </c:legendEntry>
      <c:legendEntry>
        <c:idx val="4"/>
        <c:delete val="1"/>
      </c:legendEntry>
      <c:legendEntry>
        <c:idx val="5"/>
        <c:delete val="1"/>
      </c:legendEntry>
      <c:legendEntry>
        <c:idx val="7"/>
        <c:delete val="1"/>
      </c:legendEntry>
      <c:legendEntry>
        <c:idx val="8"/>
        <c:delete val="1"/>
      </c:legendEntry>
      <c:legendEntry>
        <c:idx val="10"/>
        <c:delete val="1"/>
      </c:legendEntry>
      <c:legendEntry>
        <c:idx val="11"/>
        <c:delete val="1"/>
      </c:legendEntry>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460214348206474"/>
          <c:y val="5.0925925925925923E-2"/>
          <c:w val="0.85484230096237968"/>
          <c:h val="0.65712634878973464"/>
        </c:manualLayout>
      </c:layout>
      <c:lineChart>
        <c:grouping val="standard"/>
        <c:varyColors val="0"/>
        <c:ser>
          <c:idx val="0"/>
          <c:order val="0"/>
          <c:tx>
            <c:strRef>
              <c:f>'Mauve BP3 charts'!$K$182</c:f>
              <c:strCache>
                <c:ptCount val="1"/>
                <c:pt idx="0">
                  <c:v>Average</c:v>
                </c:pt>
              </c:strCache>
            </c:strRef>
          </c:tx>
          <c:spPr>
            <a:ln w="28575" cap="rnd">
              <a:solidFill>
                <a:srgbClr val="00426F"/>
              </a:solidFill>
              <a:round/>
            </a:ln>
            <a:effectLst/>
          </c:spPr>
          <c:marker>
            <c:symbol val="none"/>
          </c:marker>
          <c:cat>
            <c:strRef>
              <c:f>'Mauve BP3 charts'!$J$185:$J$189</c:f>
              <c:strCache>
                <c:ptCount val="5"/>
                <c:pt idx="0">
                  <c:v>2015-16
Actual</c:v>
                </c:pt>
                <c:pt idx="1">
                  <c:v>2017-18
Actual</c:v>
                </c:pt>
                <c:pt idx="2">
                  <c:v>2019-20
Actual</c:v>
                </c:pt>
                <c:pt idx="3">
                  <c:v>2021-22
Forecast</c:v>
                </c:pt>
                <c:pt idx="4">
                  <c:v>2022-23
Target</c:v>
                </c:pt>
              </c:strCache>
            </c:strRef>
          </c:cat>
          <c:val>
            <c:numRef>
              <c:f>'Mauve BP3 charts'!$K$185:$K$189</c:f>
              <c:numCache>
                <c:formatCode>General</c:formatCode>
                <c:ptCount val="5"/>
                <c:pt idx="0">
                  <c:v>79.7</c:v>
                </c:pt>
                <c:pt idx="1">
                  <c:v>79.099999999999994</c:v>
                </c:pt>
                <c:pt idx="2">
                  <c:v>77.400000000000006</c:v>
                </c:pt>
              </c:numCache>
            </c:numRef>
          </c:val>
          <c:smooth val="0"/>
          <c:extLst>
            <c:ext xmlns:c16="http://schemas.microsoft.com/office/drawing/2014/chart" uri="{C3380CC4-5D6E-409C-BE32-E72D297353CC}">
              <c16:uniqueId val="{00000000-12C5-4AC7-9DC8-F2E2783D7BFD}"/>
            </c:ext>
          </c:extLst>
        </c:ser>
        <c:ser>
          <c:idx val="1"/>
          <c:order val="1"/>
          <c:tx>
            <c:strRef>
              <c:f>'Mauve BP3 charts'!$L$182</c:f>
              <c:strCache>
                <c:ptCount val="1"/>
                <c:pt idx="0">
                  <c:v>Average</c:v>
                </c:pt>
              </c:strCache>
            </c:strRef>
          </c:tx>
          <c:spPr>
            <a:ln w="28575" cap="rnd">
              <a:solidFill>
                <a:srgbClr val="00426F"/>
              </a:solidFill>
              <a:prstDash val="dash"/>
              <a:round/>
            </a:ln>
            <a:effectLst/>
          </c:spPr>
          <c:marker>
            <c:symbol val="none"/>
          </c:marker>
          <c:cat>
            <c:strRef>
              <c:f>'Mauve BP3 charts'!$J$185:$J$189</c:f>
              <c:strCache>
                <c:ptCount val="5"/>
                <c:pt idx="0">
                  <c:v>2015-16
Actual</c:v>
                </c:pt>
                <c:pt idx="1">
                  <c:v>2017-18
Actual</c:v>
                </c:pt>
                <c:pt idx="2">
                  <c:v>2019-20
Actual</c:v>
                </c:pt>
                <c:pt idx="3">
                  <c:v>2021-22
Forecast</c:v>
                </c:pt>
                <c:pt idx="4">
                  <c:v>2022-23
Target</c:v>
                </c:pt>
              </c:strCache>
            </c:strRef>
          </c:cat>
          <c:val>
            <c:numRef>
              <c:f>'Mauve BP3 charts'!$L$185:$L$189</c:f>
              <c:numCache>
                <c:formatCode>General</c:formatCode>
                <c:ptCount val="5"/>
                <c:pt idx="2">
                  <c:v>77.400000000000006</c:v>
                </c:pt>
                <c:pt idx="3">
                  <c:v>78.7</c:v>
                </c:pt>
              </c:numCache>
            </c:numRef>
          </c:val>
          <c:smooth val="0"/>
          <c:extLst>
            <c:ext xmlns:c16="http://schemas.microsoft.com/office/drawing/2014/chart" uri="{C3380CC4-5D6E-409C-BE32-E72D297353CC}">
              <c16:uniqueId val="{00000001-12C5-4AC7-9DC8-F2E2783D7BFD}"/>
            </c:ext>
          </c:extLst>
        </c:ser>
        <c:ser>
          <c:idx val="2"/>
          <c:order val="2"/>
          <c:tx>
            <c:strRef>
              <c:f>'Mauve BP3 charts'!$M$182</c:f>
              <c:strCache>
                <c:ptCount val="1"/>
                <c:pt idx="0">
                  <c:v>Average</c:v>
                </c:pt>
              </c:strCache>
            </c:strRef>
          </c:tx>
          <c:spPr>
            <a:ln w="28575" cap="rnd">
              <a:noFill/>
              <a:round/>
            </a:ln>
            <a:effectLst/>
          </c:spPr>
          <c:marker>
            <c:symbol val="diamond"/>
            <c:size val="9"/>
            <c:spPr>
              <a:solidFill>
                <a:srgbClr val="00426F"/>
              </a:solidFill>
              <a:ln w="9525">
                <a:noFill/>
              </a:ln>
              <a:effectLst/>
            </c:spPr>
          </c:marker>
          <c:cat>
            <c:strRef>
              <c:f>'Mauve BP3 charts'!$J$185:$J$189</c:f>
              <c:strCache>
                <c:ptCount val="5"/>
                <c:pt idx="0">
                  <c:v>2015-16
Actual</c:v>
                </c:pt>
                <c:pt idx="1">
                  <c:v>2017-18
Actual</c:v>
                </c:pt>
                <c:pt idx="2">
                  <c:v>2019-20
Actual</c:v>
                </c:pt>
                <c:pt idx="3">
                  <c:v>2021-22
Forecast</c:v>
                </c:pt>
                <c:pt idx="4">
                  <c:v>2022-23
Target</c:v>
                </c:pt>
              </c:strCache>
            </c:strRef>
          </c:cat>
          <c:val>
            <c:numRef>
              <c:f>'Mauve BP3 charts'!$M$185:$M$189</c:f>
              <c:numCache>
                <c:formatCode>General</c:formatCode>
                <c:ptCount val="5"/>
                <c:pt idx="4">
                  <c:v>81.2</c:v>
                </c:pt>
              </c:numCache>
            </c:numRef>
          </c:val>
          <c:smooth val="0"/>
          <c:extLst>
            <c:ext xmlns:c16="http://schemas.microsoft.com/office/drawing/2014/chart" uri="{C3380CC4-5D6E-409C-BE32-E72D297353CC}">
              <c16:uniqueId val="{00000002-12C5-4AC7-9DC8-F2E2783D7BFD}"/>
            </c:ext>
          </c:extLst>
        </c:ser>
        <c:ser>
          <c:idx val="3"/>
          <c:order val="3"/>
          <c:tx>
            <c:strRef>
              <c:f>'Mauve BP3 charts'!$N$182</c:f>
              <c:strCache>
                <c:ptCount val="1"/>
                <c:pt idx="0">
                  <c:v>Employers using Nationally Recognised Training</c:v>
                </c:pt>
              </c:strCache>
            </c:strRef>
          </c:tx>
          <c:spPr>
            <a:ln w="28575" cap="rnd">
              <a:solidFill>
                <a:srgbClr val="008EBA"/>
              </a:solidFill>
              <a:round/>
            </a:ln>
            <a:effectLst/>
          </c:spPr>
          <c:marker>
            <c:symbol val="none"/>
          </c:marker>
          <c:cat>
            <c:strRef>
              <c:f>'Mauve BP3 charts'!$J$185:$J$189</c:f>
              <c:strCache>
                <c:ptCount val="5"/>
                <c:pt idx="0">
                  <c:v>2015-16
Actual</c:v>
                </c:pt>
                <c:pt idx="1">
                  <c:v>2017-18
Actual</c:v>
                </c:pt>
                <c:pt idx="2">
                  <c:v>2019-20
Actual</c:v>
                </c:pt>
                <c:pt idx="3">
                  <c:v>2021-22
Forecast</c:v>
                </c:pt>
                <c:pt idx="4">
                  <c:v>2022-23
Target</c:v>
                </c:pt>
              </c:strCache>
            </c:strRef>
          </c:cat>
          <c:val>
            <c:numRef>
              <c:f>'Mauve BP3 charts'!$N$185:$N$189</c:f>
              <c:numCache>
                <c:formatCode>General</c:formatCode>
                <c:ptCount val="5"/>
                <c:pt idx="0">
                  <c:v>93.9</c:v>
                </c:pt>
                <c:pt idx="1">
                  <c:v>82</c:v>
                </c:pt>
                <c:pt idx="2">
                  <c:v>79.099999999999994</c:v>
                </c:pt>
              </c:numCache>
            </c:numRef>
          </c:val>
          <c:smooth val="0"/>
          <c:extLst>
            <c:ext xmlns:c16="http://schemas.microsoft.com/office/drawing/2014/chart" uri="{C3380CC4-5D6E-409C-BE32-E72D297353CC}">
              <c16:uniqueId val="{00000003-12C5-4AC7-9DC8-F2E2783D7BFD}"/>
            </c:ext>
          </c:extLst>
        </c:ser>
        <c:ser>
          <c:idx val="4"/>
          <c:order val="4"/>
          <c:tx>
            <c:strRef>
              <c:f>'Mauve BP3 charts'!$O$182</c:f>
              <c:strCache>
                <c:ptCount val="1"/>
                <c:pt idx="0">
                  <c:v>Employers using Nationally Recognised Training</c:v>
                </c:pt>
              </c:strCache>
            </c:strRef>
          </c:tx>
          <c:spPr>
            <a:ln w="28575" cap="rnd">
              <a:solidFill>
                <a:srgbClr val="008EBA"/>
              </a:solidFill>
              <a:prstDash val="dash"/>
              <a:round/>
            </a:ln>
            <a:effectLst/>
          </c:spPr>
          <c:marker>
            <c:symbol val="none"/>
          </c:marker>
          <c:cat>
            <c:strRef>
              <c:f>'Mauve BP3 charts'!$J$185:$J$189</c:f>
              <c:strCache>
                <c:ptCount val="5"/>
                <c:pt idx="0">
                  <c:v>2015-16
Actual</c:v>
                </c:pt>
                <c:pt idx="1">
                  <c:v>2017-18
Actual</c:v>
                </c:pt>
                <c:pt idx="2">
                  <c:v>2019-20
Actual</c:v>
                </c:pt>
                <c:pt idx="3">
                  <c:v>2021-22
Forecast</c:v>
                </c:pt>
                <c:pt idx="4">
                  <c:v>2022-23
Target</c:v>
                </c:pt>
              </c:strCache>
            </c:strRef>
          </c:cat>
          <c:val>
            <c:numRef>
              <c:f>'Mauve BP3 charts'!$O$185:$O$189</c:f>
              <c:numCache>
                <c:formatCode>General</c:formatCode>
                <c:ptCount val="5"/>
                <c:pt idx="2">
                  <c:v>79.099999999999994</c:v>
                </c:pt>
                <c:pt idx="3">
                  <c:v>81.2</c:v>
                </c:pt>
              </c:numCache>
            </c:numRef>
          </c:val>
          <c:smooth val="0"/>
          <c:extLst>
            <c:ext xmlns:c16="http://schemas.microsoft.com/office/drawing/2014/chart" uri="{C3380CC4-5D6E-409C-BE32-E72D297353CC}">
              <c16:uniqueId val="{00000004-12C5-4AC7-9DC8-F2E2783D7BFD}"/>
            </c:ext>
          </c:extLst>
        </c:ser>
        <c:ser>
          <c:idx val="5"/>
          <c:order val="5"/>
          <c:tx>
            <c:strRef>
              <c:f>'Mauve BP3 charts'!$P$182</c:f>
              <c:strCache>
                <c:ptCount val="1"/>
                <c:pt idx="0">
                  <c:v>Employers using Nationally Recognised Training</c:v>
                </c:pt>
              </c:strCache>
            </c:strRef>
          </c:tx>
          <c:spPr>
            <a:ln w="28575" cap="rnd">
              <a:noFill/>
              <a:round/>
            </a:ln>
            <a:effectLst/>
          </c:spPr>
          <c:marker>
            <c:symbol val="diamond"/>
            <c:size val="9"/>
            <c:spPr>
              <a:solidFill>
                <a:srgbClr val="008EBA"/>
              </a:solidFill>
              <a:ln w="9525">
                <a:noFill/>
              </a:ln>
              <a:effectLst/>
            </c:spPr>
          </c:marker>
          <c:cat>
            <c:strRef>
              <c:f>'Mauve BP3 charts'!$J$185:$J$189</c:f>
              <c:strCache>
                <c:ptCount val="5"/>
                <c:pt idx="0">
                  <c:v>2015-16
Actual</c:v>
                </c:pt>
                <c:pt idx="1">
                  <c:v>2017-18
Actual</c:v>
                </c:pt>
                <c:pt idx="2">
                  <c:v>2019-20
Actual</c:v>
                </c:pt>
                <c:pt idx="3">
                  <c:v>2021-22
Forecast</c:v>
                </c:pt>
                <c:pt idx="4">
                  <c:v>2022-23
Target</c:v>
                </c:pt>
              </c:strCache>
            </c:strRef>
          </c:cat>
          <c:val>
            <c:numRef>
              <c:f>'Mauve BP3 charts'!$P$185:$P$189</c:f>
              <c:numCache>
                <c:formatCode>General</c:formatCode>
                <c:ptCount val="5"/>
                <c:pt idx="4">
                  <c:v>85.5</c:v>
                </c:pt>
              </c:numCache>
            </c:numRef>
          </c:val>
          <c:smooth val="0"/>
          <c:extLst>
            <c:ext xmlns:c16="http://schemas.microsoft.com/office/drawing/2014/chart" uri="{C3380CC4-5D6E-409C-BE32-E72D297353CC}">
              <c16:uniqueId val="{00000005-12C5-4AC7-9DC8-F2E2783D7BFD}"/>
            </c:ext>
          </c:extLst>
        </c:ser>
        <c:ser>
          <c:idx val="6"/>
          <c:order val="6"/>
          <c:tx>
            <c:strRef>
              <c:f>'Mauve BP3 charts'!$Q$182</c:f>
              <c:strCache>
                <c:ptCount val="1"/>
                <c:pt idx="0">
                  <c:v>Employers VET job requirement</c:v>
                </c:pt>
              </c:strCache>
            </c:strRef>
          </c:tx>
          <c:spPr>
            <a:ln w="28575" cap="rnd">
              <a:solidFill>
                <a:srgbClr val="50C8E9"/>
              </a:solidFill>
              <a:round/>
            </a:ln>
            <a:effectLst/>
          </c:spPr>
          <c:marker>
            <c:symbol val="none"/>
          </c:marker>
          <c:cat>
            <c:strRef>
              <c:f>'Mauve BP3 charts'!$J$185:$J$189</c:f>
              <c:strCache>
                <c:ptCount val="5"/>
                <c:pt idx="0">
                  <c:v>2015-16
Actual</c:v>
                </c:pt>
                <c:pt idx="1">
                  <c:v>2017-18
Actual</c:v>
                </c:pt>
                <c:pt idx="2">
                  <c:v>2019-20
Actual</c:v>
                </c:pt>
                <c:pt idx="3">
                  <c:v>2021-22
Forecast</c:v>
                </c:pt>
                <c:pt idx="4">
                  <c:v>2022-23
Target</c:v>
                </c:pt>
              </c:strCache>
            </c:strRef>
          </c:cat>
          <c:val>
            <c:numRef>
              <c:f>'Mauve BP3 charts'!$Q$185:$Q$189</c:f>
              <c:numCache>
                <c:formatCode>General</c:formatCode>
                <c:ptCount val="5"/>
                <c:pt idx="0">
                  <c:v>73.7</c:v>
                </c:pt>
                <c:pt idx="1">
                  <c:v>76.2</c:v>
                </c:pt>
                <c:pt idx="2">
                  <c:v>74.5</c:v>
                </c:pt>
              </c:numCache>
            </c:numRef>
          </c:val>
          <c:smooth val="0"/>
          <c:extLst>
            <c:ext xmlns:c16="http://schemas.microsoft.com/office/drawing/2014/chart" uri="{C3380CC4-5D6E-409C-BE32-E72D297353CC}">
              <c16:uniqueId val="{00000006-12C5-4AC7-9DC8-F2E2783D7BFD}"/>
            </c:ext>
          </c:extLst>
        </c:ser>
        <c:ser>
          <c:idx val="7"/>
          <c:order val="7"/>
          <c:tx>
            <c:strRef>
              <c:f>'Mauve BP3 charts'!$R$182</c:f>
              <c:strCache>
                <c:ptCount val="1"/>
                <c:pt idx="0">
                  <c:v>Employers VET job requirement</c:v>
                </c:pt>
              </c:strCache>
            </c:strRef>
          </c:tx>
          <c:spPr>
            <a:ln w="28575" cap="rnd">
              <a:solidFill>
                <a:srgbClr val="50C8E9"/>
              </a:solidFill>
              <a:prstDash val="dash"/>
              <a:round/>
            </a:ln>
            <a:effectLst/>
          </c:spPr>
          <c:marker>
            <c:symbol val="none"/>
          </c:marker>
          <c:cat>
            <c:strRef>
              <c:f>'Mauve BP3 charts'!$J$185:$J$189</c:f>
              <c:strCache>
                <c:ptCount val="5"/>
                <c:pt idx="0">
                  <c:v>2015-16
Actual</c:v>
                </c:pt>
                <c:pt idx="1">
                  <c:v>2017-18
Actual</c:v>
                </c:pt>
                <c:pt idx="2">
                  <c:v>2019-20
Actual</c:v>
                </c:pt>
                <c:pt idx="3">
                  <c:v>2021-22
Forecast</c:v>
                </c:pt>
                <c:pt idx="4">
                  <c:v>2022-23
Target</c:v>
                </c:pt>
              </c:strCache>
            </c:strRef>
          </c:cat>
          <c:val>
            <c:numRef>
              <c:f>'Mauve BP3 charts'!$R$185:$R$189</c:f>
              <c:numCache>
                <c:formatCode>General</c:formatCode>
                <c:ptCount val="5"/>
                <c:pt idx="2">
                  <c:v>74.5</c:v>
                </c:pt>
                <c:pt idx="3">
                  <c:v>75</c:v>
                </c:pt>
              </c:numCache>
            </c:numRef>
          </c:val>
          <c:smooth val="0"/>
          <c:extLst>
            <c:ext xmlns:c16="http://schemas.microsoft.com/office/drawing/2014/chart" uri="{C3380CC4-5D6E-409C-BE32-E72D297353CC}">
              <c16:uniqueId val="{00000007-12C5-4AC7-9DC8-F2E2783D7BFD}"/>
            </c:ext>
          </c:extLst>
        </c:ser>
        <c:ser>
          <c:idx val="8"/>
          <c:order val="8"/>
          <c:tx>
            <c:strRef>
              <c:f>'Mauve BP3 charts'!$S$182</c:f>
              <c:strCache>
                <c:ptCount val="1"/>
                <c:pt idx="0">
                  <c:v>Employers VET job requirement</c:v>
                </c:pt>
              </c:strCache>
            </c:strRef>
          </c:tx>
          <c:spPr>
            <a:ln w="28575" cap="rnd">
              <a:solidFill>
                <a:srgbClr val="50C8E9"/>
              </a:solidFill>
              <a:round/>
            </a:ln>
            <a:effectLst/>
          </c:spPr>
          <c:marker>
            <c:symbol val="diamond"/>
            <c:size val="9"/>
            <c:spPr>
              <a:solidFill>
                <a:srgbClr val="50C8E9"/>
              </a:solidFill>
              <a:ln w="9525">
                <a:noFill/>
              </a:ln>
              <a:effectLst/>
            </c:spPr>
          </c:marker>
          <c:cat>
            <c:strRef>
              <c:f>'Mauve BP3 charts'!$J$185:$J$189</c:f>
              <c:strCache>
                <c:ptCount val="5"/>
                <c:pt idx="0">
                  <c:v>2015-16
Actual</c:v>
                </c:pt>
                <c:pt idx="1">
                  <c:v>2017-18
Actual</c:v>
                </c:pt>
                <c:pt idx="2">
                  <c:v>2019-20
Actual</c:v>
                </c:pt>
                <c:pt idx="3">
                  <c:v>2021-22
Forecast</c:v>
                </c:pt>
                <c:pt idx="4">
                  <c:v>2022-23
Target</c:v>
                </c:pt>
              </c:strCache>
            </c:strRef>
          </c:cat>
          <c:val>
            <c:numRef>
              <c:f>'Mauve BP3 charts'!$S$185:$S$189</c:f>
              <c:numCache>
                <c:formatCode>General</c:formatCode>
                <c:ptCount val="5"/>
                <c:pt idx="4">
                  <c:v>76</c:v>
                </c:pt>
              </c:numCache>
            </c:numRef>
          </c:val>
          <c:smooth val="0"/>
          <c:extLst>
            <c:ext xmlns:c16="http://schemas.microsoft.com/office/drawing/2014/chart" uri="{C3380CC4-5D6E-409C-BE32-E72D297353CC}">
              <c16:uniqueId val="{00000008-12C5-4AC7-9DC8-F2E2783D7BFD}"/>
            </c:ext>
          </c:extLst>
        </c:ser>
        <c:ser>
          <c:idx val="9"/>
          <c:order val="9"/>
          <c:tx>
            <c:strRef>
              <c:f>'Mauve BP3 charts'!$T$182</c:f>
              <c:strCache>
                <c:ptCount val="1"/>
                <c:pt idx="0">
                  <c:v>Employers with apprentices and trainees</c:v>
                </c:pt>
              </c:strCache>
            </c:strRef>
          </c:tx>
          <c:spPr>
            <a:ln w="28575" cap="rnd">
              <a:solidFill>
                <a:srgbClr val="9ACA3C"/>
              </a:solidFill>
              <a:round/>
            </a:ln>
            <a:effectLst/>
          </c:spPr>
          <c:marker>
            <c:symbol val="none"/>
          </c:marker>
          <c:cat>
            <c:strRef>
              <c:f>'Mauve BP3 charts'!$J$185:$J$189</c:f>
              <c:strCache>
                <c:ptCount val="5"/>
                <c:pt idx="0">
                  <c:v>2015-16
Actual</c:v>
                </c:pt>
                <c:pt idx="1">
                  <c:v>2017-18
Actual</c:v>
                </c:pt>
                <c:pt idx="2">
                  <c:v>2019-20
Actual</c:v>
                </c:pt>
                <c:pt idx="3">
                  <c:v>2021-22
Forecast</c:v>
                </c:pt>
                <c:pt idx="4">
                  <c:v>2022-23
Target</c:v>
                </c:pt>
              </c:strCache>
            </c:strRef>
          </c:cat>
          <c:val>
            <c:numRef>
              <c:f>'Mauve BP3 charts'!$T$185:$T$189</c:f>
              <c:numCache>
                <c:formatCode>General</c:formatCode>
                <c:ptCount val="5"/>
                <c:pt idx="0">
                  <c:v>79.7</c:v>
                </c:pt>
                <c:pt idx="1">
                  <c:v>78.900000000000006</c:v>
                </c:pt>
                <c:pt idx="2">
                  <c:v>78.599999999999994</c:v>
                </c:pt>
              </c:numCache>
            </c:numRef>
          </c:val>
          <c:smooth val="0"/>
          <c:extLst>
            <c:ext xmlns:c16="http://schemas.microsoft.com/office/drawing/2014/chart" uri="{C3380CC4-5D6E-409C-BE32-E72D297353CC}">
              <c16:uniqueId val="{00000009-12C5-4AC7-9DC8-F2E2783D7BFD}"/>
            </c:ext>
          </c:extLst>
        </c:ser>
        <c:ser>
          <c:idx val="10"/>
          <c:order val="10"/>
          <c:tx>
            <c:strRef>
              <c:f>'Mauve BP3 charts'!$U$182</c:f>
              <c:strCache>
                <c:ptCount val="1"/>
                <c:pt idx="0">
                  <c:v>Employers with apprentices and trainees</c:v>
                </c:pt>
              </c:strCache>
            </c:strRef>
          </c:tx>
          <c:spPr>
            <a:ln w="28575" cap="rnd">
              <a:solidFill>
                <a:srgbClr val="9ACA3C"/>
              </a:solidFill>
              <a:prstDash val="dash"/>
              <a:round/>
            </a:ln>
            <a:effectLst/>
          </c:spPr>
          <c:marker>
            <c:symbol val="none"/>
          </c:marker>
          <c:cat>
            <c:strRef>
              <c:f>'Mauve BP3 charts'!$J$185:$J$189</c:f>
              <c:strCache>
                <c:ptCount val="5"/>
                <c:pt idx="0">
                  <c:v>2015-16
Actual</c:v>
                </c:pt>
                <c:pt idx="1">
                  <c:v>2017-18
Actual</c:v>
                </c:pt>
                <c:pt idx="2">
                  <c:v>2019-20
Actual</c:v>
                </c:pt>
                <c:pt idx="3">
                  <c:v>2021-22
Forecast</c:v>
                </c:pt>
                <c:pt idx="4">
                  <c:v>2022-23
Target</c:v>
                </c:pt>
              </c:strCache>
            </c:strRef>
          </c:cat>
          <c:val>
            <c:numRef>
              <c:f>'Mauve BP3 charts'!$U$185:$U$189</c:f>
              <c:numCache>
                <c:formatCode>General</c:formatCode>
                <c:ptCount val="5"/>
                <c:pt idx="2">
                  <c:v>78.599999999999994</c:v>
                </c:pt>
                <c:pt idx="3">
                  <c:v>79.7</c:v>
                </c:pt>
              </c:numCache>
            </c:numRef>
          </c:val>
          <c:smooth val="0"/>
          <c:extLst>
            <c:ext xmlns:c16="http://schemas.microsoft.com/office/drawing/2014/chart" uri="{C3380CC4-5D6E-409C-BE32-E72D297353CC}">
              <c16:uniqueId val="{0000000A-12C5-4AC7-9DC8-F2E2783D7BFD}"/>
            </c:ext>
          </c:extLst>
        </c:ser>
        <c:ser>
          <c:idx val="11"/>
          <c:order val="11"/>
          <c:tx>
            <c:strRef>
              <c:f>'Mauve BP3 charts'!$V$182</c:f>
              <c:strCache>
                <c:ptCount val="1"/>
                <c:pt idx="0">
                  <c:v>Employers with apprentices and trainees</c:v>
                </c:pt>
              </c:strCache>
            </c:strRef>
          </c:tx>
          <c:spPr>
            <a:ln w="28575" cap="rnd">
              <a:solidFill>
                <a:srgbClr val="9ACA3C"/>
              </a:solidFill>
              <a:round/>
            </a:ln>
            <a:effectLst/>
          </c:spPr>
          <c:marker>
            <c:symbol val="diamond"/>
            <c:size val="9"/>
            <c:spPr>
              <a:solidFill>
                <a:srgbClr val="9ACA3C"/>
              </a:solidFill>
              <a:ln w="9525">
                <a:noFill/>
              </a:ln>
              <a:effectLst/>
            </c:spPr>
          </c:marker>
          <c:cat>
            <c:strRef>
              <c:f>'Mauve BP3 charts'!$J$185:$J$189</c:f>
              <c:strCache>
                <c:ptCount val="5"/>
                <c:pt idx="0">
                  <c:v>2015-16
Actual</c:v>
                </c:pt>
                <c:pt idx="1">
                  <c:v>2017-18
Actual</c:v>
                </c:pt>
                <c:pt idx="2">
                  <c:v>2019-20
Actual</c:v>
                </c:pt>
                <c:pt idx="3">
                  <c:v>2021-22
Forecast</c:v>
                </c:pt>
                <c:pt idx="4">
                  <c:v>2022-23
Target</c:v>
                </c:pt>
              </c:strCache>
            </c:strRef>
          </c:cat>
          <c:val>
            <c:numRef>
              <c:f>'Mauve BP3 charts'!$V$185:$V$189</c:f>
              <c:numCache>
                <c:formatCode>General</c:formatCode>
                <c:ptCount val="5"/>
                <c:pt idx="4">
                  <c:v>82</c:v>
                </c:pt>
              </c:numCache>
            </c:numRef>
          </c:val>
          <c:smooth val="0"/>
          <c:extLst>
            <c:ext xmlns:c16="http://schemas.microsoft.com/office/drawing/2014/chart" uri="{C3380CC4-5D6E-409C-BE32-E72D297353CC}">
              <c16:uniqueId val="{0000000B-12C5-4AC7-9DC8-F2E2783D7BFD}"/>
            </c:ext>
          </c:extLst>
        </c:ser>
        <c:dLbls>
          <c:showLegendKey val="0"/>
          <c:showVal val="0"/>
          <c:showCatName val="0"/>
          <c:showSerName val="0"/>
          <c:showPercent val="0"/>
          <c:showBubbleSize val="0"/>
        </c:dLbls>
        <c:smooth val="0"/>
        <c:axId val="552085088"/>
        <c:axId val="441956432"/>
      </c:lineChart>
      <c:catAx>
        <c:axId val="55208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41956432"/>
        <c:crosses val="autoZero"/>
        <c:auto val="1"/>
        <c:lblAlgn val="ctr"/>
        <c:lblOffset val="100"/>
        <c:noMultiLvlLbl val="0"/>
      </c:catAx>
      <c:valAx>
        <c:axId val="441956432"/>
        <c:scaling>
          <c:orientation val="minMax"/>
          <c:max val="100"/>
          <c:min val="50"/>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2085088"/>
        <c:crosses val="autoZero"/>
        <c:crossBetween val="between"/>
        <c:majorUnit val="10"/>
      </c:valAx>
      <c:spPr>
        <a:noFill/>
        <a:ln>
          <a:noFill/>
        </a:ln>
        <a:effectLst/>
      </c:spPr>
    </c:plotArea>
    <c:legend>
      <c:legendPos val="b"/>
      <c:legendEntry>
        <c:idx val="1"/>
        <c:delete val="1"/>
      </c:legendEntry>
      <c:legendEntry>
        <c:idx val="2"/>
        <c:delete val="1"/>
      </c:legendEntry>
      <c:legendEntry>
        <c:idx val="4"/>
        <c:delete val="1"/>
      </c:legendEntry>
      <c:legendEntry>
        <c:idx val="5"/>
        <c:delete val="1"/>
      </c:legendEntry>
      <c:legendEntry>
        <c:idx val="7"/>
        <c:delete val="1"/>
      </c:legendEntry>
      <c:legendEntry>
        <c:idx val="8"/>
        <c:delete val="1"/>
      </c:legendEntry>
      <c:legendEntry>
        <c:idx val="10"/>
        <c:delete val="1"/>
      </c:legendEntry>
      <c:legendEntry>
        <c:idx val="11"/>
        <c:delete val="1"/>
      </c:legendEntry>
      <c:layout>
        <c:manualLayout>
          <c:xMode val="edge"/>
          <c:yMode val="edge"/>
          <c:x val="8.8867016622922127E-3"/>
          <c:y val="0.84505905511811019"/>
          <c:w val="0.98500437445319333"/>
          <c:h val="0.1271631671041120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3" ma:contentTypeDescription="Create a new document." ma:contentTypeScope="" ma:versionID="b5babb12e1fedc6ea5b0ddbe9a6dbc85">
  <xsd:schema xmlns:xsd="http://www.w3.org/2001/XMLSchema" xmlns:xs="http://www.w3.org/2001/XMLSchema" xmlns:p="http://schemas.microsoft.com/office/2006/metadata/properties" xmlns:ns2="801a5968-9419-4033-b9de-7ffe8168468e" xmlns:ns3="1c478e85-8130-4c67-8ee4-8bdf1c0e6049" targetNamespace="http://schemas.microsoft.com/office/2006/metadata/properties" ma:root="true" ma:fieldsID="9385a6c5781228858eb2dfc06285a0e9" ns2:_="" ns3:_="">
    <xsd:import namespace="801a5968-9419-4033-b9de-7ffe8168468e"/>
    <xsd:import namespace="1c478e85-8130-4c67-8ee4-8bdf1c0e60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1c478e85-8130-4c67-8ee4-8bdf1c0e604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4D92B-358B-4D5A-8B8C-F4C9BD3FC7A2}">
  <ds:schemaRefs>
    <ds:schemaRef ds:uri="http://schemas.microsoft.com/sharepoint/v3/contenttype/forms"/>
  </ds:schemaRefs>
</ds:datastoreItem>
</file>

<file path=customXml/itemProps2.xml><?xml version="1.0" encoding="utf-8"?>
<ds:datastoreItem xmlns:ds="http://schemas.openxmlformats.org/officeDocument/2006/customXml" ds:itemID="{86EBE275-577F-4C53-B4A2-5CDD69EC8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58E13A-E438-47C2-9728-1636AAD6F8EA}">
  <ds:schemaRefs>
    <ds:schemaRef ds:uri="http://schemas.microsoft.com/office/2006/metadata/properties"/>
    <ds:schemaRef ds:uri="http://schemas.microsoft.com/office/infopath/2007/PartnerControls"/>
    <ds:schemaRef ds:uri="1c478e85-8130-4c67-8ee4-8bdf1c0e6049"/>
  </ds:schemaRefs>
</ds:datastoreItem>
</file>

<file path=customXml/itemProps4.xml><?xml version="1.0" encoding="utf-8"?>
<ds:datastoreItem xmlns:ds="http://schemas.openxmlformats.org/officeDocument/2006/customXml" ds:itemID="{55069EB0-E816-4974-9ADF-9DD5C78C26B6}">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10.xml><?xml version="1.0" encoding="utf-8"?>
<clbl:labelList xmlns:clbl="http://schemas.microsoft.com/office/2020/mipLabelMetadata"/>
</file>

<file path=docMetadata/LabelInfo11.xml><?xml version="1.0" encoding="utf-8"?>
<clbl:labelList xmlns:clbl="http://schemas.microsoft.com/office/2020/mipLabelMetadata"/>
</file>

<file path=docMetadata/LabelInfo12.xml><?xml version="1.0" encoding="utf-8"?>
<clbl:labelList xmlns:clbl="http://schemas.microsoft.com/office/2020/mipLabelMetadata"/>
</file>

<file path=docMetadata/LabelInfo13.xml><?xml version="1.0" encoding="utf-8"?>
<clbl:labelList xmlns:clbl="http://schemas.microsoft.com/office/2020/mipLabelMetadata"/>
</file>

<file path=docMetadata/LabelInfo14.xml><?xml version="1.0" encoding="utf-8"?>
<clbl:labelList xmlns:clbl="http://schemas.microsoft.com/office/2020/mipLabelMetadata"/>
</file>

<file path=docMetadata/LabelInfo15.xml><?xml version="1.0" encoding="utf-8"?>
<clbl:labelList xmlns:clbl="http://schemas.microsoft.com/office/2020/mipLabelMetadata"/>
</file>

<file path=docMetadata/LabelInfo16.xml><?xml version="1.0" encoding="utf-8"?>
<clbl:labelList xmlns:clbl="http://schemas.microsoft.com/office/2020/mipLabelMetadata"/>
</file>

<file path=docMetadata/LabelInfo17.xml><?xml version="1.0" encoding="utf-8"?>
<clbl:labelList xmlns:clbl="http://schemas.microsoft.com/office/2020/mipLabelMetadata"/>
</file>

<file path=docMetadata/LabelInfo18.xml><?xml version="1.0" encoding="utf-8"?>
<clbl:labelList xmlns:clbl="http://schemas.microsoft.com/office/2020/mipLabelMetadata"/>
</file>

<file path=docMetadata/LabelInfo19.xml><?xml version="1.0" encoding="utf-8"?>
<clbl:labelList xmlns:clbl="http://schemas.microsoft.com/office/2020/mipLabelMetadata"/>
</file>

<file path=docMetadata/LabelInfo2.xml><?xml version="1.0" encoding="utf-8"?>
<clbl:labelList xmlns:clbl="http://schemas.microsoft.com/office/2020/mipLabelMetadata"/>
</file>

<file path=docMetadata/LabelInfo20.xml><?xml version="1.0" encoding="utf-8"?>
<clbl:labelList xmlns:clbl="http://schemas.microsoft.com/office/2020/mipLabelMetadata"/>
</file>

<file path=docMetadata/LabelInfo21.xml><?xml version="1.0" encoding="utf-8"?>
<clbl:labelList xmlns:clbl="http://schemas.microsoft.com/office/2020/mipLabelMetadata"/>
</file>

<file path=docMetadata/LabelInfo22.xml><?xml version="1.0" encoding="utf-8"?>
<clbl:labelList xmlns:clbl="http://schemas.microsoft.com/office/2020/mipLabelMetadata"/>
</file>

<file path=docMetadata/LabelInfo23.xml><?xml version="1.0" encoding="utf-8"?>
<clbl:labelList xmlns:clbl="http://schemas.microsoft.com/office/2020/mipLabelMetadata"/>
</file>

<file path=docMetadata/LabelInfo24.xml><?xml version="1.0" encoding="utf-8"?>
<clbl:labelList xmlns:clbl="http://schemas.microsoft.com/office/2020/mipLabelMetadata"/>
</file>

<file path=docMetadata/LabelInfo25.xml><?xml version="1.0" encoding="utf-8"?>
<clbl:labelList xmlns:clbl="http://schemas.microsoft.com/office/2020/mipLabelMetadata"/>
</file>

<file path=docMetadata/LabelInfo26.xml><?xml version="1.0" encoding="utf-8"?>
<clbl:labelList xmlns:clbl="http://schemas.microsoft.com/office/2020/mipLabelMetadata"/>
</file>

<file path=docMetadata/LabelInfo27.xml><?xml version="1.0" encoding="utf-8"?>
<clbl:labelList xmlns:clbl="http://schemas.microsoft.com/office/2020/mipLabelMetadata"/>
</file>

<file path=docMetadata/LabelInfo28.xml><?xml version="1.0" encoding="utf-8"?>
<clbl:labelList xmlns:clbl="http://schemas.microsoft.com/office/2020/mipLabelMetadata"/>
</file>

<file path=docMetadata/LabelInfo29.xml><?xml version="1.0" encoding="utf-8"?>
<clbl:labelList xmlns:clbl="http://schemas.microsoft.com/office/2020/mipLabelMetadata"/>
</file>

<file path=docMetadata/LabelInfo3.xml><?xml version="1.0" encoding="utf-8"?>
<clbl:labelList xmlns:clbl="http://schemas.microsoft.com/office/2020/mipLabelMetadata"/>
</file>

<file path=docMetadata/LabelInfo30.xml><?xml version="1.0" encoding="utf-8"?>
<clbl:labelList xmlns:clbl="http://schemas.microsoft.com/office/2020/mipLabelMetadata"/>
</file>

<file path=docMetadata/LabelInfo31.xml><?xml version="1.0" encoding="utf-8"?>
<clbl:labelList xmlns:clbl="http://schemas.microsoft.com/office/2020/mipLabelMetadata"/>
</file>

<file path=docMetadata/LabelInfo32.xml><?xml version="1.0" encoding="utf-8"?>
<clbl:labelList xmlns:clbl="http://schemas.microsoft.com/office/2020/mipLabelMetadata"/>
</file>

<file path=docMetadata/LabelInfo33.xml><?xml version="1.0" encoding="utf-8"?>
<clbl:labelList xmlns:clbl="http://schemas.microsoft.com/office/2020/mipLabelMetadata"/>
</file>

<file path=docMetadata/LabelInfo34.xml><?xml version="1.0" encoding="utf-8"?>
<clbl:labelList xmlns:clbl="http://schemas.microsoft.com/office/2020/mipLabelMetadata"/>
</file>

<file path=docMetadata/LabelInfo35.xml><?xml version="1.0" encoding="utf-8"?>
<clbl:labelList xmlns:clbl="http://schemas.microsoft.com/office/2020/mipLabelMetadata"/>
</file>

<file path=docMetadata/LabelInfo36.xml><?xml version="1.0" encoding="utf-8"?>
<clbl:labelList xmlns:clbl="http://schemas.microsoft.com/office/2020/mipLabelMetadata"/>
</file>

<file path=docMetadata/LabelInfo37.xml><?xml version="1.0" encoding="utf-8"?>
<clbl:labelList xmlns:clbl="http://schemas.microsoft.com/office/2020/mipLabelMetadata"/>
</file>

<file path=docMetadata/LabelInfo38.xml><?xml version="1.0" encoding="utf-8"?>
<clbl:labelList xmlns:clbl="http://schemas.microsoft.com/office/2020/mipLabelMetadata"/>
</file>

<file path=docMetadata/LabelInfo39.xml><?xml version="1.0" encoding="utf-8"?>
<clbl:labelList xmlns:clbl="http://schemas.microsoft.com/office/2020/mipLabelMetadata"/>
</file>

<file path=docMetadata/LabelInfo4.xml><?xml version="1.0" encoding="utf-8"?>
<clbl:labelList xmlns:clbl="http://schemas.microsoft.com/office/2020/mipLabelMetadata"/>
</file>

<file path=docMetadata/LabelInfo40.xml><?xml version="1.0" encoding="utf-8"?>
<clbl:labelList xmlns:clbl="http://schemas.microsoft.com/office/2020/mipLabelMetadata"/>
</file>

<file path=docMetadata/LabelInfo5.xml><?xml version="1.0" encoding="utf-8"?>
<clbl:labelList xmlns:clbl="http://schemas.microsoft.com/office/2020/mipLabelMetadata"/>
</file>

<file path=docMetadata/LabelInfo6.xml><?xml version="1.0" encoding="utf-8"?>
<clbl:labelList xmlns:clbl="http://schemas.microsoft.com/office/2020/mipLabelMetadata"/>
</file>

<file path=docMetadata/LabelInfo7.xml><?xml version="1.0" encoding="utf-8"?>
<clbl:labelList xmlns:clbl="http://schemas.microsoft.com/office/2020/mipLabelMetadata"/>
</file>

<file path=docMetadata/LabelInfo8.xml><?xml version="1.0" encoding="utf-8"?>
<clbl:labelList xmlns:clbl="http://schemas.microsoft.com/office/2020/mipLabelMetadata"/>
</file>

<file path=docMetadata/LabelInfo9.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15</Pages>
  <Words>4415</Words>
  <Characters>26229</Characters>
  <Application>Microsoft Office Word</Application>
  <DocSecurity>0</DocSecurity>
  <Lines>846</Lines>
  <Paragraphs>502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Budget - Budget Paper No. 2 - Outcomes Statements - 02 Education Cluster</dc:title>
  <dc:subject/>
  <dc:creator/>
  <cp:keywords>The Treasury</cp:keywords>
  <cp:lastModifiedBy/>
  <cp:revision>7</cp:revision>
  <dcterms:created xsi:type="dcterms:W3CDTF">2020-11-10T22:06:00Z</dcterms:created>
  <dcterms:modified xsi:type="dcterms:W3CDTF">2020-11-13T01:06:00Z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0x010100F02F16F1AFBDE54EBD2685E90FE1922F</vt:lpwstr>
  </property>
</Properties>
</file>