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2.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20.xml" ContentType="application/vnd.ms-office.classificationlabels+xml"/>
  <Override PartName="/docMetadata/LabelInfo15.xml" ContentType="application/vnd.ms-office.classificationlabels+xml"/>
  <Override PartName="/docMetadata/LabelInfo37.xml" ContentType="application/vnd.ms-office.classificationlabels+xml"/>
  <Override PartName="/docMetadata/LabelInfo41.xml" ContentType="application/vnd.ms-office.classificationlabels+xml"/>
  <Override PartName="/docMetadata/LabelInfo57.xml" ContentType="application/vnd.ms-office.classificationlabels+xml"/>
  <Override PartName="/docMetadata/LabelInfo62.xml" ContentType="application/vnd.ms-office.classificationlabels+xml"/>
  <Override PartName="/docMetadata/LabelInfo78.xml" ContentType="application/vnd.ms-office.classificationlabels+xml"/>
  <Override PartName="/docMetadata/LabelInfo10.xml" ContentType="application/vnd.ms-office.classificationlabels+xml"/>
  <Override PartName="/docMetadata/LabelInfo5.xml" ContentType="application/vnd.ms-office.classificationlabels+xml"/>
  <Override PartName="/docMetadata/LabelInfo26.xml" ContentType="application/vnd.ms-office.classificationlabels+xml"/>
  <Override PartName="/docMetadata/LabelInfo31.xml" ContentType="application/vnd.ms-office.classificationlabels+xml"/>
  <Override PartName="/docMetadata/LabelInfo48.xml" ContentType="application/vnd.ms-office.classificationlabels+xml"/>
  <Override PartName="/docMetadata/LabelInfo52.xml" ContentType="application/vnd.ms-office.classificationlabels+xml"/>
  <Override PartName="/docMetadata/LabelInfo68.xml" ContentType="application/vnd.ms-office.classificationlabels+xml"/>
  <Override PartName="/docMetadata/LabelInfo73.xml" ContentType="application/vnd.ms-office.classificationlabels+xml"/>
  <Override PartName="/docMetadata/LabelInfo21.xml" ContentType="application/vnd.ms-office.classificationlabels+xml"/>
  <Override PartName="/docMetadata/LabelInfo33.xml" ContentType="application/vnd.ms-office.classificationlabels+xml"/>
  <Override PartName="/docMetadata/LabelInfo30.xml" ContentType="application/vnd.ms-office.classificationlabels+xml"/>
  <Override PartName="/docMetadata/LabelInfo25.xml" ContentType="application/vnd.ms-office.classificationlabels+xml"/>
  <Override PartName="/docMetadata/LabelInfo17.xml" ContentType="application/vnd.ms-office.classificationlabels+xml"/>
  <Override PartName="/docMetadata/LabelInfo13.xml" ContentType="application/vnd.ms-office.classificationlabels+xml"/>
  <Override PartName="/docMetadata/LabelInfo38.xml" ContentType="application/vnd.ms-office.classificationlabels+xml"/>
  <Override PartName="/docMetadata/LabelInfo43.xml" ContentType="application/vnd.ms-office.classificationlabels+xml"/>
  <Override PartName="/docMetadata/LabelInfo51.xml" ContentType="application/vnd.ms-office.classificationlabels+xml"/>
  <Override PartName="/docMetadata/LabelInfo59.xml" ContentType="application/vnd.ms-office.classificationlabels+xml"/>
  <Override PartName="/docMetadata/LabelInfo64.xml" ContentType="application/vnd.ms-office.classificationlabels+xml"/>
  <Override PartName="/docMetadata/LabelInfo70.xml" ContentType="application/vnd.ms-office.classificationlabels+xml"/>
  <Override PartName="/docMetadata/LabelInfo4.xml" ContentType="application/vnd.ms-office.classificationlabels+xml"/>
  <Override PartName="/docMetadata/LabelInfo2.xml" ContentType="application/vnd.ms-office.classificationlabels+xml"/>
  <Override PartName="/docMetadata/LabelInfo46.xml" ContentType="application/vnd.ms-office.classificationlabels+xml"/>
  <Override PartName="/docMetadata/LabelInfo67.xml" ContentType="application/vnd.ms-office.classificationlabels+xml"/>
  <Override PartName="/docMetadata/LabelInfo75.xml" ContentType="application/vnd.ms-office.classificationlabels+xml"/>
  <Override PartName="/docMetadata/LabelInfo63.xml" ContentType="application/vnd.ms-office.classificationlabels+xml"/>
  <Override PartName="/docMetadata/LabelInfo56.xml" ContentType="application/vnd.ms-office.classificationlabels+xml"/>
  <Override PartName="/docMetadata/LabelInfo42.xml" ContentType="application/vnd.ms-office.classificationlabels+xml"/>
  <Override PartName="/docMetadata/LabelInfo6.xml" ContentType="application/vnd.ms-office.classificationlabels+xml"/>
  <Override PartName="/docMetadata/LabelInfo11.xml" ContentType="application/vnd.ms-office.classificationlabels+xml"/>
  <Override PartName="/docMetadata/LabelInfo19.xml" ContentType="application/vnd.ms-office.classificationlabels+xml"/>
  <Override PartName="/docMetadata/LabelInfo27.xml" ContentType="application/vnd.ms-office.classificationlabels+xml"/>
  <Override PartName="/docMetadata/LabelInfo32.xml" ContentType="application/vnd.ms-office.classificationlabels+xml"/>
  <Override PartName="/docMetadata/LabelInfo79.xml" ContentType="application/vnd.ms-office.classificationlabels+xml"/>
  <Override PartName="/docMetadata/LabelInfo72.xml" ContentType="application/vnd.ms-office.classificationlabels+xml"/>
  <Override PartName="/docMetadata/LabelInfo66.xml" ContentType="application/vnd.ms-office.classificationlabels+xml"/>
  <Override PartName="/docMetadata/LabelInfo58.xml" ContentType="application/vnd.ms-office.classificationlabels+xml"/>
  <Override PartName="/docMetadata/LabelInfo50.xml" ContentType="application/vnd.ms-office.classificationlabels+xml"/>
  <Override PartName="/docMetadata/LabelInfo14.xml" ContentType="application/vnd.ms-office.classificationlabels+xml"/>
  <Override PartName="/docMetadata/LabelInfo36.xml" ContentType="application/vnd.ms-office.classificationlabels+xml"/>
  <Override PartName="/docMetadata/LabelInfo81.xml" ContentType="application/vnd.ms-office.classificationlabels+xml"/>
  <Override PartName="/docMetadata/LabelInfo0.xml" ContentType="application/vnd.ms-office.classificationlabels+xml"/>
  <Override PartName="/docMetadata/LabelInfo53.xml" ContentType="application/vnd.ms-office.classificationlabels+xml"/>
  <Override PartName="/docMetadata/LabelInfo9.xml" ContentType="application/vnd.ms-office.classificationlabels+xml"/>
  <Override PartName="/docMetadata/LabelInfo16.xml" ContentType="application/vnd.ms-office.classificationlabels+xml"/>
  <Override PartName="/docMetadata/LabelInfo22.xml" ContentType="application/vnd.ms-office.classificationlabels+xml"/>
  <Override PartName="/docMetadata/LabelInfo29.xml" ContentType="application/vnd.ms-office.classificationlabels+xml"/>
  <Override PartName="/docMetadata/LabelInfo44.xml" ContentType="application/vnd.ms-office.classificationlabels+xml"/>
  <Override PartName="/docMetadata/LabelInfo80.xml" ContentType="application/vnd.ms-office.classificationlabels+xml"/>
  <Override PartName="/docMetadata/LabelInfo77.xml" ContentType="application/vnd.ms-office.classificationlabels+xml"/>
  <Override PartName="/docMetadata/LabelInfo74.xml" ContentType="application/vnd.ms-office.classificationlabels+xml"/>
  <Override PartName="/docMetadata/LabelInfo69.xml" ContentType="application/vnd.ms-office.classificationlabels+xml"/>
  <Override PartName="/docMetadata/LabelInfo61.xml" ContentType="application/vnd.ms-office.classificationlabels+xml"/>
  <Override PartName="/docMetadata/LabelInfo55.xml" ContentType="application/vnd.ms-office.classificationlabels+xml"/>
  <Override PartName="/docMetadata/LabelInfo3.xml" ContentType="application/vnd.ms-office.classificationlabels+xml"/>
  <Override PartName="/docMetadata/LabelInfo24.xml" ContentType="application/vnd.ms-office.classificationlabels+xml"/>
  <Override PartName="/docMetadata/LabelInfo39.xml" ContentType="application/vnd.ms-office.classificationlabels+xml"/>
  <Override PartName="/docMetadata/LabelInfo47.xml" ContentType="application/vnd.ms-office.classificationlabels+xml"/>
  <Override PartName="/docMetadata/LabelInfo8.xml" ContentType="application/vnd.ms-office.classificationlabels+xml"/>
  <Override PartName="/docMetadata/LabelInfo7.xml" ContentType="application/vnd.ms-office.classificationlabels+xml"/>
  <Override PartName="/docMetadata/LabelInfo12.xml" ContentType="application/vnd.ms-office.classificationlabels+xml"/>
  <Override PartName="/docMetadata/LabelInfo34.xml" ContentType="application/vnd.ms-office.classificationlabels+xml"/>
  <Override PartName="/docMetadata/LabelInfo71.xml" ContentType="application/vnd.ms-office.classificationlabels+xml"/>
  <Override PartName="/docMetadata/LabelInfo28.xml" ContentType="application/vnd.ms-office.classificationlabels+xml"/>
  <Override PartName="/docMetadata/LabelInfo45.xml" ContentType="application/vnd.ms-office.classificationlabels+xml"/>
  <Override PartName="/docMetadata/LabelInfo49.xml" ContentType="application/vnd.ms-office.classificationlabels+xml"/>
  <Override PartName="/docMetadata/LabelInfo1.xml" ContentType="application/vnd.ms-office.classificationlabels+xml"/>
  <Override PartName="/docMetadata/LabelInfo65.xml" ContentType="application/vnd.ms-office.classificationlabels+xml"/>
  <Override PartName="/docMetadata/LabelInfo23.xml" ContentType="application/vnd.ms-office.classificationlabels+xml"/>
  <Override PartName="/docMetadata/LabelInfo.xml" ContentType="application/vnd.ms-office.classificationlabels+xml"/>
  <Override PartName="/docMetadata/LabelInfo18.xml" ContentType="application/vnd.ms-office.classificationlabels+xml"/>
  <Override PartName="/docMetadata/LabelInfo35.xml" ContentType="application/vnd.ms-office.classificationlabels+xml"/>
  <Override PartName="/docMetadata/LabelInfo40.xml" ContentType="application/vnd.ms-office.classificationlabels+xml"/>
  <Override PartName="/docMetadata/LabelInfo60.xml" ContentType="application/vnd.ms-office.classificationlabels+xml"/>
  <Override PartName="/docMetadata/LabelInfo54.xml" ContentType="application/vnd.ms-office.classificationlabels+xml"/>
  <Override PartName="/docMetadata/LabelInfo76.xml" ContentType="application/vnd.ms-office.classificationlabels+xml"/>
</Types>
</file>

<file path=_rels/.rels><?xml version="1.0" encoding="UTF-8" standalone="yes"?>
<Relationships xmlns="http://schemas.openxmlformats.org/package/2006/relationships"><Relationship Id="rId26" Type="http://schemas.microsoft.com/office/2020/02/relationships/classificationlabels" Target="docMetadata/LabelInfo20.xml"/><Relationship Id="rId21" Type="http://schemas.microsoft.com/office/2020/02/relationships/classificationlabels" Target="docMetadata/LabelInfo15.xml"/><Relationship Id="rId42" Type="http://schemas.microsoft.com/office/2020/02/relationships/classificationlabels" Target="docMetadata/LabelInfo37.xml"/><Relationship Id="rId47" Type="http://schemas.microsoft.com/office/2020/02/relationships/classificationlabels" Target="docMetadata/LabelInfo41.xml"/><Relationship Id="rId63" Type="http://schemas.microsoft.com/office/2020/02/relationships/classificationlabels" Target="docMetadata/LabelInfo57.xml"/><Relationship Id="rId68" Type="http://schemas.microsoft.com/office/2020/02/relationships/classificationlabels" Target="docMetadata/LabelInfo62.xml"/><Relationship Id="rId84" Type="http://schemas.microsoft.com/office/2020/02/relationships/classificationlabels" Target="docMetadata/LabelInfo78.xml"/><Relationship Id="rId16" Type="http://schemas.microsoft.com/office/2020/02/relationships/classificationlabels" Target="docMetadata/LabelInfo10.xml"/><Relationship Id="rId11" Type="http://schemas.microsoft.com/office/2020/02/relationships/classificationlabels" Target="docMetadata/LabelInfo5.xml"/><Relationship Id="rId32" Type="http://schemas.microsoft.com/office/2020/02/relationships/classificationlabels" Target="docMetadata/LabelInfo26.xml"/><Relationship Id="rId37" Type="http://schemas.microsoft.com/office/2020/02/relationships/classificationlabels" Target="docMetadata/LabelInfo31.xml"/><Relationship Id="rId53" Type="http://schemas.microsoft.com/office/2020/02/relationships/classificationlabels" Target="docMetadata/LabelInfo48.xml"/><Relationship Id="rId58" Type="http://schemas.microsoft.com/office/2020/02/relationships/classificationlabels" Target="docMetadata/LabelInfo52.xml"/><Relationship Id="rId74" Type="http://schemas.microsoft.com/office/2020/02/relationships/classificationlabels" Target="docMetadata/LabelInfo68.xml"/><Relationship Id="rId79" Type="http://schemas.microsoft.com/office/2020/02/relationships/classificationlabels" Target="docMetadata/LabelInfo73.xml"/><Relationship Id="rId19" Type="http://schemas.microsoft.com/office/2020/02/relationships/classificationlabels" Target="docMetadata/LabelInfo21.xml"/><Relationship Id="rId27" Type="http://schemas.microsoft.com/office/2020/02/relationships/classificationlabels" Target="docMetadata/LabelInfo33.xml"/><Relationship Id="rId35" Type="http://schemas.microsoft.com/office/2020/02/relationships/classificationlabels" Target="docMetadata/LabelInfo30.xml"/><Relationship Id="rId30" Type="http://schemas.microsoft.com/office/2020/02/relationships/classificationlabels" Target="docMetadata/LabelInfo25.xml"/><Relationship Id="rId22" Type="http://schemas.microsoft.com/office/2020/02/relationships/classificationlabels" Target="docMetadata/LabelInfo17.xml"/><Relationship Id="rId14" Type="http://schemas.microsoft.com/office/2020/02/relationships/classificationlabels" Target="docMetadata/LabelInfo13.xml"/><Relationship Id="rId43" Type="http://schemas.microsoft.com/office/2020/02/relationships/classificationlabels" Target="docMetadata/LabelInfo38.xml"/><Relationship Id="rId48" Type="http://schemas.microsoft.com/office/2020/02/relationships/classificationlabels" Target="docMetadata/LabelInfo43.xml"/><Relationship Id="rId56" Type="http://schemas.microsoft.com/office/2020/02/relationships/classificationlabels" Target="docMetadata/LabelInfo51.xml"/><Relationship Id="rId64" Type="http://schemas.microsoft.com/office/2020/02/relationships/classificationlabels" Target="docMetadata/LabelInfo59.xml"/><Relationship Id="rId69" Type="http://schemas.microsoft.com/office/2020/02/relationships/classificationlabels" Target="docMetadata/LabelInfo64.xml"/><Relationship Id="rId77" Type="http://schemas.microsoft.com/office/2020/02/relationships/classificationlabels" Target="docMetadata/LabelInfo70.xml"/><Relationship Id="rId85" Type="http://schemas.microsoft.com/office/2020/02/relationships/classificationlabels" Target="docMetadata/LabelInfo4.xml"/><Relationship Id="rId8" Type="http://schemas.microsoft.com/office/2020/02/relationships/classificationlabels" Target="docMetadata/LabelInfo2.xml"/><Relationship Id="rId51" Type="http://schemas.microsoft.com/office/2020/02/relationships/classificationlabels" Target="docMetadata/LabelInfo46.xml"/><Relationship Id="rId72" Type="http://schemas.microsoft.com/office/2020/02/relationships/classificationlabels" Target="docMetadata/LabelInfo67.xml"/><Relationship Id="rId80" Type="http://schemas.microsoft.com/office/2020/02/relationships/classificationlabels" Target="docMetadata/LabelInfo75.xml"/><Relationship Id="rId3" Type="http://schemas.openxmlformats.org/officeDocument/2006/relationships/extended-properties" Target="docProps/app.xml"/><Relationship Id="rId67" Type="http://schemas.microsoft.com/office/2020/02/relationships/classificationlabels" Target="docMetadata/LabelInfo63.xml"/><Relationship Id="rId59" Type="http://schemas.microsoft.com/office/2020/02/relationships/classificationlabels" Target="docMetadata/LabelInfo56.xml"/><Relationship Id="rId46" Type="http://schemas.microsoft.com/office/2020/02/relationships/classificationlabels" Target="docMetadata/LabelInfo42.xml"/><Relationship Id="rId12" Type="http://schemas.microsoft.com/office/2020/02/relationships/classificationlabels" Target="docMetadata/LabelInfo6.xml"/><Relationship Id="rId17" Type="http://schemas.microsoft.com/office/2020/02/relationships/classificationlabels" Target="docMetadata/LabelInfo11.xml"/><Relationship Id="rId25" Type="http://schemas.microsoft.com/office/2020/02/relationships/classificationlabels" Target="docMetadata/LabelInfo19.xml"/><Relationship Id="rId33" Type="http://schemas.microsoft.com/office/2020/02/relationships/classificationlabels" Target="docMetadata/LabelInfo27.xml"/><Relationship Id="rId38" Type="http://schemas.microsoft.com/office/2020/02/relationships/classificationlabels" Target="docMetadata/LabelInfo32.xml"/><Relationship Id="rId83" Type="http://schemas.microsoft.com/office/2020/02/relationships/classificationlabels" Target="docMetadata/LabelInfo79.xml"/><Relationship Id="rId75" Type="http://schemas.microsoft.com/office/2020/02/relationships/classificationlabels" Target="docMetadata/LabelInfo72.xml"/><Relationship Id="rId70" Type="http://schemas.microsoft.com/office/2020/02/relationships/classificationlabels" Target="docMetadata/LabelInfo66.xml"/><Relationship Id="rId62" Type="http://schemas.microsoft.com/office/2020/02/relationships/classificationlabels" Target="docMetadata/LabelInfo58.xml"/><Relationship Id="rId54" Type="http://schemas.microsoft.com/office/2020/02/relationships/classificationlabels" Target="docMetadata/LabelInfo50.xml"/><Relationship Id="rId20" Type="http://schemas.microsoft.com/office/2020/02/relationships/classificationlabels" Target="docMetadata/LabelInfo14.xml"/><Relationship Id="rId41" Type="http://schemas.microsoft.com/office/2020/02/relationships/classificationlabels" Target="docMetadata/LabelInfo36.xml"/><Relationship Id="rId88" Type="http://schemas.microsoft.com/office/2020/02/relationships/classificationlabels" Target="docMetadata/LabelInfo81.xml"/><Relationship Id="rId1" Type="http://schemas.openxmlformats.org/officeDocument/2006/relationships/officeDocument" Target="word/document.xml"/><Relationship Id="rId6" Type="http://schemas.microsoft.com/office/2020/02/relationships/classificationlabels" Target="docMetadata/LabelInfo0.xml"/><Relationship Id="rId57" Type="http://schemas.microsoft.com/office/2020/02/relationships/classificationlabels" Target="docMetadata/LabelInfo53.xml"/><Relationship Id="rId15" Type="http://schemas.microsoft.com/office/2020/02/relationships/classificationlabels" Target="docMetadata/LabelInfo9.xml"/><Relationship Id="rId23" Type="http://schemas.microsoft.com/office/2020/02/relationships/classificationlabels" Target="docMetadata/LabelInfo16.xml"/><Relationship Id="rId28" Type="http://schemas.microsoft.com/office/2020/02/relationships/classificationlabels" Target="docMetadata/LabelInfo22.xml"/><Relationship Id="rId36" Type="http://schemas.microsoft.com/office/2020/02/relationships/classificationlabels" Target="docMetadata/LabelInfo29.xml"/><Relationship Id="rId49" Type="http://schemas.microsoft.com/office/2020/02/relationships/classificationlabels" Target="docMetadata/LabelInfo44.xml"/><Relationship Id="rId86" Type="http://schemas.microsoft.com/office/2020/02/relationships/classificationlabels" Target="docMetadata/LabelInfo80.xml"/><Relationship Id="rId81" Type="http://schemas.microsoft.com/office/2020/02/relationships/classificationlabels" Target="docMetadata/LabelInfo77.xml"/><Relationship Id="rId78" Type="http://schemas.microsoft.com/office/2020/02/relationships/classificationlabels" Target="docMetadata/LabelInfo74.xml"/><Relationship Id="rId73" Type="http://schemas.microsoft.com/office/2020/02/relationships/classificationlabels" Target="docMetadata/LabelInfo69.xml"/><Relationship Id="rId65" Type="http://schemas.microsoft.com/office/2020/02/relationships/classificationlabels" Target="docMetadata/LabelInfo61.xml"/><Relationship Id="rId60" Type="http://schemas.microsoft.com/office/2020/02/relationships/classificationlabels" Target="docMetadata/LabelInfo55.xml"/><Relationship Id="rId10" Type="http://schemas.microsoft.com/office/2020/02/relationships/classificationlabels" Target="docMetadata/LabelInfo3.xml"/><Relationship Id="rId31" Type="http://schemas.microsoft.com/office/2020/02/relationships/classificationlabels" Target="docMetadata/LabelInfo24.xml"/><Relationship Id="rId44" Type="http://schemas.microsoft.com/office/2020/02/relationships/classificationlabels" Target="docMetadata/LabelInfo39.xml"/><Relationship Id="rId52" Type="http://schemas.microsoft.com/office/2020/02/relationships/classificationlabels" Target="docMetadata/LabelInfo47.xml"/><Relationship Id="rId4" Type="http://schemas.openxmlformats.org/officeDocument/2006/relationships/custom-properties" Target="docProps/custom.xml"/><Relationship Id="rId9" Type="http://schemas.microsoft.com/office/2020/02/relationships/classificationlabels" Target="docMetadata/LabelInfo8.xml"/><Relationship Id="rId13" Type="http://schemas.microsoft.com/office/2020/02/relationships/classificationlabels" Target="docMetadata/LabelInfo7.xml"/><Relationship Id="rId18" Type="http://schemas.microsoft.com/office/2020/02/relationships/classificationlabels" Target="docMetadata/LabelInfo12.xml"/><Relationship Id="rId39" Type="http://schemas.microsoft.com/office/2020/02/relationships/classificationlabels" Target="docMetadata/LabelInfo34.xml"/><Relationship Id="rId76" Type="http://schemas.microsoft.com/office/2020/02/relationships/classificationlabels" Target="docMetadata/LabelInfo71.xml"/><Relationship Id="rId34" Type="http://schemas.microsoft.com/office/2020/02/relationships/classificationlabels" Target="docMetadata/LabelInfo28.xml"/><Relationship Id="rId50" Type="http://schemas.microsoft.com/office/2020/02/relationships/classificationlabels" Target="docMetadata/LabelInfo45.xml"/><Relationship Id="rId55" Type="http://schemas.microsoft.com/office/2020/02/relationships/classificationlabels" Target="docMetadata/LabelInfo49.xml"/><Relationship Id="rId7" Type="http://schemas.microsoft.com/office/2020/02/relationships/classificationlabels" Target="docMetadata/LabelInfo1.xml"/><Relationship Id="rId71" Type="http://schemas.microsoft.com/office/2020/02/relationships/classificationlabels" Target="docMetadata/LabelInfo65.xml"/><Relationship Id="rId2" Type="http://schemas.openxmlformats.org/package/2006/relationships/metadata/core-properties" Target="docProps/core.xml"/><Relationship Id="rId29" Type="http://schemas.microsoft.com/office/2020/02/relationships/classificationlabels" Target="docMetadata/LabelInfo23.xml"/><Relationship Id="rId87" Type="http://schemas.microsoft.com/office/2020/02/relationships/classificationlabels" Target="docMetadata/LabelInfo.xml"/><Relationship Id="rId24" Type="http://schemas.microsoft.com/office/2020/02/relationships/classificationlabels" Target="docMetadata/LabelInfo18.xml"/><Relationship Id="rId40" Type="http://schemas.microsoft.com/office/2020/02/relationships/classificationlabels" Target="docMetadata/LabelInfo35.xml"/><Relationship Id="rId45" Type="http://schemas.microsoft.com/office/2020/02/relationships/classificationlabels" Target="docMetadata/LabelInfo40.xml"/><Relationship Id="rId66" Type="http://schemas.microsoft.com/office/2020/02/relationships/classificationlabels" Target="docMetadata/LabelInfo60.xml"/><Relationship Id="rId61" Type="http://schemas.microsoft.com/office/2020/02/relationships/classificationlabels" Target="docMetadata/LabelInfo54.xml"/><Relationship Id="rId82" Type="http://schemas.microsoft.com/office/2020/02/relationships/classificationlabels" Target="docMetadata/LabelInfo76.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5390A9" w14:textId="6CEE5C2F" w:rsidR="001A33E6" w:rsidRPr="00667CD1" w:rsidRDefault="0008672B" w:rsidP="00DF2D3D">
      <w:pPr>
        <w:pStyle w:val="Heading1"/>
        <w:numPr>
          <w:ilvl w:val="0"/>
          <w:numId w:val="0"/>
        </w:numPr>
        <w:ind w:left="709" w:hanging="709"/>
        <w:rPr>
          <w:sz w:val="32"/>
          <w:szCs w:val="28"/>
        </w:rPr>
      </w:pPr>
      <w:r w:rsidRPr="00667CD1">
        <w:rPr>
          <w:sz w:val="32"/>
          <w:szCs w:val="28"/>
        </w:rPr>
        <w:t>4</w:t>
      </w:r>
      <w:r w:rsidR="007563DF" w:rsidRPr="00667CD1">
        <w:rPr>
          <w:sz w:val="32"/>
          <w:szCs w:val="28"/>
        </w:rPr>
        <w:t>.</w:t>
      </w:r>
      <w:r w:rsidR="007563DF" w:rsidRPr="00667CD1">
        <w:rPr>
          <w:sz w:val="32"/>
          <w:szCs w:val="28"/>
        </w:rPr>
        <w:tab/>
      </w:r>
      <w:r w:rsidR="00621373" w:rsidRPr="00667CD1">
        <w:rPr>
          <w:sz w:val="32"/>
          <w:szCs w:val="28"/>
        </w:rPr>
        <w:t>Revenue</w:t>
      </w:r>
    </w:p>
    <w:tbl>
      <w:tblPr>
        <w:tblW w:w="9615" w:type="dxa"/>
        <w:jc w:val="right"/>
        <w:shd w:val="clear" w:color="auto" w:fill="F2F2F2" w:themeFill="background1" w:themeFillShade="F2"/>
        <w:tblLayout w:type="fixed"/>
        <w:tblCellMar>
          <w:left w:w="0" w:type="dxa"/>
          <w:right w:w="0" w:type="dxa"/>
        </w:tblCellMar>
        <w:tblLook w:val="04A0" w:firstRow="1" w:lastRow="0" w:firstColumn="1" w:lastColumn="0" w:noHBand="0" w:noVBand="1"/>
        <w:tblCaption w:val="Chapter 4:  REVENUE - Focus box"/>
      </w:tblPr>
      <w:tblGrid>
        <w:gridCol w:w="9615"/>
      </w:tblGrid>
      <w:tr w:rsidR="007563DF" w:rsidRPr="00667CD1" w14:paraId="5E7A1D11" w14:textId="77777777" w:rsidTr="29148CDC">
        <w:trPr>
          <w:trHeight w:val="653"/>
          <w:jc w:val="right"/>
        </w:trPr>
        <w:tc>
          <w:tcPr>
            <w:tcW w:w="9615" w:type="dxa"/>
            <w:shd w:val="clear" w:color="auto" w:fill="F2F2F2" w:themeFill="background1" w:themeFillShade="F2"/>
            <w:tcMar>
              <w:top w:w="0" w:type="dxa"/>
              <w:left w:w="108" w:type="dxa"/>
              <w:bottom w:w="0" w:type="dxa"/>
              <w:right w:w="108" w:type="dxa"/>
            </w:tcMar>
          </w:tcPr>
          <w:p w14:paraId="382AA0E9" w14:textId="7940F3E4" w:rsidR="009D135B" w:rsidRPr="00667CD1" w:rsidRDefault="009D135B" w:rsidP="00820C69">
            <w:pPr>
              <w:pStyle w:val="BodyTextBox"/>
              <w:rPr>
                <w:rFonts w:eastAsia="Calibri"/>
                <w:noProof/>
                <w:sz w:val="20"/>
                <w:szCs w:val="20"/>
              </w:rPr>
            </w:pPr>
            <w:r w:rsidRPr="00667CD1">
              <w:rPr>
                <w:rFonts w:eastAsia="Calibri"/>
                <w:noProof/>
                <w:sz w:val="20"/>
                <w:szCs w:val="20"/>
              </w:rPr>
              <w:t>Th</w:t>
            </w:r>
            <w:r w:rsidR="00D22D41" w:rsidRPr="00667CD1">
              <w:rPr>
                <w:rFonts w:eastAsia="Calibri"/>
                <w:noProof/>
                <w:sz w:val="20"/>
                <w:szCs w:val="20"/>
              </w:rPr>
              <w:t>e</w:t>
            </w:r>
            <w:r w:rsidR="002C1C81" w:rsidRPr="00667CD1">
              <w:rPr>
                <w:rFonts w:eastAsia="Calibri"/>
                <w:noProof/>
                <w:sz w:val="20"/>
                <w:szCs w:val="20"/>
              </w:rPr>
              <w:t xml:space="preserve"> Government will provide</w:t>
            </w:r>
            <w:r w:rsidRPr="00667CD1">
              <w:rPr>
                <w:rFonts w:eastAsia="Calibri"/>
                <w:noProof/>
                <w:sz w:val="20"/>
                <w:szCs w:val="20"/>
              </w:rPr>
              <w:t xml:space="preserve"> significant </w:t>
            </w:r>
            <w:r w:rsidR="00356BAA" w:rsidRPr="00667CD1">
              <w:rPr>
                <w:rFonts w:eastAsia="Calibri"/>
                <w:noProof/>
                <w:sz w:val="20"/>
                <w:szCs w:val="20"/>
              </w:rPr>
              <w:t xml:space="preserve">payroll </w:t>
            </w:r>
            <w:r w:rsidRPr="00667CD1">
              <w:rPr>
                <w:rFonts w:eastAsia="Calibri"/>
                <w:noProof/>
                <w:sz w:val="20"/>
                <w:szCs w:val="20"/>
              </w:rPr>
              <w:t xml:space="preserve">tax relief </w:t>
            </w:r>
            <w:r w:rsidR="00284551" w:rsidRPr="00667CD1">
              <w:rPr>
                <w:rFonts w:eastAsia="Calibri"/>
                <w:noProof/>
                <w:sz w:val="20"/>
                <w:szCs w:val="20"/>
              </w:rPr>
              <w:t>for businesses to support</w:t>
            </w:r>
            <w:r w:rsidRPr="00667CD1">
              <w:rPr>
                <w:rFonts w:eastAsia="Calibri"/>
                <w:noProof/>
                <w:sz w:val="20"/>
                <w:szCs w:val="20"/>
              </w:rPr>
              <w:t xml:space="preserve"> the economic recovery</w:t>
            </w:r>
            <w:r w:rsidR="00F041EE" w:rsidRPr="00667CD1">
              <w:rPr>
                <w:rFonts w:eastAsia="Calibri"/>
                <w:noProof/>
                <w:sz w:val="20"/>
                <w:szCs w:val="20"/>
              </w:rPr>
              <w:t xml:space="preserve"> through</w:t>
            </w:r>
            <w:r w:rsidRPr="00667CD1">
              <w:rPr>
                <w:rFonts w:eastAsia="Calibri"/>
                <w:noProof/>
                <w:sz w:val="20"/>
                <w:szCs w:val="20"/>
              </w:rPr>
              <w:t>:</w:t>
            </w:r>
          </w:p>
          <w:p w14:paraId="5A761646" w14:textId="26912FA9" w:rsidR="009D135B" w:rsidRPr="00667CD1" w:rsidRDefault="001750A6" w:rsidP="00DC5EFC">
            <w:pPr>
              <w:pStyle w:val="Bullet1inabox"/>
              <w:rPr>
                <w:sz w:val="20"/>
                <w:szCs w:val="18"/>
              </w:rPr>
            </w:pPr>
            <w:r w:rsidRPr="00667CD1">
              <w:rPr>
                <w:sz w:val="20"/>
                <w:szCs w:val="18"/>
              </w:rPr>
              <w:t>a</w:t>
            </w:r>
            <w:r w:rsidR="009D135B" w:rsidRPr="00667CD1">
              <w:rPr>
                <w:sz w:val="20"/>
                <w:szCs w:val="18"/>
              </w:rPr>
              <w:t xml:space="preserve"> temporary reduction in the payroll tax rate from 5.45 per cent to 4.85 per cent for two years </w:t>
            </w:r>
          </w:p>
          <w:p w14:paraId="23610DEA" w14:textId="246C35BD" w:rsidR="009D135B" w:rsidRPr="00667CD1" w:rsidRDefault="009D135B" w:rsidP="00DC5EFC">
            <w:pPr>
              <w:pStyle w:val="Bullet1inabox"/>
              <w:rPr>
                <w:sz w:val="20"/>
                <w:szCs w:val="18"/>
              </w:rPr>
            </w:pPr>
            <w:r w:rsidRPr="00667CD1">
              <w:rPr>
                <w:sz w:val="20"/>
                <w:szCs w:val="18"/>
              </w:rPr>
              <w:t>a permanent increase in the payroll tax threshold to $1.2 million from 1 July 2020</w:t>
            </w:r>
            <w:r w:rsidR="00E15A3C" w:rsidRPr="00667CD1">
              <w:rPr>
                <w:sz w:val="20"/>
                <w:szCs w:val="18"/>
              </w:rPr>
              <w:t>.</w:t>
            </w:r>
          </w:p>
          <w:p w14:paraId="4E40A3CA" w14:textId="57B586C2" w:rsidR="001A1CFB" w:rsidRPr="00667CD1" w:rsidRDefault="00956270" w:rsidP="00820C69">
            <w:pPr>
              <w:pStyle w:val="BodyTextBox"/>
              <w:rPr>
                <w:rFonts w:eastAsia="Calibri"/>
                <w:noProof/>
                <w:sz w:val="20"/>
                <w:szCs w:val="20"/>
              </w:rPr>
            </w:pPr>
            <w:r w:rsidRPr="00667CD1">
              <w:rPr>
                <w:rFonts w:eastAsia="Calibri"/>
                <w:noProof/>
                <w:sz w:val="20"/>
                <w:szCs w:val="20"/>
              </w:rPr>
              <w:t xml:space="preserve">Tax relief </w:t>
            </w:r>
            <w:r w:rsidR="00C2653F" w:rsidRPr="00667CD1">
              <w:rPr>
                <w:rFonts w:eastAsia="Calibri"/>
                <w:noProof/>
                <w:sz w:val="20"/>
                <w:szCs w:val="20"/>
              </w:rPr>
              <w:t>in combination with the e</w:t>
            </w:r>
            <w:r w:rsidR="000C74C3" w:rsidRPr="00667CD1">
              <w:rPr>
                <w:rFonts w:eastAsia="Calibri"/>
                <w:noProof/>
                <w:sz w:val="20"/>
                <w:szCs w:val="20"/>
              </w:rPr>
              <w:t>conomic impacts</w:t>
            </w:r>
            <w:r w:rsidR="00C2653F" w:rsidRPr="00667CD1">
              <w:rPr>
                <w:rFonts w:eastAsia="Calibri"/>
                <w:noProof/>
                <w:sz w:val="20"/>
                <w:szCs w:val="20"/>
              </w:rPr>
              <w:t xml:space="preserve"> of the pandemi</w:t>
            </w:r>
            <w:r w:rsidR="000C74C3" w:rsidRPr="00667CD1">
              <w:rPr>
                <w:rFonts w:eastAsia="Calibri"/>
                <w:noProof/>
                <w:sz w:val="20"/>
                <w:szCs w:val="20"/>
              </w:rPr>
              <w:t xml:space="preserve">c </w:t>
            </w:r>
            <w:r w:rsidR="00216BCB" w:rsidRPr="00667CD1">
              <w:rPr>
                <w:rFonts w:eastAsia="Calibri"/>
                <w:noProof/>
                <w:sz w:val="20"/>
                <w:szCs w:val="20"/>
              </w:rPr>
              <w:t>results in g</w:t>
            </w:r>
            <w:r w:rsidR="001A1CFB" w:rsidRPr="00667CD1">
              <w:rPr>
                <w:rFonts w:eastAsia="Calibri"/>
                <w:noProof/>
                <w:sz w:val="20"/>
                <w:szCs w:val="20"/>
              </w:rPr>
              <w:t xml:space="preserve">eneral government revenue </w:t>
            </w:r>
            <w:r w:rsidR="00CE0600" w:rsidRPr="00667CD1">
              <w:rPr>
                <w:rFonts w:eastAsia="Calibri"/>
                <w:noProof/>
                <w:sz w:val="20"/>
                <w:szCs w:val="20"/>
              </w:rPr>
              <w:t>being</w:t>
            </w:r>
            <w:r w:rsidR="001A1CFB" w:rsidRPr="00667CD1">
              <w:rPr>
                <w:rFonts w:eastAsia="Calibri"/>
                <w:noProof/>
                <w:sz w:val="20"/>
                <w:szCs w:val="20"/>
              </w:rPr>
              <w:t xml:space="preserve"> $2.8 billion lower in 2019-20 than forecast at the 2019-20 </w:t>
            </w:r>
            <w:r w:rsidR="001011A4" w:rsidRPr="00667CD1">
              <w:rPr>
                <w:rFonts w:eastAsia="Calibri"/>
                <w:noProof/>
                <w:sz w:val="20"/>
                <w:szCs w:val="20"/>
              </w:rPr>
              <w:br w:type="textWrapping" w:clear="all"/>
            </w:r>
            <w:r w:rsidR="001A1CFB" w:rsidRPr="00667CD1">
              <w:rPr>
                <w:rFonts w:eastAsia="Calibri"/>
                <w:noProof/>
                <w:sz w:val="20"/>
                <w:szCs w:val="20"/>
              </w:rPr>
              <w:t>Half-Yearly Review</w:t>
            </w:r>
            <w:r w:rsidR="008D4EAD" w:rsidRPr="00667CD1">
              <w:rPr>
                <w:rFonts w:eastAsia="Calibri"/>
                <w:noProof/>
                <w:sz w:val="20"/>
                <w:szCs w:val="20"/>
              </w:rPr>
              <w:t>.</w:t>
            </w:r>
          </w:p>
          <w:p w14:paraId="1CE1C591" w14:textId="7F09A112" w:rsidR="003B0F0C" w:rsidRPr="00667CD1" w:rsidRDefault="00DC6353" w:rsidP="00820C69">
            <w:pPr>
              <w:pStyle w:val="BodyTextBox"/>
              <w:rPr>
                <w:rFonts w:eastAsia="Calibri"/>
                <w:noProof/>
                <w:sz w:val="20"/>
                <w:szCs w:val="20"/>
              </w:rPr>
            </w:pPr>
            <w:r w:rsidRPr="00667CD1">
              <w:rPr>
                <w:rFonts w:eastAsia="Calibri"/>
                <w:noProof/>
                <w:sz w:val="20"/>
                <w:szCs w:val="20"/>
              </w:rPr>
              <w:t>Lower revenue collections in 2019-20 also reflect the significant level of Government tax support for bushfire-affected communities and businesses impacted by the COVID-19 pandemic</w:t>
            </w:r>
            <w:r w:rsidR="00FF572A" w:rsidRPr="00667CD1">
              <w:rPr>
                <w:rFonts w:eastAsia="Calibri"/>
                <w:noProof/>
                <w:sz w:val="20"/>
                <w:szCs w:val="20"/>
              </w:rPr>
              <w:t>:</w:t>
            </w:r>
          </w:p>
          <w:p w14:paraId="330D42CB" w14:textId="3F2B93EB" w:rsidR="00DD3FB5" w:rsidRPr="00667CD1" w:rsidRDefault="00942436" w:rsidP="00DC5EFC">
            <w:pPr>
              <w:pStyle w:val="Bullet1inabox"/>
              <w:rPr>
                <w:sz w:val="20"/>
                <w:szCs w:val="18"/>
              </w:rPr>
            </w:pPr>
            <w:r w:rsidRPr="00667CD1">
              <w:rPr>
                <w:sz w:val="20"/>
                <w:szCs w:val="18"/>
              </w:rPr>
              <w:t>businesses with payroll</w:t>
            </w:r>
            <w:r w:rsidR="00C25993" w:rsidRPr="00667CD1">
              <w:rPr>
                <w:sz w:val="20"/>
                <w:szCs w:val="18"/>
              </w:rPr>
              <w:t>s</w:t>
            </w:r>
            <w:r w:rsidRPr="00667CD1">
              <w:rPr>
                <w:sz w:val="20"/>
                <w:szCs w:val="18"/>
              </w:rPr>
              <w:t xml:space="preserve"> </w:t>
            </w:r>
            <w:r w:rsidR="00C25993" w:rsidRPr="00667CD1">
              <w:rPr>
                <w:sz w:val="20"/>
                <w:szCs w:val="18"/>
              </w:rPr>
              <w:t>below</w:t>
            </w:r>
            <w:r w:rsidRPr="00667CD1">
              <w:rPr>
                <w:sz w:val="20"/>
                <w:szCs w:val="18"/>
              </w:rPr>
              <w:t xml:space="preserve"> $10</w:t>
            </w:r>
            <w:r w:rsidR="001F0821" w:rsidRPr="00667CD1">
              <w:rPr>
                <w:sz w:val="20"/>
                <w:szCs w:val="18"/>
              </w:rPr>
              <w:t>.0</w:t>
            </w:r>
            <w:r w:rsidRPr="00667CD1">
              <w:rPr>
                <w:sz w:val="20"/>
                <w:szCs w:val="18"/>
              </w:rPr>
              <w:t xml:space="preserve"> million</w:t>
            </w:r>
            <w:r w:rsidR="005D736E" w:rsidRPr="00667CD1">
              <w:rPr>
                <w:sz w:val="20"/>
                <w:szCs w:val="18"/>
              </w:rPr>
              <w:t xml:space="preserve"> </w:t>
            </w:r>
            <w:r w:rsidR="002D5E41" w:rsidRPr="00667CD1">
              <w:rPr>
                <w:sz w:val="20"/>
                <w:szCs w:val="18"/>
              </w:rPr>
              <w:t>had 25 per cent of their 2019-20 payroll tax liabilities waived</w:t>
            </w:r>
          </w:p>
          <w:p w14:paraId="4322968C" w14:textId="65E511C0" w:rsidR="00F22DC7" w:rsidRPr="00667CD1" w:rsidRDefault="00AA6292" w:rsidP="00DC5EFC">
            <w:pPr>
              <w:pStyle w:val="Bullet1inabox"/>
              <w:rPr>
                <w:sz w:val="20"/>
                <w:szCs w:val="18"/>
              </w:rPr>
            </w:pPr>
            <w:r w:rsidRPr="00667CD1">
              <w:rPr>
                <w:sz w:val="20"/>
                <w:szCs w:val="18"/>
              </w:rPr>
              <w:t xml:space="preserve">a payroll tax exemption was </w:t>
            </w:r>
            <w:r w:rsidR="00833565" w:rsidRPr="00667CD1">
              <w:rPr>
                <w:sz w:val="20"/>
                <w:szCs w:val="18"/>
              </w:rPr>
              <w:t xml:space="preserve">also </w:t>
            </w:r>
            <w:r w:rsidRPr="00667CD1">
              <w:rPr>
                <w:sz w:val="20"/>
                <w:szCs w:val="18"/>
              </w:rPr>
              <w:t>applied to certain payroll amounts arising as a result of JobKeeper payments</w:t>
            </w:r>
            <w:r w:rsidR="00E15A3C" w:rsidRPr="00667CD1">
              <w:rPr>
                <w:sz w:val="20"/>
                <w:szCs w:val="18"/>
              </w:rPr>
              <w:t>.</w:t>
            </w:r>
          </w:p>
          <w:p w14:paraId="7621555C" w14:textId="29A9FDE8" w:rsidR="000B7E0E" w:rsidRPr="00667CD1" w:rsidRDefault="000B7E0E" w:rsidP="00820C69">
            <w:pPr>
              <w:pStyle w:val="BodyTextBox"/>
              <w:rPr>
                <w:sz w:val="20"/>
                <w:szCs w:val="20"/>
              </w:rPr>
            </w:pPr>
            <w:r w:rsidRPr="00667CD1">
              <w:rPr>
                <w:sz w:val="20"/>
                <w:szCs w:val="20"/>
              </w:rPr>
              <w:t>General government revenue is expected to be $</w:t>
            </w:r>
            <w:r w:rsidR="00771E4C" w:rsidRPr="00667CD1">
              <w:rPr>
                <w:sz w:val="20"/>
                <w:szCs w:val="20"/>
              </w:rPr>
              <w:t xml:space="preserve">14.8 </w:t>
            </w:r>
            <w:r w:rsidRPr="00667CD1">
              <w:rPr>
                <w:sz w:val="20"/>
                <w:szCs w:val="20"/>
              </w:rPr>
              <w:t xml:space="preserve">billion lower </w:t>
            </w:r>
            <w:r w:rsidR="00E46230" w:rsidRPr="00667CD1">
              <w:rPr>
                <w:sz w:val="20"/>
                <w:szCs w:val="20"/>
              </w:rPr>
              <w:t xml:space="preserve">in net terms </w:t>
            </w:r>
            <w:r w:rsidRPr="00667CD1">
              <w:rPr>
                <w:sz w:val="20"/>
                <w:szCs w:val="20"/>
              </w:rPr>
              <w:t>over the four years to 2023-24 in comparison to forecasts at the 2019-20 Half-Yearly Review</w:t>
            </w:r>
            <w:r w:rsidR="00D2043D" w:rsidRPr="00667CD1">
              <w:rPr>
                <w:sz w:val="20"/>
                <w:szCs w:val="20"/>
              </w:rPr>
              <w:t>,</w:t>
            </w:r>
            <w:r w:rsidRPr="00667CD1">
              <w:rPr>
                <w:sz w:val="20"/>
                <w:szCs w:val="20"/>
              </w:rPr>
              <w:t xml:space="preserve"> </w:t>
            </w:r>
            <w:r w:rsidR="002572EB" w:rsidRPr="00667CD1">
              <w:rPr>
                <w:sz w:val="20"/>
                <w:szCs w:val="20"/>
              </w:rPr>
              <w:t xml:space="preserve">with </w:t>
            </w:r>
            <w:r w:rsidRPr="00667CD1">
              <w:rPr>
                <w:sz w:val="20"/>
                <w:szCs w:val="20"/>
              </w:rPr>
              <w:t xml:space="preserve">the near-term revenue outlook shaped by the ongoing economic impacts of the COVID-19 pandemic and temporary support through the tax system. In particular: </w:t>
            </w:r>
          </w:p>
          <w:p w14:paraId="07AAF524" w14:textId="4D25572F" w:rsidR="00BA2A21" w:rsidRPr="00667CD1" w:rsidRDefault="007F074F" w:rsidP="00DC5EFC">
            <w:pPr>
              <w:pStyle w:val="Bullet1inabox"/>
              <w:rPr>
                <w:sz w:val="20"/>
                <w:szCs w:val="18"/>
              </w:rPr>
            </w:pPr>
            <w:r w:rsidRPr="00667CD1">
              <w:rPr>
                <w:sz w:val="20"/>
                <w:szCs w:val="18"/>
              </w:rPr>
              <w:t>l</w:t>
            </w:r>
            <w:r w:rsidR="00BA2A21" w:rsidRPr="00667CD1">
              <w:rPr>
                <w:sz w:val="20"/>
                <w:szCs w:val="18"/>
              </w:rPr>
              <w:t>ower</w:t>
            </w:r>
            <w:r w:rsidR="0F1383C9" w:rsidRPr="00667CD1">
              <w:rPr>
                <w:sz w:val="20"/>
                <w:szCs w:val="18"/>
              </w:rPr>
              <w:t xml:space="preserve"> national consumption is expected to result in a loss of </w:t>
            </w:r>
            <w:r w:rsidR="668A2CE8" w:rsidRPr="00667CD1">
              <w:rPr>
                <w:sz w:val="20"/>
                <w:szCs w:val="18"/>
              </w:rPr>
              <w:t xml:space="preserve">GST </w:t>
            </w:r>
            <w:r w:rsidR="0F1383C9" w:rsidRPr="00667CD1">
              <w:rPr>
                <w:sz w:val="20"/>
                <w:szCs w:val="18"/>
              </w:rPr>
              <w:t>revenue</w:t>
            </w:r>
            <w:r w:rsidR="00F6625B" w:rsidRPr="00667CD1">
              <w:rPr>
                <w:sz w:val="20"/>
                <w:szCs w:val="18"/>
              </w:rPr>
              <w:t xml:space="preserve"> (including </w:t>
            </w:r>
            <w:r w:rsidR="00EF6148" w:rsidRPr="00667CD1">
              <w:rPr>
                <w:sz w:val="20"/>
                <w:szCs w:val="18"/>
              </w:rPr>
              <w:t>“</w:t>
            </w:r>
            <w:r w:rsidR="00F6625B" w:rsidRPr="00667CD1">
              <w:rPr>
                <w:sz w:val="20"/>
                <w:szCs w:val="18"/>
              </w:rPr>
              <w:t>no worse off</w:t>
            </w:r>
            <w:r w:rsidR="00EF6148" w:rsidRPr="00667CD1">
              <w:rPr>
                <w:sz w:val="20"/>
                <w:szCs w:val="18"/>
              </w:rPr>
              <w:t>”</w:t>
            </w:r>
            <w:r w:rsidR="00F6625B" w:rsidRPr="00667CD1">
              <w:rPr>
                <w:sz w:val="20"/>
                <w:szCs w:val="18"/>
              </w:rPr>
              <w:t xml:space="preserve"> payments)</w:t>
            </w:r>
            <w:r w:rsidR="0F1383C9" w:rsidRPr="00667CD1">
              <w:rPr>
                <w:sz w:val="20"/>
                <w:szCs w:val="18"/>
              </w:rPr>
              <w:t xml:space="preserve"> to New South Wales of $8.7 billion over the four years to 2023-24</w:t>
            </w:r>
          </w:p>
          <w:p w14:paraId="3D806859" w14:textId="5DC2F9B5" w:rsidR="00183550" w:rsidRPr="00667CD1" w:rsidRDefault="007F074F" w:rsidP="00DC5EFC">
            <w:pPr>
              <w:pStyle w:val="Bullet1inabox"/>
              <w:rPr>
                <w:sz w:val="20"/>
                <w:szCs w:val="18"/>
              </w:rPr>
            </w:pPr>
            <w:r w:rsidRPr="00667CD1">
              <w:rPr>
                <w:sz w:val="20"/>
                <w:szCs w:val="18"/>
              </w:rPr>
              <w:t>b</w:t>
            </w:r>
            <w:r w:rsidR="00143425" w:rsidRPr="00667CD1">
              <w:rPr>
                <w:sz w:val="20"/>
                <w:szCs w:val="18"/>
              </w:rPr>
              <w:t>usiness support measures</w:t>
            </w:r>
            <w:r w:rsidR="00780A3D" w:rsidRPr="00667CD1">
              <w:rPr>
                <w:sz w:val="20"/>
                <w:szCs w:val="18"/>
              </w:rPr>
              <w:t xml:space="preserve">, </w:t>
            </w:r>
            <w:r w:rsidR="00143425" w:rsidRPr="00667CD1">
              <w:rPr>
                <w:sz w:val="20"/>
                <w:szCs w:val="18"/>
              </w:rPr>
              <w:t xml:space="preserve">weak employment </w:t>
            </w:r>
            <w:r w:rsidR="00780A3D" w:rsidRPr="00667CD1">
              <w:rPr>
                <w:sz w:val="20"/>
                <w:szCs w:val="18"/>
              </w:rPr>
              <w:t xml:space="preserve">and wages </w:t>
            </w:r>
            <w:r w:rsidR="00143425" w:rsidRPr="00667CD1">
              <w:rPr>
                <w:sz w:val="20"/>
                <w:szCs w:val="18"/>
              </w:rPr>
              <w:t xml:space="preserve">growth </w:t>
            </w:r>
            <w:r w:rsidR="004F30E9" w:rsidRPr="00667CD1">
              <w:rPr>
                <w:sz w:val="20"/>
                <w:szCs w:val="18"/>
              </w:rPr>
              <w:t>will drive</w:t>
            </w:r>
            <w:r w:rsidR="00143425" w:rsidRPr="00667CD1">
              <w:rPr>
                <w:sz w:val="20"/>
                <w:szCs w:val="18"/>
              </w:rPr>
              <w:t xml:space="preserve"> a </w:t>
            </w:r>
            <w:r w:rsidR="00EC138F" w:rsidRPr="00667CD1">
              <w:rPr>
                <w:sz w:val="20"/>
                <w:szCs w:val="18"/>
              </w:rPr>
              <w:t>$</w:t>
            </w:r>
            <w:r w:rsidR="00DE5599" w:rsidRPr="00667CD1">
              <w:rPr>
                <w:sz w:val="20"/>
                <w:szCs w:val="18"/>
              </w:rPr>
              <w:t>6.</w:t>
            </w:r>
            <w:r w:rsidR="62013C93" w:rsidRPr="00667CD1">
              <w:rPr>
                <w:sz w:val="20"/>
                <w:szCs w:val="18"/>
              </w:rPr>
              <w:t>8</w:t>
            </w:r>
            <w:r w:rsidR="00B0520D" w:rsidRPr="00667CD1">
              <w:rPr>
                <w:sz w:val="20"/>
                <w:szCs w:val="18"/>
              </w:rPr>
              <w:t> </w:t>
            </w:r>
            <w:r w:rsidR="00EC138F" w:rsidRPr="00667CD1">
              <w:rPr>
                <w:sz w:val="20"/>
                <w:szCs w:val="18"/>
              </w:rPr>
              <w:t xml:space="preserve">billion </w:t>
            </w:r>
            <w:r w:rsidR="00143425" w:rsidRPr="00667CD1">
              <w:rPr>
                <w:sz w:val="20"/>
                <w:szCs w:val="18"/>
              </w:rPr>
              <w:t xml:space="preserve">reduction in forecast </w:t>
            </w:r>
            <w:r w:rsidR="00937A52" w:rsidRPr="00667CD1">
              <w:rPr>
                <w:sz w:val="20"/>
                <w:szCs w:val="18"/>
              </w:rPr>
              <w:t>p</w:t>
            </w:r>
            <w:r w:rsidR="00143425" w:rsidRPr="00667CD1">
              <w:rPr>
                <w:sz w:val="20"/>
                <w:szCs w:val="18"/>
              </w:rPr>
              <w:t xml:space="preserve">ayroll tax revenue </w:t>
            </w:r>
            <w:r w:rsidR="00EC138F" w:rsidRPr="00667CD1">
              <w:rPr>
                <w:sz w:val="20"/>
                <w:szCs w:val="18"/>
              </w:rPr>
              <w:t>over the four years to 2023-24</w:t>
            </w:r>
          </w:p>
          <w:p w14:paraId="4F1B3A02" w14:textId="69FFB2BD" w:rsidR="00BA2A21" w:rsidRPr="00667CD1" w:rsidRDefault="00D63A80" w:rsidP="00DC5EFC">
            <w:pPr>
              <w:pStyle w:val="Bullet1inabox"/>
              <w:rPr>
                <w:sz w:val="20"/>
                <w:szCs w:val="18"/>
              </w:rPr>
            </w:pPr>
            <w:r w:rsidRPr="00667CD1">
              <w:rPr>
                <w:sz w:val="20"/>
                <w:szCs w:val="18"/>
              </w:rPr>
              <w:t>t</w:t>
            </w:r>
            <w:r w:rsidR="00EC138F" w:rsidRPr="00667CD1">
              <w:rPr>
                <w:sz w:val="20"/>
                <w:szCs w:val="18"/>
              </w:rPr>
              <w:t>ransfer duty</w:t>
            </w:r>
            <w:r w:rsidR="00A35732" w:rsidRPr="00667CD1">
              <w:rPr>
                <w:sz w:val="20"/>
                <w:szCs w:val="18"/>
              </w:rPr>
              <w:t xml:space="preserve"> revenue</w:t>
            </w:r>
            <w:r w:rsidR="00143425" w:rsidRPr="00667CD1">
              <w:rPr>
                <w:sz w:val="20"/>
                <w:szCs w:val="18"/>
              </w:rPr>
              <w:t xml:space="preserve"> has</w:t>
            </w:r>
            <w:r w:rsidR="00EC138F" w:rsidRPr="00667CD1">
              <w:rPr>
                <w:sz w:val="20"/>
                <w:szCs w:val="18"/>
              </w:rPr>
              <w:t xml:space="preserve"> been revised down by $2.</w:t>
            </w:r>
            <w:r w:rsidR="275F2A45" w:rsidRPr="00667CD1">
              <w:rPr>
                <w:sz w:val="20"/>
                <w:szCs w:val="18"/>
              </w:rPr>
              <w:t>3</w:t>
            </w:r>
            <w:r w:rsidR="00EC138F" w:rsidRPr="00667CD1">
              <w:rPr>
                <w:sz w:val="20"/>
                <w:szCs w:val="18"/>
              </w:rPr>
              <w:t xml:space="preserve"> billion over the four years to </w:t>
            </w:r>
            <w:r w:rsidR="001011A4" w:rsidRPr="00667CD1">
              <w:rPr>
                <w:sz w:val="20"/>
                <w:szCs w:val="18"/>
              </w:rPr>
              <w:br w:type="textWrapping" w:clear="all"/>
            </w:r>
            <w:r w:rsidR="00EC138F" w:rsidRPr="00667CD1">
              <w:rPr>
                <w:sz w:val="20"/>
                <w:szCs w:val="18"/>
              </w:rPr>
              <w:t>2023-24</w:t>
            </w:r>
            <w:r w:rsidR="00143425" w:rsidRPr="00667CD1">
              <w:rPr>
                <w:sz w:val="20"/>
                <w:szCs w:val="18"/>
              </w:rPr>
              <w:t xml:space="preserve"> on weaker than previously forecast transaction volumes, in the near term</w:t>
            </w:r>
          </w:p>
          <w:p w14:paraId="2F77C6A4" w14:textId="7B97410F" w:rsidR="00EC138F" w:rsidRPr="00667CD1" w:rsidRDefault="00D63A80" w:rsidP="00DC5EFC">
            <w:pPr>
              <w:pStyle w:val="Bullet1inabox"/>
              <w:rPr>
                <w:sz w:val="20"/>
                <w:szCs w:val="18"/>
              </w:rPr>
            </w:pPr>
            <w:r w:rsidRPr="00667CD1">
              <w:rPr>
                <w:sz w:val="20"/>
                <w:szCs w:val="18"/>
              </w:rPr>
              <w:t>r</w:t>
            </w:r>
            <w:r w:rsidR="00A35732" w:rsidRPr="00667CD1">
              <w:rPr>
                <w:sz w:val="20"/>
                <w:szCs w:val="18"/>
              </w:rPr>
              <w:t>evenue from sales of goods and services has been revised down by $</w:t>
            </w:r>
            <w:r w:rsidR="00174F43" w:rsidRPr="00667CD1">
              <w:rPr>
                <w:sz w:val="20"/>
                <w:szCs w:val="18"/>
              </w:rPr>
              <w:t>1.1</w:t>
            </w:r>
            <w:r w:rsidR="0056365D" w:rsidRPr="00667CD1">
              <w:rPr>
                <w:sz w:val="20"/>
                <w:szCs w:val="18"/>
              </w:rPr>
              <w:t xml:space="preserve"> </w:t>
            </w:r>
            <w:r w:rsidR="00A35732" w:rsidRPr="00667CD1">
              <w:rPr>
                <w:sz w:val="20"/>
                <w:szCs w:val="18"/>
              </w:rPr>
              <w:t>billion over the four years to 2023-24</w:t>
            </w:r>
            <w:r w:rsidR="00CB2C82" w:rsidRPr="00667CD1">
              <w:rPr>
                <w:sz w:val="20"/>
                <w:szCs w:val="18"/>
              </w:rPr>
              <w:t xml:space="preserve">, largely </w:t>
            </w:r>
            <w:r w:rsidR="0053085F" w:rsidRPr="00667CD1">
              <w:rPr>
                <w:sz w:val="20"/>
                <w:szCs w:val="18"/>
              </w:rPr>
              <w:t>as a</w:t>
            </w:r>
            <w:r w:rsidR="00CB2C82" w:rsidRPr="00667CD1">
              <w:rPr>
                <w:sz w:val="20"/>
                <w:szCs w:val="18"/>
              </w:rPr>
              <w:t xml:space="preserve"> consequence of weaker transport service revenues</w:t>
            </w:r>
          </w:p>
          <w:p w14:paraId="74A7E33E" w14:textId="2C27187B" w:rsidR="00DA03BF" w:rsidRPr="00667CD1" w:rsidRDefault="005E488A" w:rsidP="00DC5EFC">
            <w:pPr>
              <w:pStyle w:val="Bullet1inabox"/>
              <w:rPr>
                <w:sz w:val="20"/>
                <w:szCs w:val="18"/>
              </w:rPr>
            </w:pPr>
            <w:r w:rsidRPr="00667CD1">
              <w:rPr>
                <w:sz w:val="20"/>
                <w:szCs w:val="18"/>
              </w:rPr>
              <w:t>sustained weakness in the global coal market has reduced expected mining royalties revenue by $1.4 billion over the four years to 2023-24.</w:t>
            </w:r>
          </w:p>
          <w:p w14:paraId="20C38E40" w14:textId="5B461F2E" w:rsidR="00D07283" w:rsidRPr="00667CD1" w:rsidRDefault="00D07283" w:rsidP="00820C69">
            <w:pPr>
              <w:pStyle w:val="BodyTextBox"/>
              <w:rPr>
                <w:sz w:val="20"/>
                <w:szCs w:val="20"/>
              </w:rPr>
            </w:pPr>
          </w:p>
        </w:tc>
      </w:tr>
    </w:tbl>
    <w:p w14:paraId="314803B5" w14:textId="0E183DC6" w:rsidR="00140E0C" w:rsidRPr="00667CD1" w:rsidRDefault="00140E0C" w:rsidP="00BC31D4">
      <w:pPr>
        <w:pStyle w:val="Heading2"/>
        <w:ind w:left="567" w:hanging="567"/>
        <w:rPr>
          <w:sz w:val="24"/>
          <w:szCs w:val="28"/>
        </w:rPr>
      </w:pPr>
      <w:r w:rsidRPr="00667CD1">
        <w:rPr>
          <w:sz w:val="24"/>
          <w:szCs w:val="28"/>
        </w:rPr>
        <w:t>Impacts of COVID</w:t>
      </w:r>
      <w:r w:rsidR="00A90066" w:rsidRPr="00667CD1">
        <w:rPr>
          <w:sz w:val="24"/>
          <w:szCs w:val="28"/>
        </w:rPr>
        <w:t>-19</w:t>
      </w:r>
      <w:r w:rsidR="00D92CFD" w:rsidRPr="00667CD1">
        <w:rPr>
          <w:sz w:val="24"/>
          <w:szCs w:val="28"/>
        </w:rPr>
        <w:t xml:space="preserve"> </w:t>
      </w:r>
      <w:r w:rsidR="00B73B2C" w:rsidRPr="00667CD1">
        <w:rPr>
          <w:sz w:val="24"/>
          <w:szCs w:val="28"/>
        </w:rPr>
        <w:t>on revenue in 2019-20</w:t>
      </w:r>
    </w:p>
    <w:p w14:paraId="0B7BF528" w14:textId="282676C0" w:rsidR="001D2D57" w:rsidRPr="00667CD1" w:rsidRDefault="001D2D57" w:rsidP="00DC5EFC">
      <w:pPr>
        <w:pStyle w:val="BodyText"/>
        <w:rPr>
          <w:sz w:val="20"/>
          <w:szCs w:val="16"/>
        </w:rPr>
      </w:pPr>
      <w:bookmarkStart w:id="0" w:name="_Hlk515876510"/>
      <w:r w:rsidRPr="00667CD1">
        <w:rPr>
          <w:sz w:val="20"/>
          <w:szCs w:val="16"/>
        </w:rPr>
        <w:t xml:space="preserve">General government revenue in 2019-20 was $2.8 billion lower than forecast at the 2019-20 Half-Yearly Review, largely </w:t>
      </w:r>
      <w:proofErr w:type="gramStart"/>
      <w:r w:rsidRPr="00667CD1">
        <w:rPr>
          <w:sz w:val="20"/>
          <w:szCs w:val="16"/>
        </w:rPr>
        <w:t>as a consequence of</w:t>
      </w:r>
      <w:proofErr w:type="gramEnd"/>
      <w:r w:rsidRPr="00667CD1">
        <w:rPr>
          <w:sz w:val="20"/>
          <w:szCs w:val="16"/>
        </w:rPr>
        <w:t xml:space="preserve"> the COVID-19 pandemic. From January 2020, </w:t>
      </w:r>
      <w:r w:rsidR="00204858" w:rsidRPr="00667CD1">
        <w:rPr>
          <w:sz w:val="20"/>
          <w:szCs w:val="16"/>
        </w:rPr>
        <w:t>s</w:t>
      </w:r>
      <w:r w:rsidRPr="00667CD1">
        <w:rPr>
          <w:sz w:val="20"/>
          <w:szCs w:val="16"/>
        </w:rPr>
        <w:t>tate and Commonwealth governments</w:t>
      </w:r>
      <w:r w:rsidRPr="00667CD1" w:rsidDel="305CFCF9">
        <w:rPr>
          <w:sz w:val="20"/>
          <w:szCs w:val="16"/>
        </w:rPr>
        <w:t xml:space="preserve"> </w:t>
      </w:r>
      <w:r w:rsidRPr="00667CD1">
        <w:rPr>
          <w:sz w:val="20"/>
          <w:szCs w:val="16"/>
        </w:rPr>
        <w:t xml:space="preserve">responded to public health risks with containment measures that had significant economic impacts through to the end of the financial year, affecting almost all revenue sources. The immediate and lasting effects of the pandemic on the New South Wales and Australian economy are expected to continue to weigh on revenues over the coming years. </w:t>
      </w:r>
    </w:p>
    <w:p w14:paraId="66EC52F4" w14:textId="77777777" w:rsidR="00DF2D3D" w:rsidRPr="00667CD1" w:rsidRDefault="00DF2D3D">
      <w:pPr>
        <w:spacing w:after="200" w:line="276" w:lineRule="auto"/>
        <w:rPr>
          <w:rFonts w:ascii="Arial" w:eastAsiaTheme="minorHAnsi" w:hAnsi="Arial" w:cs="Arial"/>
          <w:bCs/>
          <w:szCs w:val="16"/>
        </w:rPr>
      </w:pPr>
      <w:r w:rsidRPr="00667CD1">
        <w:rPr>
          <w:sz w:val="16"/>
          <w:szCs w:val="16"/>
        </w:rPr>
        <w:br w:type="page"/>
      </w:r>
    </w:p>
    <w:p w14:paraId="25FE5F4F" w14:textId="7273FE36" w:rsidR="00A90066" w:rsidRPr="00667CD1" w:rsidRDefault="00AF7CF7" w:rsidP="00DC5EFC">
      <w:pPr>
        <w:pStyle w:val="BodyText"/>
        <w:rPr>
          <w:sz w:val="20"/>
          <w:szCs w:val="16"/>
        </w:rPr>
      </w:pPr>
      <w:r w:rsidRPr="00667CD1">
        <w:rPr>
          <w:sz w:val="20"/>
          <w:szCs w:val="16"/>
        </w:rPr>
        <w:lastRenderedPageBreak/>
        <w:t>For 2019-20, t</w:t>
      </w:r>
      <w:r w:rsidR="00A90066" w:rsidRPr="00667CD1">
        <w:rPr>
          <w:sz w:val="20"/>
          <w:szCs w:val="16"/>
        </w:rPr>
        <w:t xml:space="preserve">he main </w:t>
      </w:r>
      <w:r w:rsidR="5D6357F4" w:rsidRPr="00667CD1">
        <w:rPr>
          <w:sz w:val="20"/>
          <w:szCs w:val="16"/>
        </w:rPr>
        <w:t>tax and non-tax</w:t>
      </w:r>
      <w:r w:rsidR="00E72E25" w:rsidRPr="00667CD1">
        <w:rPr>
          <w:sz w:val="20"/>
          <w:szCs w:val="16"/>
        </w:rPr>
        <w:t xml:space="preserve"> </w:t>
      </w:r>
      <w:r w:rsidR="00A90066" w:rsidRPr="00667CD1">
        <w:rPr>
          <w:sz w:val="20"/>
          <w:szCs w:val="16"/>
        </w:rPr>
        <w:t xml:space="preserve">revenue sources impacted by </w:t>
      </w:r>
      <w:r w:rsidR="65263954" w:rsidRPr="00667CD1">
        <w:rPr>
          <w:sz w:val="20"/>
          <w:szCs w:val="16"/>
        </w:rPr>
        <w:t xml:space="preserve">the </w:t>
      </w:r>
      <w:r w:rsidR="00A90066" w:rsidRPr="00667CD1">
        <w:rPr>
          <w:sz w:val="20"/>
          <w:szCs w:val="16"/>
        </w:rPr>
        <w:t>pandemic include:</w:t>
      </w:r>
    </w:p>
    <w:p w14:paraId="68B49478" w14:textId="0F536EBD" w:rsidR="00810B10" w:rsidRPr="00667CD1" w:rsidRDefault="00810B10" w:rsidP="00DC5EFC">
      <w:pPr>
        <w:pStyle w:val="Bullet1"/>
        <w:rPr>
          <w:sz w:val="20"/>
          <w:szCs w:val="16"/>
        </w:rPr>
      </w:pPr>
      <w:r w:rsidRPr="00667CD1">
        <w:rPr>
          <w:b/>
          <w:sz w:val="20"/>
          <w:szCs w:val="16"/>
        </w:rPr>
        <w:t>Payroll tax</w:t>
      </w:r>
      <w:r w:rsidRPr="00667CD1">
        <w:rPr>
          <w:sz w:val="20"/>
          <w:szCs w:val="16"/>
        </w:rPr>
        <w:t xml:space="preserve">: </w:t>
      </w:r>
      <w:r w:rsidR="00606E2C" w:rsidRPr="00667CD1">
        <w:rPr>
          <w:sz w:val="20"/>
          <w:szCs w:val="16"/>
        </w:rPr>
        <w:t xml:space="preserve">Public health measures, </w:t>
      </w:r>
      <w:r w:rsidR="00773B3C" w:rsidRPr="00667CD1">
        <w:rPr>
          <w:sz w:val="20"/>
          <w:szCs w:val="16"/>
        </w:rPr>
        <w:t>weaker economic conditions</w:t>
      </w:r>
      <w:r w:rsidRPr="00667CD1">
        <w:rPr>
          <w:sz w:val="20"/>
          <w:szCs w:val="16"/>
        </w:rPr>
        <w:t xml:space="preserve"> and concerns about COVID-19 led firms to reduce employ</w:t>
      </w:r>
      <w:r w:rsidR="00390D2F" w:rsidRPr="00667CD1">
        <w:rPr>
          <w:sz w:val="20"/>
          <w:szCs w:val="16"/>
        </w:rPr>
        <w:t>me</w:t>
      </w:r>
      <w:r w:rsidRPr="00667CD1">
        <w:rPr>
          <w:sz w:val="20"/>
          <w:szCs w:val="16"/>
        </w:rPr>
        <w:t xml:space="preserve">nt, hours worked and employee earnings, which weighed on payroll tax receipts. </w:t>
      </w:r>
      <w:r w:rsidR="00AF7CF7" w:rsidRPr="00667CD1">
        <w:rPr>
          <w:sz w:val="20"/>
          <w:szCs w:val="16"/>
        </w:rPr>
        <w:t xml:space="preserve">To </w:t>
      </w:r>
      <w:r w:rsidR="00CC3EF4" w:rsidRPr="00667CD1">
        <w:rPr>
          <w:sz w:val="20"/>
          <w:szCs w:val="16"/>
        </w:rPr>
        <w:t xml:space="preserve">protect businesses </w:t>
      </w:r>
      <w:r w:rsidR="00356E71" w:rsidRPr="00667CD1">
        <w:rPr>
          <w:sz w:val="20"/>
          <w:szCs w:val="16"/>
        </w:rPr>
        <w:t>and employment</w:t>
      </w:r>
      <w:r w:rsidR="00CC3EF4" w:rsidRPr="00667CD1">
        <w:rPr>
          <w:sz w:val="20"/>
          <w:szCs w:val="16"/>
        </w:rPr>
        <w:t xml:space="preserve"> through the </w:t>
      </w:r>
      <w:r w:rsidR="003B51F0" w:rsidRPr="00667CD1">
        <w:rPr>
          <w:sz w:val="20"/>
          <w:szCs w:val="16"/>
        </w:rPr>
        <w:t xml:space="preserve">period of heightened </w:t>
      </w:r>
      <w:r w:rsidR="00773B3C" w:rsidRPr="00667CD1">
        <w:rPr>
          <w:sz w:val="20"/>
          <w:szCs w:val="16"/>
        </w:rPr>
        <w:t xml:space="preserve">public health </w:t>
      </w:r>
      <w:r w:rsidR="003B51F0" w:rsidRPr="00667CD1">
        <w:rPr>
          <w:sz w:val="20"/>
          <w:szCs w:val="16"/>
        </w:rPr>
        <w:t xml:space="preserve">restrictions, the </w:t>
      </w:r>
      <w:r w:rsidR="00AF7CF7" w:rsidRPr="00667CD1">
        <w:rPr>
          <w:sz w:val="20"/>
          <w:szCs w:val="16"/>
        </w:rPr>
        <w:t>Government provid</w:t>
      </w:r>
      <w:r w:rsidR="003B51F0" w:rsidRPr="00667CD1">
        <w:rPr>
          <w:sz w:val="20"/>
          <w:szCs w:val="16"/>
        </w:rPr>
        <w:t>ed</w:t>
      </w:r>
      <w:r w:rsidR="00AF7CF7" w:rsidRPr="00667CD1">
        <w:rPr>
          <w:sz w:val="20"/>
          <w:szCs w:val="16"/>
        </w:rPr>
        <w:t xml:space="preserve"> a 25 per cent discount on 2019-20 payroll tax liabilities for businesses with a payroll less than $10</w:t>
      </w:r>
      <w:r w:rsidR="004D76CC" w:rsidRPr="00667CD1">
        <w:rPr>
          <w:sz w:val="20"/>
          <w:szCs w:val="16"/>
        </w:rPr>
        <w:t>.0</w:t>
      </w:r>
      <w:r w:rsidR="00AF7CF7" w:rsidRPr="00667CD1">
        <w:rPr>
          <w:sz w:val="20"/>
          <w:szCs w:val="16"/>
        </w:rPr>
        <w:t xml:space="preserve"> million. An exemption was also applied to certain payroll amounts arising as a result of </w:t>
      </w:r>
      <w:proofErr w:type="spellStart"/>
      <w:r w:rsidR="00AF7CF7" w:rsidRPr="00667CD1">
        <w:rPr>
          <w:sz w:val="20"/>
          <w:szCs w:val="16"/>
        </w:rPr>
        <w:t>JobKeeper</w:t>
      </w:r>
      <w:proofErr w:type="spellEnd"/>
      <w:r w:rsidR="00AF7CF7" w:rsidRPr="00667CD1">
        <w:rPr>
          <w:sz w:val="20"/>
          <w:szCs w:val="16"/>
        </w:rPr>
        <w:t xml:space="preserve"> payments.</w:t>
      </w:r>
      <w:r w:rsidRPr="00667CD1">
        <w:rPr>
          <w:sz w:val="20"/>
          <w:szCs w:val="16"/>
        </w:rPr>
        <w:t xml:space="preserve"> </w:t>
      </w:r>
      <w:r w:rsidR="00F50B09" w:rsidRPr="00667CD1">
        <w:rPr>
          <w:sz w:val="20"/>
          <w:szCs w:val="16"/>
        </w:rPr>
        <w:t>These factors have contributed to</w:t>
      </w:r>
      <w:r w:rsidRPr="00667CD1">
        <w:rPr>
          <w:sz w:val="20"/>
          <w:szCs w:val="16"/>
        </w:rPr>
        <w:t xml:space="preserve"> payroll tax revenue in 2019-20 </w:t>
      </w:r>
      <w:r w:rsidR="003B235E" w:rsidRPr="00667CD1">
        <w:rPr>
          <w:sz w:val="20"/>
          <w:szCs w:val="16"/>
        </w:rPr>
        <w:t>being</w:t>
      </w:r>
      <w:r w:rsidRPr="00667CD1">
        <w:rPr>
          <w:sz w:val="20"/>
          <w:szCs w:val="16"/>
        </w:rPr>
        <w:t xml:space="preserve"> $</w:t>
      </w:r>
      <w:r w:rsidR="004C7514" w:rsidRPr="00667CD1">
        <w:rPr>
          <w:sz w:val="20"/>
          <w:szCs w:val="16"/>
        </w:rPr>
        <w:t>1.3</w:t>
      </w:r>
      <w:r w:rsidR="00F82D79" w:rsidRPr="00667CD1">
        <w:rPr>
          <w:sz w:val="20"/>
          <w:szCs w:val="16"/>
        </w:rPr>
        <w:t> </w:t>
      </w:r>
      <w:r w:rsidR="004C7514" w:rsidRPr="00667CD1">
        <w:rPr>
          <w:sz w:val="20"/>
          <w:szCs w:val="16"/>
        </w:rPr>
        <w:t>billion</w:t>
      </w:r>
      <w:r w:rsidRPr="00667CD1">
        <w:rPr>
          <w:sz w:val="20"/>
          <w:szCs w:val="16"/>
        </w:rPr>
        <w:t xml:space="preserve"> lower than expected at the 2019-20 Half</w:t>
      </w:r>
      <w:r w:rsidR="681E1E37" w:rsidRPr="00667CD1">
        <w:rPr>
          <w:sz w:val="20"/>
          <w:szCs w:val="16"/>
        </w:rPr>
        <w:t>-</w:t>
      </w:r>
      <w:r w:rsidRPr="00667CD1">
        <w:rPr>
          <w:sz w:val="20"/>
          <w:szCs w:val="16"/>
        </w:rPr>
        <w:t>Yearly Review</w:t>
      </w:r>
      <w:r w:rsidR="006F53A3" w:rsidRPr="00667CD1">
        <w:rPr>
          <w:sz w:val="20"/>
          <w:szCs w:val="16"/>
        </w:rPr>
        <w:t>.</w:t>
      </w:r>
    </w:p>
    <w:p w14:paraId="112353D9" w14:textId="430D56F5" w:rsidR="00810B10" w:rsidRPr="00667CD1" w:rsidRDefault="00810B10" w:rsidP="00DC5EFC">
      <w:pPr>
        <w:pStyle w:val="Bullet1"/>
        <w:rPr>
          <w:sz w:val="20"/>
          <w:szCs w:val="16"/>
        </w:rPr>
      </w:pPr>
      <w:r w:rsidRPr="00667CD1">
        <w:rPr>
          <w:b/>
          <w:sz w:val="20"/>
          <w:szCs w:val="16"/>
        </w:rPr>
        <w:t>Transfer duty</w:t>
      </w:r>
      <w:r w:rsidRPr="00667CD1">
        <w:rPr>
          <w:sz w:val="20"/>
          <w:szCs w:val="16"/>
        </w:rPr>
        <w:t xml:space="preserve">: </w:t>
      </w:r>
      <w:r w:rsidR="00F72F4F" w:rsidRPr="00667CD1">
        <w:rPr>
          <w:sz w:val="20"/>
          <w:szCs w:val="16"/>
        </w:rPr>
        <w:t>Th</w:t>
      </w:r>
      <w:r w:rsidR="00474FC1" w:rsidRPr="00667CD1">
        <w:rPr>
          <w:sz w:val="20"/>
          <w:szCs w:val="16"/>
        </w:rPr>
        <w:t xml:space="preserve">e </w:t>
      </w:r>
      <w:r w:rsidRPr="00667CD1">
        <w:rPr>
          <w:sz w:val="20"/>
          <w:szCs w:val="16"/>
        </w:rPr>
        <w:t xml:space="preserve">number of property transactions during the June quarter </w:t>
      </w:r>
      <w:r w:rsidR="00FD1411" w:rsidRPr="00667CD1">
        <w:rPr>
          <w:sz w:val="20"/>
          <w:szCs w:val="16"/>
        </w:rPr>
        <w:t xml:space="preserve">fell </w:t>
      </w:r>
      <w:r w:rsidRPr="00667CD1">
        <w:rPr>
          <w:sz w:val="20"/>
          <w:szCs w:val="16"/>
        </w:rPr>
        <w:t>by over 20</w:t>
      </w:r>
      <w:r w:rsidR="007E199F" w:rsidRPr="00667CD1">
        <w:rPr>
          <w:sz w:val="20"/>
          <w:szCs w:val="16"/>
        </w:rPr>
        <w:t> </w:t>
      </w:r>
      <w:r w:rsidRPr="00667CD1">
        <w:rPr>
          <w:sz w:val="20"/>
          <w:szCs w:val="16"/>
        </w:rPr>
        <w:t>per cent relative to the March quarter</w:t>
      </w:r>
      <w:r w:rsidR="000A2774" w:rsidRPr="00667CD1">
        <w:rPr>
          <w:sz w:val="20"/>
          <w:szCs w:val="16"/>
        </w:rPr>
        <w:t xml:space="preserve">, reflecting </w:t>
      </w:r>
      <w:r w:rsidR="00EB11BD" w:rsidRPr="00667CD1">
        <w:rPr>
          <w:sz w:val="20"/>
          <w:szCs w:val="16"/>
        </w:rPr>
        <w:t>a period of heightened restrictions</w:t>
      </w:r>
      <w:r w:rsidR="004A09C1" w:rsidRPr="00667CD1">
        <w:rPr>
          <w:sz w:val="20"/>
          <w:szCs w:val="16"/>
        </w:rPr>
        <w:t>,</w:t>
      </w:r>
      <w:r w:rsidR="00E543E9" w:rsidRPr="00667CD1">
        <w:rPr>
          <w:sz w:val="20"/>
          <w:szCs w:val="16"/>
        </w:rPr>
        <w:t xml:space="preserve"> including some limits on property inspections and auctions</w:t>
      </w:r>
      <w:r w:rsidR="007C0EB5" w:rsidRPr="00667CD1">
        <w:rPr>
          <w:sz w:val="20"/>
          <w:szCs w:val="16"/>
        </w:rPr>
        <w:t>, and uncertainty as the COVID</w:t>
      </w:r>
      <w:r w:rsidR="008F23D0" w:rsidRPr="00667CD1">
        <w:rPr>
          <w:sz w:val="20"/>
          <w:szCs w:val="16"/>
        </w:rPr>
        <w:noBreakHyphen/>
      </w:r>
      <w:r w:rsidR="007C0EB5" w:rsidRPr="00667CD1">
        <w:rPr>
          <w:sz w:val="20"/>
          <w:szCs w:val="16"/>
        </w:rPr>
        <w:t>19 pandemic escalated</w:t>
      </w:r>
      <w:r w:rsidRPr="00667CD1">
        <w:rPr>
          <w:sz w:val="20"/>
          <w:szCs w:val="16"/>
        </w:rPr>
        <w:t>. A</w:t>
      </w:r>
      <w:r w:rsidR="00FD1411" w:rsidRPr="00667CD1">
        <w:rPr>
          <w:sz w:val="20"/>
          <w:szCs w:val="16"/>
        </w:rPr>
        <w:t>ccordingly</w:t>
      </w:r>
      <w:r w:rsidRPr="00667CD1">
        <w:rPr>
          <w:sz w:val="20"/>
          <w:szCs w:val="16"/>
        </w:rPr>
        <w:t>, transfer duty revenue in 2019-20 was $</w:t>
      </w:r>
      <w:r w:rsidR="004C7514" w:rsidRPr="00667CD1">
        <w:rPr>
          <w:sz w:val="20"/>
          <w:szCs w:val="16"/>
        </w:rPr>
        <w:t>578.4</w:t>
      </w:r>
      <w:r w:rsidR="007E199F" w:rsidRPr="00667CD1">
        <w:rPr>
          <w:sz w:val="20"/>
          <w:szCs w:val="16"/>
        </w:rPr>
        <w:t> </w:t>
      </w:r>
      <w:r w:rsidRPr="00667CD1">
        <w:rPr>
          <w:sz w:val="20"/>
          <w:szCs w:val="16"/>
        </w:rPr>
        <w:t xml:space="preserve">million lower than expected </w:t>
      </w:r>
      <w:r w:rsidR="00FD1411" w:rsidRPr="00667CD1">
        <w:rPr>
          <w:sz w:val="20"/>
          <w:szCs w:val="16"/>
        </w:rPr>
        <w:t>at the 2019-20 Half</w:t>
      </w:r>
      <w:r w:rsidR="1C1DD301" w:rsidRPr="00667CD1">
        <w:rPr>
          <w:sz w:val="20"/>
          <w:szCs w:val="16"/>
        </w:rPr>
        <w:t>-</w:t>
      </w:r>
      <w:r w:rsidR="00FD1411" w:rsidRPr="00667CD1">
        <w:rPr>
          <w:sz w:val="20"/>
          <w:szCs w:val="16"/>
        </w:rPr>
        <w:t>Yearly Review</w:t>
      </w:r>
      <w:r w:rsidR="006F53A3" w:rsidRPr="00667CD1">
        <w:rPr>
          <w:sz w:val="20"/>
          <w:szCs w:val="16"/>
        </w:rPr>
        <w:t>.</w:t>
      </w:r>
    </w:p>
    <w:p w14:paraId="2A9B1B30" w14:textId="3A838DFB" w:rsidR="00A90066" w:rsidRPr="00667CD1" w:rsidRDefault="305CFCF9" w:rsidP="00DC5EFC">
      <w:pPr>
        <w:pStyle w:val="Bullet1"/>
        <w:rPr>
          <w:sz w:val="20"/>
          <w:szCs w:val="16"/>
        </w:rPr>
      </w:pPr>
      <w:r w:rsidRPr="00667CD1">
        <w:rPr>
          <w:b/>
          <w:sz w:val="20"/>
          <w:szCs w:val="16"/>
        </w:rPr>
        <w:t xml:space="preserve">Gambling and </w:t>
      </w:r>
      <w:r w:rsidR="007E199F" w:rsidRPr="00667CD1">
        <w:rPr>
          <w:b/>
          <w:sz w:val="20"/>
          <w:szCs w:val="16"/>
        </w:rPr>
        <w:t>b</w:t>
      </w:r>
      <w:r w:rsidRPr="00667CD1">
        <w:rPr>
          <w:b/>
          <w:sz w:val="20"/>
          <w:szCs w:val="16"/>
        </w:rPr>
        <w:t xml:space="preserve">etting </w:t>
      </w:r>
      <w:r w:rsidR="007E199F" w:rsidRPr="00667CD1">
        <w:rPr>
          <w:b/>
          <w:sz w:val="20"/>
          <w:szCs w:val="16"/>
        </w:rPr>
        <w:t>t</w:t>
      </w:r>
      <w:r w:rsidRPr="00667CD1">
        <w:rPr>
          <w:b/>
          <w:sz w:val="20"/>
          <w:szCs w:val="16"/>
        </w:rPr>
        <w:t>axes</w:t>
      </w:r>
      <w:r w:rsidRPr="00667CD1">
        <w:rPr>
          <w:sz w:val="20"/>
          <w:szCs w:val="16"/>
        </w:rPr>
        <w:t xml:space="preserve">: Public Health Orders </w:t>
      </w:r>
      <w:r w:rsidR="6636893E" w:rsidRPr="00667CD1">
        <w:rPr>
          <w:sz w:val="20"/>
          <w:szCs w:val="16"/>
        </w:rPr>
        <w:t>requir</w:t>
      </w:r>
      <w:r w:rsidR="0091640B" w:rsidRPr="00667CD1">
        <w:rPr>
          <w:sz w:val="20"/>
          <w:szCs w:val="16"/>
        </w:rPr>
        <w:t>ed</w:t>
      </w:r>
      <w:r w:rsidR="6636893E" w:rsidRPr="00667CD1">
        <w:rPr>
          <w:sz w:val="20"/>
          <w:szCs w:val="16"/>
        </w:rPr>
        <w:t xml:space="preserve"> the </w:t>
      </w:r>
      <w:r w:rsidRPr="00667CD1">
        <w:rPr>
          <w:sz w:val="20"/>
          <w:szCs w:val="16"/>
        </w:rPr>
        <w:t>clos</w:t>
      </w:r>
      <w:r w:rsidR="6636893E" w:rsidRPr="00667CD1">
        <w:rPr>
          <w:sz w:val="20"/>
          <w:szCs w:val="16"/>
        </w:rPr>
        <w:t>ure of</w:t>
      </w:r>
      <w:r w:rsidRPr="00667CD1">
        <w:rPr>
          <w:sz w:val="20"/>
          <w:szCs w:val="16"/>
        </w:rPr>
        <w:t xml:space="preserve"> clubs, hotels and casinos between March and May</w:t>
      </w:r>
      <w:r w:rsidR="6636893E" w:rsidRPr="00667CD1">
        <w:rPr>
          <w:sz w:val="20"/>
          <w:szCs w:val="16"/>
        </w:rPr>
        <w:t xml:space="preserve"> </w:t>
      </w:r>
      <w:r w:rsidR="2B2BD6A3" w:rsidRPr="00667CD1">
        <w:rPr>
          <w:sz w:val="20"/>
          <w:szCs w:val="16"/>
        </w:rPr>
        <w:t xml:space="preserve">2020 </w:t>
      </w:r>
      <w:r w:rsidR="4DC83148" w:rsidRPr="00667CD1">
        <w:rPr>
          <w:sz w:val="20"/>
          <w:szCs w:val="16"/>
        </w:rPr>
        <w:t>preventing</w:t>
      </w:r>
      <w:r w:rsidR="6636893E" w:rsidRPr="00667CD1">
        <w:rPr>
          <w:sz w:val="20"/>
          <w:szCs w:val="16"/>
        </w:rPr>
        <w:t xml:space="preserve"> patrons </w:t>
      </w:r>
      <w:r w:rsidR="00DE52EC" w:rsidRPr="00667CD1">
        <w:rPr>
          <w:sz w:val="20"/>
          <w:szCs w:val="16"/>
        </w:rPr>
        <w:t xml:space="preserve">from </w:t>
      </w:r>
      <w:r w:rsidR="6636893E" w:rsidRPr="00667CD1">
        <w:rPr>
          <w:sz w:val="20"/>
          <w:szCs w:val="16"/>
        </w:rPr>
        <w:t>attending</w:t>
      </w:r>
      <w:r w:rsidRPr="00667CD1">
        <w:rPr>
          <w:sz w:val="20"/>
          <w:szCs w:val="16"/>
        </w:rPr>
        <w:t xml:space="preserve"> these businesses</w:t>
      </w:r>
      <w:r w:rsidR="00775D36" w:rsidRPr="00667CD1">
        <w:rPr>
          <w:sz w:val="20"/>
          <w:szCs w:val="16"/>
        </w:rPr>
        <w:t>. This</w:t>
      </w:r>
      <w:r w:rsidR="023F3107" w:rsidRPr="00667CD1">
        <w:rPr>
          <w:sz w:val="20"/>
          <w:szCs w:val="16"/>
        </w:rPr>
        <w:t>, combined with restrictions in June,</w:t>
      </w:r>
      <w:r w:rsidRPr="00667CD1">
        <w:rPr>
          <w:sz w:val="20"/>
          <w:szCs w:val="16"/>
        </w:rPr>
        <w:t xml:space="preserve"> lowered gambling tax</w:t>
      </w:r>
      <w:r w:rsidR="20A0C3DD" w:rsidRPr="00667CD1">
        <w:rPr>
          <w:sz w:val="20"/>
          <w:szCs w:val="16"/>
        </w:rPr>
        <w:t xml:space="preserve"> revenues</w:t>
      </w:r>
      <w:r w:rsidRPr="00667CD1">
        <w:rPr>
          <w:sz w:val="20"/>
          <w:szCs w:val="16"/>
        </w:rPr>
        <w:t xml:space="preserve"> by $</w:t>
      </w:r>
      <w:r w:rsidR="067072BD" w:rsidRPr="00667CD1">
        <w:rPr>
          <w:sz w:val="20"/>
          <w:szCs w:val="16"/>
        </w:rPr>
        <w:t>455</w:t>
      </w:r>
      <w:r w:rsidR="2E53C28E" w:rsidRPr="00667CD1">
        <w:rPr>
          <w:sz w:val="20"/>
          <w:szCs w:val="16"/>
        </w:rPr>
        <w:t>.</w:t>
      </w:r>
      <w:r w:rsidR="067072BD" w:rsidRPr="00667CD1">
        <w:rPr>
          <w:sz w:val="20"/>
          <w:szCs w:val="16"/>
        </w:rPr>
        <w:t>9</w:t>
      </w:r>
      <w:r w:rsidRPr="00667CD1">
        <w:rPr>
          <w:sz w:val="20"/>
          <w:szCs w:val="16"/>
        </w:rPr>
        <w:t xml:space="preserve"> million relative to 2019-20 Half</w:t>
      </w:r>
      <w:r w:rsidR="789ACA70" w:rsidRPr="00667CD1">
        <w:rPr>
          <w:sz w:val="20"/>
          <w:szCs w:val="16"/>
        </w:rPr>
        <w:t>-</w:t>
      </w:r>
      <w:r w:rsidRPr="00667CD1">
        <w:rPr>
          <w:sz w:val="20"/>
          <w:szCs w:val="16"/>
        </w:rPr>
        <w:t xml:space="preserve">Yearly Review expectations. </w:t>
      </w:r>
    </w:p>
    <w:p w14:paraId="2E553B66" w14:textId="527756E7" w:rsidR="00A90066" w:rsidRPr="00667CD1" w:rsidRDefault="00A90066" w:rsidP="00DC5EFC">
      <w:pPr>
        <w:pStyle w:val="Bullet1"/>
        <w:rPr>
          <w:sz w:val="20"/>
          <w:szCs w:val="16"/>
        </w:rPr>
      </w:pPr>
      <w:r w:rsidRPr="00667CD1">
        <w:rPr>
          <w:b/>
          <w:sz w:val="20"/>
          <w:szCs w:val="16"/>
        </w:rPr>
        <w:t>Sales of goods and services</w:t>
      </w:r>
      <w:r w:rsidR="00CC425D" w:rsidRPr="00667CD1">
        <w:rPr>
          <w:iCs/>
          <w:sz w:val="20"/>
          <w:szCs w:val="16"/>
        </w:rPr>
        <w:t xml:space="preserve">: </w:t>
      </w:r>
      <w:r w:rsidR="00E87E90" w:rsidRPr="00667CD1">
        <w:rPr>
          <w:sz w:val="20"/>
          <w:szCs w:val="16"/>
        </w:rPr>
        <w:t xml:space="preserve">COVID-19 restrictions on </w:t>
      </w:r>
      <w:r w:rsidR="00A95D10" w:rsidRPr="00667CD1">
        <w:rPr>
          <w:sz w:val="20"/>
          <w:szCs w:val="16"/>
        </w:rPr>
        <w:t>mobility</w:t>
      </w:r>
      <w:r w:rsidR="00E87E90" w:rsidRPr="00667CD1">
        <w:rPr>
          <w:sz w:val="20"/>
          <w:szCs w:val="16"/>
        </w:rPr>
        <w:t xml:space="preserve"> and </w:t>
      </w:r>
      <w:r w:rsidR="00A95D10" w:rsidRPr="00667CD1">
        <w:rPr>
          <w:sz w:val="20"/>
          <w:szCs w:val="16"/>
        </w:rPr>
        <w:t xml:space="preserve">transport </w:t>
      </w:r>
      <w:r w:rsidR="00E87E90" w:rsidRPr="00667CD1">
        <w:rPr>
          <w:sz w:val="20"/>
          <w:szCs w:val="16"/>
        </w:rPr>
        <w:t>capacity lowered patronage on public transport</w:t>
      </w:r>
      <w:r w:rsidR="00D32365" w:rsidRPr="00667CD1">
        <w:rPr>
          <w:sz w:val="20"/>
          <w:szCs w:val="16"/>
        </w:rPr>
        <w:t>.</w:t>
      </w:r>
    </w:p>
    <w:p w14:paraId="469B1CF3" w14:textId="1CA0C7DA" w:rsidR="00CD6FD4" w:rsidRPr="00667CD1" w:rsidRDefault="00B85204" w:rsidP="00DC5EFC">
      <w:pPr>
        <w:pStyle w:val="BodyText"/>
        <w:rPr>
          <w:sz w:val="20"/>
          <w:szCs w:val="16"/>
        </w:rPr>
      </w:pPr>
      <w:r w:rsidRPr="00667CD1">
        <w:rPr>
          <w:sz w:val="20"/>
          <w:szCs w:val="16"/>
        </w:rPr>
        <w:t>For 2019-20, t</w:t>
      </w:r>
      <w:r w:rsidR="00CD6FD4" w:rsidRPr="00667CD1">
        <w:rPr>
          <w:sz w:val="20"/>
          <w:szCs w:val="16"/>
        </w:rPr>
        <w:t xml:space="preserve">he main grant revenue impacts of the pandemic </w:t>
      </w:r>
      <w:r w:rsidRPr="00667CD1">
        <w:rPr>
          <w:sz w:val="20"/>
          <w:szCs w:val="16"/>
        </w:rPr>
        <w:t>were as follows</w:t>
      </w:r>
      <w:r w:rsidR="00CD6FD4" w:rsidRPr="00667CD1">
        <w:rPr>
          <w:sz w:val="20"/>
          <w:szCs w:val="16"/>
        </w:rPr>
        <w:t>:</w:t>
      </w:r>
    </w:p>
    <w:p w14:paraId="342DB489" w14:textId="0C871687" w:rsidR="00CD6FD4" w:rsidRPr="00667CD1" w:rsidRDefault="00B85204" w:rsidP="00DC5EFC">
      <w:pPr>
        <w:pStyle w:val="Bullet1"/>
        <w:rPr>
          <w:sz w:val="20"/>
          <w:szCs w:val="16"/>
        </w:rPr>
      </w:pPr>
      <w:r w:rsidRPr="00667CD1">
        <w:rPr>
          <w:b/>
          <w:sz w:val="20"/>
          <w:szCs w:val="16"/>
        </w:rPr>
        <w:t>GST p</w:t>
      </w:r>
      <w:r w:rsidR="00CD6FD4" w:rsidRPr="00667CD1">
        <w:rPr>
          <w:b/>
          <w:sz w:val="20"/>
          <w:szCs w:val="16"/>
        </w:rPr>
        <w:t>ayments to New South Wales</w:t>
      </w:r>
      <w:r w:rsidR="00CD6FD4" w:rsidRPr="00667CD1">
        <w:rPr>
          <w:sz w:val="20"/>
          <w:szCs w:val="16"/>
        </w:rPr>
        <w:t xml:space="preserve"> were $266</w:t>
      </w:r>
      <w:r w:rsidRPr="00667CD1">
        <w:rPr>
          <w:sz w:val="20"/>
          <w:szCs w:val="16"/>
        </w:rPr>
        <w:t>.</w:t>
      </w:r>
      <w:r w:rsidR="00505677" w:rsidRPr="00667CD1">
        <w:rPr>
          <w:sz w:val="20"/>
          <w:szCs w:val="16"/>
        </w:rPr>
        <w:t>2</w:t>
      </w:r>
      <w:r w:rsidR="00CD6FD4" w:rsidRPr="00667CD1">
        <w:rPr>
          <w:sz w:val="20"/>
          <w:szCs w:val="16"/>
        </w:rPr>
        <w:t xml:space="preserve"> million l</w:t>
      </w:r>
      <w:r w:rsidR="00B939C5" w:rsidRPr="00667CD1">
        <w:rPr>
          <w:sz w:val="20"/>
          <w:szCs w:val="16"/>
        </w:rPr>
        <w:t>ower</w:t>
      </w:r>
      <w:r w:rsidR="00CD6FD4" w:rsidRPr="00667CD1">
        <w:rPr>
          <w:sz w:val="20"/>
          <w:szCs w:val="16"/>
        </w:rPr>
        <w:t xml:space="preserve"> in 2019-20 than expected at the 2019</w:t>
      </w:r>
      <w:r w:rsidR="4EB661DB" w:rsidRPr="00667CD1">
        <w:rPr>
          <w:sz w:val="20"/>
          <w:szCs w:val="16"/>
        </w:rPr>
        <w:t>-</w:t>
      </w:r>
      <w:r w:rsidR="00CD6FD4" w:rsidRPr="00667CD1">
        <w:rPr>
          <w:sz w:val="20"/>
          <w:szCs w:val="16"/>
        </w:rPr>
        <w:t>20 Half Yearly Review</w:t>
      </w:r>
      <w:r w:rsidR="00390D2F" w:rsidRPr="00667CD1">
        <w:rPr>
          <w:sz w:val="20"/>
          <w:szCs w:val="16"/>
        </w:rPr>
        <w:t>.</w:t>
      </w:r>
      <w:r w:rsidR="00CB5456" w:rsidRPr="00667CD1">
        <w:rPr>
          <w:sz w:val="20"/>
          <w:szCs w:val="16"/>
        </w:rPr>
        <w:t xml:space="preserve"> </w:t>
      </w:r>
      <w:r w:rsidR="00B939C5" w:rsidRPr="00667CD1">
        <w:rPr>
          <w:sz w:val="20"/>
          <w:szCs w:val="16"/>
        </w:rPr>
        <w:t>See Box 4.</w:t>
      </w:r>
      <w:r w:rsidR="00390D2F" w:rsidRPr="00667CD1">
        <w:rPr>
          <w:sz w:val="20"/>
          <w:szCs w:val="16"/>
        </w:rPr>
        <w:t>2</w:t>
      </w:r>
      <w:r w:rsidR="00B939C5" w:rsidRPr="00667CD1">
        <w:rPr>
          <w:sz w:val="20"/>
          <w:szCs w:val="16"/>
        </w:rPr>
        <w:t xml:space="preserve"> </w:t>
      </w:r>
      <w:r w:rsidR="6BD66BF3" w:rsidRPr="00667CD1">
        <w:rPr>
          <w:sz w:val="20"/>
          <w:szCs w:val="16"/>
        </w:rPr>
        <w:t xml:space="preserve">for </w:t>
      </w:r>
      <w:r w:rsidR="00390D2F" w:rsidRPr="00667CD1">
        <w:rPr>
          <w:sz w:val="20"/>
          <w:szCs w:val="16"/>
        </w:rPr>
        <w:t>further details</w:t>
      </w:r>
      <w:r w:rsidR="00B939C5" w:rsidRPr="00667CD1">
        <w:rPr>
          <w:sz w:val="20"/>
          <w:szCs w:val="16"/>
        </w:rPr>
        <w:t>.</w:t>
      </w:r>
      <w:r w:rsidR="003B64C0" w:rsidRPr="00667CD1">
        <w:rPr>
          <w:sz w:val="20"/>
          <w:szCs w:val="16"/>
        </w:rPr>
        <w:t xml:space="preserve"> </w:t>
      </w:r>
    </w:p>
    <w:p w14:paraId="70DD132B" w14:textId="797E8698" w:rsidR="00A90066" w:rsidRPr="00667CD1" w:rsidRDefault="00A90066" w:rsidP="00DC5EFC">
      <w:pPr>
        <w:pStyle w:val="Bullet1"/>
        <w:rPr>
          <w:sz w:val="20"/>
          <w:szCs w:val="16"/>
        </w:rPr>
      </w:pPr>
      <w:r w:rsidRPr="00667CD1">
        <w:rPr>
          <w:b/>
          <w:sz w:val="20"/>
          <w:szCs w:val="16"/>
        </w:rPr>
        <w:t xml:space="preserve">National Agreement and National Partnership </w:t>
      </w:r>
      <w:r w:rsidR="003F5654" w:rsidRPr="00667CD1">
        <w:rPr>
          <w:b/>
          <w:sz w:val="20"/>
          <w:szCs w:val="16"/>
        </w:rPr>
        <w:t>P</w:t>
      </w:r>
      <w:r w:rsidRPr="00667CD1">
        <w:rPr>
          <w:b/>
          <w:sz w:val="20"/>
          <w:szCs w:val="16"/>
        </w:rPr>
        <w:t>ayments</w:t>
      </w:r>
      <w:r w:rsidR="009B012D" w:rsidRPr="00667CD1">
        <w:rPr>
          <w:sz w:val="20"/>
          <w:szCs w:val="16"/>
        </w:rPr>
        <w:t xml:space="preserve"> increased relative to forecasts </w:t>
      </w:r>
      <w:r w:rsidR="00B1450B" w:rsidRPr="00667CD1">
        <w:rPr>
          <w:sz w:val="20"/>
          <w:szCs w:val="16"/>
        </w:rPr>
        <w:t>at</w:t>
      </w:r>
      <w:r w:rsidR="009B012D" w:rsidRPr="00667CD1">
        <w:rPr>
          <w:sz w:val="20"/>
          <w:szCs w:val="16"/>
        </w:rPr>
        <w:t xml:space="preserve"> the 2019-20 Half-Yearly Review</w:t>
      </w:r>
      <w:r w:rsidR="00CF3725" w:rsidRPr="00667CD1">
        <w:rPr>
          <w:sz w:val="20"/>
          <w:szCs w:val="16"/>
        </w:rPr>
        <w:t>. The</w:t>
      </w:r>
      <w:r w:rsidR="00C2760D" w:rsidRPr="00667CD1">
        <w:rPr>
          <w:sz w:val="20"/>
          <w:szCs w:val="16"/>
        </w:rPr>
        <w:t xml:space="preserve"> additional</w:t>
      </w:r>
      <w:r w:rsidR="00CF3725" w:rsidRPr="00667CD1">
        <w:rPr>
          <w:sz w:val="20"/>
          <w:szCs w:val="16"/>
        </w:rPr>
        <w:t xml:space="preserve"> payments </w:t>
      </w:r>
      <w:r w:rsidR="009E01C2" w:rsidRPr="00667CD1">
        <w:rPr>
          <w:sz w:val="20"/>
          <w:szCs w:val="16"/>
        </w:rPr>
        <w:t xml:space="preserve">were made in response to increased demand for government assistance as a result of </w:t>
      </w:r>
      <w:r w:rsidRPr="00667CD1">
        <w:rPr>
          <w:sz w:val="20"/>
          <w:szCs w:val="16"/>
        </w:rPr>
        <w:t xml:space="preserve">COVID-19 </w:t>
      </w:r>
      <w:r w:rsidR="00133286" w:rsidRPr="00667CD1">
        <w:rPr>
          <w:sz w:val="20"/>
          <w:szCs w:val="16"/>
        </w:rPr>
        <w:t xml:space="preserve">and </w:t>
      </w:r>
      <w:r w:rsidR="00752C1D" w:rsidRPr="00667CD1">
        <w:rPr>
          <w:sz w:val="20"/>
          <w:szCs w:val="16"/>
        </w:rPr>
        <w:t>bushfire</w:t>
      </w:r>
      <w:r w:rsidRPr="00667CD1">
        <w:rPr>
          <w:sz w:val="20"/>
          <w:szCs w:val="16"/>
        </w:rPr>
        <w:t xml:space="preserve"> </w:t>
      </w:r>
      <w:r w:rsidR="009E01C2" w:rsidRPr="00667CD1">
        <w:rPr>
          <w:sz w:val="20"/>
          <w:szCs w:val="16"/>
        </w:rPr>
        <w:t>recovery efforts</w:t>
      </w:r>
      <w:r w:rsidRPr="00667CD1">
        <w:rPr>
          <w:sz w:val="20"/>
          <w:szCs w:val="16"/>
        </w:rPr>
        <w:t xml:space="preserve"> (see </w:t>
      </w:r>
      <w:r w:rsidR="00A53CBC" w:rsidRPr="00667CD1">
        <w:rPr>
          <w:sz w:val="20"/>
          <w:szCs w:val="16"/>
        </w:rPr>
        <w:t>s</w:t>
      </w:r>
      <w:r w:rsidR="00752C1D" w:rsidRPr="00667CD1">
        <w:rPr>
          <w:sz w:val="20"/>
          <w:szCs w:val="16"/>
        </w:rPr>
        <w:t>ection</w:t>
      </w:r>
      <w:r w:rsidRPr="00667CD1">
        <w:rPr>
          <w:sz w:val="20"/>
          <w:szCs w:val="16"/>
        </w:rPr>
        <w:t xml:space="preserve"> 4.</w:t>
      </w:r>
      <w:r w:rsidR="002D436A" w:rsidRPr="00667CD1">
        <w:rPr>
          <w:sz w:val="20"/>
          <w:szCs w:val="16"/>
        </w:rPr>
        <w:t>5</w:t>
      </w:r>
      <w:r w:rsidRPr="00667CD1">
        <w:rPr>
          <w:sz w:val="20"/>
          <w:szCs w:val="16"/>
        </w:rPr>
        <w:t xml:space="preserve"> for more detail).</w:t>
      </w:r>
    </w:p>
    <w:p w14:paraId="5226C90F" w14:textId="27802AF5" w:rsidR="00036B8E" w:rsidRPr="00667CD1" w:rsidRDefault="006E6065" w:rsidP="00DC5EFC">
      <w:pPr>
        <w:pStyle w:val="BodyText"/>
        <w:rPr>
          <w:sz w:val="20"/>
          <w:szCs w:val="16"/>
        </w:rPr>
      </w:pPr>
      <w:r w:rsidRPr="00667CD1">
        <w:rPr>
          <w:sz w:val="20"/>
          <w:szCs w:val="16"/>
        </w:rPr>
        <w:t>The NSW Government expects COVID-19 will</w:t>
      </w:r>
      <w:r w:rsidR="009B012D" w:rsidRPr="00667CD1">
        <w:rPr>
          <w:sz w:val="20"/>
          <w:szCs w:val="16"/>
        </w:rPr>
        <w:t xml:space="preserve"> continue to</w:t>
      </w:r>
      <w:r w:rsidRPr="00667CD1">
        <w:rPr>
          <w:sz w:val="20"/>
          <w:szCs w:val="16"/>
        </w:rPr>
        <w:t xml:space="preserve"> place sustained pressure on </w:t>
      </w:r>
      <w:r w:rsidR="001641B7" w:rsidRPr="00667CD1">
        <w:rPr>
          <w:sz w:val="20"/>
          <w:szCs w:val="16"/>
        </w:rPr>
        <w:t>S</w:t>
      </w:r>
      <w:r w:rsidRPr="00667CD1">
        <w:rPr>
          <w:sz w:val="20"/>
          <w:szCs w:val="16"/>
        </w:rPr>
        <w:t>tate revenue sources. Further detail is outlined in this chapter.</w:t>
      </w:r>
    </w:p>
    <w:p w14:paraId="5098F2DB" w14:textId="19A79F99" w:rsidR="00140E0C" w:rsidRPr="00667CD1" w:rsidRDefault="0021430B" w:rsidP="003B4998">
      <w:pPr>
        <w:pStyle w:val="Heading2"/>
        <w:tabs>
          <w:tab w:val="left" w:pos="567"/>
        </w:tabs>
        <w:ind w:left="567" w:hanging="567"/>
        <w:rPr>
          <w:sz w:val="24"/>
          <w:szCs w:val="28"/>
        </w:rPr>
      </w:pPr>
      <w:r w:rsidRPr="00667CD1">
        <w:rPr>
          <w:sz w:val="24"/>
          <w:szCs w:val="28"/>
        </w:rPr>
        <w:t>R</w:t>
      </w:r>
      <w:r w:rsidR="00140E0C" w:rsidRPr="00667CD1">
        <w:rPr>
          <w:sz w:val="24"/>
          <w:szCs w:val="28"/>
        </w:rPr>
        <w:t xml:space="preserve">evenue measures </w:t>
      </w:r>
      <w:r w:rsidRPr="00667CD1">
        <w:rPr>
          <w:sz w:val="24"/>
          <w:szCs w:val="28"/>
        </w:rPr>
        <w:t>since 2019-20 H</w:t>
      </w:r>
      <w:r w:rsidR="00F25377" w:rsidRPr="00667CD1">
        <w:rPr>
          <w:sz w:val="24"/>
          <w:szCs w:val="28"/>
        </w:rPr>
        <w:t>alf-</w:t>
      </w:r>
      <w:r w:rsidRPr="00667CD1">
        <w:rPr>
          <w:sz w:val="24"/>
          <w:szCs w:val="28"/>
        </w:rPr>
        <w:t>Y</w:t>
      </w:r>
      <w:r w:rsidR="00F25377" w:rsidRPr="00667CD1">
        <w:rPr>
          <w:sz w:val="24"/>
          <w:szCs w:val="28"/>
        </w:rPr>
        <w:t xml:space="preserve">early </w:t>
      </w:r>
      <w:r w:rsidRPr="00667CD1">
        <w:rPr>
          <w:sz w:val="24"/>
          <w:szCs w:val="28"/>
        </w:rPr>
        <w:t>R</w:t>
      </w:r>
      <w:r w:rsidR="00F25377" w:rsidRPr="00667CD1">
        <w:rPr>
          <w:sz w:val="24"/>
          <w:szCs w:val="28"/>
        </w:rPr>
        <w:t>eview</w:t>
      </w:r>
    </w:p>
    <w:p w14:paraId="284915B0" w14:textId="4455016A" w:rsidR="00DD4C4D" w:rsidRPr="00667CD1" w:rsidRDefault="00DD4C4D" w:rsidP="00DC5EFC">
      <w:pPr>
        <w:pStyle w:val="BodyText"/>
        <w:rPr>
          <w:sz w:val="20"/>
          <w:szCs w:val="16"/>
        </w:rPr>
      </w:pPr>
      <w:r w:rsidRPr="00667CD1">
        <w:rPr>
          <w:rStyle w:val="normaltextrun"/>
          <w:sz w:val="20"/>
          <w:szCs w:val="16"/>
          <w:shd w:val="clear" w:color="auto" w:fill="FFFFFF"/>
        </w:rPr>
        <w:t>Since the 2019-20 Half-Yearly Review</w:t>
      </w:r>
      <w:r w:rsidR="005307CF" w:rsidRPr="00667CD1">
        <w:rPr>
          <w:rStyle w:val="normaltextrun"/>
          <w:sz w:val="20"/>
          <w:szCs w:val="16"/>
          <w:shd w:val="clear" w:color="auto" w:fill="FFFFFF"/>
        </w:rPr>
        <w:t>,</w:t>
      </w:r>
      <w:r w:rsidRPr="00667CD1">
        <w:rPr>
          <w:rStyle w:val="normaltextrun"/>
          <w:sz w:val="20"/>
          <w:szCs w:val="16"/>
          <w:shd w:val="clear" w:color="auto" w:fill="FFFFFF"/>
        </w:rPr>
        <w:t xml:space="preserve"> the NSW Government has announced </w:t>
      </w:r>
      <w:proofErr w:type="gramStart"/>
      <w:r w:rsidRPr="00667CD1">
        <w:rPr>
          <w:rStyle w:val="normaltextrun"/>
          <w:sz w:val="20"/>
          <w:szCs w:val="16"/>
          <w:shd w:val="clear" w:color="auto" w:fill="FFFFFF"/>
        </w:rPr>
        <w:t>a number of</w:t>
      </w:r>
      <w:proofErr w:type="gramEnd"/>
      <w:r w:rsidRPr="00667CD1">
        <w:rPr>
          <w:rStyle w:val="normaltextrun"/>
          <w:sz w:val="20"/>
          <w:szCs w:val="16"/>
          <w:shd w:val="clear" w:color="auto" w:fill="FFFFFF"/>
        </w:rPr>
        <w:t xml:space="preserve"> support measures to businesses and communities devastated by bushfires and COVID-19.</w:t>
      </w:r>
      <w:r w:rsidR="00C97FCB" w:rsidRPr="00667CD1">
        <w:rPr>
          <w:rStyle w:val="normaltextrun"/>
          <w:sz w:val="20"/>
          <w:szCs w:val="16"/>
          <w:shd w:val="clear" w:color="auto" w:fill="FFFFFF"/>
        </w:rPr>
        <w:t xml:space="preserve"> </w:t>
      </w:r>
      <w:r w:rsidR="006976D3" w:rsidRPr="00667CD1">
        <w:rPr>
          <w:rStyle w:val="normaltextrun"/>
          <w:sz w:val="20"/>
          <w:szCs w:val="16"/>
          <w:shd w:val="clear" w:color="auto" w:fill="FFFFFF"/>
        </w:rPr>
        <w:t xml:space="preserve">These </w:t>
      </w:r>
      <w:r w:rsidR="00A11C5E" w:rsidRPr="00667CD1">
        <w:rPr>
          <w:rStyle w:val="normaltextrun"/>
          <w:sz w:val="20"/>
          <w:szCs w:val="16"/>
          <w:shd w:val="clear" w:color="auto" w:fill="FFFFFF"/>
        </w:rPr>
        <w:t>measures are aimed at keeping people in jobs and businesses in business.</w:t>
      </w:r>
    </w:p>
    <w:p w14:paraId="5D91A570" w14:textId="16008EE4" w:rsidR="00303879" w:rsidRPr="00667CD1" w:rsidRDefault="00A362AC" w:rsidP="00DC5EFC">
      <w:pPr>
        <w:pStyle w:val="BodyText"/>
        <w:rPr>
          <w:sz w:val="20"/>
          <w:szCs w:val="16"/>
        </w:rPr>
      </w:pPr>
      <w:r w:rsidRPr="00667CD1">
        <w:rPr>
          <w:rStyle w:val="normaltextrun"/>
          <w:sz w:val="20"/>
          <w:szCs w:val="16"/>
          <w:shd w:val="clear" w:color="auto" w:fill="FFFFFF"/>
        </w:rPr>
        <w:t>The package of tax reductions, waivers and deferrals is forecast to reduce the budget result by $</w:t>
      </w:r>
      <w:r w:rsidR="7D9E8508" w:rsidRPr="00667CD1">
        <w:rPr>
          <w:rStyle w:val="normaltextrun"/>
          <w:sz w:val="20"/>
          <w:szCs w:val="16"/>
          <w:shd w:val="clear" w:color="auto" w:fill="FFFFFF"/>
        </w:rPr>
        <w:t>1.</w:t>
      </w:r>
      <w:r w:rsidR="00745E88" w:rsidRPr="00667CD1">
        <w:rPr>
          <w:rStyle w:val="normaltextrun"/>
          <w:sz w:val="20"/>
          <w:szCs w:val="16"/>
          <w:shd w:val="clear" w:color="auto" w:fill="FFFFFF"/>
        </w:rPr>
        <w:t xml:space="preserve">5 </w:t>
      </w:r>
      <w:r w:rsidRPr="00667CD1">
        <w:rPr>
          <w:rStyle w:val="normaltextrun"/>
          <w:sz w:val="20"/>
          <w:szCs w:val="16"/>
          <w:shd w:val="clear" w:color="auto" w:fill="FFFFFF"/>
        </w:rPr>
        <w:t xml:space="preserve">billion in 2020-21 and </w:t>
      </w:r>
      <w:r w:rsidR="006004E0" w:rsidRPr="00667CD1">
        <w:rPr>
          <w:rStyle w:val="normaltextrun"/>
          <w:sz w:val="20"/>
          <w:szCs w:val="16"/>
          <w:shd w:val="clear" w:color="auto" w:fill="FFFFFF"/>
        </w:rPr>
        <w:t xml:space="preserve">by a further </w:t>
      </w:r>
      <w:r w:rsidRPr="00667CD1">
        <w:rPr>
          <w:rStyle w:val="normaltextrun"/>
          <w:sz w:val="20"/>
          <w:szCs w:val="16"/>
          <w:shd w:val="clear" w:color="auto" w:fill="FFFFFF"/>
        </w:rPr>
        <w:t>$</w:t>
      </w:r>
      <w:r w:rsidR="0202C8CF" w:rsidRPr="00667CD1">
        <w:rPr>
          <w:rStyle w:val="normaltextrun"/>
          <w:sz w:val="20"/>
          <w:szCs w:val="16"/>
          <w:shd w:val="clear" w:color="auto" w:fill="FFFFFF"/>
        </w:rPr>
        <w:t>1.</w:t>
      </w:r>
      <w:r w:rsidR="00940D07" w:rsidRPr="00667CD1">
        <w:rPr>
          <w:rStyle w:val="normaltextrun"/>
          <w:sz w:val="20"/>
          <w:szCs w:val="16"/>
        </w:rPr>
        <w:t xml:space="preserve">6 </w:t>
      </w:r>
      <w:r w:rsidRPr="00667CD1">
        <w:rPr>
          <w:rStyle w:val="normaltextrun"/>
          <w:sz w:val="20"/>
          <w:szCs w:val="16"/>
          <w:shd w:val="clear" w:color="auto" w:fill="FFFFFF"/>
        </w:rPr>
        <w:t>billion over the forward estimates to 2023-24</w:t>
      </w:r>
      <w:r w:rsidRPr="00667CD1">
        <w:rPr>
          <w:sz w:val="20"/>
          <w:szCs w:val="16"/>
        </w:rPr>
        <w:t>.</w:t>
      </w:r>
    </w:p>
    <w:p w14:paraId="59825C16" w14:textId="6F735FDD" w:rsidR="008800DA" w:rsidRPr="00667CD1" w:rsidRDefault="00D24B12" w:rsidP="00DC5EFC">
      <w:pPr>
        <w:pStyle w:val="BodyText"/>
        <w:rPr>
          <w:sz w:val="20"/>
          <w:szCs w:val="16"/>
        </w:rPr>
      </w:pPr>
      <w:r w:rsidRPr="00667CD1">
        <w:rPr>
          <w:sz w:val="20"/>
          <w:szCs w:val="16"/>
        </w:rPr>
        <w:t>N</w:t>
      </w:r>
      <w:r w:rsidR="008800DA" w:rsidRPr="00667CD1">
        <w:rPr>
          <w:sz w:val="20"/>
          <w:szCs w:val="16"/>
        </w:rPr>
        <w:t xml:space="preserve">ew taxation measures and </w:t>
      </w:r>
      <w:r w:rsidR="000607C1" w:rsidRPr="00667CD1">
        <w:rPr>
          <w:sz w:val="20"/>
          <w:szCs w:val="16"/>
        </w:rPr>
        <w:t xml:space="preserve">non-taxation </w:t>
      </w:r>
      <w:r w:rsidR="008800DA" w:rsidRPr="00667CD1">
        <w:rPr>
          <w:sz w:val="20"/>
          <w:szCs w:val="16"/>
        </w:rPr>
        <w:t>revenue measure</w:t>
      </w:r>
      <w:r w:rsidR="000607C1" w:rsidRPr="00667CD1">
        <w:rPr>
          <w:sz w:val="20"/>
          <w:szCs w:val="16"/>
        </w:rPr>
        <w:t>s</w:t>
      </w:r>
      <w:r w:rsidRPr="00667CD1">
        <w:rPr>
          <w:sz w:val="20"/>
          <w:szCs w:val="16"/>
        </w:rPr>
        <w:t xml:space="preserve"> are detailed below</w:t>
      </w:r>
      <w:r w:rsidR="005D0F14" w:rsidRPr="00667CD1">
        <w:rPr>
          <w:sz w:val="20"/>
          <w:szCs w:val="16"/>
        </w:rPr>
        <w:t>.</w:t>
      </w:r>
    </w:p>
    <w:p w14:paraId="14A43D03" w14:textId="7EC3631D" w:rsidR="00FC76D9" w:rsidRPr="00667CD1" w:rsidRDefault="0021430B" w:rsidP="005977F0">
      <w:pPr>
        <w:pStyle w:val="Heading3"/>
        <w:numPr>
          <w:ilvl w:val="0"/>
          <w:numId w:val="0"/>
        </w:numPr>
        <w:ind w:left="720" w:hanging="720"/>
        <w:rPr>
          <w:sz w:val="22"/>
          <w:szCs w:val="28"/>
        </w:rPr>
      </w:pPr>
      <w:r w:rsidRPr="00667CD1">
        <w:rPr>
          <w:sz w:val="22"/>
          <w:szCs w:val="28"/>
        </w:rPr>
        <w:t>T</w:t>
      </w:r>
      <w:r w:rsidR="0000071C" w:rsidRPr="00667CD1">
        <w:rPr>
          <w:sz w:val="22"/>
          <w:szCs w:val="28"/>
        </w:rPr>
        <w:t xml:space="preserve">axation revenue measures </w:t>
      </w:r>
      <w:r w:rsidRPr="00667CD1">
        <w:rPr>
          <w:sz w:val="22"/>
          <w:szCs w:val="28"/>
        </w:rPr>
        <w:t xml:space="preserve">since 2019-20 </w:t>
      </w:r>
      <w:r w:rsidR="00517B96" w:rsidRPr="00667CD1">
        <w:rPr>
          <w:sz w:val="22"/>
          <w:szCs w:val="28"/>
        </w:rPr>
        <w:t>Half-Yearly Review</w:t>
      </w:r>
    </w:p>
    <w:p w14:paraId="24755813" w14:textId="383195B9" w:rsidR="002A18D9" w:rsidRPr="00667CD1" w:rsidRDefault="00B076B4" w:rsidP="00DC5EFC">
      <w:pPr>
        <w:pStyle w:val="BodyText"/>
        <w:rPr>
          <w:sz w:val="20"/>
          <w:szCs w:val="16"/>
        </w:rPr>
      </w:pPr>
      <w:r w:rsidRPr="00667CD1">
        <w:rPr>
          <w:sz w:val="20"/>
          <w:szCs w:val="16"/>
        </w:rPr>
        <w:t xml:space="preserve">Table 4.1 </w:t>
      </w:r>
      <w:r w:rsidR="00C202B3" w:rsidRPr="00667CD1">
        <w:rPr>
          <w:sz w:val="20"/>
          <w:szCs w:val="16"/>
        </w:rPr>
        <w:t xml:space="preserve">shows the </w:t>
      </w:r>
      <w:r w:rsidR="003B364A" w:rsidRPr="00667CD1">
        <w:rPr>
          <w:sz w:val="20"/>
          <w:szCs w:val="16"/>
        </w:rPr>
        <w:t>new taxation revenue measures</w:t>
      </w:r>
      <w:r w:rsidR="003E75AE" w:rsidRPr="00667CD1">
        <w:rPr>
          <w:sz w:val="20"/>
          <w:szCs w:val="16"/>
        </w:rPr>
        <w:t xml:space="preserve"> announced </w:t>
      </w:r>
      <w:r w:rsidR="003D5ABF" w:rsidRPr="00667CD1">
        <w:rPr>
          <w:sz w:val="20"/>
          <w:szCs w:val="16"/>
        </w:rPr>
        <w:t>since</w:t>
      </w:r>
      <w:r w:rsidR="003E75AE" w:rsidRPr="00667CD1">
        <w:rPr>
          <w:sz w:val="20"/>
          <w:szCs w:val="16"/>
        </w:rPr>
        <w:t xml:space="preserve"> the </w:t>
      </w:r>
      <w:r w:rsidR="003D5ABF" w:rsidRPr="00667CD1">
        <w:rPr>
          <w:sz w:val="20"/>
          <w:szCs w:val="16"/>
        </w:rPr>
        <w:t>2019-20 Half</w:t>
      </w:r>
      <w:r w:rsidR="009F3300" w:rsidRPr="00667CD1">
        <w:rPr>
          <w:sz w:val="20"/>
          <w:szCs w:val="16"/>
        </w:rPr>
        <w:noBreakHyphen/>
      </w:r>
      <w:r w:rsidR="003D5ABF" w:rsidRPr="00667CD1">
        <w:rPr>
          <w:sz w:val="20"/>
          <w:szCs w:val="16"/>
        </w:rPr>
        <w:t>Yearly Review</w:t>
      </w:r>
      <w:r w:rsidR="0021430B" w:rsidRPr="00667CD1">
        <w:rPr>
          <w:sz w:val="20"/>
          <w:szCs w:val="16"/>
        </w:rPr>
        <w:t xml:space="preserve">, including </w:t>
      </w:r>
      <w:r w:rsidR="002C1CEB" w:rsidRPr="00667CD1">
        <w:rPr>
          <w:sz w:val="20"/>
          <w:szCs w:val="16"/>
        </w:rPr>
        <w:t>more than $2</w:t>
      </w:r>
      <w:r w:rsidR="0078468F" w:rsidRPr="00667CD1">
        <w:rPr>
          <w:sz w:val="20"/>
          <w:szCs w:val="16"/>
        </w:rPr>
        <w:t>.</w:t>
      </w:r>
      <w:r w:rsidR="00CF1905" w:rsidRPr="00667CD1">
        <w:rPr>
          <w:sz w:val="20"/>
          <w:szCs w:val="16"/>
        </w:rPr>
        <w:t>8</w:t>
      </w:r>
      <w:r w:rsidR="0078468F" w:rsidRPr="00667CD1">
        <w:rPr>
          <w:sz w:val="20"/>
          <w:szCs w:val="16"/>
        </w:rPr>
        <w:t xml:space="preserve"> billion in measures</w:t>
      </w:r>
      <w:r w:rsidR="0021430B" w:rsidRPr="00667CD1">
        <w:rPr>
          <w:sz w:val="20"/>
          <w:szCs w:val="16"/>
        </w:rPr>
        <w:t xml:space="preserve"> announced in this Budget.</w:t>
      </w:r>
    </w:p>
    <w:p w14:paraId="68861F10" w14:textId="53AF04A4" w:rsidR="007D62FE" w:rsidRPr="00667CD1" w:rsidRDefault="007D62FE" w:rsidP="00DC5EFC">
      <w:pPr>
        <w:pStyle w:val="BodyText"/>
        <w:rPr>
          <w:sz w:val="20"/>
          <w:szCs w:val="16"/>
        </w:rPr>
      </w:pPr>
    </w:p>
    <w:p w14:paraId="7C51F964" w14:textId="77777777" w:rsidR="00D24B12" w:rsidRPr="00667CD1" w:rsidRDefault="00D24B12" w:rsidP="00DC5EFC">
      <w:pPr>
        <w:pStyle w:val="BodyText"/>
        <w:rPr>
          <w:sz w:val="20"/>
          <w:szCs w:val="16"/>
        </w:rPr>
      </w:pPr>
    </w:p>
    <w:p w14:paraId="79112E6E" w14:textId="77777777" w:rsidR="00007C09" w:rsidRPr="00667CD1" w:rsidRDefault="00007C09" w:rsidP="00DC5EFC">
      <w:pPr>
        <w:pStyle w:val="BodyText"/>
        <w:rPr>
          <w:sz w:val="20"/>
          <w:szCs w:val="16"/>
        </w:rPr>
      </w:pPr>
    </w:p>
    <w:p w14:paraId="7DF7F384" w14:textId="77777777" w:rsidR="00BC31D4" w:rsidRPr="00667CD1" w:rsidRDefault="00BC31D4">
      <w:pPr>
        <w:spacing w:after="200" w:line="276" w:lineRule="auto"/>
        <w:rPr>
          <w:rFonts w:ascii="Arial" w:hAnsi="Arial"/>
          <w:bCs/>
          <w:i/>
          <w:color w:val="4F4F4F"/>
          <w:kern w:val="28"/>
          <w:sz w:val="18"/>
          <w:szCs w:val="18"/>
        </w:rPr>
      </w:pPr>
      <w:r w:rsidRPr="00667CD1">
        <w:rPr>
          <w:sz w:val="16"/>
          <w:szCs w:val="16"/>
        </w:rPr>
        <w:br w:type="page"/>
      </w:r>
    </w:p>
    <w:p w14:paraId="2BB5A3CA" w14:textId="52E03256" w:rsidR="00573578" w:rsidRPr="00667CD1" w:rsidRDefault="003B464E" w:rsidP="00573578">
      <w:pPr>
        <w:pStyle w:val="Table4X"/>
        <w:tabs>
          <w:tab w:val="clear" w:pos="1134"/>
          <w:tab w:val="left" w:pos="1304"/>
        </w:tabs>
        <w:ind w:left="1304" w:hanging="1304"/>
        <w:rPr>
          <w:sz w:val="18"/>
          <w:szCs w:val="18"/>
        </w:rPr>
      </w:pPr>
      <w:r w:rsidRPr="00667CD1">
        <w:rPr>
          <w:sz w:val="18"/>
          <w:szCs w:val="18"/>
        </w:rPr>
        <w:lastRenderedPageBreak/>
        <w:t>New t</w:t>
      </w:r>
      <w:r w:rsidR="00FC0AD2" w:rsidRPr="00667CD1">
        <w:rPr>
          <w:sz w:val="18"/>
          <w:szCs w:val="18"/>
        </w:rPr>
        <w:t>axation</w:t>
      </w:r>
      <w:r w:rsidR="006F05DF" w:rsidRPr="00667CD1">
        <w:rPr>
          <w:sz w:val="18"/>
          <w:szCs w:val="18"/>
        </w:rPr>
        <w:t xml:space="preserve"> revenue measures</w:t>
      </w:r>
    </w:p>
    <w:tbl>
      <w:tblPr>
        <w:tblW w:w="9639" w:type="dxa"/>
        <w:tblLook w:val="04A0" w:firstRow="1" w:lastRow="0" w:firstColumn="1" w:lastColumn="0" w:noHBand="0" w:noVBand="1"/>
        <w:tblCaption w:val="Table 4.1:  New taxation revenue measures"/>
        <w:tblDescription w:val="Table 4.1:  New taxation revenue measures"/>
      </w:tblPr>
      <w:tblGrid>
        <w:gridCol w:w="5017"/>
        <w:gridCol w:w="757"/>
        <w:gridCol w:w="719"/>
        <w:gridCol w:w="719"/>
        <w:gridCol w:w="757"/>
        <w:gridCol w:w="777"/>
        <w:gridCol w:w="893"/>
      </w:tblGrid>
      <w:tr w:rsidR="00DB6DC9" w:rsidRPr="00667CD1" w14:paraId="62B0D8A7" w14:textId="77777777" w:rsidTr="00D64D63">
        <w:trPr>
          <w:trHeight w:val="300"/>
        </w:trPr>
        <w:tc>
          <w:tcPr>
            <w:tcW w:w="5017" w:type="dxa"/>
            <w:tcBorders>
              <w:top w:val="nil"/>
              <w:left w:val="nil"/>
              <w:right w:val="nil"/>
            </w:tcBorders>
            <w:shd w:val="clear" w:color="000000" w:fill="008EBA"/>
            <w:vAlign w:val="center"/>
            <w:hideMark/>
          </w:tcPr>
          <w:p w14:paraId="507C401F" w14:textId="77777777" w:rsidR="00DB6DC9" w:rsidRPr="00667CD1" w:rsidRDefault="00DB6DC9" w:rsidP="00DB6DC9">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757" w:type="dxa"/>
            <w:tcBorders>
              <w:top w:val="nil"/>
              <w:left w:val="nil"/>
              <w:right w:val="nil"/>
            </w:tcBorders>
            <w:shd w:val="clear" w:color="000000" w:fill="008EBA"/>
            <w:noWrap/>
            <w:vAlign w:val="bottom"/>
            <w:hideMark/>
          </w:tcPr>
          <w:p w14:paraId="49B4D1FB" w14:textId="77777777" w:rsidR="00DB6DC9" w:rsidRPr="00667CD1" w:rsidRDefault="00DB6DC9"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2019-20</w:t>
            </w:r>
          </w:p>
        </w:tc>
        <w:tc>
          <w:tcPr>
            <w:tcW w:w="719" w:type="dxa"/>
            <w:tcBorders>
              <w:top w:val="nil"/>
              <w:left w:val="nil"/>
              <w:right w:val="nil"/>
            </w:tcBorders>
            <w:shd w:val="clear" w:color="000000" w:fill="008EBA"/>
            <w:noWrap/>
            <w:vAlign w:val="bottom"/>
            <w:hideMark/>
          </w:tcPr>
          <w:p w14:paraId="38E87987" w14:textId="77777777" w:rsidR="00DB6DC9" w:rsidRPr="00667CD1" w:rsidRDefault="00DB6DC9"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2020-21</w:t>
            </w:r>
          </w:p>
        </w:tc>
        <w:tc>
          <w:tcPr>
            <w:tcW w:w="719" w:type="dxa"/>
            <w:tcBorders>
              <w:top w:val="nil"/>
              <w:left w:val="nil"/>
              <w:right w:val="nil"/>
            </w:tcBorders>
            <w:shd w:val="clear" w:color="000000" w:fill="008EBA"/>
            <w:noWrap/>
            <w:vAlign w:val="bottom"/>
            <w:hideMark/>
          </w:tcPr>
          <w:p w14:paraId="498B06BC" w14:textId="77777777" w:rsidR="00DB6DC9" w:rsidRPr="00667CD1" w:rsidRDefault="00DB6DC9"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2021-22</w:t>
            </w:r>
          </w:p>
        </w:tc>
        <w:tc>
          <w:tcPr>
            <w:tcW w:w="757" w:type="dxa"/>
            <w:tcBorders>
              <w:top w:val="nil"/>
              <w:left w:val="nil"/>
              <w:right w:val="nil"/>
            </w:tcBorders>
            <w:shd w:val="clear" w:color="000000" w:fill="008EBA"/>
            <w:noWrap/>
            <w:vAlign w:val="bottom"/>
            <w:hideMark/>
          </w:tcPr>
          <w:p w14:paraId="758E3A34" w14:textId="77777777" w:rsidR="00DB6DC9" w:rsidRPr="00667CD1" w:rsidRDefault="00DB6DC9"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2022-23</w:t>
            </w:r>
          </w:p>
        </w:tc>
        <w:tc>
          <w:tcPr>
            <w:tcW w:w="777" w:type="dxa"/>
            <w:tcBorders>
              <w:top w:val="nil"/>
              <w:left w:val="nil"/>
              <w:right w:val="nil"/>
            </w:tcBorders>
            <w:shd w:val="clear" w:color="000000" w:fill="008EBA"/>
            <w:noWrap/>
            <w:vAlign w:val="bottom"/>
            <w:hideMark/>
          </w:tcPr>
          <w:p w14:paraId="6C5BC9E9" w14:textId="77777777" w:rsidR="00DB6DC9" w:rsidRPr="00667CD1" w:rsidRDefault="00DB6DC9"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2023-24</w:t>
            </w:r>
          </w:p>
        </w:tc>
        <w:tc>
          <w:tcPr>
            <w:tcW w:w="893" w:type="dxa"/>
            <w:tcBorders>
              <w:top w:val="nil"/>
              <w:left w:val="nil"/>
              <w:right w:val="nil"/>
            </w:tcBorders>
            <w:shd w:val="clear" w:color="000000" w:fill="008EBA"/>
            <w:noWrap/>
            <w:vAlign w:val="bottom"/>
            <w:hideMark/>
          </w:tcPr>
          <w:p w14:paraId="185DD493" w14:textId="77777777" w:rsidR="00DB6DC9" w:rsidRPr="00667CD1" w:rsidRDefault="00DB6DC9"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Four years</w:t>
            </w:r>
          </w:p>
        </w:tc>
      </w:tr>
      <w:tr w:rsidR="00DB6DC9" w:rsidRPr="00667CD1" w14:paraId="784E7261" w14:textId="77777777" w:rsidTr="00D64D63">
        <w:trPr>
          <w:trHeight w:val="270"/>
        </w:trPr>
        <w:tc>
          <w:tcPr>
            <w:tcW w:w="5017" w:type="dxa"/>
            <w:tcBorders>
              <w:top w:val="nil"/>
              <w:left w:val="nil"/>
              <w:bottom w:val="nil"/>
              <w:right w:val="nil"/>
            </w:tcBorders>
            <w:shd w:val="clear" w:color="auto" w:fill="00426F"/>
            <w:hideMark/>
          </w:tcPr>
          <w:p w14:paraId="357462EC" w14:textId="77777777" w:rsidR="00DB6DC9" w:rsidRPr="00667CD1" w:rsidRDefault="00DB6DC9" w:rsidP="00DB6DC9">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757" w:type="dxa"/>
            <w:tcBorders>
              <w:top w:val="nil"/>
              <w:left w:val="nil"/>
              <w:bottom w:val="nil"/>
              <w:right w:val="nil"/>
            </w:tcBorders>
            <w:shd w:val="clear" w:color="auto" w:fill="00426F"/>
            <w:hideMark/>
          </w:tcPr>
          <w:p w14:paraId="4D03D2EC" w14:textId="77777777" w:rsidR="00DB6DC9" w:rsidRPr="00667CD1" w:rsidRDefault="00DB6DC9"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719" w:type="dxa"/>
            <w:tcBorders>
              <w:top w:val="nil"/>
              <w:left w:val="nil"/>
              <w:bottom w:val="nil"/>
              <w:right w:val="nil"/>
            </w:tcBorders>
            <w:shd w:val="clear" w:color="auto" w:fill="00426F"/>
            <w:hideMark/>
          </w:tcPr>
          <w:p w14:paraId="26BF83C0" w14:textId="77777777" w:rsidR="00DB6DC9" w:rsidRPr="00667CD1" w:rsidRDefault="00DB6DC9"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719" w:type="dxa"/>
            <w:tcBorders>
              <w:top w:val="nil"/>
              <w:left w:val="nil"/>
              <w:bottom w:val="nil"/>
              <w:right w:val="nil"/>
            </w:tcBorders>
            <w:shd w:val="clear" w:color="auto" w:fill="00426F"/>
            <w:hideMark/>
          </w:tcPr>
          <w:p w14:paraId="1C2E1254" w14:textId="77777777" w:rsidR="00DB6DC9" w:rsidRPr="00667CD1" w:rsidRDefault="00DB6DC9"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757" w:type="dxa"/>
            <w:tcBorders>
              <w:top w:val="nil"/>
              <w:left w:val="nil"/>
              <w:bottom w:val="nil"/>
              <w:right w:val="nil"/>
            </w:tcBorders>
            <w:shd w:val="clear" w:color="auto" w:fill="00426F"/>
            <w:hideMark/>
          </w:tcPr>
          <w:p w14:paraId="2E81CF1F" w14:textId="77777777" w:rsidR="00DB6DC9" w:rsidRPr="00667CD1" w:rsidRDefault="00DB6DC9"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777" w:type="dxa"/>
            <w:tcBorders>
              <w:top w:val="nil"/>
              <w:left w:val="nil"/>
              <w:bottom w:val="nil"/>
              <w:right w:val="nil"/>
            </w:tcBorders>
            <w:shd w:val="clear" w:color="auto" w:fill="00426F"/>
            <w:hideMark/>
          </w:tcPr>
          <w:p w14:paraId="44F3B15A" w14:textId="77777777" w:rsidR="00DB6DC9" w:rsidRPr="00667CD1" w:rsidRDefault="00DB6DC9"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93" w:type="dxa"/>
            <w:tcBorders>
              <w:top w:val="nil"/>
              <w:left w:val="nil"/>
              <w:bottom w:val="nil"/>
              <w:right w:val="nil"/>
            </w:tcBorders>
            <w:shd w:val="clear" w:color="auto" w:fill="00426F"/>
            <w:hideMark/>
          </w:tcPr>
          <w:p w14:paraId="53E7A269" w14:textId="77777777" w:rsidR="00DB6DC9" w:rsidRPr="00667CD1" w:rsidRDefault="00DB6DC9"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to 2023-24</w:t>
            </w:r>
          </w:p>
        </w:tc>
      </w:tr>
      <w:tr w:rsidR="00DB6DC9" w:rsidRPr="00667CD1" w14:paraId="0C9735F9" w14:textId="77777777" w:rsidTr="00735265">
        <w:trPr>
          <w:trHeight w:val="98"/>
        </w:trPr>
        <w:tc>
          <w:tcPr>
            <w:tcW w:w="5017" w:type="dxa"/>
            <w:tcBorders>
              <w:top w:val="nil"/>
              <w:left w:val="nil"/>
              <w:bottom w:val="nil"/>
              <w:right w:val="nil"/>
            </w:tcBorders>
            <w:shd w:val="clear" w:color="000000" w:fill="FFFFFF"/>
            <w:noWrap/>
            <w:vAlign w:val="bottom"/>
            <w:hideMark/>
          </w:tcPr>
          <w:p w14:paraId="7486E414" w14:textId="77777777" w:rsidR="00DB6DC9" w:rsidRPr="00667CD1" w:rsidRDefault="00DB6DC9" w:rsidP="00DB6DC9">
            <w:pPr>
              <w:rPr>
                <w:rFonts w:ascii="Arial" w:hAnsi="Arial" w:cs="Arial"/>
                <w:b/>
                <w:bCs/>
                <w:sz w:val="12"/>
                <w:szCs w:val="12"/>
                <w:lang w:eastAsia="en-AU"/>
              </w:rPr>
            </w:pPr>
            <w:r w:rsidRPr="00667CD1">
              <w:rPr>
                <w:rFonts w:ascii="Arial" w:hAnsi="Arial" w:cs="Arial"/>
                <w:b/>
                <w:bCs/>
                <w:sz w:val="12"/>
                <w:szCs w:val="12"/>
                <w:lang w:eastAsia="en-AU"/>
              </w:rPr>
              <w:t> </w:t>
            </w:r>
          </w:p>
        </w:tc>
        <w:tc>
          <w:tcPr>
            <w:tcW w:w="757" w:type="dxa"/>
            <w:tcBorders>
              <w:top w:val="nil"/>
              <w:left w:val="nil"/>
              <w:bottom w:val="nil"/>
              <w:right w:val="nil"/>
            </w:tcBorders>
            <w:shd w:val="clear" w:color="000000" w:fill="FFFFFF"/>
            <w:noWrap/>
            <w:vAlign w:val="center"/>
            <w:hideMark/>
          </w:tcPr>
          <w:p w14:paraId="75E8C262" w14:textId="77777777" w:rsidR="00DB6DC9" w:rsidRPr="00667CD1" w:rsidRDefault="00DB6DC9" w:rsidP="00DB6DC9">
            <w:pPr>
              <w:ind w:firstLineChars="100" w:firstLine="120"/>
              <w:jc w:val="right"/>
              <w:rPr>
                <w:rFonts w:ascii="Arial" w:hAnsi="Arial" w:cs="Arial"/>
                <w:sz w:val="12"/>
                <w:szCs w:val="12"/>
                <w:lang w:eastAsia="en-AU"/>
              </w:rPr>
            </w:pPr>
            <w:r w:rsidRPr="00667CD1">
              <w:rPr>
                <w:rFonts w:ascii="Arial" w:hAnsi="Arial" w:cs="Arial"/>
                <w:sz w:val="12"/>
                <w:szCs w:val="12"/>
                <w:lang w:eastAsia="en-AU"/>
              </w:rPr>
              <w:t> </w:t>
            </w:r>
          </w:p>
        </w:tc>
        <w:tc>
          <w:tcPr>
            <w:tcW w:w="719" w:type="dxa"/>
            <w:tcBorders>
              <w:top w:val="nil"/>
              <w:left w:val="nil"/>
              <w:bottom w:val="nil"/>
              <w:right w:val="nil"/>
            </w:tcBorders>
            <w:shd w:val="clear" w:color="000000" w:fill="F2F2F2"/>
            <w:noWrap/>
            <w:vAlign w:val="center"/>
            <w:hideMark/>
          </w:tcPr>
          <w:p w14:paraId="7D7611D3" w14:textId="77777777" w:rsidR="00DB6DC9" w:rsidRPr="00667CD1" w:rsidRDefault="00DB6DC9" w:rsidP="00DB6DC9">
            <w:pPr>
              <w:ind w:firstLineChars="100" w:firstLine="120"/>
              <w:jc w:val="right"/>
              <w:rPr>
                <w:rFonts w:ascii="Arial" w:hAnsi="Arial" w:cs="Arial"/>
                <w:sz w:val="12"/>
                <w:szCs w:val="12"/>
                <w:lang w:eastAsia="en-AU"/>
              </w:rPr>
            </w:pPr>
            <w:r w:rsidRPr="00667CD1">
              <w:rPr>
                <w:rFonts w:ascii="Arial" w:hAnsi="Arial" w:cs="Arial"/>
                <w:sz w:val="12"/>
                <w:szCs w:val="12"/>
                <w:lang w:eastAsia="en-AU"/>
              </w:rPr>
              <w:t> </w:t>
            </w:r>
          </w:p>
        </w:tc>
        <w:tc>
          <w:tcPr>
            <w:tcW w:w="719" w:type="dxa"/>
            <w:tcBorders>
              <w:top w:val="nil"/>
              <w:left w:val="nil"/>
              <w:bottom w:val="nil"/>
              <w:right w:val="nil"/>
            </w:tcBorders>
            <w:shd w:val="clear" w:color="000000" w:fill="F2F2F2"/>
            <w:noWrap/>
            <w:vAlign w:val="center"/>
            <w:hideMark/>
          </w:tcPr>
          <w:p w14:paraId="3596BEF8" w14:textId="77777777" w:rsidR="00DB6DC9" w:rsidRPr="00667CD1" w:rsidRDefault="00DB6DC9" w:rsidP="00DB6DC9">
            <w:pPr>
              <w:ind w:firstLineChars="100" w:firstLine="120"/>
              <w:jc w:val="right"/>
              <w:rPr>
                <w:rFonts w:ascii="Arial" w:hAnsi="Arial" w:cs="Arial"/>
                <w:sz w:val="12"/>
                <w:szCs w:val="12"/>
                <w:lang w:eastAsia="en-AU"/>
              </w:rPr>
            </w:pPr>
            <w:r w:rsidRPr="00667CD1">
              <w:rPr>
                <w:rFonts w:ascii="Arial" w:hAnsi="Arial" w:cs="Arial"/>
                <w:sz w:val="12"/>
                <w:szCs w:val="12"/>
                <w:lang w:eastAsia="en-AU"/>
              </w:rPr>
              <w:t> </w:t>
            </w:r>
          </w:p>
        </w:tc>
        <w:tc>
          <w:tcPr>
            <w:tcW w:w="757" w:type="dxa"/>
            <w:tcBorders>
              <w:top w:val="nil"/>
              <w:left w:val="nil"/>
              <w:bottom w:val="nil"/>
              <w:right w:val="nil"/>
            </w:tcBorders>
            <w:shd w:val="clear" w:color="000000" w:fill="F2F2F2"/>
            <w:noWrap/>
            <w:vAlign w:val="center"/>
            <w:hideMark/>
          </w:tcPr>
          <w:p w14:paraId="7328F88C" w14:textId="77777777" w:rsidR="00DB6DC9" w:rsidRPr="00667CD1" w:rsidRDefault="00DB6DC9" w:rsidP="00DB6DC9">
            <w:pPr>
              <w:ind w:firstLineChars="100" w:firstLine="120"/>
              <w:jc w:val="right"/>
              <w:rPr>
                <w:rFonts w:ascii="Arial" w:hAnsi="Arial" w:cs="Arial"/>
                <w:sz w:val="12"/>
                <w:szCs w:val="12"/>
                <w:lang w:eastAsia="en-AU"/>
              </w:rPr>
            </w:pPr>
            <w:r w:rsidRPr="00667CD1">
              <w:rPr>
                <w:rFonts w:ascii="Arial" w:hAnsi="Arial" w:cs="Arial"/>
                <w:sz w:val="12"/>
                <w:szCs w:val="12"/>
                <w:lang w:eastAsia="en-AU"/>
              </w:rPr>
              <w:t> </w:t>
            </w:r>
          </w:p>
        </w:tc>
        <w:tc>
          <w:tcPr>
            <w:tcW w:w="777" w:type="dxa"/>
            <w:tcBorders>
              <w:top w:val="nil"/>
              <w:left w:val="nil"/>
              <w:bottom w:val="nil"/>
              <w:right w:val="nil"/>
            </w:tcBorders>
            <w:shd w:val="clear" w:color="000000" w:fill="F2F2F2"/>
            <w:noWrap/>
            <w:vAlign w:val="center"/>
            <w:hideMark/>
          </w:tcPr>
          <w:p w14:paraId="05D40581" w14:textId="77777777" w:rsidR="00DB6DC9" w:rsidRPr="00667CD1" w:rsidRDefault="00DB6DC9" w:rsidP="00DB6DC9">
            <w:pPr>
              <w:ind w:firstLineChars="100" w:firstLine="120"/>
              <w:jc w:val="right"/>
              <w:rPr>
                <w:rFonts w:ascii="Arial" w:hAnsi="Arial" w:cs="Arial"/>
                <w:sz w:val="12"/>
                <w:szCs w:val="12"/>
                <w:lang w:eastAsia="en-AU"/>
              </w:rPr>
            </w:pPr>
            <w:r w:rsidRPr="00667CD1">
              <w:rPr>
                <w:rFonts w:ascii="Arial" w:hAnsi="Arial" w:cs="Arial"/>
                <w:sz w:val="12"/>
                <w:szCs w:val="12"/>
                <w:lang w:eastAsia="en-AU"/>
              </w:rPr>
              <w:t> </w:t>
            </w:r>
          </w:p>
        </w:tc>
        <w:tc>
          <w:tcPr>
            <w:tcW w:w="893" w:type="dxa"/>
            <w:tcBorders>
              <w:top w:val="nil"/>
              <w:left w:val="nil"/>
              <w:bottom w:val="nil"/>
              <w:right w:val="nil"/>
            </w:tcBorders>
            <w:shd w:val="clear" w:color="auto" w:fill="auto"/>
            <w:noWrap/>
            <w:vAlign w:val="center"/>
            <w:hideMark/>
          </w:tcPr>
          <w:p w14:paraId="31E3D60B" w14:textId="77777777" w:rsidR="00DB6DC9" w:rsidRPr="00667CD1" w:rsidRDefault="00DB6DC9" w:rsidP="00DB6DC9">
            <w:pPr>
              <w:ind w:firstLineChars="100" w:firstLine="120"/>
              <w:jc w:val="right"/>
              <w:rPr>
                <w:rFonts w:ascii="Arial" w:hAnsi="Arial" w:cs="Arial"/>
                <w:sz w:val="12"/>
                <w:szCs w:val="12"/>
                <w:lang w:eastAsia="en-AU"/>
              </w:rPr>
            </w:pPr>
          </w:p>
        </w:tc>
      </w:tr>
      <w:tr w:rsidR="00DB6DC9" w:rsidRPr="00667CD1" w14:paraId="6741CE9B" w14:textId="77777777" w:rsidTr="00B96350">
        <w:trPr>
          <w:trHeight w:val="250"/>
        </w:trPr>
        <w:tc>
          <w:tcPr>
            <w:tcW w:w="5017" w:type="dxa"/>
            <w:tcBorders>
              <w:top w:val="nil"/>
              <w:left w:val="nil"/>
              <w:bottom w:val="nil"/>
              <w:right w:val="nil"/>
            </w:tcBorders>
            <w:shd w:val="clear" w:color="000000" w:fill="FFFFFF"/>
            <w:vAlign w:val="bottom"/>
            <w:hideMark/>
          </w:tcPr>
          <w:p w14:paraId="1FFE39FF" w14:textId="77777777" w:rsidR="00DB6DC9" w:rsidRPr="00667CD1" w:rsidRDefault="00DB6DC9" w:rsidP="00B96350">
            <w:pPr>
              <w:rPr>
                <w:rFonts w:ascii="Arial" w:hAnsi="Arial" w:cs="Arial"/>
                <w:sz w:val="12"/>
                <w:szCs w:val="12"/>
                <w:lang w:eastAsia="en-AU"/>
              </w:rPr>
            </w:pPr>
            <w:r w:rsidRPr="00667CD1">
              <w:rPr>
                <w:rFonts w:ascii="Arial" w:hAnsi="Arial" w:cs="Arial"/>
                <w:sz w:val="12"/>
                <w:szCs w:val="12"/>
                <w:lang w:eastAsia="en-AU"/>
              </w:rPr>
              <w:t>Payroll tax rate reduction</w:t>
            </w:r>
          </w:p>
        </w:tc>
        <w:tc>
          <w:tcPr>
            <w:tcW w:w="757" w:type="dxa"/>
            <w:tcBorders>
              <w:top w:val="nil"/>
              <w:left w:val="nil"/>
              <w:bottom w:val="nil"/>
              <w:right w:val="nil"/>
            </w:tcBorders>
            <w:shd w:val="clear" w:color="000000" w:fill="FFFFFF"/>
            <w:noWrap/>
            <w:vAlign w:val="bottom"/>
            <w:hideMark/>
          </w:tcPr>
          <w:p w14:paraId="7703A960"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19" w:type="dxa"/>
            <w:tcBorders>
              <w:top w:val="nil"/>
              <w:left w:val="nil"/>
              <w:bottom w:val="nil"/>
              <w:right w:val="nil"/>
            </w:tcBorders>
            <w:shd w:val="clear" w:color="000000" w:fill="F2F2F2"/>
            <w:noWrap/>
            <w:vAlign w:val="bottom"/>
            <w:hideMark/>
          </w:tcPr>
          <w:p w14:paraId="6285BB7D"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(1,030) </w:t>
            </w:r>
          </w:p>
        </w:tc>
        <w:tc>
          <w:tcPr>
            <w:tcW w:w="719" w:type="dxa"/>
            <w:tcBorders>
              <w:top w:val="nil"/>
              <w:left w:val="nil"/>
              <w:bottom w:val="nil"/>
              <w:right w:val="nil"/>
            </w:tcBorders>
            <w:shd w:val="clear" w:color="000000" w:fill="F2F2F2"/>
            <w:noWrap/>
            <w:vAlign w:val="bottom"/>
            <w:hideMark/>
          </w:tcPr>
          <w:p w14:paraId="3F768EBD"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(1,070) </w:t>
            </w:r>
          </w:p>
        </w:tc>
        <w:tc>
          <w:tcPr>
            <w:tcW w:w="757" w:type="dxa"/>
            <w:tcBorders>
              <w:top w:val="nil"/>
              <w:left w:val="nil"/>
              <w:bottom w:val="nil"/>
              <w:right w:val="nil"/>
            </w:tcBorders>
            <w:shd w:val="clear" w:color="000000" w:fill="F2F2F2"/>
            <w:noWrap/>
            <w:vAlign w:val="bottom"/>
            <w:hideMark/>
          </w:tcPr>
          <w:p w14:paraId="424ECAD1"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77" w:type="dxa"/>
            <w:tcBorders>
              <w:top w:val="nil"/>
              <w:left w:val="nil"/>
              <w:bottom w:val="nil"/>
              <w:right w:val="nil"/>
            </w:tcBorders>
            <w:shd w:val="clear" w:color="000000" w:fill="F2F2F2"/>
            <w:noWrap/>
            <w:vAlign w:val="bottom"/>
            <w:hideMark/>
          </w:tcPr>
          <w:p w14:paraId="63C78BD1"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893" w:type="dxa"/>
            <w:tcBorders>
              <w:top w:val="nil"/>
              <w:left w:val="nil"/>
              <w:bottom w:val="nil"/>
              <w:right w:val="nil"/>
            </w:tcBorders>
            <w:shd w:val="clear" w:color="auto" w:fill="auto"/>
            <w:noWrap/>
            <w:vAlign w:val="bottom"/>
            <w:hideMark/>
          </w:tcPr>
          <w:p w14:paraId="794BAD3C" w14:textId="77777777" w:rsidR="00DB6DC9" w:rsidRPr="00667CD1" w:rsidRDefault="00DB6DC9" w:rsidP="00B96350">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(2,100) </w:t>
            </w:r>
          </w:p>
        </w:tc>
      </w:tr>
      <w:tr w:rsidR="00DB6DC9" w:rsidRPr="00667CD1" w14:paraId="4D461EFD" w14:textId="77777777" w:rsidTr="00B96350">
        <w:trPr>
          <w:trHeight w:val="250"/>
        </w:trPr>
        <w:tc>
          <w:tcPr>
            <w:tcW w:w="5017" w:type="dxa"/>
            <w:tcBorders>
              <w:top w:val="nil"/>
              <w:left w:val="nil"/>
              <w:bottom w:val="nil"/>
              <w:right w:val="nil"/>
            </w:tcBorders>
            <w:shd w:val="clear" w:color="000000" w:fill="FFFFFF"/>
            <w:vAlign w:val="bottom"/>
            <w:hideMark/>
          </w:tcPr>
          <w:p w14:paraId="629FFB3B" w14:textId="77777777" w:rsidR="00DB6DC9" w:rsidRPr="00667CD1" w:rsidRDefault="00DB6DC9" w:rsidP="00B96350">
            <w:pPr>
              <w:rPr>
                <w:rFonts w:ascii="Arial" w:hAnsi="Arial" w:cs="Arial"/>
                <w:sz w:val="12"/>
                <w:szCs w:val="12"/>
                <w:lang w:eastAsia="en-AU"/>
              </w:rPr>
            </w:pPr>
            <w:r w:rsidRPr="00667CD1">
              <w:rPr>
                <w:rFonts w:ascii="Arial" w:hAnsi="Arial" w:cs="Arial"/>
                <w:sz w:val="12"/>
                <w:szCs w:val="12"/>
                <w:lang w:eastAsia="en-AU"/>
              </w:rPr>
              <w:t xml:space="preserve">Payroll tax threshold increase to $1.2 million </w:t>
            </w:r>
          </w:p>
        </w:tc>
        <w:tc>
          <w:tcPr>
            <w:tcW w:w="757" w:type="dxa"/>
            <w:tcBorders>
              <w:top w:val="nil"/>
              <w:left w:val="nil"/>
              <w:bottom w:val="nil"/>
              <w:right w:val="nil"/>
            </w:tcBorders>
            <w:shd w:val="clear" w:color="000000" w:fill="FFFFFF"/>
            <w:noWrap/>
            <w:vAlign w:val="bottom"/>
            <w:hideMark/>
          </w:tcPr>
          <w:p w14:paraId="2E75E7FE"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19" w:type="dxa"/>
            <w:tcBorders>
              <w:top w:val="nil"/>
              <w:left w:val="nil"/>
              <w:bottom w:val="nil"/>
              <w:right w:val="nil"/>
            </w:tcBorders>
            <w:shd w:val="clear" w:color="000000" w:fill="F2F2F2"/>
            <w:noWrap/>
            <w:vAlign w:val="bottom"/>
            <w:hideMark/>
          </w:tcPr>
          <w:p w14:paraId="7C51C1C7"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(166) </w:t>
            </w:r>
          </w:p>
        </w:tc>
        <w:tc>
          <w:tcPr>
            <w:tcW w:w="719" w:type="dxa"/>
            <w:tcBorders>
              <w:top w:val="nil"/>
              <w:left w:val="nil"/>
              <w:bottom w:val="nil"/>
              <w:right w:val="nil"/>
            </w:tcBorders>
            <w:shd w:val="clear" w:color="000000" w:fill="F2F2F2"/>
            <w:noWrap/>
            <w:vAlign w:val="bottom"/>
            <w:hideMark/>
          </w:tcPr>
          <w:p w14:paraId="6783EC92"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(175) </w:t>
            </w:r>
          </w:p>
        </w:tc>
        <w:tc>
          <w:tcPr>
            <w:tcW w:w="757" w:type="dxa"/>
            <w:tcBorders>
              <w:top w:val="nil"/>
              <w:left w:val="nil"/>
              <w:bottom w:val="nil"/>
              <w:right w:val="nil"/>
            </w:tcBorders>
            <w:shd w:val="clear" w:color="000000" w:fill="F2F2F2"/>
            <w:noWrap/>
            <w:vAlign w:val="bottom"/>
            <w:hideMark/>
          </w:tcPr>
          <w:p w14:paraId="4B1791DA"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(199) </w:t>
            </w:r>
          </w:p>
        </w:tc>
        <w:tc>
          <w:tcPr>
            <w:tcW w:w="777" w:type="dxa"/>
            <w:tcBorders>
              <w:top w:val="nil"/>
              <w:left w:val="nil"/>
              <w:bottom w:val="nil"/>
              <w:right w:val="nil"/>
            </w:tcBorders>
            <w:shd w:val="clear" w:color="000000" w:fill="F2F2F2"/>
            <w:noWrap/>
            <w:vAlign w:val="bottom"/>
            <w:hideMark/>
          </w:tcPr>
          <w:p w14:paraId="624338DA"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(204) </w:t>
            </w:r>
          </w:p>
        </w:tc>
        <w:tc>
          <w:tcPr>
            <w:tcW w:w="893" w:type="dxa"/>
            <w:tcBorders>
              <w:top w:val="nil"/>
              <w:left w:val="nil"/>
              <w:bottom w:val="nil"/>
              <w:right w:val="nil"/>
            </w:tcBorders>
            <w:shd w:val="clear" w:color="auto" w:fill="auto"/>
            <w:noWrap/>
            <w:vAlign w:val="bottom"/>
            <w:hideMark/>
          </w:tcPr>
          <w:p w14:paraId="47E8E92C" w14:textId="77777777" w:rsidR="00DB6DC9" w:rsidRPr="00667CD1" w:rsidRDefault="00DB6DC9" w:rsidP="00B96350">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(744) </w:t>
            </w:r>
          </w:p>
        </w:tc>
      </w:tr>
      <w:tr w:rsidR="00DB6DC9" w:rsidRPr="00667CD1" w14:paraId="0649FF17" w14:textId="77777777" w:rsidTr="00B96350">
        <w:trPr>
          <w:trHeight w:val="250"/>
        </w:trPr>
        <w:tc>
          <w:tcPr>
            <w:tcW w:w="5017" w:type="dxa"/>
            <w:tcBorders>
              <w:top w:val="nil"/>
              <w:left w:val="nil"/>
              <w:bottom w:val="nil"/>
              <w:right w:val="nil"/>
            </w:tcBorders>
            <w:shd w:val="clear" w:color="000000" w:fill="FFFFFF"/>
            <w:vAlign w:val="bottom"/>
            <w:hideMark/>
          </w:tcPr>
          <w:p w14:paraId="161FC03B" w14:textId="77777777" w:rsidR="00DB6DC9" w:rsidRPr="00667CD1" w:rsidRDefault="00DB6DC9" w:rsidP="00B96350">
            <w:pPr>
              <w:rPr>
                <w:rFonts w:ascii="Arial" w:hAnsi="Arial" w:cs="Arial"/>
                <w:sz w:val="12"/>
                <w:szCs w:val="12"/>
                <w:lang w:eastAsia="en-AU"/>
              </w:rPr>
            </w:pPr>
            <w:r w:rsidRPr="00667CD1">
              <w:rPr>
                <w:rFonts w:ascii="Arial" w:hAnsi="Arial" w:cs="Arial"/>
                <w:sz w:val="12"/>
                <w:szCs w:val="12"/>
                <w:lang w:eastAsia="en-AU"/>
              </w:rPr>
              <w:t>Payroll tax waiver for small businesses</w:t>
            </w:r>
          </w:p>
        </w:tc>
        <w:tc>
          <w:tcPr>
            <w:tcW w:w="757" w:type="dxa"/>
            <w:tcBorders>
              <w:top w:val="nil"/>
              <w:left w:val="nil"/>
              <w:bottom w:val="nil"/>
              <w:right w:val="nil"/>
            </w:tcBorders>
            <w:shd w:val="clear" w:color="000000" w:fill="FFFFFF"/>
            <w:noWrap/>
            <w:vAlign w:val="bottom"/>
            <w:hideMark/>
          </w:tcPr>
          <w:p w14:paraId="5B1E559F"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(450) </w:t>
            </w:r>
          </w:p>
        </w:tc>
        <w:tc>
          <w:tcPr>
            <w:tcW w:w="719" w:type="dxa"/>
            <w:tcBorders>
              <w:top w:val="nil"/>
              <w:left w:val="nil"/>
              <w:bottom w:val="nil"/>
              <w:right w:val="nil"/>
            </w:tcBorders>
            <w:shd w:val="clear" w:color="000000" w:fill="F2F2F2"/>
            <w:noWrap/>
            <w:vAlign w:val="bottom"/>
            <w:hideMark/>
          </w:tcPr>
          <w:p w14:paraId="35C7ABD3"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19" w:type="dxa"/>
            <w:tcBorders>
              <w:top w:val="nil"/>
              <w:left w:val="nil"/>
              <w:bottom w:val="nil"/>
              <w:right w:val="nil"/>
            </w:tcBorders>
            <w:shd w:val="clear" w:color="000000" w:fill="F2F2F2"/>
            <w:noWrap/>
            <w:vAlign w:val="bottom"/>
            <w:hideMark/>
          </w:tcPr>
          <w:p w14:paraId="4817892E"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57" w:type="dxa"/>
            <w:tcBorders>
              <w:top w:val="nil"/>
              <w:left w:val="nil"/>
              <w:bottom w:val="nil"/>
              <w:right w:val="nil"/>
            </w:tcBorders>
            <w:shd w:val="clear" w:color="000000" w:fill="F2F2F2"/>
            <w:noWrap/>
            <w:vAlign w:val="bottom"/>
            <w:hideMark/>
          </w:tcPr>
          <w:p w14:paraId="49F68725"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77" w:type="dxa"/>
            <w:tcBorders>
              <w:top w:val="nil"/>
              <w:left w:val="nil"/>
              <w:bottom w:val="nil"/>
              <w:right w:val="nil"/>
            </w:tcBorders>
            <w:shd w:val="clear" w:color="000000" w:fill="F2F2F2"/>
            <w:noWrap/>
            <w:vAlign w:val="bottom"/>
            <w:hideMark/>
          </w:tcPr>
          <w:p w14:paraId="11AB83B1"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893" w:type="dxa"/>
            <w:tcBorders>
              <w:top w:val="nil"/>
              <w:left w:val="nil"/>
              <w:bottom w:val="nil"/>
              <w:right w:val="nil"/>
            </w:tcBorders>
            <w:shd w:val="clear" w:color="auto" w:fill="auto"/>
            <w:noWrap/>
            <w:vAlign w:val="bottom"/>
            <w:hideMark/>
          </w:tcPr>
          <w:p w14:paraId="7BE7CA54" w14:textId="77777777" w:rsidR="00DB6DC9" w:rsidRPr="00667CD1" w:rsidRDefault="00DB6DC9" w:rsidP="00B96350">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 </w:t>
            </w:r>
          </w:p>
        </w:tc>
      </w:tr>
      <w:tr w:rsidR="00DB6DC9" w:rsidRPr="00667CD1" w14:paraId="118226DA" w14:textId="77777777" w:rsidTr="00B96350">
        <w:trPr>
          <w:trHeight w:val="250"/>
        </w:trPr>
        <w:tc>
          <w:tcPr>
            <w:tcW w:w="5017" w:type="dxa"/>
            <w:tcBorders>
              <w:top w:val="nil"/>
              <w:left w:val="nil"/>
              <w:bottom w:val="nil"/>
              <w:right w:val="nil"/>
            </w:tcBorders>
            <w:shd w:val="clear" w:color="000000" w:fill="FFFFFF"/>
            <w:vAlign w:val="bottom"/>
            <w:hideMark/>
          </w:tcPr>
          <w:p w14:paraId="5FCBD185" w14:textId="77777777" w:rsidR="00DB6DC9" w:rsidRPr="00667CD1" w:rsidRDefault="00DB6DC9" w:rsidP="00B96350">
            <w:pPr>
              <w:rPr>
                <w:rFonts w:ascii="Arial" w:hAnsi="Arial" w:cs="Arial"/>
                <w:sz w:val="12"/>
                <w:szCs w:val="12"/>
                <w:lang w:eastAsia="en-AU"/>
              </w:rPr>
            </w:pPr>
            <w:r w:rsidRPr="00667CD1">
              <w:rPr>
                <w:rFonts w:ascii="Arial" w:hAnsi="Arial" w:cs="Arial"/>
                <w:sz w:val="12"/>
                <w:szCs w:val="12"/>
                <w:lang w:eastAsia="en-AU"/>
              </w:rPr>
              <w:t xml:space="preserve">Payroll tax exemption for additional wages arising from </w:t>
            </w:r>
            <w:proofErr w:type="spellStart"/>
            <w:r w:rsidRPr="00667CD1">
              <w:rPr>
                <w:rFonts w:ascii="Arial" w:hAnsi="Arial" w:cs="Arial"/>
                <w:sz w:val="12"/>
                <w:szCs w:val="12"/>
                <w:lang w:eastAsia="en-AU"/>
              </w:rPr>
              <w:t>JobKeeper</w:t>
            </w:r>
            <w:proofErr w:type="spellEnd"/>
          </w:p>
        </w:tc>
        <w:tc>
          <w:tcPr>
            <w:tcW w:w="757" w:type="dxa"/>
            <w:tcBorders>
              <w:top w:val="nil"/>
              <w:left w:val="nil"/>
              <w:bottom w:val="nil"/>
              <w:right w:val="nil"/>
            </w:tcBorders>
            <w:shd w:val="clear" w:color="000000" w:fill="FFFFFF"/>
            <w:noWrap/>
            <w:vAlign w:val="bottom"/>
            <w:hideMark/>
          </w:tcPr>
          <w:p w14:paraId="2931D60D"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(130) </w:t>
            </w:r>
          </w:p>
        </w:tc>
        <w:tc>
          <w:tcPr>
            <w:tcW w:w="719" w:type="dxa"/>
            <w:tcBorders>
              <w:top w:val="nil"/>
              <w:left w:val="nil"/>
              <w:bottom w:val="nil"/>
              <w:right w:val="nil"/>
            </w:tcBorders>
            <w:shd w:val="clear" w:color="000000" w:fill="F2F2F2"/>
            <w:noWrap/>
            <w:vAlign w:val="bottom"/>
            <w:hideMark/>
          </w:tcPr>
          <w:p w14:paraId="77ED786D"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(140) </w:t>
            </w:r>
          </w:p>
        </w:tc>
        <w:tc>
          <w:tcPr>
            <w:tcW w:w="719" w:type="dxa"/>
            <w:tcBorders>
              <w:top w:val="nil"/>
              <w:left w:val="nil"/>
              <w:bottom w:val="nil"/>
              <w:right w:val="nil"/>
            </w:tcBorders>
            <w:shd w:val="clear" w:color="000000" w:fill="F2F2F2"/>
            <w:noWrap/>
            <w:vAlign w:val="bottom"/>
            <w:hideMark/>
          </w:tcPr>
          <w:p w14:paraId="6C31E747"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57" w:type="dxa"/>
            <w:tcBorders>
              <w:top w:val="nil"/>
              <w:left w:val="nil"/>
              <w:bottom w:val="nil"/>
              <w:right w:val="nil"/>
            </w:tcBorders>
            <w:shd w:val="clear" w:color="000000" w:fill="F2F2F2"/>
            <w:noWrap/>
            <w:vAlign w:val="bottom"/>
            <w:hideMark/>
          </w:tcPr>
          <w:p w14:paraId="51828E65"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77" w:type="dxa"/>
            <w:tcBorders>
              <w:top w:val="nil"/>
              <w:left w:val="nil"/>
              <w:bottom w:val="nil"/>
              <w:right w:val="nil"/>
            </w:tcBorders>
            <w:shd w:val="clear" w:color="000000" w:fill="F2F2F2"/>
            <w:noWrap/>
            <w:vAlign w:val="bottom"/>
            <w:hideMark/>
          </w:tcPr>
          <w:p w14:paraId="189D9F6C"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893" w:type="dxa"/>
            <w:tcBorders>
              <w:top w:val="nil"/>
              <w:left w:val="nil"/>
              <w:bottom w:val="nil"/>
              <w:right w:val="nil"/>
            </w:tcBorders>
            <w:shd w:val="clear" w:color="auto" w:fill="auto"/>
            <w:noWrap/>
            <w:vAlign w:val="bottom"/>
            <w:hideMark/>
          </w:tcPr>
          <w:p w14:paraId="71F9A6D5" w14:textId="77777777" w:rsidR="00DB6DC9" w:rsidRPr="00667CD1" w:rsidRDefault="00DB6DC9" w:rsidP="00B96350">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(140) </w:t>
            </w:r>
          </w:p>
        </w:tc>
      </w:tr>
      <w:tr w:rsidR="00DB6DC9" w:rsidRPr="00667CD1" w14:paraId="61AB050F" w14:textId="77777777" w:rsidTr="00B96350">
        <w:trPr>
          <w:trHeight w:val="250"/>
        </w:trPr>
        <w:tc>
          <w:tcPr>
            <w:tcW w:w="5017" w:type="dxa"/>
            <w:tcBorders>
              <w:top w:val="nil"/>
              <w:left w:val="nil"/>
              <w:bottom w:val="nil"/>
              <w:right w:val="nil"/>
            </w:tcBorders>
            <w:shd w:val="clear" w:color="000000" w:fill="FFFFFF"/>
            <w:vAlign w:val="bottom"/>
            <w:hideMark/>
          </w:tcPr>
          <w:p w14:paraId="49193B35" w14:textId="5B1F7960" w:rsidR="00DB6DC9" w:rsidRPr="00667CD1" w:rsidRDefault="00DB6DC9" w:rsidP="00B96350">
            <w:pPr>
              <w:rPr>
                <w:rFonts w:ascii="Arial" w:hAnsi="Arial" w:cs="Arial"/>
                <w:sz w:val="12"/>
                <w:szCs w:val="12"/>
                <w:lang w:eastAsia="en-AU"/>
              </w:rPr>
            </w:pPr>
            <w:r w:rsidRPr="00667CD1">
              <w:rPr>
                <w:rFonts w:ascii="Arial" w:hAnsi="Arial" w:cs="Arial"/>
                <w:sz w:val="12"/>
                <w:szCs w:val="12"/>
                <w:lang w:eastAsia="en-AU"/>
              </w:rPr>
              <w:t>Bring forward of $1</w:t>
            </w:r>
            <w:r w:rsidR="003D78C4" w:rsidRPr="00667CD1">
              <w:rPr>
                <w:rFonts w:ascii="Arial" w:hAnsi="Arial" w:cs="Arial"/>
                <w:sz w:val="12"/>
                <w:szCs w:val="12"/>
                <w:lang w:eastAsia="en-AU"/>
              </w:rPr>
              <w:t>.0</w:t>
            </w:r>
            <w:r w:rsidRPr="00667CD1">
              <w:rPr>
                <w:rFonts w:ascii="Arial" w:hAnsi="Arial" w:cs="Arial"/>
                <w:sz w:val="12"/>
                <w:szCs w:val="12"/>
                <w:lang w:eastAsia="en-AU"/>
              </w:rPr>
              <w:t xml:space="preserve"> million payroll tax threshold</w:t>
            </w:r>
          </w:p>
        </w:tc>
        <w:tc>
          <w:tcPr>
            <w:tcW w:w="757" w:type="dxa"/>
            <w:tcBorders>
              <w:top w:val="nil"/>
              <w:left w:val="nil"/>
              <w:bottom w:val="nil"/>
              <w:right w:val="nil"/>
            </w:tcBorders>
            <w:shd w:val="clear" w:color="000000" w:fill="FFFFFF"/>
            <w:noWrap/>
            <w:vAlign w:val="bottom"/>
            <w:hideMark/>
          </w:tcPr>
          <w:p w14:paraId="68013B11"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19" w:type="dxa"/>
            <w:tcBorders>
              <w:top w:val="nil"/>
              <w:left w:val="nil"/>
              <w:bottom w:val="nil"/>
              <w:right w:val="nil"/>
            </w:tcBorders>
            <w:shd w:val="clear" w:color="000000" w:fill="F2F2F2"/>
            <w:noWrap/>
            <w:vAlign w:val="bottom"/>
            <w:hideMark/>
          </w:tcPr>
          <w:p w14:paraId="1243DAB6"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(56) </w:t>
            </w:r>
          </w:p>
        </w:tc>
        <w:tc>
          <w:tcPr>
            <w:tcW w:w="719" w:type="dxa"/>
            <w:tcBorders>
              <w:top w:val="nil"/>
              <w:left w:val="nil"/>
              <w:bottom w:val="nil"/>
              <w:right w:val="nil"/>
            </w:tcBorders>
            <w:shd w:val="clear" w:color="000000" w:fill="F2F2F2"/>
            <w:noWrap/>
            <w:vAlign w:val="bottom"/>
            <w:hideMark/>
          </w:tcPr>
          <w:p w14:paraId="502A424C"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57" w:type="dxa"/>
            <w:tcBorders>
              <w:top w:val="nil"/>
              <w:left w:val="nil"/>
              <w:bottom w:val="nil"/>
              <w:right w:val="nil"/>
            </w:tcBorders>
            <w:shd w:val="clear" w:color="000000" w:fill="F2F2F2"/>
            <w:noWrap/>
            <w:vAlign w:val="bottom"/>
            <w:hideMark/>
          </w:tcPr>
          <w:p w14:paraId="003E30B6"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77" w:type="dxa"/>
            <w:tcBorders>
              <w:top w:val="nil"/>
              <w:left w:val="nil"/>
              <w:bottom w:val="nil"/>
              <w:right w:val="nil"/>
            </w:tcBorders>
            <w:shd w:val="clear" w:color="000000" w:fill="F2F2F2"/>
            <w:noWrap/>
            <w:vAlign w:val="bottom"/>
            <w:hideMark/>
          </w:tcPr>
          <w:p w14:paraId="6CDF5416"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893" w:type="dxa"/>
            <w:tcBorders>
              <w:top w:val="nil"/>
              <w:left w:val="nil"/>
              <w:bottom w:val="nil"/>
              <w:right w:val="nil"/>
            </w:tcBorders>
            <w:shd w:val="clear" w:color="auto" w:fill="auto"/>
            <w:noWrap/>
            <w:vAlign w:val="bottom"/>
            <w:hideMark/>
          </w:tcPr>
          <w:p w14:paraId="4EA9C302" w14:textId="77777777" w:rsidR="00DB6DC9" w:rsidRPr="00667CD1" w:rsidRDefault="00DB6DC9" w:rsidP="00B96350">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(56) </w:t>
            </w:r>
          </w:p>
        </w:tc>
      </w:tr>
      <w:tr w:rsidR="00DB6DC9" w:rsidRPr="00667CD1" w14:paraId="239F9B4F" w14:textId="77777777" w:rsidTr="00B96350">
        <w:trPr>
          <w:trHeight w:val="250"/>
        </w:trPr>
        <w:tc>
          <w:tcPr>
            <w:tcW w:w="5017" w:type="dxa"/>
            <w:tcBorders>
              <w:top w:val="nil"/>
              <w:left w:val="nil"/>
              <w:bottom w:val="nil"/>
              <w:right w:val="nil"/>
            </w:tcBorders>
            <w:shd w:val="clear" w:color="000000" w:fill="FFFFFF"/>
            <w:vAlign w:val="bottom"/>
            <w:hideMark/>
          </w:tcPr>
          <w:p w14:paraId="78EDE869" w14:textId="77777777" w:rsidR="00DB6DC9" w:rsidRPr="00667CD1" w:rsidRDefault="00DB6DC9" w:rsidP="00B96350">
            <w:pPr>
              <w:rPr>
                <w:rFonts w:ascii="Arial" w:hAnsi="Arial" w:cs="Arial"/>
                <w:sz w:val="12"/>
                <w:szCs w:val="12"/>
                <w:lang w:eastAsia="en-AU"/>
              </w:rPr>
            </w:pPr>
            <w:r w:rsidRPr="00667CD1">
              <w:rPr>
                <w:rFonts w:ascii="Arial" w:hAnsi="Arial" w:cs="Arial"/>
                <w:sz w:val="12"/>
                <w:szCs w:val="12"/>
                <w:lang w:eastAsia="en-AU"/>
              </w:rPr>
              <w:t>Reducing transfer duty for first home buyers purchasing new homes</w:t>
            </w:r>
          </w:p>
        </w:tc>
        <w:tc>
          <w:tcPr>
            <w:tcW w:w="757" w:type="dxa"/>
            <w:tcBorders>
              <w:top w:val="nil"/>
              <w:left w:val="nil"/>
              <w:bottom w:val="nil"/>
              <w:right w:val="nil"/>
            </w:tcBorders>
            <w:shd w:val="clear" w:color="000000" w:fill="FFFFFF"/>
            <w:noWrap/>
            <w:vAlign w:val="bottom"/>
            <w:hideMark/>
          </w:tcPr>
          <w:p w14:paraId="59FA0DC9"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19" w:type="dxa"/>
            <w:tcBorders>
              <w:top w:val="nil"/>
              <w:left w:val="nil"/>
              <w:bottom w:val="nil"/>
              <w:right w:val="nil"/>
            </w:tcBorders>
            <w:shd w:val="clear" w:color="000000" w:fill="F2F2F2"/>
            <w:noWrap/>
            <w:vAlign w:val="bottom"/>
            <w:hideMark/>
          </w:tcPr>
          <w:p w14:paraId="68EFCBC8"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(52) </w:t>
            </w:r>
          </w:p>
        </w:tc>
        <w:tc>
          <w:tcPr>
            <w:tcW w:w="719" w:type="dxa"/>
            <w:tcBorders>
              <w:top w:val="nil"/>
              <w:left w:val="nil"/>
              <w:bottom w:val="nil"/>
              <w:right w:val="nil"/>
            </w:tcBorders>
            <w:shd w:val="clear" w:color="000000" w:fill="F2F2F2"/>
            <w:noWrap/>
            <w:vAlign w:val="bottom"/>
            <w:hideMark/>
          </w:tcPr>
          <w:p w14:paraId="5269A9D9"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(26) </w:t>
            </w:r>
          </w:p>
        </w:tc>
        <w:tc>
          <w:tcPr>
            <w:tcW w:w="757" w:type="dxa"/>
            <w:tcBorders>
              <w:top w:val="nil"/>
              <w:left w:val="nil"/>
              <w:bottom w:val="nil"/>
              <w:right w:val="nil"/>
            </w:tcBorders>
            <w:shd w:val="clear" w:color="000000" w:fill="F2F2F2"/>
            <w:noWrap/>
            <w:vAlign w:val="bottom"/>
            <w:hideMark/>
          </w:tcPr>
          <w:p w14:paraId="3AA5BCC7"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77" w:type="dxa"/>
            <w:tcBorders>
              <w:top w:val="nil"/>
              <w:left w:val="nil"/>
              <w:bottom w:val="nil"/>
              <w:right w:val="nil"/>
            </w:tcBorders>
            <w:shd w:val="clear" w:color="000000" w:fill="F2F2F2"/>
            <w:noWrap/>
            <w:vAlign w:val="bottom"/>
            <w:hideMark/>
          </w:tcPr>
          <w:p w14:paraId="0347FB0F"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893" w:type="dxa"/>
            <w:tcBorders>
              <w:top w:val="nil"/>
              <w:left w:val="nil"/>
              <w:bottom w:val="nil"/>
              <w:right w:val="nil"/>
            </w:tcBorders>
            <w:shd w:val="clear" w:color="auto" w:fill="auto"/>
            <w:noWrap/>
            <w:vAlign w:val="bottom"/>
            <w:hideMark/>
          </w:tcPr>
          <w:p w14:paraId="7B771CFA" w14:textId="77777777" w:rsidR="00DB6DC9" w:rsidRPr="00667CD1" w:rsidRDefault="00DB6DC9" w:rsidP="00B96350">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(78) </w:t>
            </w:r>
          </w:p>
        </w:tc>
      </w:tr>
      <w:tr w:rsidR="00DB6DC9" w:rsidRPr="00667CD1" w14:paraId="6F8EF256" w14:textId="77777777" w:rsidTr="00B96350">
        <w:trPr>
          <w:trHeight w:val="250"/>
        </w:trPr>
        <w:tc>
          <w:tcPr>
            <w:tcW w:w="5017" w:type="dxa"/>
            <w:tcBorders>
              <w:top w:val="nil"/>
              <w:left w:val="nil"/>
              <w:bottom w:val="nil"/>
              <w:right w:val="nil"/>
            </w:tcBorders>
            <w:shd w:val="clear" w:color="000000" w:fill="FFFFFF"/>
            <w:vAlign w:val="bottom"/>
            <w:hideMark/>
          </w:tcPr>
          <w:p w14:paraId="3D15F340" w14:textId="77777777" w:rsidR="00DB6DC9" w:rsidRPr="00667CD1" w:rsidRDefault="00DB6DC9" w:rsidP="00B96350">
            <w:pPr>
              <w:rPr>
                <w:rFonts w:ascii="Arial" w:hAnsi="Arial" w:cs="Arial"/>
                <w:sz w:val="12"/>
                <w:szCs w:val="12"/>
                <w:lang w:eastAsia="en-AU"/>
              </w:rPr>
            </w:pPr>
            <w:r w:rsidRPr="00667CD1">
              <w:rPr>
                <w:rFonts w:ascii="Arial" w:hAnsi="Arial" w:cs="Arial"/>
                <w:sz w:val="12"/>
                <w:szCs w:val="12"/>
                <w:lang w:eastAsia="en-AU"/>
              </w:rPr>
              <w:t>Government response to NSW Bushfire Inquiry - insurers contribution</w:t>
            </w:r>
          </w:p>
        </w:tc>
        <w:tc>
          <w:tcPr>
            <w:tcW w:w="757" w:type="dxa"/>
            <w:tcBorders>
              <w:top w:val="nil"/>
              <w:left w:val="nil"/>
              <w:bottom w:val="nil"/>
              <w:right w:val="nil"/>
            </w:tcBorders>
            <w:shd w:val="clear" w:color="000000" w:fill="FFFFFF"/>
            <w:noWrap/>
            <w:vAlign w:val="bottom"/>
            <w:hideMark/>
          </w:tcPr>
          <w:p w14:paraId="0E21B804"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19" w:type="dxa"/>
            <w:tcBorders>
              <w:top w:val="nil"/>
              <w:left w:val="nil"/>
              <w:bottom w:val="nil"/>
              <w:right w:val="nil"/>
            </w:tcBorders>
            <w:shd w:val="clear" w:color="000000" w:fill="F2F2F2"/>
            <w:noWrap/>
            <w:vAlign w:val="bottom"/>
            <w:hideMark/>
          </w:tcPr>
          <w:p w14:paraId="3E9D3C28"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19" w:type="dxa"/>
            <w:tcBorders>
              <w:top w:val="nil"/>
              <w:left w:val="nil"/>
              <w:bottom w:val="nil"/>
              <w:right w:val="nil"/>
            </w:tcBorders>
            <w:shd w:val="clear" w:color="000000" w:fill="F2F2F2"/>
            <w:noWrap/>
            <w:vAlign w:val="bottom"/>
            <w:hideMark/>
          </w:tcPr>
          <w:p w14:paraId="3119A80B"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30 </w:t>
            </w:r>
          </w:p>
        </w:tc>
        <w:tc>
          <w:tcPr>
            <w:tcW w:w="757" w:type="dxa"/>
            <w:tcBorders>
              <w:top w:val="nil"/>
              <w:left w:val="nil"/>
              <w:bottom w:val="nil"/>
              <w:right w:val="nil"/>
            </w:tcBorders>
            <w:shd w:val="clear" w:color="000000" w:fill="F2F2F2"/>
            <w:noWrap/>
            <w:vAlign w:val="bottom"/>
            <w:hideMark/>
          </w:tcPr>
          <w:p w14:paraId="40507BD9"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58 </w:t>
            </w:r>
          </w:p>
        </w:tc>
        <w:tc>
          <w:tcPr>
            <w:tcW w:w="777" w:type="dxa"/>
            <w:tcBorders>
              <w:top w:val="nil"/>
              <w:left w:val="nil"/>
              <w:bottom w:val="nil"/>
              <w:right w:val="nil"/>
            </w:tcBorders>
            <w:shd w:val="clear" w:color="000000" w:fill="F2F2F2"/>
            <w:noWrap/>
            <w:vAlign w:val="bottom"/>
            <w:hideMark/>
          </w:tcPr>
          <w:p w14:paraId="6AAC031B"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17 </w:t>
            </w:r>
          </w:p>
        </w:tc>
        <w:tc>
          <w:tcPr>
            <w:tcW w:w="893" w:type="dxa"/>
            <w:tcBorders>
              <w:top w:val="nil"/>
              <w:left w:val="nil"/>
              <w:bottom w:val="nil"/>
              <w:right w:val="nil"/>
            </w:tcBorders>
            <w:shd w:val="clear" w:color="auto" w:fill="auto"/>
            <w:noWrap/>
            <w:vAlign w:val="bottom"/>
            <w:hideMark/>
          </w:tcPr>
          <w:p w14:paraId="64000364" w14:textId="77777777" w:rsidR="00DB6DC9" w:rsidRPr="00667CD1" w:rsidRDefault="00DB6DC9" w:rsidP="00B96350">
            <w:pPr>
              <w:ind w:right="22"/>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104 </w:t>
            </w:r>
          </w:p>
        </w:tc>
      </w:tr>
      <w:tr w:rsidR="00DB6DC9" w:rsidRPr="00667CD1" w14:paraId="715D9368" w14:textId="77777777" w:rsidTr="00B96350">
        <w:trPr>
          <w:trHeight w:val="250"/>
        </w:trPr>
        <w:tc>
          <w:tcPr>
            <w:tcW w:w="5017" w:type="dxa"/>
            <w:tcBorders>
              <w:top w:val="nil"/>
              <w:left w:val="nil"/>
              <w:bottom w:val="nil"/>
              <w:right w:val="nil"/>
            </w:tcBorders>
            <w:shd w:val="clear" w:color="000000" w:fill="FFFFFF"/>
            <w:vAlign w:val="bottom"/>
            <w:hideMark/>
          </w:tcPr>
          <w:p w14:paraId="59F3B35E" w14:textId="77777777" w:rsidR="00DB6DC9" w:rsidRPr="00667CD1" w:rsidRDefault="00DB6DC9" w:rsidP="00B96350">
            <w:pPr>
              <w:rPr>
                <w:rFonts w:ascii="Arial" w:hAnsi="Arial" w:cs="Arial"/>
                <w:sz w:val="12"/>
                <w:szCs w:val="12"/>
                <w:lang w:eastAsia="en-AU"/>
              </w:rPr>
            </w:pPr>
            <w:r w:rsidRPr="00667CD1">
              <w:rPr>
                <w:rFonts w:ascii="Arial" w:hAnsi="Arial" w:cs="Arial"/>
                <w:sz w:val="12"/>
                <w:szCs w:val="12"/>
                <w:lang w:eastAsia="en-AU"/>
              </w:rPr>
              <w:t>Freeze of indexation rates for heavy vehicles</w:t>
            </w:r>
          </w:p>
        </w:tc>
        <w:tc>
          <w:tcPr>
            <w:tcW w:w="757" w:type="dxa"/>
            <w:tcBorders>
              <w:top w:val="nil"/>
              <w:left w:val="nil"/>
              <w:bottom w:val="nil"/>
              <w:right w:val="nil"/>
            </w:tcBorders>
            <w:shd w:val="clear" w:color="000000" w:fill="FFFFFF"/>
            <w:noWrap/>
            <w:vAlign w:val="bottom"/>
            <w:hideMark/>
          </w:tcPr>
          <w:p w14:paraId="75350D2A"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19" w:type="dxa"/>
            <w:tcBorders>
              <w:top w:val="nil"/>
              <w:left w:val="nil"/>
              <w:bottom w:val="nil"/>
              <w:right w:val="nil"/>
            </w:tcBorders>
            <w:shd w:val="clear" w:color="000000" w:fill="F2F2F2"/>
            <w:noWrap/>
            <w:vAlign w:val="bottom"/>
            <w:hideMark/>
          </w:tcPr>
          <w:p w14:paraId="0F46F34E"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(8) </w:t>
            </w:r>
          </w:p>
        </w:tc>
        <w:tc>
          <w:tcPr>
            <w:tcW w:w="719" w:type="dxa"/>
            <w:tcBorders>
              <w:top w:val="nil"/>
              <w:left w:val="nil"/>
              <w:bottom w:val="nil"/>
              <w:right w:val="nil"/>
            </w:tcBorders>
            <w:shd w:val="clear" w:color="000000" w:fill="F2F2F2"/>
            <w:noWrap/>
            <w:vAlign w:val="bottom"/>
            <w:hideMark/>
          </w:tcPr>
          <w:p w14:paraId="2FF0B24E"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(9) </w:t>
            </w:r>
          </w:p>
        </w:tc>
        <w:tc>
          <w:tcPr>
            <w:tcW w:w="757" w:type="dxa"/>
            <w:tcBorders>
              <w:top w:val="nil"/>
              <w:left w:val="nil"/>
              <w:bottom w:val="nil"/>
              <w:right w:val="nil"/>
            </w:tcBorders>
            <w:shd w:val="clear" w:color="000000" w:fill="F2F2F2"/>
            <w:noWrap/>
            <w:vAlign w:val="bottom"/>
            <w:hideMark/>
          </w:tcPr>
          <w:p w14:paraId="3FF5324D"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(9) </w:t>
            </w:r>
          </w:p>
        </w:tc>
        <w:tc>
          <w:tcPr>
            <w:tcW w:w="777" w:type="dxa"/>
            <w:tcBorders>
              <w:top w:val="nil"/>
              <w:left w:val="nil"/>
              <w:bottom w:val="nil"/>
              <w:right w:val="nil"/>
            </w:tcBorders>
            <w:shd w:val="clear" w:color="000000" w:fill="F2F2F2"/>
            <w:noWrap/>
            <w:vAlign w:val="bottom"/>
            <w:hideMark/>
          </w:tcPr>
          <w:p w14:paraId="3C979741"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(9) </w:t>
            </w:r>
          </w:p>
        </w:tc>
        <w:tc>
          <w:tcPr>
            <w:tcW w:w="893" w:type="dxa"/>
            <w:tcBorders>
              <w:top w:val="nil"/>
              <w:left w:val="nil"/>
              <w:bottom w:val="nil"/>
              <w:right w:val="nil"/>
            </w:tcBorders>
            <w:shd w:val="clear" w:color="auto" w:fill="auto"/>
            <w:noWrap/>
            <w:vAlign w:val="bottom"/>
            <w:hideMark/>
          </w:tcPr>
          <w:p w14:paraId="1E9265F1" w14:textId="77777777" w:rsidR="00DB6DC9" w:rsidRPr="00667CD1" w:rsidRDefault="00DB6DC9" w:rsidP="00B96350">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(34) </w:t>
            </w:r>
          </w:p>
        </w:tc>
      </w:tr>
      <w:tr w:rsidR="00DB6DC9" w:rsidRPr="00667CD1" w14:paraId="4499E2F8" w14:textId="77777777" w:rsidTr="00B96350">
        <w:trPr>
          <w:trHeight w:val="250"/>
        </w:trPr>
        <w:tc>
          <w:tcPr>
            <w:tcW w:w="5017" w:type="dxa"/>
            <w:tcBorders>
              <w:top w:val="nil"/>
              <w:left w:val="nil"/>
              <w:bottom w:val="nil"/>
              <w:right w:val="nil"/>
            </w:tcBorders>
            <w:shd w:val="clear" w:color="000000" w:fill="FFFFFF"/>
            <w:vAlign w:val="bottom"/>
            <w:hideMark/>
          </w:tcPr>
          <w:p w14:paraId="2DECFA36" w14:textId="77777777" w:rsidR="00DB6DC9" w:rsidRPr="00667CD1" w:rsidRDefault="00DB6DC9" w:rsidP="00B96350">
            <w:pPr>
              <w:rPr>
                <w:rFonts w:ascii="Arial" w:hAnsi="Arial" w:cs="Arial"/>
                <w:sz w:val="12"/>
                <w:szCs w:val="12"/>
                <w:lang w:eastAsia="en-AU"/>
              </w:rPr>
            </w:pPr>
            <w:r w:rsidRPr="00667CD1">
              <w:rPr>
                <w:rFonts w:ascii="Arial" w:hAnsi="Arial" w:cs="Arial"/>
                <w:sz w:val="12"/>
                <w:szCs w:val="12"/>
                <w:lang w:eastAsia="en-AU"/>
              </w:rPr>
              <w:t>Drought relief and assistance - Primary Producer Heavy Vehicle</w:t>
            </w:r>
          </w:p>
        </w:tc>
        <w:tc>
          <w:tcPr>
            <w:tcW w:w="757" w:type="dxa"/>
            <w:tcBorders>
              <w:top w:val="nil"/>
              <w:left w:val="nil"/>
              <w:bottom w:val="nil"/>
              <w:right w:val="nil"/>
            </w:tcBorders>
            <w:shd w:val="clear" w:color="000000" w:fill="FFFFFF"/>
            <w:noWrap/>
            <w:vAlign w:val="bottom"/>
            <w:hideMark/>
          </w:tcPr>
          <w:p w14:paraId="7747C627"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19" w:type="dxa"/>
            <w:tcBorders>
              <w:top w:val="nil"/>
              <w:left w:val="nil"/>
              <w:bottom w:val="nil"/>
              <w:right w:val="nil"/>
            </w:tcBorders>
            <w:shd w:val="clear" w:color="000000" w:fill="F2F2F2"/>
            <w:noWrap/>
            <w:vAlign w:val="bottom"/>
            <w:hideMark/>
          </w:tcPr>
          <w:p w14:paraId="1789AC86"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(36) </w:t>
            </w:r>
          </w:p>
        </w:tc>
        <w:tc>
          <w:tcPr>
            <w:tcW w:w="719" w:type="dxa"/>
            <w:tcBorders>
              <w:top w:val="nil"/>
              <w:left w:val="nil"/>
              <w:bottom w:val="nil"/>
              <w:right w:val="nil"/>
            </w:tcBorders>
            <w:shd w:val="clear" w:color="000000" w:fill="F2F2F2"/>
            <w:noWrap/>
            <w:vAlign w:val="bottom"/>
            <w:hideMark/>
          </w:tcPr>
          <w:p w14:paraId="17AC48F4"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57" w:type="dxa"/>
            <w:tcBorders>
              <w:top w:val="nil"/>
              <w:left w:val="nil"/>
              <w:bottom w:val="nil"/>
              <w:right w:val="nil"/>
            </w:tcBorders>
            <w:shd w:val="clear" w:color="000000" w:fill="F2F2F2"/>
            <w:noWrap/>
            <w:vAlign w:val="bottom"/>
            <w:hideMark/>
          </w:tcPr>
          <w:p w14:paraId="47777BED"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77" w:type="dxa"/>
            <w:tcBorders>
              <w:top w:val="nil"/>
              <w:left w:val="nil"/>
              <w:bottom w:val="nil"/>
              <w:right w:val="nil"/>
            </w:tcBorders>
            <w:shd w:val="clear" w:color="000000" w:fill="F2F2F2"/>
            <w:noWrap/>
            <w:vAlign w:val="bottom"/>
            <w:hideMark/>
          </w:tcPr>
          <w:p w14:paraId="4DDA1148"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893" w:type="dxa"/>
            <w:tcBorders>
              <w:top w:val="nil"/>
              <w:left w:val="nil"/>
              <w:bottom w:val="nil"/>
              <w:right w:val="nil"/>
            </w:tcBorders>
            <w:shd w:val="clear" w:color="auto" w:fill="auto"/>
            <w:noWrap/>
            <w:vAlign w:val="bottom"/>
            <w:hideMark/>
          </w:tcPr>
          <w:p w14:paraId="41D5DD5C" w14:textId="77777777" w:rsidR="00DB6DC9" w:rsidRPr="00667CD1" w:rsidRDefault="00DB6DC9" w:rsidP="00B96350">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(36) </w:t>
            </w:r>
          </w:p>
        </w:tc>
      </w:tr>
      <w:tr w:rsidR="00DB6DC9" w:rsidRPr="00667CD1" w14:paraId="689B75E2" w14:textId="77777777" w:rsidTr="00B96350">
        <w:trPr>
          <w:trHeight w:val="250"/>
        </w:trPr>
        <w:tc>
          <w:tcPr>
            <w:tcW w:w="5017" w:type="dxa"/>
            <w:tcBorders>
              <w:top w:val="nil"/>
              <w:left w:val="nil"/>
              <w:bottom w:val="nil"/>
              <w:right w:val="nil"/>
            </w:tcBorders>
            <w:shd w:val="clear" w:color="000000" w:fill="FFFFFF"/>
            <w:vAlign w:val="bottom"/>
            <w:hideMark/>
          </w:tcPr>
          <w:p w14:paraId="5EA5280C" w14:textId="77777777" w:rsidR="00DB6DC9" w:rsidRPr="00667CD1" w:rsidRDefault="00DB6DC9" w:rsidP="00B96350">
            <w:pPr>
              <w:rPr>
                <w:rFonts w:ascii="Arial" w:hAnsi="Arial" w:cs="Arial"/>
                <w:sz w:val="12"/>
                <w:szCs w:val="12"/>
                <w:lang w:eastAsia="en-AU"/>
              </w:rPr>
            </w:pPr>
            <w:r w:rsidRPr="00667CD1">
              <w:rPr>
                <w:rFonts w:ascii="Arial" w:hAnsi="Arial" w:cs="Arial"/>
                <w:sz w:val="12"/>
                <w:szCs w:val="12"/>
                <w:lang w:eastAsia="en-AU"/>
              </w:rPr>
              <w:t>Other taxation measures</w:t>
            </w:r>
          </w:p>
        </w:tc>
        <w:tc>
          <w:tcPr>
            <w:tcW w:w="757" w:type="dxa"/>
            <w:tcBorders>
              <w:top w:val="nil"/>
              <w:left w:val="nil"/>
              <w:bottom w:val="nil"/>
              <w:right w:val="nil"/>
            </w:tcBorders>
            <w:shd w:val="clear" w:color="000000" w:fill="FFFFFF"/>
            <w:noWrap/>
            <w:vAlign w:val="bottom"/>
            <w:hideMark/>
          </w:tcPr>
          <w:p w14:paraId="00FE3A0B"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(18) </w:t>
            </w:r>
          </w:p>
        </w:tc>
        <w:tc>
          <w:tcPr>
            <w:tcW w:w="719" w:type="dxa"/>
            <w:tcBorders>
              <w:top w:val="nil"/>
              <w:left w:val="nil"/>
              <w:bottom w:val="nil"/>
              <w:right w:val="nil"/>
            </w:tcBorders>
            <w:shd w:val="clear" w:color="000000" w:fill="F2F2F2"/>
            <w:noWrap/>
            <w:vAlign w:val="bottom"/>
            <w:hideMark/>
          </w:tcPr>
          <w:p w14:paraId="340557C4"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19" w:type="dxa"/>
            <w:tcBorders>
              <w:top w:val="nil"/>
              <w:left w:val="nil"/>
              <w:bottom w:val="nil"/>
              <w:right w:val="nil"/>
            </w:tcBorders>
            <w:shd w:val="clear" w:color="000000" w:fill="F2F2F2"/>
            <w:noWrap/>
            <w:vAlign w:val="bottom"/>
            <w:hideMark/>
          </w:tcPr>
          <w:p w14:paraId="4C04D4A4"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57" w:type="dxa"/>
            <w:tcBorders>
              <w:top w:val="nil"/>
              <w:left w:val="nil"/>
              <w:bottom w:val="nil"/>
              <w:right w:val="nil"/>
            </w:tcBorders>
            <w:shd w:val="clear" w:color="000000" w:fill="F2F2F2"/>
            <w:noWrap/>
            <w:vAlign w:val="bottom"/>
            <w:hideMark/>
          </w:tcPr>
          <w:p w14:paraId="705E8622"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77" w:type="dxa"/>
            <w:tcBorders>
              <w:top w:val="nil"/>
              <w:left w:val="nil"/>
              <w:bottom w:val="nil"/>
              <w:right w:val="nil"/>
            </w:tcBorders>
            <w:shd w:val="clear" w:color="000000" w:fill="F2F2F2"/>
            <w:noWrap/>
            <w:vAlign w:val="bottom"/>
            <w:hideMark/>
          </w:tcPr>
          <w:p w14:paraId="754CB3BE" w14:textId="77777777" w:rsidR="00DB6DC9" w:rsidRPr="00667CD1" w:rsidRDefault="00DB6DC9" w:rsidP="00B96350">
            <w:pPr>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893" w:type="dxa"/>
            <w:tcBorders>
              <w:top w:val="nil"/>
              <w:left w:val="nil"/>
              <w:bottom w:val="nil"/>
              <w:right w:val="nil"/>
            </w:tcBorders>
            <w:shd w:val="clear" w:color="auto" w:fill="auto"/>
            <w:noWrap/>
            <w:vAlign w:val="bottom"/>
            <w:hideMark/>
          </w:tcPr>
          <w:p w14:paraId="1A9887B9" w14:textId="77777777" w:rsidR="00DB6DC9" w:rsidRPr="00667CD1" w:rsidRDefault="00DB6DC9" w:rsidP="00B96350">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 </w:t>
            </w:r>
          </w:p>
        </w:tc>
      </w:tr>
      <w:tr w:rsidR="00DB6DC9" w:rsidRPr="00667CD1" w14:paraId="68EE2655" w14:textId="77777777" w:rsidTr="005C3CAC">
        <w:trPr>
          <w:trHeight w:val="340"/>
        </w:trPr>
        <w:tc>
          <w:tcPr>
            <w:tcW w:w="5017" w:type="dxa"/>
            <w:tcBorders>
              <w:top w:val="single" w:sz="4" w:space="0" w:color="auto"/>
              <w:left w:val="nil"/>
              <w:bottom w:val="single" w:sz="4" w:space="0" w:color="auto"/>
              <w:right w:val="nil"/>
            </w:tcBorders>
            <w:shd w:val="clear" w:color="000000" w:fill="FFFFFF"/>
            <w:vAlign w:val="center"/>
            <w:hideMark/>
          </w:tcPr>
          <w:p w14:paraId="2F06495A" w14:textId="77777777" w:rsidR="00DB6DC9" w:rsidRPr="00667CD1" w:rsidRDefault="00DB6DC9" w:rsidP="00DB6DC9">
            <w:pPr>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Total - taxation measures </w:t>
            </w:r>
          </w:p>
        </w:tc>
        <w:tc>
          <w:tcPr>
            <w:tcW w:w="757" w:type="dxa"/>
            <w:tcBorders>
              <w:top w:val="single" w:sz="4" w:space="0" w:color="auto"/>
              <w:left w:val="nil"/>
              <w:bottom w:val="single" w:sz="4" w:space="0" w:color="auto"/>
              <w:right w:val="nil"/>
            </w:tcBorders>
            <w:shd w:val="clear" w:color="000000" w:fill="FFFFFF"/>
            <w:noWrap/>
            <w:vAlign w:val="center"/>
            <w:hideMark/>
          </w:tcPr>
          <w:p w14:paraId="1F38CAE7" w14:textId="77777777" w:rsidR="00DB6DC9" w:rsidRPr="00667CD1" w:rsidRDefault="00DB6DC9" w:rsidP="005C3CAC">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(598) </w:t>
            </w:r>
          </w:p>
        </w:tc>
        <w:tc>
          <w:tcPr>
            <w:tcW w:w="719" w:type="dxa"/>
            <w:tcBorders>
              <w:top w:val="single" w:sz="4" w:space="0" w:color="auto"/>
              <w:left w:val="nil"/>
              <w:bottom w:val="single" w:sz="4" w:space="0" w:color="auto"/>
              <w:right w:val="nil"/>
            </w:tcBorders>
            <w:shd w:val="clear" w:color="000000" w:fill="F2F2F2"/>
            <w:noWrap/>
            <w:vAlign w:val="center"/>
            <w:hideMark/>
          </w:tcPr>
          <w:p w14:paraId="60CCC526" w14:textId="77777777" w:rsidR="00DB6DC9" w:rsidRPr="00667CD1" w:rsidRDefault="00DB6DC9" w:rsidP="005C3CAC">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(1,488) </w:t>
            </w:r>
          </w:p>
        </w:tc>
        <w:tc>
          <w:tcPr>
            <w:tcW w:w="719" w:type="dxa"/>
            <w:tcBorders>
              <w:top w:val="single" w:sz="4" w:space="0" w:color="auto"/>
              <w:left w:val="nil"/>
              <w:bottom w:val="single" w:sz="4" w:space="0" w:color="auto"/>
              <w:right w:val="nil"/>
            </w:tcBorders>
            <w:shd w:val="clear" w:color="000000" w:fill="F2F2F2"/>
            <w:noWrap/>
            <w:vAlign w:val="center"/>
            <w:hideMark/>
          </w:tcPr>
          <w:p w14:paraId="2AB43CB7" w14:textId="77777777" w:rsidR="00DB6DC9" w:rsidRPr="00667CD1" w:rsidRDefault="00DB6DC9" w:rsidP="005C3CAC">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(1,250) </w:t>
            </w:r>
          </w:p>
        </w:tc>
        <w:tc>
          <w:tcPr>
            <w:tcW w:w="757" w:type="dxa"/>
            <w:tcBorders>
              <w:top w:val="single" w:sz="4" w:space="0" w:color="auto"/>
              <w:left w:val="nil"/>
              <w:bottom w:val="single" w:sz="4" w:space="0" w:color="auto"/>
              <w:right w:val="nil"/>
            </w:tcBorders>
            <w:shd w:val="clear" w:color="000000" w:fill="F2F2F2"/>
            <w:noWrap/>
            <w:vAlign w:val="center"/>
            <w:hideMark/>
          </w:tcPr>
          <w:p w14:paraId="5F8A0043" w14:textId="77777777" w:rsidR="00DB6DC9" w:rsidRPr="00667CD1" w:rsidRDefault="00DB6DC9" w:rsidP="005C3CAC">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(150) </w:t>
            </w:r>
          </w:p>
        </w:tc>
        <w:tc>
          <w:tcPr>
            <w:tcW w:w="777" w:type="dxa"/>
            <w:tcBorders>
              <w:top w:val="single" w:sz="4" w:space="0" w:color="auto"/>
              <w:left w:val="nil"/>
              <w:bottom w:val="single" w:sz="4" w:space="0" w:color="auto"/>
              <w:right w:val="nil"/>
            </w:tcBorders>
            <w:shd w:val="clear" w:color="000000" w:fill="F2F2F2"/>
            <w:noWrap/>
            <w:vAlign w:val="center"/>
            <w:hideMark/>
          </w:tcPr>
          <w:p w14:paraId="4C38E4A1" w14:textId="77777777" w:rsidR="00DB6DC9" w:rsidRPr="00667CD1" w:rsidRDefault="00DB6DC9" w:rsidP="005C3CAC">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(196) </w:t>
            </w:r>
          </w:p>
        </w:tc>
        <w:tc>
          <w:tcPr>
            <w:tcW w:w="893" w:type="dxa"/>
            <w:tcBorders>
              <w:top w:val="single" w:sz="4" w:space="0" w:color="auto"/>
              <w:left w:val="nil"/>
              <w:bottom w:val="single" w:sz="4" w:space="0" w:color="auto"/>
              <w:right w:val="nil"/>
            </w:tcBorders>
            <w:shd w:val="clear" w:color="000000" w:fill="F2F2F2"/>
            <w:noWrap/>
            <w:vAlign w:val="center"/>
            <w:hideMark/>
          </w:tcPr>
          <w:p w14:paraId="3DA7C99B" w14:textId="77777777" w:rsidR="00DB6DC9" w:rsidRPr="00667CD1" w:rsidRDefault="00DB6DC9" w:rsidP="005C3CAC">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(3,084) </w:t>
            </w:r>
          </w:p>
        </w:tc>
      </w:tr>
    </w:tbl>
    <w:p w14:paraId="17DD86F7" w14:textId="77777777" w:rsidR="002020C4" w:rsidRPr="00667CD1" w:rsidRDefault="002020C4" w:rsidP="00B73E73">
      <w:pPr>
        <w:pStyle w:val="Heading5"/>
        <w:numPr>
          <w:ilvl w:val="0"/>
          <w:numId w:val="0"/>
        </w:numPr>
        <w:spacing w:before="240"/>
        <w:rPr>
          <w:sz w:val="20"/>
          <w:szCs w:val="28"/>
        </w:rPr>
      </w:pPr>
      <w:r w:rsidRPr="00667CD1">
        <w:rPr>
          <w:sz w:val="20"/>
          <w:szCs w:val="28"/>
        </w:rPr>
        <w:t xml:space="preserve">Lowering the payroll tax rate </w:t>
      </w:r>
    </w:p>
    <w:p w14:paraId="288F7145" w14:textId="26506C7F" w:rsidR="00CC59C3" w:rsidRPr="00667CD1" w:rsidRDefault="002020C4" w:rsidP="00DC5EFC">
      <w:pPr>
        <w:pStyle w:val="BodyText"/>
        <w:rPr>
          <w:sz w:val="20"/>
          <w:szCs w:val="16"/>
        </w:rPr>
      </w:pPr>
      <w:r w:rsidRPr="00667CD1">
        <w:rPr>
          <w:sz w:val="20"/>
          <w:szCs w:val="16"/>
        </w:rPr>
        <w:t xml:space="preserve">The payroll tax rate will be reduced from 5.45 per cent to 4.85 per cent for all New South Wales </w:t>
      </w:r>
      <w:r w:rsidR="00737400" w:rsidRPr="00667CD1">
        <w:rPr>
          <w:sz w:val="20"/>
          <w:szCs w:val="16"/>
        </w:rPr>
        <w:t xml:space="preserve">tax-paying </w:t>
      </w:r>
      <w:r w:rsidRPr="00667CD1">
        <w:rPr>
          <w:sz w:val="20"/>
          <w:szCs w:val="16"/>
        </w:rPr>
        <w:t>businesses in 2020-21 and 2021-22. The lower tax rate is estimated to provide New South Wales’ businesses with around $2.1 billion in savings in total across 2020</w:t>
      </w:r>
      <w:r w:rsidR="00493703" w:rsidRPr="00667CD1">
        <w:rPr>
          <w:rFonts w:eastAsia="Arial"/>
          <w:color w:val="000000" w:themeColor="text1"/>
          <w:sz w:val="18"/>
          <w:szCs w:val="18"/>
        </w:rPr>
        <w:noBreakHyphen/>
      </w:r>
      <w:r w:rsidRPr="00667CD1">
        <w:rPr>
          <w:sz w:val="20"/>
          <w:szCs w:val="16"/>
        </w:rPr>
        <w:t>21 and 2021-22</w:t>
      </w:r>
      <w:r w:rsidR="00F6396C" w:rsidRPr="00667CD1">
        <w:rPr>
          <w:sz w:val="20"/>
          <w:szCs w:val="16"/>
        </w:rPr>
        <w:t xml:space="preserve">, with an equivalent reduction in </w:t>
      </w:r>
      <w:r w:rsidR="006E568F" w:rsidRPr="00667CD1">
        <w:rPr>
          <w:sz w:val="20"/>
          <w:szCs w:val="16"/>
        </w:rPr>
        <w:t xml:space="preserve">government </w:t>
      </w:r>
      <w:r w:rsidR="00F6396C" w:rsidRPr="00667CD1">
        <w:rPr>
          <w:sz w:val="20"/>
          <w:szCs w:val="16"/>
        </w:rPr>
        <w:t>revenue</w:t>
      </w:r>
      <w:r w:rsidRPr="00667CD1">
        <w:rPr>
          <w:sz w:val="20"/>
          <w:szCs w:val="16"/>
        </w:rPr>
        <w:t>. See Box 4.1 below for further details.</w:t>
      </w:r>
    </w:p>
    <w:p w14:paraId="392360E5" w14:textId="77777777" w:rsidR="00436AC6" w:rsidRPr="00667CD1" w:rsidRDefault="00436AC6" w:rsidP="00B73E73">
      <w:pPr>
        <w:pStyle w:val="Heading5"/>
        <w:numPr>
          <w:ilvl w:val="0"/>
          <w:numId w:val="0"/>
        </w:numPr>
        <w:spacing w:before="240"/>
        <w:rPr>
          <w:sz w:val="20"/>
          <w:szCs w:val="28"/>
        </w:rPr>
      </w:pPr>
      <w:r w:rsidRPr="00667CD1">
        <w:rPr>
          <w:sz w:val="20"/>
          <w:szCs w:val="28"/>
        </w:rPr>
        <w:t>Increasing the payroll tax threshold to $1.2 million from 1 July 2020</w:t>
      </w:r>
    </w:p>
    <w:p w14:paraId="1D48F4B4" w14:textId="1713C27A" w:rsidR="00436AC6" w:rsidRPr="00667CD1" w:rsidRDefault="00436AC6" w:rsidP="00DC5EFC">
      <w:pPr>
        <w:pStyle w:val="BodyText"/>
        <w:rPr>
          <w:sz w:val="20"/>
          <w:szCs w:val="16"/>
        </w:rPr>
      </w:pPr>
      <w:r w:rsidRPr="00667CD1">
        <w:rPr>
          <w:sz w:val="20"/>
          <w:szCs w:val="16"/>
        </w:rPr>
        <w:t xml:space="preserve">To </w:t>
      </w:r>
      <w:r w:rsidR="00BC4013" w:rsidRPr="00667CD1">
        <w:rPr>
          <w:sz w:val="20"/>
          <w:szCs w:val="16"/>
        </w:rPr>
        <w:t>further</w:t>
      </w:r>
      <w:r w:rsidRPr="00667CD1">
        <w:rPr>
          <w:sz w:val="20"/>
          <w:szCs w:val="16"/>
        </w:rPr>
        <w:t xml:space="preserve"> support the recovery and viability of businesses in N</w:t>
      </w:r>
      <w:r w:rsidR="00594CE7" w:rsidRPr="00667CD1">
        <w:rPr>
          <w:sz w:val="20"/>
          <w:szCs w:val="16"/>
        </w:rPr>
        <w:t xml:space="preserve">ew </w:t>
      </w:r>
      <w:r w:rsidRPr="00667CD1">
        <w:rPr>
          <w:sz w:val="20"/>
          <w:szCs w:val="16"/>
        </w:rPr>
        <w:t>S</w:t>
      </w:r>
      <w:r w:rsidR="00594CE7" w:rsidRPr="00667CD1">
        <w:rPr>
          <w:sz w:val="20"/>
          <w:szCs w:val="16"/>
        </w:rPr>
        <w:t xml:space="preserve">outh </w:t>
      </w:r>
      <w:r w:rsidRPr="00667CD1">
        <w:rPr>
          <w:sz w:val="20"/>
          <w:szCs w:val="16"/>
        </w:rPr>
        <w:t>W</w:t>
      </w:r>
      <w:r w:rsidR="00594CE7" w:rsidRPr="00667CD1">
        <w:rPr>
          <w:sz w:val="20"/>
          <w:szCs w:val="16"/>
        </w:rPr>
        <w:t>ales</w:t>
      </w:r>
      <w:r w:rsidRPr="00667CD1">
        <w:rPr>
          <w:sz w:val="20"/>
          <w:szCs w:val="16"/>
        </w:rPr>
        <w:t xml:space="preserve">, the Government is raising the payroll tax threshold from $900,000 to $1.2 million from 1 July 2020. </w:t>
      </w:r>
    </w:p>
    <w:p w14:paraId="12E06A1F" w14:textId="38FCBDC7" w:rsidR="00436AC6" w:rsidRPr="00667CD1" w:rsidRDefault="00436AC6" w:rsidP="00DC5EFC">
      <w:pPr>
        <w:pStyle w:val="BodyText"/>
        <w:rPr>
          <w:sz w:val="20"/>
          <w:szCs w:val="16"/>
        </w:rPr>
      </w:pPr>
      <w:r w:rsidRPr="00667CD1">
        <w:rPr>
          <w:sz w:val="20"/>
          <w:szCs w:val="16"/>
        </w:rPr>
        <w:t>As part of the Government’s response to COVID-19, the Government announced in March</w:t>
      </w:r>
      <w:r w:rsidR="00E917C2" w:rsidRPr="00667CD1">
        <w:rPr>
          <w:sz w:val="20"/>
          <w:szCs w:val="16"/>
        </w:rPr>
        <w:t> </w:t>
      </w:r>
      <w:r w:rsidRPr="00667CD1">
        <w:rPr>
          <w:sz w:val="20"/>
          <w:szCs w:val="16"/>
        </w:rPr>
        <w:t xml:space="preserve">2020 </w:t>
      </w:r>
      <w:r w:rsidR="00BC4013" w:rsidRPr="00667CD1">
        <w:rPr>
          <w:sz w:val="20"/>
          <w:szCs w:val="16"/>
        </w:rPr>
        <w:t>that</w:t>
      </w:r>
      <w:r w:rsidRPr="00667CD1">
        <w:rPr>
          <w:sz w:val="20"/>
          <w:szCs w:val="16"/>
        </w:rPr>
        <w:t xml:space="preserve"> it would accelerate the increase to the payroll tax threshold to $1.0 million from 1</w:t>
      </w:r>
      <w:r w:rsidR="007D557C" w:rsidRPr="00667CD1">
        <w:rPr>
          <w:sz w:val="20"/>
          <w:szCs w:val="16"/>
        </w:rPr>
        <w:t xml:space="preserve"> </w:t>
      </w:r>
      <w:r w:rsidRPr="00667CD1">
        <w:rPr>
          <w:sz w:val="20"/>
          <w:szCs w:val="16"/>
        </w:rPr>
        <w:t>July 2021 to 1 July 2020. This was expected to save business an additional $56</w:t>
      </w:r>
      <w:r w:rsidR="007D557C" w:rsidRPr="00667CD1">
        <w:rPr>
          <w:sz w:val="20"/>
          <w:szCs w:val="16"/>
        </w:rPr>
        <w:t>.0</w:t>
      </w:r>
      <w:r w:rsidR="007C050D" w:rsidRPr="00667CD1">
        <w:rPr>
          <w:sz w:val="20"/>
          <w:szCs w:val="16"/>
        </w:rPr>
        <w:t> </w:t>
      </w:r>
      <w:r w:rsidRPr="00667CD1">
        <w:rPr>
          <w:sz w:val="20"/>
          <w:szCs w:val="16"/>
        </w:rPr>
        <w:t>million in 2020</w:t>
      </w:r>
      <w:r w:rsidR="4D7CC409" w:rsidRPr="00667CD1">
        <w:rPr>
          <w:sz w:val="20"/>
          <w:szCs w:val="16"/>
        </w:rPr>
        <w:t>-</w:t>
      </w:r>
      <w:r w:rsidRPr="00667CD1">
        <w:rPr>
          <w:sz w:val="20"/>
          <w:szCs w:val="16"/>
        </w:rPr>
        <w:t>21.</w:t>
      </w:r>
    </w:p>
    <w:p w14:paraId="4653DABD" w14:textId="5EE906CA" w:rsidR="00436AC6" w:rsidRPr="00667CD1" w:rsidRDefault="00436AC6" w:rsidP="00DC5EFC">
      <w:pPr>
        <w:pStyle w:val="BodyText"/>
        <w:rPr>
          <w:sz w:val="20"/>
          <w:szCs w:val="16"/>
        </w:rPr>
      </w:pPr>
      <w:r w:rsidRPr="00667CD1">
        <w:rPr>
          <w:sz w:val="20"/>
          <w:szCs w:val="16"/>
        </w:rPr>
        <w:t>As part of the 2020-21 Budget, the Government is taking this further by perman</w:t>
      </w:r>
      <w:r w:rsidR="007D557C" w:rsidRPr="00667CD1">
        <w:rPr>
          <w:sz w:val="20"/>
          <w:szCs w:val="16"/>
        </w:rPr>
        <w:t>en</w:t>
      </w:r>
      <w:r w:rsidRPr="00667CD1">
        <w:rPr>
          <w:sz w:val="20"/>
          <w:szCs w:val="16"/>
        </w:rPr>
        <w:t>tly increasing the payroll tax threshold to $1.2 million from 1</w:t>
      </w:r>
      <w:r w:rsidR="00751ADB" w:rsidRPr="00667CD1">
        <w:rPr>
          <w:sz w:val="20"/>
          <w:szCs w:val="16"/>
        </w:rPr>
        <w:t xml:space="preserve"> </w:t>
      </w:r>
      <w:r w:rsidRPr="00667CD1">
        <w:rPr>
          <w:sz w:val="20"/>
          <w:szCs w:val="16"/>
        </w:rPr>
        <w:t>July 2020. This is expected to save business</w:t>
      </w:r>
      <w:r w:rsidR="007C050D" w:rsidRPr="00667CD1">
        <w:rPr>
          <w:sz w:val="20"/>
          <w:szCs w:val="16"/>
        </w:rPr>
        <w:t>es</w:t>
      </w:r>
      <w:r w:rsidRPr="00667CD1">
        <w:rPr>
          <w:sz w:val="20"/>
          <w:szCs w:val="16"/>
        </w:rPr>
        <w:t xml:space="preserve"> an additional $166</w:t>
      </w:r>
      <w:r w:rsidR="007D557C" w:rsidRPr="00667CD1">
        <w:rPr>
          <w:sz w:val="20"/>
          <w:szCs w:val="16"/>
        </w:rPr>
        <w:t>.0</w:t>
      </w:r>
      <w:r w:rsidRPr="00667CD1">
        <w:rPr>
          <w:sz w:val="20"/>
          <w:szCs w:val="16"/>
        </w:rPr>
        <w:t xml:space="preserve"> million in 2020-21 </w:t>
      </w:r>
      <w:r w:rsidR="00751ADB" w:rsidRPr="00667CD1">
        <w:rPr>
          <w:sz w:val="20"/>
          <w:szCs w:val="16"/>
        </w:rPr>
        <w:t xml:space="preserve">and </w:t>
      </w:r>
      <w:r w:rsidRPr="00667CD1">
        <w:rPr>
          <w:sz w:val="20"/>
          <w:szCs w:val="16"/>
        </w:rPr>
        <w:t>$744</w:t>
      </w:r>
      <w:r w:rsidR="007D557C" w:rsidRPr="00667CD1">
        <w:rPr>
          <w:sz w:val="20"/>
          <w:szCs w:val="16"/>
        </w:rPr>
        <w:t>.0</w:t>
      </w:r>
      <w:r w:rsidR="00751ADB" w:rsidRPr="00667CD1">
        <w:rPr>
          <w:sz w:val="20"/>
          <w:szCs w:val="16"/>
        </w:rPr>
        <w:t xml:space="preserve"> </w:t>
      </w:r>
      <w:r w:rsidRPr="00667CD1">
        <w:rPr>
          <w:sz w:val="20"/>
          <w:szCs w:val="16"/>
        </w:rPr>
        <w:t xml:space="preserve">million </w:t>
      </w:r>
      <w:r w:rsidR="00751ADB" w:rsidRPr="00667CD1">
        <w:rPr>
          <w:sz w:val="20"/>
          <w:szCs w:val="16"/>
        </w:rPr>
        <w:t xml:space="preserve">in total </w:t>
      </w:r>
      <w:r w:rsidRPr="00667CD1">
        <w:rPr>
          <w:sz w:val="20"/>
          <w:szCs w:val="16"/>
        </w:rPr>
        <w:t>over the four years to 2023-24.</w:t>
      </w:r>
    </w:p>
    <w:p w14:paraId="19FB5656" w14:textId="6811EB62" w:rsidR="00436AC6" w:rsidRPr="00667CD1" w:rsidRDefault="008450E0" w:rsidP="00DC5EFC">
      <w:pPr>
        <w:pStyle w:val="BodyText"/>
        <w:rPr>
          <w:sz w:val="20"/>
          <w:szCs w:val="16"/>
        </w:rPr>
      </w:pPr>
      <w:r w:rsidRPr="00667CD1">
        <w:rPr>
          <w:sz w:val="20"/>
          <w:szCs w:val="16"/>
        </w:rPr>
        <w:t>Together, these</w:t>
      </w:r>
      <w:r w:rsidR="00CA7E3D" w:rsidRPr="00667CD1">
        <w:rPr>
          <w:sz w:val="20"/>
          <w:szCs w:val="16"/>
        </w:rPr>
        <w:t xml:space="preserve"> increase</w:t>
      </w:r>
      <w:r w:rsidRPr="00667CD1">
        <w:rPr>
          <w:sz w:val="20"/>
          <w:szCs w:val="16"/>
        </w:rPr>
        <w:t>s</w:t>
      </w:r>
      <w:r w:rsidR="00CA7E3D" w:rsidRPr="00667CD1">
        <w:rPr>
          <w:sz w:val="20"/>
          <w:szCs w:val="16"/>
        </w:rPr>
        <w:t xml:space="preserve"> in the threshold from $900,000 to $1.2 million will </w:t>
      </w:r>
      <w:r w:rsidR="00436AC6" w:rsidRPr="00667CD1">
        <w:rPr>
          <w:sz w:val="20"/>
          <w:szCs w:val="16"/>
        </w:rPr>
        <w:t>save business</w:t>
      </w:r>
      <w:r w:rsidR="007C050D" w:rsidRPr="00667CD1">
        <w:rPr>
          <w:sz w:val="20"/>
          <w:szCs w:val="16"/>
        </w:rPr>
        <w:t>es</w:t>
      </w:r>
      <w:r w:rsidR="00436AC6" w:rsidRPr="00667CD1">
        <w:rPr>
          <w:sz w:val="20"/>
          <w:szCs w:val="16"/>
        </w:rPr>
        <w:t xml:space="preserve"> around $800</w:t>
      </w:r>
      <w:r w:rsidR="007D557C" w:rsidRPr="00667CD1">
        <w:rPr>
          <w:sz w:val="20"/>
          <w:szCs w:val="16"/>
        </w:rPr>
        <w:t>.0</w:t>
      </w:r>
      <w:r w:rsidR="00436AC6" w:rsidRPr="00667CD1">
        <w:rPr>
          <w:sz w:val="20"/>
          <w:szCs w:val="16"/>
        </w:rPr>
        <w:t xml:space="preserve"> m</w:t>
      </w:r>
      <w:r w:rsidR="000D32FC" w:rsidRPr="00667CD1">
        <w:rPr>
          <w:sz w:val="20"/>
          <w:szCs w:val="16"/>
        </w:rPr>
        <w:t>i</w:t>
      </w:r>
      <w:r w:rsidR="00436AC6" w:rsidRPr="00667CD1">
        <w:rPr>
          <w:sz w:val="20"/>
          <w:szCs w:val="16"/>
        </w:rPr>
        <w:t xml:space="preserve">llion over the four years to 2023-24. This is on top of savings </w:t>
      </w:r>
      <w:r w:rsidR="1D093794" w:rsidRPr="00667CD1">
        <w:rPr>
          <w:sz w:val="20"/>
          <w:szCs w:val="16"/>
        </w:rPr>
        <w:t>to business</w:t>
      </w:r>
      <w:r w:rsidR="00307DEF" w:rsidRPr="00667CD1">
        <w:rPr>
          <w:sz w:val="20"/>
          <w:szCs w:val="16"/>
        </w:rPr>
        <w:t>es</w:t>
      </w:r>
      <w:r w:rsidR="00436AC6" w:rsidRPr="00667CD1">
        <w:rPr>
          <w:sz w:val="20"/>
          <w:szCs w:val="16"/>
        </w:rPr>
        <w:t xml:space="preserve"> of $571</w:t>
      </w:r>
      <w:r w:rsidR="007D557C" w:rsidRPr="00667CD1">
        <w:rPr>
          <w:sz w:val="20"/>
          <w:szCs w:val="16"/>
        </w:rPr>
        <w:t>.0</w:t>
      </w:r>
      <w:r w:rsidR="00436AC6" w:rsidRPr="00667CD1">
        <w:rPr>
          <w:sz w:val="20"/>
          <w:szCs w:val="16"/>
        </w:rPr>
        <w:t xml:space="preserve"> million over the forward estimates from prev</w:t>
      </w:r>
      <w:r w:rsidR="00DF104C" w:rsidRPr="00667CD1">
        <w:rPr>
          <w:sz w:val="20"/>
          <w:szCs w:val="16"/>
        </w:rPr>
        <w:t>i</w:t>
      </w:r>
      <w:r w:rsidR="00436AC6" w:rsidRPr="00667CD1">
        <w:rPr>
          <w:sz w:val="20"/>
          <w:szCs w:val="16"/>
        </w:rPr>
        <w:t>ously announced threshold increases</w:t>
      </w:r>
      <w:r w:rsidR="00436AC6" w:rsidRPr="00667CD1">
        <w:rPr>
          <w:rStyle w:val="normaltextrun"/>
          <w:color w:val="000000" w:themeColor="text1"/>
          <w:sz w:val="20"/>
          <w:szCs w:val="16"/>
        </w:rPr>
        <w:t>.</w:t>
      </w:r>
    </w:p>
    <w:p w14:paraId="0AEAB818" w14:textId="52413C5D" w:rsidR="00E86D0E" w:rsidRPr="00667CD1" w:rsidRDefault="00E86D0E" w:rsidP="008D3B9A">
      <w:pPr>
        <w:pStyle w:val="Heading5"/>
        <w:numPr>
          <w:ilvl w:val="0"/>
          <w:numId w:val="0"/>
        </w:numPr>
        <w:spacing w:before="240"/>
        <w:rPr>
          <w:sz w:val="20"/>
          <w:szCs w:val="28"/>
        </w:rPr>
      </w:pPr>
      <w:r w:rsidRPr="00667CD1">
        <w:rPr>
          <w:sz w:val="20"/>
          <w:szCs w:val="28"/>
        </w:rPr>
        <w:t>Waiving 25 per cent of 2019-20 payroll tax for smaller businesses</w:t>
      </w:r>
    </w:p>
    <w:p w14:paraId="69A5247E" w14:textId="2B80F579" w:rsidR="00E86D0E" w:rsidRPr="00667CD1" w:rsidRDefault="2C2B8012" w:rsidP="00DC5EFC">
      <w:pPr>
        <w:pStyle w:val="BodyText"/>
        <w:rPr>
          <w:rFonts w:eastAsia="Arial"/>
          <w:color w:val="000000"/>
          <w:sz w:val="20"/>
          <w:szCs w:val="16"/>
          <w:shd w:val="clear" w:color="auto" w:fill="FFFFFF"/>
        </w:rPr>
      </w:pPr>
      <w:r w:rsidRPr="00667CD1">
        <w:rPr>
          <w:sz w:val="20"/>
          <w:szCs w:val="16"/>
        </w:rPr>
        <w:t>B</w:t>
      </w:r>
      <w:r w:rsidR="0E8620C7" w:rsidRPr="00667CD1">
        <w:rPr>
          <w:sz w:val="20"/>
          <w:szCs w:val="16"/>
        </w:rPr>
        <w:t>usi</w:t>
      </w:r>
      <w:r w:rsidR="5EF07B0A" w:rsidRPr="00667CD1">
        <w:rPr>
          <w:sz w:val="20"/>
          <w:szCs w:val="16"/>
        </w:rPr>
        <w:t>n</w:t>
      </w:r>
      <w:r w:rsidR="0E8620C7" w:rsidRPr="00667CD1">
        <w:rPr>
          <w:sz w:val="20"/>
          <w:szCs w:val="16"/>
        </w:rPr>
        <w:t xml:space="preserve">esses with grouped Australian wages of $10 million or less for 2019-20 </w:t>
      </w:r>
      <w:r w:rsidR="6E4AF46E" w:rsidRPr="00667CD1">
        <w:rPr>
          <w:sz w:val="20"/>
          <w:szCs w:val="16"/>
        </w:rPr>
        <w:t xml:space="preserve">had 25 per cent of their 2019-20 annual payroll tax </w:t>
      </w:r>
      <w:r w:rsidR="5D4A0F06" w:rsidRPr="00667CD1">
        <w:rPr>
          <w:sz w:val="20"/>
          <w:szCs w:val="16"/>
        </w:rPr>
        <w:t>waived</w:t>
      </w:r>
      <w:r w:rsidR="5BD1483E" w:rsidRPr="00667CD1">
        <w:rPr>
          <w:sz w:val="20"/>
          <w:szCs w:val="16"/>
        </w:rPr>
        <w:t xml:space="preserve"> by the NSW Government</w:t>
      </w:r>
      <w:r w:rsidR="5D4A0F06" w:rsidRPr="00667CD1">
        <w:rPr>
          <w:sz w:val="20"/>
          <w:szCs w:val="16"/>
        </w:rPr>
        <w:t xml:space="preserve">. </w:t>
      </w:r>
      <w:r w:rsidR="28B8041E" w:rsidRPr="00667CD1">
        <w:rPr>
          <w:sz w:val="20"/>
          <w:szCs w:val="16"/>
        </w:rPr>
        <w:t xml:space="preserve">This </w:t>
      </w:r>
      <w:r w:rsidR="002020C4" w:rsidRPr="00667CD1">
        <w:rPr>
          <w:sz w:val="20"/>
          <w:szCs w:val="16"/>
        </w:rPr>
        <w:t xml:space="preserve">measure </w:t>
      </w:r>
      <w:r w:rsidR="28B8041E" w:rsidRPr="00667CD1">
        <w:rPr>
          <w:sz w:val="20"/>
          <w:szCs w:val="16"/>
        </w:rPr>
        <w:t xml:space="preserve">was </w:t>
      </w:r>
      <w:r w:rsidR="006C0105" w:rsidRPr="00667CD1">
        <w:rPr>
          <w:sz w:val="20"/>
          <w:szCs w:val="16"/>
        </w:rPr>
        <w:t>designed</w:t>
      </w:r>
      <w:r w:rsidR="28B8041E" w:rsidRPr="00667CD1">
        <w:rPr>
          <w:sz w:val="20"/>
          <w:szCs w:val="16"/>
        </w:rPr>
        <w:t xml:space="preserve"> to help the</w:t>
      </w:r>
      <w:r w:rsidR="4C876206" w:rsidRPr="00667CD1">
        <w:rPr>
          <w:sz w:val="20"/>
          <w:szCs w:val="16"/>
        </w:rPr>
        <w:t>se businesses</w:t>
      </w:r>
      <w:r w:rsidR="28B8041E" w:rsidRPr="00667CD1">
        <w:rPr>
          <w:sz w:val="20"/>
          <w:szCs w:val="16"/>
        </w:rPr>
        <w:t xml:space="preserve"> </w:t>
      </w:r>
      <w:r w:rsidR="0337B6FB" w:rsidRPr="00667CD1">
        <w:rPr>
          <w:sz w:val="20"/>
          <w:szCs w:val="16"/>
        </w:rPr>
        <w:t xml:space="preserve">stay afloat during the pandemic and </w:t>
      </w:r>
      <w:r w:rsidR="4B48ADDA" w:rsidRPr="00667CD1">
        <w:rPr>
          <w:sz w:val="20"/>
          <w:szCs w:val="16"/>
        </w:rPr>
        <w:t xml:space="preserve">to help </w:t>
      </w:r>
      <w:r w:rsidR="4130A83B" w:rsidRPr="00667CD1">
        <w:rPr>
          <w:sz w:val="20"/>
          <w:szCs w:val="16"/>
        </w:rPr>
        <w:t xml:space="preserve">them </w:t>
      </w:r>
      <w:r w:rsidR="6968D77B" w:rsidRPr="00667CD1">
        <w:rPr>
          <w:sz w:val="20"/>
          <w:szCs w:val="16"/>
        </w:rPr>
        <w:t xml:space="preserve">retain </w:t>
      </w:r>
      <w:r w:rsidR="4130A83B" w:rsidRPr="00667CD1">
        <w:rPr>
          <w:sz w:val="20"/>
          <w:szCs w:val="16"/>
        </w:rPr>
        <w:t>staff</w:t>
      </w:r>
      <w:r w:rsidR="0337B6FB" w:rsidRPr="00667CD1">
        <w:rPr>
          <w:sz w:val="20"/>
          <w:szCs w:val="16"/>
        </w:rPr>
        <w:t>.</w:t>
      </w:r>
      <w:r w:rsidR="2EE080FB" w:rsidRPr="00667CD1">
        <w:rPr>
          <w:sz w:val="20"/>
          <w:szCs w:val="16"/>
        </w:rPr>
        <w:t xml:space="preserve"> </w:t>
      </w:r>
      <w:r w:rsidR="7B54B9E9" w:rsidRPr="00667CD1">
        <w:rPr>
          <w:rFonts w:eastAsia="Arial"/>
          <w:color w:val="000000"/>
          <w:sz w:val="20"/>
          <w:szCs w:val="16"/>
          <w:shd w:val="clear" w:color="auto" w:fill="FFFFFF"/>
        </w:rPr>
        <w:t>T</w:t>
      </w:r>
      <w:r w:rsidR="224034FA" w:rsidRPr="00667CD1">
        <w:rPr>
          <w:rFonts w:eastAsia="Arial"/>
          <w:color w:val="000000"/>
          <w:sz w:val="20"/>
          <w:szCs w:val="16"/>
          <w:shd w:val="clear" w:color="auto" w:fill="FFFFFF"/>
        </w:rPr>
        <w:t>his measure</w:t>
      </w:r>
      <w:r w:rsidR="2DA3755C" w:rsidRPr="00667CD1">
        <w:rPr>
          <w:rFonts w:eastAsia="Arial"/>
          <w:color w:val="000000"/>
          <w:sz w:val="20"/>
          <w:szCs w:val="16"/>
          <w:shd w:val="clear" w:color="auto" w:fill="FFFFFF"/>
        </w:rPr>
        <w:t xml:space="preserve"> </w:t>
      </w:r>
      <w:r w:rsidR="00C668EC" w:rsidRPr="00667CD1">
        <w:rPr>
          <w:rFonts w:eastAsia="Arial"/>
          <w:color w:val="000000"/>
          <w:sz w:val="20"/>
          <w:szCs w:val="16"/>
          <w:shd w:val="clear" w:color="auto" w:fill="FFFFFF"/>
        </w:rPr>
        <w:t xml:space="preserve">was expected to </w:t>
      </w:r>
      <w:r w:rsidR="7B54B9E9" w:rsidRPr="00667CD1">
        <w:rPr>
          <w:rFonts w:eastAsia="Arial"/>
          <w:color w:val="000000"/>
          <w:sz w:val="20"/>
          <w:szCs w:val="16"/>
          <w:shd w:val="clear" w:color="auto" w:fill="FFFFFF"/>
        </w:rPr>
        <w:t>lowe</w:t>
      </w:r>
      <w:r w:rsidR="00C668EC" w:rsidRPr="00667CD1">
        <w:rPr>
          <w:rFonts w:eastAsia="Arial"/>
          <w:color w:val="000000"/>
          <w:sz w:val="20"/>
          <w:szCs w:val="16"/>
          <w:shd w:val="clear" w:color="auto" w:fill="FFFFFF"/>
        </w:rPr>
        <w:t>r</w:t>
      </w:r>
      <w:r w:rsidR="7B54B9E9" w:rsidRPr="00667CD1">
        <w:rPr>
          <w:rFonts w:eastAsia="Arial"/>
          <w:color w:val="000000"/>
          <w:sz w:val="20"/>
          <w:szCs w:val="16"/>
          <w:shd w:val="clear" w:color="auto" w:fill="FFFFFF"/>
        </w:rPr>
        <w:t xml:space="preserve"> payroll tax </w:t>
      </w:r>
      <w:r w:rsidR="248ED734" w:rsidRPr="00667CD1">
        <w:rPr>
          <w:rFonts w:eastAsia="Arial"/>
          <w:color w:val="000000"/>
          <w:sz w:val="20"/>
          <w:szCs w:val="16"/>
          <w:shd w:val="clear" w:color="auto" w:fill="FFFFFF"/>
        </w:rPr>
        <w:t xml:space="preserve">revenue </w:t>
      </w:r>
      <w:r w:rsidR="7B54B9E9" w:rsidRPr="00667CD1">
        <w:rPr>
          <w:rFonts w:eastAsia="Arial"/>
          <w:color w:val="000000"/>
          <w:sz w:val="20"/>
          <w:szCs w:val="16"/>
          <w:shd w:val="clear" w:color="auto" w:fill="FFFFFF"/>
        </w:rPr>
        <w:t>by</w:t>
      </w:r>
      <w:r w:rsidR="2DA3755C" w:rsidRPr="00667CD1">
        <w:rPr>
          <w:rFonts w:eastAsia="Arial"/>
          <w:color w:val="000000"/>
          <w:sz w:val="20"/>
          <w:szCs w:val="16"/>
          <w:shd w:val="clear" w:color="auto" w:fill="FFFFFF"/>
        </w:rPr>
        <w:t xml:space="preserve"> $</w:t>
      </w:r>
      <w:r w:rsidR="16974400" w:rsidRPr="00667CD1">
        <w:rPr>
          <w:rFonts w:eastAsia="Arial"/>
          <w:color w:val="000000"/>
          <w:sz w:val="20"/>
          <w:szCs w:val="16"/>
          <w:shd w:val="clear" w:color="auto" w:fill="FFFFFF"/>
        </w:rPr>
        <w:t>450.0</w:t>
      </w:r>
      <w:r w:rsidR="2DA3755C" w:rsidRPr="00667CD1">
        <w:rPr>
          <w:rFonts w:eastAsia="Arial"/>
          <w:color w:val="000000"/>
          <w:sz w:val="20"/>
          <w:szCs w:val="16"/>
          <w:shd w:val="clear" w:color="auto" w:fill="FFFFFF"/>
        </w:rPr>
        <w:t xml:space="preserve"> million</w:t>
      </w:r>
      <w:r w:rsidR="7B54B9E9" w:rsidRPr="00667CD1">
        <w:rPr>
          <w:rFonts w:eastAsia="Arial"/>
          <w:color w:val="000000"/>
          <w:sz w:val="20"/>
          <w:szCs w:val="16"/>
          <w:shd w:val="clear" w:color="auto" w:fill="FFFFFF"/>
        </w:rPr>
        <w:t xml:space="preserve"> in 2019-20</w:t>
      </w:r>
      <w:r w:rsidR="6968D77B" w:rsidRPr="00667CD1">
        <w:rPr>
          <w:rFonts w:eastAsia="Arial"/>
          <w:color w:val="000000"/>
          <w:sz w:val="20"/>
          <w:szCs w:val="16"/>
          <w:shd w:val="clear" w:color="auto" w:fill="FFFFFF"/>
        </w:rPr>
        <w:t>.</w:t>
      </w:r>
      <w:r w:rsidR="445D9785" w:rsidRPr="00667CD1">
        <w:rPr>
          <w:rFonts w:eastAsia="Arial"/>
          <w:color w:val="000000"/>
          <w:sz w:val="20"/>
          <w:szCs w:val="16"/>
          <w:shd w:val="clear" w:color="auto" w:fill="FFFFFF"/>
        </w:rPr>
        <w:t xml:space="preserve"> </w:t>
      </w:r>
    </w:p>
    <w:p w14:paraId="023F6719" w14:textId="77777777" w:rsidR="001E1240" w:rsidRPr="00667CD1" w:rsidRDefault="001E1240">
      <w:pPr>
        <w:spacing w:after="200" w:line="276" w:lineRule="auto"/>
        <w:rPr>
          <w:rFonts w:ascii="Arial Bold" w:hAnsi="Arial Bold"/>
          <w:b/>
          <w:i/>
          <w:kern w:val="28"/>
          <w:szCs w:val="28"/>
        </w:rPr>
      </w:pPr>
      <w:r w:rsidRPr="00667CD1">
        <w:rPr>
          <w:sz w:val="16"/>
          <w:szCs w:val="16"/>
        </w:rPr>
        <w:br w:type="page"/>
      </w:r>
    </w:p>
    <w:p w14:paraId="3FF581F3" w14:textId="51CEB696" w:rsidR="00E86D0E" w:rsidRPr="00667CD1" w:rsidRDefault="00DC0264" w:rsidP="008D3B9A">
      <w:pPr>
        <w:pStyle w:val="Heading5"/>
        <w:numPr>
          <w:ilvl w:val="0"/>
          <w:numId w:val="0"/>
        </w:numPr>
        <w:spacing w:before="240"/>
        <w:rPr>
          <w:sz w:val="20"/>
          <w:szCs w:val="28"/>
        </w:rPr>
      </w:pPr>
      <w:r w:rsidRPr="00667CD1">
        <w:rPr>
          <w:sz w:val="20"/>
          <w:szCs w:val="28"/>
        </w:rPr>
        <w:lastRenderedPageBreak/>
        <w:t xml:space="preserve">Payroll tax exemption for </w:t>
      </w:r>
      <w:r w:rsidR="00E86D0E" w:rsidRPr="00667CD1">
        <w:rPr>
          <w:sz w:val="20"/>
          <w:szCs w:val="28"/>
        </w:rPr>
        <w:t xml:space="preserve">additional wages </w:t>
      </w:r>
      <w:r w:rsidRPr="00667CD1">
        <w:rPr>
          <w:sz w:val="20"/>
          <w:szCs w:val="28"/>
        </w:rPr>
        <w:t>arising from</w:t>
      </w:r>
      <w:r w:rsidR="00E86D0E" w:rsidRPr="00667CD1">
        <w:rPr>
          <w:sz w:val="20"/>
          <w:szCs w:val="28"/>
        </w:rPr>
        <w:t xml:space="preserve"> </w:t>
      </w:r>
      <w:proofErr w:type="spellStart"/>
      <w:r w:rsidR="00E86D0E" w:rsidRPr="00667CD1">
        <w:rPr>
          <w:sz w:val="20"/>
          <w:szCs w:val="28"/>
        </w:rPr>
        <w:t>JobKeeper</w:t>
      </w:r>
      <w:proofErr w:type="spellEnd"/>
    </w:p>
    <w:p w14:paraId="1D509FE1" w14:textId="65A51F15" w:rsidR="0056188C" w:rsidRPr="00667CD1" w:rsidRDefault="00E86D0E" w:rsidP="00DC5EFC">
      <w:pPr>
        <w:pStyle w:val="BodyText"/>
        <w:rPr>
          <w:sz w:val="20"/>
          <w:szCs w:val="16"/>
        </w:rPr>
      </w:pPr>
      <w:r w:rsidRPr="00667CD1">
        <w:rPr>
          <w:rFonts w:eastAsia="Arial"/>
          <w:color w:val="000000"/>
          <w:sz w:val="20"/>
          <w:szCs w:val="16"/>
          <w:shd w:val="clear" w:color="auto" w:fill="FFFFFF"/>
        </w:rPr>
        <w:t xml:space="preserve">The </w:t>
      </w:r>
      <w:r w:rsidR="001D53B6" w:rsidRPr="00667CD1">
        <w:rPr>
          <w:rFonts w:eastAsia="Arial"/>
          <w:color w:val="000000"/>
          <w:sz w:val="20"/>
          <w:szCs w:val="16"/>
          <w:shd w:val="clear" w:color="auto" w:fill="FFFFFF"/>
        </w:rPr>
        <w:t xml:space="preserve">NSW </w:t>
      </w:r>
      <w:r w:rsidRPr="00667CD1">
        <w:rPr>
          <w:rFonts w:eastAsia="Arial"/>
          <w:color w:val="000000"/>
          <w:sz w:val="20"/>
          <w:szCs w:val="16"/>
          <w:shd w:val="clear" w:color="auto" w:fill="FFFFFF"/>
        </w:rPr>
        <w:t xml:space="preserve">Government acted to ensure that businesses </w:t>
      </w:r>
      <w:r w:rsidR="00781DE7" w:rsidRPr="00667CD1">
        <w:rPr>
          <w:sz w:val="20"/>
          <w:szCs w:val="16"/>
        </w:rPr>
        <w:t xml:space="preserve">did </w:t>
      </w:r>
      <w:r w:rsidRPr="00667CD1">
        <w:rPr>
          <w:sz w:val="20"/>
          <w:szCs w:val="16"/>
        </w:rPr>
        <w:t xml:space="preserve">not face </w:t>
      </w:r>
      <w:r w:rsidR="00781DE7" w:rsidRPr="00667CD1">
        <w:rPr>
          <w:sz w:val="20"/>
          <w:szCs w:val="16"/>
        </w:rPr>
        <w:t xml:space="preserve">additional </w:t>
      </w:r>
      <w:r w:rsidRPr="00667CD1">
        <w:rPr>
          <w:sz w:val="20"/>
          <w:szCs w:val="16"/>
        </w:rPr>
        <w:t xml:space="preserve">costs </w:t>
      </w:r>
      <w:r w:rsidR="00781DE7" w:rsidRPr="00667CD1">
        <w:rPr>
          <w:sz w:val="20"/>
          <w:szCs w:val="16"/>
        </w:rPr>
        <w:t xml:space="preserve">when </w:t>
      </w:r>
      <w:r w:rsidRPr="00667CD1">
        <w:rPr>
          <w:sz w:val="20"/>
          <w:szCs w:val="16"/>
        </w:rPr>
        <w:t xml:space="preserve">passing on </w:t>
      </w:r>
      <w:proofErr w:type="spellStart"/>
      <w:r w:rsidRPr="00667CD1">
        <w:rPr>
          <w:sz w:val="20"/>
          <w:szCs w:val="16"/>
        </w:rPr>
        <w:t>JobKeeper</w:t>
      </w:r>
      <w:proofErr w:type="spellEnd"/>
      <w:r w:rsidR="00C96F3A" w:rsidRPr="00667CD1">
        <w:rPr>
          <w:sz w:val="20"/>
          <w:szCs w:val="16"/>
        </w:rPr>
        <w:t xml:space="preserve"> </w:t>
      </w:r>
      <w:r w:rsidRPr="00667CD1">
        <w:rPr>
          <w:sz w:val="20"/>
          <w:szCs w:val="16"/>
        </w:rPr>
        <w:t xml:space="preserve">payments to their employees. Under the </w:t>
      </w:r>
      <w:proofErr w:type="spellStart"/>
      <w:r w:rsidRPr="00667CD1">
        <w:rPr>
          <w:sz w:val="20"/>
          <w:szCs w:val="16"/>
        </w:rPr>
        <w:t>JobKeeper</w:t>
      </w:r>
      <w:proofErr w:type="spellEnd"/>
      <w:r w:rsidRPr="00667CD1">
        <w:rPr>
          <w:sz w:val="20"/>
          <w:szCs w:val="16"/>
        </w:rPr>
        <w:t xml:space="preserve"> scheme, employers must pay their eligible employees </w:t>
      </w:r>
      <w:r w:rsidR="00DC0264" w:rsidRPr="00667CD1">
        <w:rPr>
          <w:sz w:val="20"/>
          <w:szCs w:val="16"/>
        </w:rPr>
        <w:t xml:space="preserve">an amount </w:t>
      </w:r>
      <w:r w:rsidRPr="00667CD1">
        <w:rPr>
          <w:sz w:val="20"/>
          <w:szCs w:val="16"/>
        </w:rPr>
        <w:t xml:space="preserve">at least </w:t>
      </w:r>
      <w:r w:rsidR="00DC0264" w:rsidRPr="00667CD1">
        <w:rPr>
          <w:sz w:val="20"/>
          <w:szCs w:val="16"/>
        </w:rPr>
        <w:t>equal to</w:t>
      </w:r>
      <w:r w:rsidRPr="00667CD1">
        <w:rPr>
          <w:sz w:val="20"/>
          <w:szCs w:val="16"/>
        </w:rPr>
        <w:t xml:space="preserve"> the </w:t>
      </w:r>
      <w:proofErr w:type="spellStart"/>
      <w:r w:rsidRPr="00667CD1">
        <w:rPr>
          <w:sz w:val="20"/>
          <w:szCs w:val="16"/>
        </w:rPr>
        <w:t>JobKeeper</w:t>
      </w:r>
      <w:proofErr w:type="spellEnd"/>
      <w:r w:rsidRPr="00667CD1">
        <w:rPr>
          <w:sz w:val="20"/>
          <w:szCs w:val="16"/>
        </w:rPr>
        <w:t xml:space="preserve"> payment. The </w:t>
      </w:r>
      <w:r w:rsidR="0099408E" w:rsidRPr="00667CD1">
        <w:rPr>
          <w:sz w:val="20"/>
          <w:szCs w:val="16"/>
        </w:rPr>
        <w:t xml:space="preserve">NSW </w:t>
      </w:r>
      <w:r w:rsidRPr="00667CD1">
        <w:rPr>
          <w:sz w:val="20"/>
          <w:szCs w:val="16"/>
        </w:rPr>
        <w:t xml:space="preserve">Government </w:t>
      </w:r>
      <w:r w:rsidR="00DC0264" w:rsidRPr="00667CD1">
        <w:rPr>
          <w:sz w:val="20"/>
          <w:szCs w:val="16"/>
        </w:rPr>
        <w:t xml:space="preserve">has </w:t>
      </w:r>
      <w:r w:rsidRPr="00667CD1">
        <w:rPr>
          <w:sz w:val="20"/>
          <w:szCs w:val="16"/>
        </w:rPr>
        <w:t>exempted from payroll tax any additional wages paid to employees to meet this requirement.</w:t>
      </w:r>
      <w:r w:rsidR="00FE6FA3" w:rsidRPr="00667CD1">
        <w:rPr>
          <w:sz w:val="20"/>
          <w:szCs w:val="16"/>
        </w:rPr>
        <w:t xml:space="preserve"> </w:t>
      </w:r>
    </w:p>
    <w:p w14:paraId="633EC53A" w14:textId="5DC79EFC" w:rsidR="00C96F3A" w:rsidRPr="00667CD1" w:rsidRDefault="00E86D0E" w:rsidP="00DC5EFC">
      <w:pPr>
        <w:pStyle w:val="BodyText"/>
        <w:rPr>
          <w:sz w:val="20"/>
          <w:szCs w:val="16"/>
        </w:rPr>
      </w:pPr>
      <w:r w:rsidRPr="00667CD1">
        <w:rPr>
          <w:sz w:val="20"/>
          <w:szCs w:val="16"/>
        </w:rPr>
        <w:t xml:space="preserve">This means </w:t>
      </w:r>
      <w:r w:rsidR="006E3C3E" w:rsidRPr="00667CD1">
        <w:rPr>
          <w:sz w:val="20"/>
          <w:szCs w:val="16"/>
        </w:rPr>
        <w:t>that where</w:t>
      </w:r>
      <w:r w:rsidRPr="00667CD1">
        <w:rPr>
          <w:sz w:val="20"/>
          <w:szCs w:val="16"/>
        </w:rPr>
        <w:t xml:space="preserve"> an employee is</w:t>
      </w:r>
      <w:r w:rsidR="006E3C3E" w:rsidRPr="00667CD1">
        <w:rPr>
          <w:sz w:val="20"/>
          <w:szCs w:val="16"/>
        </w:rPr>
        <w:t xml:space="preserve"> </w:t>
      </w:r>
      <w:r w:rsidRPr="00667CD1">
        <w:rPr>
          <w:sz w:val="20"/>
          <w:szCs w:val="16"/>
        </w:rPr>
        <w:t>temporarily</w:t>
      </w:r>
      <w:r w:rsidR="006E3C3E" w:rsidRPr="00667CD1">
        <w:rPr>
          <w:sz w:val="20"/>
          <w:szCs w:val="16"/>
        </w:rPr>
        <w:t xml:space="preserve"> </w:t>
      </w:r>
      <w:r w:rsidRPr="00667CD1">
        <w:rPr>
          <w:sz w:val="20"/>
          <w:szCs w:val="16"/>
        </w:rPr>
        <w:t>stood down</w:t>
      </w:r>
      <w:r w:rsidR="006E3C3E" w:rsidRPr="00667CD1">
        <w:rPr>
          <w:sz w:val="20"/>
          <w:szCs w:val="16"/>
        </w:rPr>
        <w:t xml:space="preserve"> </w:t>
      </w:r>
      <w:r w:rsidRPr="00667CD1">
        <w:rPr>
          <w:sz w:val="20"/>
          <w:szCs w:val="16"/>
        </w:rPr>
        <w:t xml:space="preserve">from work duties, the full </w:t>
      </w:r>
      <w:proofErr w:type="spellStart"/>
      <w:r w:rsidRPr="00667CD1">
        <w:rPr>
          <w:sz w:val="20"/>
          <w:szCs w:val="16"/>
        </w:rPr>
        <w:t>JobKeeper</w:t>
      </w:r>
      <w:proofErr w:type="spellEnd"/>
      <w:r w:rsidRPr="00667CD1">
        <w:rPr>
          <w:sz w:val="20"/>
          <w:szCs w:val="16"/>
        </w:rPr>
        <w:t xml:space="preserve"> payment will be exempt from payroll tax.</w:t>
      </w:r>
      <w:r w:rsidR="006E3C3E" w:rsidRPr="00667CD1">
        <w:rPr>
          <w:sz w:val="20"/>
          <w:szCs w:val="16"/>
        </w:rPr>
        <w:t xml:space="preserve"> </w:t>
      </w:r>
      <w:r w:rsidRPr="00667CD1">
        <w:rPr>
          <w:sz w:val="20"/>
          <w:szCs w:val="16"/>
        </w:rPr>
        <w:t xml:space="preserve">For employees </w:t>
      </w:r>
      <w:r w:rsidR="00DC0264" w:rsidRPr="00667CD1">
        <w:rPr>
          <w:sz w:val="20"/>
          <w:szCs w:val="16"/>
        </w:rPr>
        <w:t xml:space="preserve">who ordinarily </w:t>
      </w:r>
      <w:r w:rsidRPr="00667CD1">
        <w:rPr>
          <w:sz w:val="20"/>
          <w:szCs w:val="16"/>
        </w:rPr>
        <w:t xml:space="preserve">earn less than the </w:t>
      </w:r>
      <w:proofErr w:type="spellStart"/>
      <w:r w:rsidRPr="00667CD1">
        <w:rPr>
          <w:sz w:val="20"/>
          <w:szCs w:val="16"/>
        </w:rPr>
        <w:t>JobKeeper</w:t>
      </w:r>
      <w:proofErr w:type="spellEnd"/>
      <w:r w:rsidRPr="00667CD1">
        <w:rPr>
          <w:sz w:val="20"/>
          <w:szCs w:val="16"/>
        </w:rPr>
        <w:t xml:space="preserve"> payment</w:t>
      </w:r>
      <w:r w:rsidR="00DC0264" w:rsidRPr="00667CD1">
        <w:rPr>
          <w:sz w:val="20"/>
          <w:szCs w:val="16"/>
        </w:rPr>
        <w:t xml:space="preserve"> amount</w:t>
      </w:r>
      <w:r w:rsidRPr="00667CD1">
        <w:rPr>
          <w:sz w:val="20"/>
          <w:szCs w:val="16"/>
        </w:rPr>
        <w:t xml:space="preserve">, the </w:t>
      </w:r>
      <w:r w:rsidR="00DC0264" w:rsidRPr="00667CD1">
        <w:rPr>
          <w:sz w:val="20"/>
          <w:szCs w:val="16"/>
        </w:rPr>
        <w:t xml:space="preserve">difference between their </w:t>
      </w:r>
      <w:r w:rsidR="003B3E73" w:rsidRPr="00667CD1">
        <w:rPr>
          <w:sz w:val="20"/>
          <w:szCs w:val="16"/>
        </w:rPr>
        <w:t xml:space="preserve">regular wage and the </w:t>
      </w:r>
      <w:proofErr w:type="spellStart"/>
      <w:r w:rsidR="003B3E73" w:rsidRPr="00667CD1">
        <w:rPr>
          <w:sz w:val="20"/>
          <w:szCs w:val="16"/>
        </w:rPr>
        <w:t>JobKeeper</w:t>
      </w:r>
      <w:proofErr w:type="spellEnd"/>
      <w:r w:rsidR="003B3E73" w:rsidRPr="00667CD1">
        <w:rPr>
          <w:sz w:val="20"/>
          <w:szCs w:val="16"/>
        </w:rPr>
        <w:t xml:space="preserve"> payment </w:t>
      </w:r>
      <w:r w:rsidRPr="00667CD1">
        <w:rPr>
          <w:sz w:val="20"/>
          <w:szCs w:val="16"/>
        </w:rPr>
        <w:t>will be exempt from payroll tax.</w:t>
      </w:r>
    </w:p>
    <w:p w14:paraId="63B7B86D" w14:textId="5B7F70EC" w:rsidR="00DB03D2" w:rsidRPr="00667CD1" w:rsidRDefault="00DB03D2" w:rsidP="00DC5EFC">
      <w:pPr>
        <w:pStyle w:val="BodyText"/>
        <w:rPr>
          <w:sz w:val="20"/>
          <w:szCs w:val="16"/>
        </w:rPr>
      </w:pPr>
      <w:r w:rsidRPr="00667CD1">
        <w:rPr>
          <w:sz w:val="20"/>
          <w:szCs w:val="16"/>
        </w:rPr>
        <w:t>The exemption is expected to reduce payroll tax revenue by $270.0 million, of which $130.0</w:t>
      </w:r>
      <w:r w:rsidR="00307DEF" w:rsidRPr="00667CD1">
        <w:rPr>
          <w:sz w:val="20"/>
          <w:szCs w:val="16"/>
        </w:rPr>
        <w:t> </w:t>
      </w:r>
      <w:r w:rsidRPr="00667CD1">
        <w:rPr>
          <w:sz w:val="20"/>
          <w:szCs w:val="16"/>
        </w:rPr>
        <w:t>million was for the 2019-20 year and $140.0 million for the 2020-21 financial year</w:t>
      </w:r>
      <w:r w:rsidR="00307DEF" w:rsidRPr="00667CD1">
        <w:rPr>
          <w:sz w:val="20"/>
          <w:szCs w:val="16"/>
        </w:rPr>
        <w:t>.</w:t>
      </w:r>
    </w:p>
    <w:p w14:paraId="1B91B949" w14:textId="4CBE863C" w:rsidR="00E86D0E" w:rsidRPr="00667CD1" w:rsidRDefault="00E86D0E" w:rsidP="008D3B9A">
      <w:pPr>
        <w:pStyle w:val="Heading5"/>
        <w:numPr>
          <w:ilvl w:val="0"/>
          <w:numId w:val="0"/>
        </w:numPr>
        <w:spacing w:before="240"/>
        <w:rPr>
          <w:sz w:val="20"/>
          <w:szCs w:val="28"/>
        </w:rPr>
      </w:pPr>
      <w:r w:rsidRPr="00667CD1">
        <w:rPr>
          <w:sz w:val="20"/>
          <w:szCs w:val="28"/>
        </w:rPr>
        <w:t xml:space="preserve">Land tax </w:t>
      </w:r>
      <w:r w:rsidR="008216E8" w:rsidRPr="00667CD1">
        <w:rPr>
          <w:sz w:val="20"/>
          <w:szCs w:val="28"/>
        </w:rPr>
        <w:t>relief</w:t>
      </w:r>
      <w:r w:rsidRPr="00667CD1">
        <w:rPr>
          <w:sz w:val="20"/>
          <w:szCs w:val="28"/>
        </w:rPr>
        <w:t xml:space="preserve"> for landlords, supporting rental relief for tenants </w:t>
      </w:r>
    </w:p>
    <w:p w14:paraId="54B95D26" w14:textId="4DC12456" w:rsidR="008216E8" w:rsidRPr="00667CD1" w:rsidRDefault="00F13ED4" w:rsidP="00DC5EFC">
      <w:pPr>
        <w:pStyle w:val="BodyText"/>
        <w:rPr>
          <w:sz w:val="20"/>
          <w:szCs w:val="16"/>
        </w:rPr>
      </w:pPr>
      <w:r w:rsidRPr="00667CD1">
        <w:rPr>
          <w:sz w:val="20"/>
          <w:szCs w:val="16"/>
        </w:rPr>
        <w:t>T</w:t>
      </w:r>
      <w:r w:rsidR="008216E8" w:rsidRPr="00667CD1">
        <w:rPr>
          <w:sz w:val="20"/>
          <w:szCs w:val="16"/>
        </w:rPr>
        <w:t xml:space="preserve">he Government is providing land tax relief for landlords </w:t>
      </w:r>
      <w:r w:rsidR="00694822" w:rsidRPr="00667CD1">
        <w:rPr>
          <w:sz w:val="20"/>
          <w:szCs w:val="16"/>
        </w:rPr>
        <w:t xml:space="preserve">who </w:t>
      </w:r>
      <w:r w:rsidR="008216E8" w:rsidRPr="00667CD1">
        <w:rPr>
          <w:sz w:val="20"/>
          <w:szCs w:val="16"/>
        </w:rPr>
        <w:t>reduce the rents of tenants</w:t>
      </w:r>
      <w:r w:rsidR="00017730" w:rsidRPr="00667CD1">
        <w:rPr>
          <w:sz w:val="20"/>
          <w:szCs w:val="16"/>
        </w:rPr>
        <w:t xml:space="preserve"> </w:t>
      </w:r>
      <w:r w:rsidR="00DB68B1" w:rsidRPr="00667CD1">
        <w:rPr>
          <w:sz w:val="20"/>
          <w:szCs w:val="16"/>
        </w:rPr>
        <w:t xml:space="preserve">experiencing </w:t>
      </w:r>
      <w:r w:rsidR="008216E8" w:rsidRPr="00667CD1">
        <w:rPr>
          <w:sz w:val="20"/>
          <w:szCs w:val="16"/>
        </w:rPr>
        <w:t>financial distress</w:t>
      </w:r>
      <w:r w:rsidR="00386F8D" w:rsidRPr="00667CD1">
        <w:rPr>
          <w:sz w:val="20"/>
          <w:szCs w:val="16"/>
        </w:rPr>
        <w:t xml:space="preserve"> as a result of </w:t>
      </w:r>
      <w:r w:rsidR="090DA995" w:rsidRPr="00667CD1">
        <w:rPr>
          <w:sz w:val="20"/>
          <w:szCs w:val="16"/>
        </w:rPr>
        <w:t>the pandemic</w:t>
      </w:r>
      <w:r w:rsidR="008216E8" w:rsidRPr="00667CD1">
        <w:rPr>
          <w:sz w:val="20"/>
          <w:szCs w:val="16"/>
        </w:rPr>
        <w:t xml:space="preserve">. </w:t>
      </w:r>
      <w:r w:rsidR="0012294E" w:rsidRPr="00667CD1">
        <w:rPr>
          <w:sz w:val="20"/>
          <w:szCs w:val="16"/>
        </w:rPr>
        <w:t>This</w:t>
      </w:r>
      <w:r w:rsidR="005B408C" w:rsidRPr="00667CD1">
        <w:rPr>
          <w:sz w:val="20"/>
          <w:szCs w:val="16"/>
        </w:rPr>
        <w:t xml:space="preserve"> is intended to </w:t>
      </w:r>
      <w:r w:rsidR="0012294E" w:rsidRPr="00667CD1">
        <w:rPr>
          <w:sz w:val="20"/>
          <w:szCs w:val="16"/>
        </w:rPr>
        <w:t xml:space="preserve">encourage landlords to allow tenants to remain in their current location during this difficult time. </w:t>
      </w:r>
      <w:r w:rsidR="008216E8" w:rsidRPr="00667CD1">
        <w:rPr>
          <w:sz w:val="20"/>
          <w:szCs w:val="16"/>
        </w:rPr>
        <w:t xml:space="preserve">Landlords can receive land tax relief </w:t>
      </w:r>
      <w:r w:rsidR="003456F6" w:rsidRPr="00667CD1">
        <w:rPr>
          <w:sz w:val="20"/>
          <w:szCs w:val="16"/>
        </w:rPr>
        <w:t xml:space="preserve">(in the 2020 land tax year) </w:t>
      </w:r>
      <w:r w:rsidR="008216E8" w:rsidRPr="00667CD1">
        <w:rPr>
          <w:sz w:val="20"/>
          <w:szCs w:val="16"/>
        </w:rPr>
        <w:t>of up to 50 per cent of the</w:t>
      </w:r>
      <w:r w:rsidR="00D910DF" w:rsidRPr="00667CD1">
        <w:rPr>
          <w:sz w:val="20"/>
          <w:szCs w:val="16"/>
        </w:rPr>
        <w:t>ir</w:t>
      </w:r>
      <w:r w:rsidR="008216E8" w:rsidRPr="00667CD1">
        <w:rPr>
          <w:sz w:val="20"/>
          <w:szCs w:val="16"/>
        </w:rPr>
        <w:t xml:space="preserve"> land tax </w:t>
      </w:r>
      <w:r w:rsidR="00D910DF" w:rsidRPr="00667CD1">
        <w:rPr>
          <w:sz w:val="20"/>
          <w:szCs w:val="16"/>
        </w:rPr>
        <w:t xml:space="preserve">liability </w:t>
      </w:r>
      <w:r w:rsidR="00C22729" w:rsidRPr="00667CD1">
        <w:rPr>
          <w:sz w:val="20"/>
          <w:szCs w:val="16"/>
        </w:rPr>
        <w:t>relating to the</w:t>
      </w:r>
      <w:r w:rsidR="008216E8" w:rsidRPr="00667CD1">
        <w:rPr>
          <w:sz w:val="20"/>
          <w:szCs w:val="16"/>
        </w:rPr>
        <w:t xml:space="preserve"> land leased. </w:t>
      </w:r>
      <w:r w:rsidR="002F6257" w:rsidRPr="00667CD1">
        <w:rPr>
          <w:sz w:val="20"/>
          <w:szCs w:val="16"/>
        </w:rPr>
        <w:t>Th</w:t>
      </w:r>
      <w:r w:rsidR="003E1E57" w:rsidRPr="00667CD1">
        <w:rPr>
          <w:sz w:val="20"/>
          <w:szCs w:val="16"/>
        </w:rPr>
        <w:t>is</w:t>
      </w:r>
      <w:r w:rsidR="002F6257" w:rsidRPr="00667CD1">
        <w:rPr>
          <w:sz w:val="20"/>
          <w:szCs w:val="16"/>
        </w:rPr>
        <w:t xml:space="preserve"> Budget </w:t>
      </w:r>
      <w:r w:rsidR="00756CE8" w:rsidRPr="00667CD1">
        <w:rPr>
          <w:sz w:val="20"/>
          <w:szCs w:val="16"/>
        </w:rPr>
        <w:t>extend</w:t>
      </w:r>
      <w:r w:rsidR="002F6257" w:rsidRPr="00667CD1">
        <w:rPr>
          <w:sz w:val="20"/>
          <w:szCs w:val="16"/>
        </w:rPr>
        <w:t xml:space="preserve">s this support </w:t>
      </w:r>
      <w:r w:rsidR="00756CE8" w:rsidRPr="00667CD1">
        <w:rPr>
          <w:sz w:val="20"/>
          <w:szCs w:val="16"/>
        </w:rPr>
        <w:t xml:space="preserve">to provide </w:t>
      </w:r>
      <w:r w:rsidR="001A2B43" w:rsidRPr="00667CD1">
        <w:rPr>
          <w:sz w:val="20"/>
          <w:szCs w:val="16"/>
        </w:rPr>
        <w:t xml:space="preserve">land tax relief </w:t>
      </w:r>
      <w:r w:rsidR="005F45DD" w:rsidRPr="00667CD1">
        <w:rPr>
          <w:sz w:val="20"/>
          <w:szCs w:val="16"/>
        </w:rPr>
        <w:t>of</w:t>
      </w:r>
      <w:r w:rsidR="001A2B43" w:rsidRPr="00667CD1">
        <w:rPr>
          <w:sz w:val="20"/>
          <w:szCs w:val="16"/>
        </w:rPr>
        <w:t xml:space="preserve"> </w:t>
      </w:r>
      <w:r w:rsidR="00756CE8" w:rsidRPr="00667CD1">
        <w:rPr>
          <w:sz w:val="20"/>
          <w:szCs w:val="16"/>
        </w:rPr>
        <w:t xml:space="preserve">up to 25 per cent </w:t>
      </w:r>
      <w:r w:rsidR="001A2B43" w:rsidRPr="00667CD1">
        <w:rPr>
          <w:sz w:val="20"/>
          <w:szCs w:val="16"/>
        </w:rPr>
        <w:t>for the 2021 land tax year</w:t>
      </w:r>
      <w:r w:rsidR="00895475" w:rsidRPr="00667CD1">
        <w:rPr>
          <w:sz w:val="20"/>
          <w:szCs w:val="16"/>
        </w:rPr>
        <w:t xml:space="preserve"> for landlords of retail tenants</w:t>
      </w:r>
      <w:r w:rsidR="001A2B43" w:rsidRPr="00667CD1">
        <w:rPr>
          <w:sz w:val="20"/>
          <w:szCs w:val="16"/>
        </w:rPr>
        <w:t>.</w:t>
      </w:r>
    </w:p>
    <w:p w14:paraId="54D7FDB4" w14:textId="4F79AE28" w:rsidR="00A80A9A" w:rsidRPr="00667CD1" w:rsidRDefault="00A80A9A" w:rsidP="00DC5EFC">
      <w:pPr>
        <w:pStyle w:val="BodyText"/>
        <w:rPr>
          <w:sz w:val="20"/>
          <w:szCs w:val="16"/>
        </w:rPr>
      </w:pPr>
      <w:r w:rsidRPr="00667CD1">
        <w:rPr>
          <w:sz w:val="20"/>
          <w:szCs w:val="16"/>
        </w:rPr>
        <w:t xml:space="preserve">Landlords can receive land tax relief of up to 25 per cent for rental reductions provided </w:t>
      </w:r>
      <w:r w:rsidR="00EB490F" w:rsidRPr="00667CD1">
        <w:rPr>
          <w:sz w:val="20"/>
          <w:szCs w:val="16"/>
        </w:rPr>
        <w:t>in</w:t>
      </w:r>
      <w:r w:rsidRPr="00667CD1">
        <w:rPr>
          <w:sz w:val="20"/>
          <w:szCs w:val="16"/>
        </w:rPr>
        <w:t xml:space="preserve"> each of the periods from 1 April 2020 to 30 September 2020, 1 October 2020 to 31 December 2020 and 1 January 2021 to 28 March 2021.</w:t>
      </w:r>
    </w:p>
    <w:p w14:paraId="66376B0C" w14:textId="431BF270" w:rsidR="008216E8" w:rsidRPr="00667CD1" w:rsidRDefault="008216E8" w:rsidP="00DC5EFC">
      <w:pPr>
        <w:pStyle w:val="BodyText"/>
        <w:rPr>
          <w:sz w:val="20"/>
          <w:szCs w:val="16"/>
        </w:rPr>
      </w:pPr>
      <w:r w:rsidRPr="00667CD1">
        <w:rPr>
          <w:sz w:val="20"/>
          <w:szCs w:val="16"/>
        </w:rPr>
        <w:t>To qualify for</w:t>
      </w:r>
      <w:r w:rsidR="00017730" w:rsidRPr="00667CD1">
        <w:rPr>
          <w:sz w:val="20"/>
          <w:szCs w:val="16"/>
        </w:rPr>
        <w:t xml:space="preserve"> </w:t>
      </w:r>
      <w:r w:rsidR="003F264C" w:rsidRPr="00667CD1">
        <w:rPr>
          <w:sz w:val="20"/>
          <w:szCs w:val="16"/>
        </w:rPr>
        <w:t>the</w:t>
      </w:r>
      <w:r w:rsidR="00017730" w:rsidRPr="00667CD1">
        <w:rPr>
          <w:sz w:val="20"/>
          <w:szCs w:val="16"/>
        </w:rPr>
        <w:t xml:space="preserve"> </w:t>
      </w:r>
      <w:r w:rsidRPr="00667CD1">
        <w:rPr>
          <w:sz w:val="20"/>
          <w:szCs w:val="16"/>
        </w:rPr>
        <w:t>relief, landlords must reduce the rents of commercial tenants who have faced at least a 30 per cent reduction in turnover, or residential tenants who have faced at least a 25</w:t>
      </w:r>
      <w:r w:rsidR="00307DEF" w:rsidRPr="00667CD1">
        <w:rPr>
          <w:sz w:val="20"/>
          <w:szCs w:val="16"/>
        </w:rPr>
        <w:t> </w:t>
      </w:r>
      <w:r w:rsidRPr="00667CD1">
        <w:rPr>
          <w:sz w:val="20"/>
          <w:szCs w:val="16"/>
        </w:rPr>
        <w:t xml:space="preserve">per cent reduction in household income. </w:t>
      </w:r>
      <w:r w:rsidR="00571C74" w:rsidRPr="00667CD1">
        <w:rPr>
          <w:sz w:val="20"/>
          <w:szCs w:val="16"/>
        </w:rPr>
        <w:t>In 2020,</w:t>
      </w:r>
      <w:r w:rsidR="00C06B8D" w:rsidRPr="00667CD1">
        <w:rPr>
          <w:sz w:val="20"/>
          <w:szCs w:val="16"/>
        </w:rPr>
        <w:t xml:space="preserve"> c</w:t>
      </w:r>
      <w:r w:rsidR="005E0AF7" w:rsidRPr="00667CD1">
        <w:rPr>
          <w:sz w:val="20"/>
          <w:szCs w:val="16"/>
        </w:rPr>
        <w:t xml:space="preserve">ommercial tenants must </w:t>
      </w:r>
      <w:r w:rsidR="006F3774" w:rsidRPr="00667CD1">
        <w:rPr>
          <w:sz w:val="20"/>
          <w:szCs w:val="16"/>
        </w:rPr>
        <w:t xml:space="preserve">have </w:t>
      </w:r>
      <w:r w:rsidR="00A4395A" w:rsidRPr="00667CD1">
        <w:rPr>
          <w:sz w:val="20"/>
          <w:szCs w:val="16"/>
        </w:rPr>
        <w:t>an</w:t>
      </w:r>
      <w:r w:rsidR="00C06B8D" w:rsidRPr="00667CD1">
        <w:rPr>
          <w:sz w:val="20"/>
          <w:szCs w:val="16"/>
        </w:rPr>
        <w:t xml:space="preserve"> annual turnover of </w:t>
      </w:r>
      <w:r w:rsidR="00A4395A" w:rsidRPr="00667CD1">
        <w:rPr>
          <w:sz w:val="20"/>
          <w:szCs w:val="16"/>
        </w:rPr>
        <w:t>not more than</w:t>
      </w:r>
      <w:r w:rsidR="00C06B8D" w:rsidRPr="00667CD1">
        <w:rPr>
          <w:sz w:val="20"/>
          <w:szCs w:val="16"/>
        </w:rPr>
        <w:t xml:space="preserve"> $50</w:t>
      </w:r>
      <w:r w:rsidR="00A20D7D" w:rsidRPr="00667CD1">
        <w:rPr>
          <w:sz w:val="20"/>
          <w:szCs w:val="16"/>
        </w:rPr>
        <w:t>.0</w:t>
      </w:r>
      <w:r w:rsidR="00C06B8D" w:rsidRPr="00667CD1">
        <w:rPr>
          <w:sz w:val="20"/>
          <w:szCs w:val="16"/>
        </w:rPr>
        <w:t xml:space="preserve"> million</w:t>
      </w:r>
      <w:r w:rsidR="00077B9E" w:rsidRPr="00667CD1">
        <w:rPr>
          <w:sz w:val="20"/>
          <w:szCs w:val="16"/>
        </w:rPr>
        <w:t xml:space="preserve">, </w:t>
      </w:r>
      <w:proofErr w:type="gramStart"/>
      <w:r w:rsidR="00077B9E" w:rsidRPr="00667CD1">
        <w:rPr>
          <w:sz w:val="20"/>
          <w:szCs w:val="16"/>
        </w:rPr>
        <w:t>in order for</w:t>
      </w:r>
      <w:proofErr w:type="gramEnd"/>
      <w:r w:rsidR="00077B9E" w:rsidRPr="00667CD1">
        <w:rPr>
          <w:sz w:val="20"/>
          <w:szCs w:val="16"/>
        </w:rPr>
        <w:t xml:space="preserve"> the rental reductions</w:t>
      </w:r>
      <w:r w:rsidR="001D0A1F" w:rsidRPr="00667CD1">
        <w:rPr>
          <w:sz w:val="20"/>
          <w:szCs w:val="16"/>
        </w:rPr>
        <w:t xml:space="preserve"> to be eligible</w:t>
      </w:r>
      <w:r w:rsidR="00FA5C1F" w:rsidRPr="00667CD1">
        <w:rPr>
          <w:sz w:val="20"/>
          <w:szCs w:val="16"/>
        </w:rPr>
        <w:t xml:space="preserve">. </w:t>
      </w:r>
      <w:r w:rsidR="00644E5C" w:rsidRPr="00667CD1">
        <w:rPr>
          <w:sz w:val="20"/>
          <w:szCs w:val="16"/>
        </w:rPr>
        <w:t>In 2021, the relief</w:t>
      </w:r>
      <w:r w:rsidR="00A32E27" w:rsidRPr="00667CD1">
        <w:rPr>
          <w:sz w:val="20"/>
          <w:szCs w:val="16"/>
        </w:rPr>
        <w:t xml:space="preserve"> will</w:t>
      </w:r>
      <w:r w:rsidR="00644E5C" w:rsidRPr="00667CD1">
        <w:rPr>
          <w:sz w:val="20"/>
          <w:szCs w:val="16"/>
        </w:rPr>
        <w:t xml:space="preserve"> </w:t>
      </w:r>
      <w:r w:rsidR="00EB240B" w:rsidRPr="00667CD1">
        <w:rPr>
          <w:sz w:val="20"/>
          <w:szCs w:val="16"/>
        </w:rPr>
        <w:t xml:space="preserve">be limited to </w:t>
      </w:r>
      <w:r w:rsidR="00EC6B63" w:rsidRPr="00667CD1">
        <w:rPr>
          <w:sz w:val="20"/>
          <w:szCs w:val="16"/>
        </w:rPr>
        <w:t xml:space="preserve">rental reductions provided to </w:t>
      </w:r>
      <w:r w:rsidR="00937108" w:rsidRPr="00667CD1">
        <w:rPr>
          <w:sz w:val="20"/>
          <w:szCs w:val="16"/>
        </w:rPr>
        <w:t xml:space="preserve">retail </w:t>
      </w:r>
      <w:r w:rsidR="000442B0" w:rsidRPr="00667CD1">
        <w:rPr>
          <w:sz w:val="20"/>
          <w:szCs w:val="16"/>
        </w:rPr>
        <w:t>tenants</w:t>
      </w:r>
      <w:r w:rsidR="00EB240B" w:rsidRPr="00667CD1">
        <w:rPr>
          <w:sz w:val="20"/>
          <w:szCs w:val="16"/>
        </w:rPr>
        <w:t xml:space="preserve"> with </w:t>
      </w:r>
      <w:r w:rsidR="009E7DE3" w:rsidRPr="00667CD1">
        <w:rPr>
          <w:sz w:val="20"/>
          <w:szCs w:val="16"/>
        </w:rPr>
        <w:t>annual turnover of up to $5</w:t>
      </w:r>
      <w:r w:rsidR="00A20D7D" w:rsidRPr="00667CD1">
        <w:rPr>
          <w:sz w:val="20"/>
          <w:szCs w:val="16"/>
        </w:rPr>
        <w:t>.0</w:t>
      </w:r>
      <w:r w:rsidR="009E7DE3" w:rsidRPr="00667CD1">
        <w:rPr>
          <w:sz w:val="20"/>
          <w:szCs w:val="16"/>
        </w:rPr>
        <w:t xml:space="preserve"> million.</w:t>
      </w:r>
    </w:p>
    <w:p w14:paraId="42AB4549" w14:textId="78A32076" w:rsidR="00EF196A" w:rsidRPr="00667CD1" w:rsidRDefault="007974EA" w:rsidP="00DC5EFC">
      <w:pPr>
        <w:pStyle w:val="BodyText"/>
        <w:rPr>
          <w:sz w:val="20"/>
          <w:szCs w:val="16"/>
        </w:rPr>
      </w:pPr>
      <w:r w:rsidRPr="00667CD1">
        <w:rPr>
          <w:sz w:val="20"/>
          <w:szCs w:val="16"/>
        </w:rPr>
        <w:t xml:space="preserve">This relief is provided as a grant payment </w:t>
      </w:r>
      <w:r w:rsidR="00327CFE" w:rsidRPr="00667CD1">
        <w:rPr>
          <w:sz w:val="20"/>
          <w:szCs w:val="16"/>
        </w:rPr>
        <w:t xml:space="preserve">and is therefore recognised as expenditure </w:t>
      </w:r>
      <w:r w:rsidRPr="00667CD1">
        <w:rPr>
          <w:sz w:val="20"/>
          <w:szCs w:val="16"/>
        </w:rPr>
        <w:t>rather than fore</w:t>
      </w:r>
      <w:r w:rsidR="00F450E2" w:rsidRPr="00667CD1">
        <w:rPr>
          <w:sz w:val="20"/>
          <w:szCs w:val="16"/>
        </w:rPr>
        <w:t>gone revenue</w:t>
      </w:r>
      <w:r w:rsidR="00327CFE" w:rsidRPr="00667CD1">
        <w:rPr>
          <w:sz w:val="20"/>
          <w:szCs w:val="16"/>
        </w:rPr>
        <w:t>.</w:t>
      </w:r>
      <w:r w:rsidR="00F450E2" w:rsidRPr="00667CD1">
        <w:rPr>
          <w:sz w:val="20"/>
          <w:szCs w:val="16"/>
        </w:rPr>
        <w:t xml:space="preserve"> </w:t>
      </w:r>
      <w:r w:rsidR="00327CFE" w:rsidRPr="00667CD1">
        <w:rPr>
          <w:sz w:val="20"/>
          <w:szCs w:val="16"/>
        </w:rPr>
        <w:t>It</w:t>
      </w:r>
      <w:r w:rsidR="008216E8" w:rsidRPr="00667CD1">
        <w:rPr>
          <w:sz w:val="20"/>
          <w:szCs w:val="16"/>
        </w:rPr>
        <w:t xml:space="preserve"> </w:t>
      </w:r>
      <w:r w:rsidR="00961FC1" w:rsidRPr="00667CD1">
        <w:rPr>
          <w:sz w:val="20"/>
          <w:szCs w:val="16"/>
        </w:rPr>
        <w:t>i</w:t>
      </w:r>
      <w:r w:rsidR="008216E8" w:rsidRPr="00667CD1">
        <w:rPr>
          <w:sz w:val="20"/>
          <w:szCs w:val="16"/>
        </w:rPr>
        <w:t xml:space="preserve">s expected to </w:t>
      </w:r>
      <w:r w:rsidR="000008D5" w:rsidRPr="00667CD1">
        <w:rPr>
          <w:sz w:val="20"/>
          <w:szCs w:val="16"/>
        </w:rPr>
        <w:t xml:space="preserve">raise government expenditure by </w:t>
      </w:r>
      <w:r w:rsidR="008216E8" w:rsidRPr="00667CD1">
        <w:rPr>
          <w:sz w:val="20"/>
          <w:szCs w:val="16"/>
        </w:rPr>
        <w:t>$</w:t>
      </w:r>
      <w:r w:rsidR="003841BA" w:rsidRPr="00667CD1">
        <w:rPr>
          <w:sz w:val="20"/>
          <w:szCs w:val="16"/>
        </w:rPr>
        <w:t>450</w:t>
      </w:r>
      <w:r w:rsidR="00AD0E43" w:rsidRPr="00667CD1">
        <w:rPr>
          <w:sz w:val="20"/>
          <w:szCs w:val="16"/>
        </w:rPr>
        <w:t>.0</w:t>
      </w:r>
      <w:r w:rsidR="008216E8" w:rsidRPr="00667CD1">
        <w:rPr>
          <w:sz w:val="20"/>
          <w:szCs w:val="16"/>
        </w:rPr>
        <w:t xml:space="preserve"> million over 2019-20 and 2020-21.</w:t>
      </w:r>
    </w:p>
    <w:p w14:paraId="27D15941" w14:textId="77777777" w:rsidR="00794196" w:rsidRPr="00667CD1" w:rsidRDefault="00794196" w:rsidP="008D3B9A">
      <w:pPr>
        <w:pStyle w:val="Heading5"/>
        <w:numPr>
          <w:ilvl w:val="0"/>
          <w:numId w:val="0"/>
        </w:numPr>
        <w:spacing w:before="240"/>
        <w:rPr>
          <w:sz w:val="20"/>
          <w:szCs w:val="28"/>
        </w:rPr>
      </w:pPr>
      <w:r w:rsidRPr="00667CD1">
        <w:rPr>
          <w:sz w:val="20"/>
          <w:szCs w:val="28"/>
        </w:rPr>
        <w:t xml:space="preserve">Land tax concession for build-to-rent properties </w:t>
      </w:r>
    </w:p>
    <w:p w14:paraId="02C8D2BC" w14:textId="0D53664C" w:rsidR="00794196" w:rsidRPr="00667CD1" w:rsidRDefault="00794196" w:rsidP="00DC5EFC">
      <w:pPr>
        <w:pStyle w:val="BodyText"/>
        <w:rPr>
          <w:sz w:val="20"/>
          <w:szCs w:val="16"/>
        </w:rPr>
      </w:pPr>
      <w:r w:rsidRPr="00667CD1">
        <w:rPr>
          <w:sz w:val="20"/>
          <w:szCs w:val="16"/>
        </w:rPr>
        <w:t xml:space="preserve">Build-to-rent housing </w:t>
      </w:r>
      <w:r w:rsidR="00512077" w:rsidRPr="00667CD1">
        <w:rPr>
          <w:sz w:val="20"/>
          <w:szCs w:val="16"/>
        </w:rPr>
        <w:t>can</w:t>
      </w:r>
      <w:r w:rsidRPr="00667CD1">
        <w:rPr>
          <w:sz w:val="20"/>
          <w:szCs w:val="16"/>
        </w:rPr>
        <w:t xml:space="preserve"> provid</w:t>
      </w:r>
      <w:r w:rsidR="0059464C" w:rsidRPr="00667CD1">
        <w:rPr>
          <w:sz w:val="20"/>
          <w:szCs w:val="16"/>
        </w:rPr>
        <w:t>e</w:t>
      </w:r>
      <w:r w:rsidRPr="00667CD1">
        <w:rPr>
          <w:sz w:val="20"/>
          <w:szCs w:val="16"/>
        </w:rPr>
        <w:t xml:space="preserve"> high-quality rental accommodation</w:t>
      </w:r>
      <w:r w:rsidR="00512077" w:rsidRPr="00667CD1">
        <w:rPr>
          <w:sz w:val="20"/>
          <w:szCs w:val="16"/>
        </w:rPr>
        <w:t xml:space="preserve"> </w:t>
      </w:r>
      <w:r w:rsidR="00305C6E" w:rsidRPr="00667CD1">
        <w:rPr>
          <w:sz w:val="20"/>
          <w:szCs w:val="16"/>
        </w:rPr>
        <w:t>with</w:t>
      </w:r>
      <w:r w:rsidR="00512077" w:rsidRPr="00667CD1">
        <w:rPr>
          <w:sz w:val="20"/>
          <w:szCs w:val="16"/>
        </w:rPr>
        <w:t xml:space="preserve"> long-term leases</w:t>
      </w:r>
      <w:r w:rsidR="0059464C" w:rsidRPr="00667CD1">
        <w:rPr>
          <w:sz w:val="20"/>
          <w:szCs w:val="16"/>
        </w:rPr>
        <w:t xml:space="preserve">, </w:t>
      </w:r>
      <w:r w:rsidRPr="00667CD1">
        <w:rPr>
          <w:sz w:val="20"/>
          <w:szCs w:val="16"/>
        </w:rPr>
        <w:t>offer</w:t>
      </w:r>
      <w:r w:rsidR="00512077" w:rsidRPr="00667CD1">
        <w:rPr>
          <w:sz w:val="20"/>
          <w:szCs w:val="16"/>
        </w:rPr>
        <w:t>ing</w:t>
      </w:r>
      <w:r w:rsidRPr="00667CD1">
        <w:rPr>
          <w:sz w:val="20"/>
          <w:szCs w:val="16"/>
        </w:rPr>
        <w:t xml:space="preserve"> greater security for tenants</w:t>
      </w:r>
      <w:r w:rsidR="00512077" w:rsidRPr="00667CD1">
        <w:rPr>
          <w:sz w:val="20"/>
          <w:szCs w:val="16"/>
        </w:rPr>
        <w:t xml:space="preserve">. The Government is encouraging more </w:t>
      </w:r>
      <w:r w:rsidR="00BC29E3" w:rsidRPr="00667CD1">
        <w:rPr>
          <w:sz w:val="20"/>
          <w:szCs w:val="16"/>
        </w:rPr>
        <w:t xml:space="preserve">rental </w:t>
      </w:r>
      <w:r w:rsidR="003948D1" w:rsidRPr="00667CD1">
        <w:rPr>
          <w:sz w:val="20"/>
          <w:szCs w:val="16"/>
        </w:rPr>
        <w:t>housing</w:t>
      </w:r>
      <w:r w:rsidR="00512077" w:rsidRPr="00667CD1">
        <w:rPr>
          <w:sz w:val="20"/>
          <w:szCs w:val="16"/>
        </w:rPr>
        <w:t xml:space="preserve"> through land tax concessions</w:t>
      </w:r>
      <w:r w:rsidR="00BC29E3" w:rsidRPr="00667CD1">
        <w:rPr>
          <w:sz w:val="20"/>
          <w:szCs w:val="16"/>
        </w:rPr>
        <w:t xml:space="preserve"> of up to 50 per cent on applicable land</w:t>
      </w:r>
      <w:r w:rsidR="00512077" w:rsidRPr="00667CD1">
        <w:rPr>
          <w:sz w:val="20"/>
          <w:szCs w:val="16"/>
        </w:rPr>
        <w:t xml:space="preserve"> – until 2040</w:t>
      </w:r>
      <w:r w:rsidR="00512077" w:rsidRPr="00667CD1" w:rsidDel="008D3433">
        <w:rPr>
          <w:sz w:val="20"/>
          <w:szCs w:val="16"/>
        </w:rPr>
        <w:t xml:space="preserve"> </w:t>
      </w:r>
      <w:r w:rsidR="008D3433" w:rsidRPr="00667CD1">
        <w:rPr>
          <w:sz w:val="20"/>
          <w:szCs w:val="16"/>
        </w:rPr>
        <w:t xml:space="preserve">– </w:t>
      </w:r>
      <w:r w:rsidR="00512077" w:rsidRPr="00667CD1">
        <w:rPr>
          <w:sz w:val="20"/>
          <w:szCs w:val="16"/>
        </w:rPr>
        <w:t>for new build-to-rent development that commenced construction on or after 1 July 2020</w:t>
      </w:r>
      <w:r w:rsidRPr="00667CD1">
        <w:rPr>
          <w:sz w:val="20"/>
          <w:szCs w:val="16"/>
        </w:rPr>
        <w:t>.</w:t>
      </w:r>
    </w:p>
    <w:p w14:paraId="6D492978" w14:textId="0E574CF5" w:rsidR="00794196" w:rsidRPr="00667CD1" w:rsidRDefault="00794196" w:rsidP="00DC5EFC">
      <w:pPr>
        <w:pStyle w:val="BodyText"/>
        <w:rPr>
          <w:sz w:val="20"/>
          <w:szCs w:val="16"/>
        </w:rPr>
      </w:pPr>
      <w:r w:rsidRPr="00667CD1">
        <w:rPr>
          <w:sz w:val="20"/>
          <w:szCs w:val="16"/>
        </w:rPr>
        <w:t xml:space="preserve">The concession </w:t>
      </w:r>
      <w:r w:rsidR="00327CFE" w:rsidRPr="00667CD1">
        <w:rPr>
          <w:sz w:val="20"/>
          <w:szCs w:val="16"/>
        </w:rPr>
        <w:t xml:space="preserve">aims to ensure that </w:t>
      </w:r>
      <w:r w:rsidR="00BB5ECD" w:rsidRPr="00667CD1">
        <w:rPr>
          <w:sz w:val="20"/>
          <w:szCs w:val="16"/>
        </w:rPr>
        <w:t xml:space="preserve">build-to-rent developments </w:t>
      </w:r>
      <w:r w:rsidR="00647384" w:rsidRPr="00667CD1">
        <w:rPr>
          <w:sz w:val="20"/>
          <w:szCs w:val="16"/>
        </w:rPr>
        <w:t>are subject to similar overall amounts of state</w:t>
      </w:r>
      <w:r w:rsidR="00BB5ECD" w:rsidRPr="00667CD1">
        <w:rPr>
          <w:sz w:val="20"/>
          <w:szCs w:val="16"/>
        </w:rPr>
        <w:t xml:space="preserve"> tax as </w:t>
      </w:r>
      <w:r w:rsidR="00647384" w:rsidRPr="00667CD1">
        <w:rPr>
          <w:sz w:val="20"/>
          <w:szCs w:val="16"/>
        </w:rPr>
        <w:t xml:space="preserve">comparable </w:t>
      </w:r>
      <w:r w:rsidR="00BB5ECD" w:rsidRPr="00667CD1">
        <w:rPr>
          <w:sz w:val="20"/>
          <w:szCs w:val="16"/>
        </w:rPr>
        <w:t xml:space="preserve">build-to-sell </w:t>
      </w:r>
      <w:r w:rsidRPr="00667CD1" w:rsidDel="00727FED">
        <w:rPr>
          <w:sz w:val="20"/>
          <w:szCs w:val="16"/>
        </w:rPr>
        <w:t>development</w:t>
      </w:r>
      <w:r w:rsidR="0059464C" w:rsidRPr="00667CD1" w:rsidDel="00727FED">
        <w:rPr>
          <w:sz w:val="20"/>
          <w:szCs w:val="16"/>
        </w:rPr>
        <w:t>s</w:t>
      </w:r>
      <w:r w:rsidRPr="00667CD1">
        <w:rPr>
          <w:sz w:val="20"/>
          <w:szCs w:val="16"/>
        </w:rPr>
        <w:t xml:space="preserve">. A build-to-rent property must meet several eligibility criteria, including that the property is managed under unified ownership and must not be sub-divided within the first 15 years. </w:t>
      </w:r>
    </w:p>
    <w:p w14:paraId="2AC8E31F" w14:textId="22309153" w:rsidR="00794196" w:rsidRPr="00667CD1" w:rsidRDefault="00794196" w:rsidP="00DC5EFC">
      <w:pPr>
        <w:pStyle w:val="BodyText"/>
        <w:rPr>
          <w:sz w:val="20"/>
          <w:szCs w:val="16"/>
        </w:rPr>
      </w:pPr>
      <w:r w:rsidRPr="00667CD1">
        <w:rPr>
          <w:sz w:val="20"/>
          <w:szCs w:val="16"/>
        </w:rPr>
        <w:t>Eligible build-to-rent properties are also exempt from foreign investor surcharges</w:t>
      </w:r>
      <w:r w:rsidR="00366596" w:rsidRPr="00667CD1">
        <w:rPr>
          <w:sz w:val="20"/>
          <w:szCs w:val="16"/>
        </w:rPr>
        <w:t>.</w:t>
      </w:r>
    </w:p>
    <w:p w14:paraId="29518956" w14:textId="67478D02" w:rsidR="009F7B3E" w:rsidRPr="00667CD1" w:rsidRDefault="00A20BAB" w:rsidP="00DC5EFC">
      <w:pPr>
        <w:pStyle w:val="BodyText"/>
        <w:rPr>
          <w:sz w:val="20"/>
          <w:szCs w:val="16"/>
        </w:rPr>
      </w:pPr>
      <w:r w:rsidRPr="00667CD1">
        <w:rPr>
          <w:sz w:val="20"/>
          <w:szCs w:val="16"/>
        </w:rPr>
        <w:t>B</w:t>
      </w:r>
      <w:r w:rsidR="00253847" w:rsidRPr="00667CD1">
        <w:rPr>
          <w:sz w:val="20"/>
          <w:szCs w:val="16"/>
        </w:rPr>
        <w:t xml:space="preserve">uild-to-rent </w:t>
      </w:r>
      <w:r w:rsidR="007422B5" w:rsidRPr="00667CD1">
        <w:rPr>
          <w:sz w:val="20"/>
          <w:szCs w:val="16"/>
        </w:rPr>
        <w:t>properties</w:t>
      </w:r>
      <w:r w:rsidR="00253847" w:rsidRPr="00667CD1">
        <w:rPr>
          <w:sz w:val="20"/>
          <w:szCs w:val="16"/>
        </w:rPr>
        <w:t xml:space="preserve"> </w:t>
      </w:r>
      <w:r w:rsidR="00F1438B" w:rsidRPr="00667CD1">
        <w:rPr>
          <w:sz w:val="20"/>
          <w:szCs w:val="16"/>
        </w:rPr>
        <w:t xml:space="preserve">that qualify for the </w:t>
      </w:r>
      <w:r w:rsidR="001437ED" w:rsidRPr="00667CD1">
        <w:rPr>
          <w:sz w:val="20"/>
          <w:szCs w:val="16"/>
        </w:rPr>
        <w:t xml:space="preserve">50 per cent land tax discount </w:t>
      </w:r>
      <w:r w:rsidR="00CC60E2" w:rsidRPr="00667CD1">
        <w:rPr>
          <w:sz w:val="20"/>
          <w:szCs w:val="16"/>
        </w:rPr>
        <w:t>are</w:t>
      </w:r>
      <w:r w:rsidR="00253847" w:rsidRPr="00667CD1">
        <w:rPr>
          <w:sz w:val="20"/>
          <w:szCs w:val="16"/>
        </w:rPr>
        <w:t xml:space="preserve"> expected to generate </w:t>
      </w:r>
      <w:r w:rsidR="007422B5" w:rsidRPr="00667CD1">
        <w:rPr>
          <w:sz w:val="20"/>
          <w:szCs w:val="16"/>
        </w:rPr>
        <w:t>a comparable amount of</w:t>
      </w:r>
      <w:r w:rsidR="00253847" w:rsidRPr="00667CD1">
        <w:rPr>
          <w:sz w:val="20"/>
          <w:szCs w:val="16"/>
        </w:rPr>
        <w:t xml:space="preserve"> tax revenue </w:t>
      </w:r>
      <w:r w:rsidR="00CC60E2" w:rsidRPr="00667CD1">
        <w:rPr>
          <w:sz w:val="20"/>
          <w:szCs w:val="16"/>
        </w:rPr>
        <w:t xml:space="preserve">in the long run as </w:t>
      </w:r>
      <w:r w:rsidR="00253847" w:rsidRPr="00667CD1">
        <w:rPr>
          <w:sz w:val="20"/>
          <w:szCs w:val="16"/>
        </w:rPr>
        <w:t xml:space="preserve">build-to-sell </w:t>
      </w:r>
      <w:r w:rsidR="00CC60E2" w:rsidRPr="00667CD1">
        <w:rPr>
          <w:sz w:val="20"/>
          <w:szCs w:val="16"/>
        </w:rPr>
        <w:t>properties</w:t>
      </w:r>
      <w:r w:rsidR="004519BC" w:rsidRPr="00667CD1">
        <w:rPr>
          <w:sz w:val="20"/>
          <w:szCs w:val="16"/>
        </w:rPr>
        <w:t>.</w:t>
      </w:r>
      <w:r w:rsidR="00253847" w:rsidRPr="00667CD1">
        <w:rPr>
          <w:sz w:val="20"/>
          <w:szCs w:val="16"/>
        </w:rPr>
        <w:t xml:space="preserve"> With build-to-sell developments, all individual properties generate transfer duty, but only a minority of units generate land tax. A build</w:t>
      </w:r>
      <w:r w:rsidR="006120FB" w:rsidRPr="00667CD1">
        <w:rPr>
          <w:sz w:val="20"/>
          <w:szCs w:val="16"/>
        </w:rPr>
        <w:t>-</w:t>
      </w:r>
      <w:r w:rsidR="00253847" w:rsidRPr="00667CD1">
        <w:rPr>
          <w:sz w:val="20"/>
          <w:szCs w:val="16"/>
        </w:rPr>
        <w:t>to</w:t>
      </w:r>
      <w:r w:rsidR="006120FB" w:rsidRPr="00667CD1">
        <w:rPr>
          <w:sz w:val="20"/>
          <w:szCs w:val="16"/>
        </w:rPr>
        <w:t>-</w:t>
      </w:r>
      <w:r w:rsidR="00253847" w:rsidRPr="00667CD1">
        <w:rPr>
          <w:sz w:val="20"/>
          <w:szCs w:val="16"/>
        </w:rPr>
        <w:t>rent property</w:t>
      </w:r>
      <w:r w:rsidR="007422B5" w:rsidRPr="00667CD1">
        <w:rPr>
          <w:sz w:val="20"/>
          <w:szCs w:val="16"/>
        </w:rPr>
        <w:t>, by contrast,</w:t>
      </w:r>
      <w:r w:rsidR="00253847" w:rsidRPr="00667CD1">
        <w:rPr>
          <w:sz w:val="20"/>
          <w:szCs w:val="16"/>
        </w:rPr>
        <w:t xml:space="preserve"> would generate land tax from all units</w:t>
      </w:r>
      <w:r w:rsidR="007422B5" w:rsidRPr="00667CD1">
        <w:rPr>
          <w:sz w:val="20"/>
          <w:szCs w:val="16"/>
        </w:rPr>
        <w:t>,</w:t>
      </w:r>
      <w:r w:rsidR="00253847" w:rsidRPr="00667CD1">
        <w:rPr>
          <w:sz w:val="20"/>
          <w:szCs w:val="16"/>
        </w:rPr>
        <w:t xml:space="preserve"> for at least 15 year</w:t>
      </w:r>
      <w:r w:rsidR="007422B5" w:rsidRPr="00667CD1">
        <w:rPr>
          <w:sz w:val="20"/>
          <w:szCs w:val="16"/>
        </w:rPr>
        <w:t>s.</w:t>
      </w:r>
      <w:r w:rsidR="00253847" w:rsidRPr="00667CD1">
        <w:rPr>
          <w:sz w:val="20"/>
          <w:szCs w:val="16"/>
        </w:rPr>
        <w:t xml:space="preserve"> </w:t>
      </w:r>
      <w:r w:rsidR="009F7B3E" w:rsidRPr="00667CD1">
        <w:rPr>
          <w:sz w:val="20"/>
          <w:szCs w:val="16"/>
        </w:rPr>
        <w:t xml:space="preserve">This measure is </w:t>
      </w:r>
      <w:r w:rsidR="00253847" w:rsidRPr="00667CD1">
        <w:rPr>
          <w:sz w:val="20"/>
          <w:szCs w:val="16"/>
        </w:rPr>
        <w:t xml:space="preserve">therefore </w:t>
      </w:r>
      <w:r w:rsidR="009F7B3E" w:rsidRPr="00667CD1">
        <w:rPr>
          <w:sz w:val="20"/>
          <w:szCs w:val="16"/>
        </w:rPr>
        <w:t>expected to be broadly revenue neutral over the four years to 2023-24.</w:t>
      </w:r>
    </w:p>
    <w:p w14:paraId="235D5987" w14:textId="2CD654A0" w:rsidR="00E86D0E" w:rsidRPr="00667CD1" w:rsidRDefault="00E86D0E" w:rsidP="008D3B9A">
      <w:pPr>
        <w:pStyle w:val="Heading5"/>
        <w:numPr>
          <w:ilvl w:val="0"/>
          <w:numId w:val="0"/>
        </w:numPr>
        <w:spacing w:before="240"/>
        <w:rPr>
          <w:sz w:val="20"/>
          <w:szCs w:val="28"/>
        </w:rPr>
      </w:pPr>
      <w:r w:rsidRPr="00667CD1">
        <w:rPr>
          <w:sz w:val="20"/>
          <w:szCs w:val="28"/>
        </w:rPr>
        <w:t>Reducing transfer duty for first home buyers purchasing new homes</w:t>
      </w:r>
    </w:p>
    <w:p w14:paraId="4F404997" w14:textId="077FEC52" w:rsidR="00E86D0E" w:rsidRPr="00667CD1" w:rsidRDefault="00E86D0E" w:rsidP="00DC5EFC">
      <w:pPr>
        <w:pStyle w:val="BodyText"/>
        <w:rPr>
          <w:sz w:val="20"/>
          <w:szCs w:val="16"/>
        </w:rPr>
      </w:pPr>
      <w:r w:rsidRPr="00667CD1">
        <w:rPr>
          <w:sz w:val="20"/>
          <w:szCs w:val="16"/>
        </w:rPr>
        <w:t>The Government has increased first home buyer concessions by reducing transfer duty for one year for new homes valued between $650,000 and $1</w:t>
      </w:r>
      <w:r w:rsidR="006B3445" w:rsidRPr="00667CD1">
        <w:rPr>
          <w:sz w:val="20"/>
          <w:szCs w:val="16"/>
        </w:rPr>
        <w:t>.0</w:t>
      </w:r>
      <w:r w:rsidRPr="00667CD1">
        <w:rPr>
          <w:sz w:val="20"/>
          <w:szCs w:val="16"/>
        </w:rPr>
        <w:t xml:space="preserve"> million. A first home buyer will pay no </w:t>
      </w:r>
      <w:r w:rsidR="008D3433" w:rsidRPr="00667CD1">
        <w:rPr>
          <w:sz w:val="20"/>
          <w:szCs w:val="16"/>
        </w:rPr>
        <w:t>transfer</w:t>
      </w:r>
      <w:r w:rsidRPr="00667CD1">
        <w:rPr>
          <w:sz w:val="20"/>
          <w:szCs w:val="16"/>
        </w:rPr>
        <w:t xml:space="preserve"> duty when they purchase a new home valued up to $800,000, and a concessional rate of duty when purchasing a new home valued between $800,000 and $1</w:t>
      </w:r>
      <w:r w:rsidR="00226A1D" w:rsidRPr="00667CD1">
        <w:rPr>
          <w:sz w:val="20"/>
          <w:szCs w:val="16"/>
        </w:rPr>
        <w:t>.0</w:t>
      </w:r>
      <w:r w:rsidR="00F54411" w:rsidRPr="00667CD1">
        <w:rPr>
          <w:sz w:val="20"/>
          <w:szCs w:val="16"/>
        </w:rPr>
        <w:t> </w:t>
      </w:r>
      <w:r w:rsidRPr="00667CD1">
        <w:rPr>
          <w:sz w:val="20"/>
          <w:szCs w:val="16"/>
        </w:rPr>
        <w:t xml:space="preserve">million. </w:t>
      </w:r>
    </w:p>
    <w:p w14:paraId="70540383" w14:textId="059BC3AC" w:rsidR="00E86D0E" w:rsidRPr="00667CD1" w:rsidRDefault="00E86D0E" w:rsidP="00DC5EFC">
      <w:pPr>
        <w:pStyle w:val="BodyText"/>
        <w:rPr>
          <w:sz w:val="20"/>
          <w:szCs w:val="16"/>
        </w:rPr>
      </w:pPr>
      <w:r w:rsidRPr="00667CD1">
        <w:rPr>
          <w:sz w:val="20"/>
          <w:szCs w:val="16"/>
        </w:rPr>
        <w:t xml:space="preserve">Transfer duty is also reduced for first home buyers of vacant land, with exemptions applying for land valued up to $400,000, and concessions applying for land valued up to $500,000. This </w:t>
      </w:r>
      <w:r w:rsidR="00866F95" w:rsidRPr="00667CD1">
        <w:rPr>
          <w:sz w:val="20"/>
          <w:szCs w:val="16"/>
        </w:rPr>
        <w:t xml:space="preserve">is an </w:t>
      </w:r>
      <w:r w:rsidRPr="00667CD1">
        <w:rPr>
          <w:sz w:val="20"/>
          <w:szCs w:val="16"/>
        </w:rPr>
        <w:t xml:space="preserve">increase </w:t>
      </w:r>
      <w:r w:rsidR="00866F95" w:rsidRPr="00667CD1">
        <w:rPr>
          <w:sz w:val="20"/>
          <w:szCs w:val="16"/>
        </w:rPr>
        <w:t xml:space="preserve">on </w:t>
      </w:r>
      <w:r w:rsidRPr="00667CD1">
        <w:rPr>
          <w:sz w:val="20"/>
          <w:szCs w:val="16"/>
        </w:rPr>
        <w:t xml:space="preserve">the previous </w:t>
      </w:r>
      <w:r w:rsidR="00866F95" w:rsidRPr="00667CD1">
        <w:rPr>
          <w:sz w:val="20"/>
          <w:szCs w:val="16"/>
        </w:rPr>
        <w:t xml:space="preserve">level of </w:t>
      </w:r>
      <w:r w:rsidRPr="00667CD1">
        <w:rPr>
          <w:sz w:val="20"/>
          <w:szCs w:val="16"/>
        </w:rPr>
        <w:t xml:space="preserve">support, which provided an exemption for land valued up to $350,000, and concessions for land valued up to $450,000. </w:t>
      </w:r>
    </w:p>
    <w:p w14:paraId="6217BABD" w14:textId="77777777" w:rsidR="00E86D0E" w:rsidRPr="00667CD1" w:rsidRDefault="00E86D0E" w:rsidP="00DC5EFC">
      <w:pPr>
        <w:pStyle w:val="BodyText"/>
        <w:rPr>
          <w:sz w:val="20"/>
          <w:szCs w:val="16"/>
        </w:rPr>
      </w:pPr>
      <w:r w:rsidRPr="00667CD1">
        <w:rPr>
          <w:sz w:val="20"/>
          <w:szCs w:val="16"/>
        </w:rPr>
        <w:lastRenderedPageBreak/>
        <w:t xml:space="preserve">The increased concessions are in place from 1 August 2020 to 31 July 2021. </w:t>
      </w:r>
    </w:p>
    <w:p w14:paraId="67812449" w14:textId="3C205BCB" w:rsidR="00E86D0E" w:rsidRPr="00667CD1" w:rsidRDefault="00E86D0E" w:rsidP="00DC5EFC">
      <w:pPr>
        <w:pStyle w:val="BodyText"/>
        <w:rPr>
          <w:sz w:val="20"/>
          <w:szCs w:val="16"/>
        </w:rPr>
      </w:pPr>
      <w:r w:rsidRPr="00667CD1">
        <w:rPr>
          <w:sz w:val="20"/>
          <w:szCs w:val="16"/>
        </w:rPr>
        <w:t>By targeting new homes, this measure will support demand for new construction, w</w:t>
      </w:r>
      <w:r w:rsidR="00A30ABA" w:rsidRPr="00667CD1">
        <w:rPr>
          <w:sz w:val="20"/>
          <w:szCs w:val="16"/>
        </w:rPr>
        <w:t>ith positive</w:t>
      </w:r>
      <w:r w:rsidRPr="00667CD1">
        <w:rPr>
          <w:sz w:val="20"/>
          <w:szCs w:val="16"/>
        </w:rPr>
        <w:t xml:space="preserve"> flow-on effects on jobs, spending and the economy more broadly. Under this new policy, a first home buyer will save up to $31,335 when they purchase a new home worth up to $800,000. This measure is expected to cost $</w:t>
      </w:r>
      <w:r w:rsidR="00FB6071" w:rsidRPr="00667CD1">
        <w:rPr>
          <w:sz w:val="20"/>
          <w:szCs w:val="16"/>
        </w:rPr>
        <w:t>52</w:t>
      </w:r>
      <w:r w:rsidR="008216E8" w:rsidRPr="00667CD1">
        <w:rPr>
          <w:sz w:val="20"/>
          <w:szCs w:val="16"/>
        </w:rPr>
        <w:t>.0 million</w:t>
      </w:r>
      <w:r w:rsidRPr="00667CD1">
        <w:rPr>
          <w:sz w:val="20"/>
          <w:szCs w:val="16"/>
        </w:rPr>
        <w:t xml:space="preserve"> in 2020-21 and $</w:t>
      </w:r>
      <w:r w:rsidR="00FB6071" w:rsidRPr="00667CD1">
        <w:rPr>
          <w:sz w:val="20"/>
          <w:szCs w:val="16"/>
        </w:rPr>
        <w:t>26</w:t>
      </w:r>
      <w:r w:rsidR="008216E8" w:rsidRPr="00667CD1">
        <w:rPr>
          <w:sz w:val="20"/>
          <w:szCs w:val="16"/>
        </w:rPr>
        <w:t>.0 million</w:t>
      </w:r>
      <w:r w:rsidRPr="00667CD1">
        <w:rPr>
          <w:sz w:val="20"/>
          <w:szCs w:val="16"/>
        </w:rPr>
        <w:t xml:space="preserve"> in 2021-22.</w:t>
      </w:r>
    </w:p>
    <w:p w14:paraId="459FFB52" w14:textId="6EE7A3D2" w:rsidR="00A04BC2" w:rsidRPr="00667CD1" w:rsidRDefault="00A04BC2" w:rsidP="008D3B9A">
      <w:pPr>
        <w:pStyle w:val="Heading5"/>
        <w:numPr>
          <w:ilvl w:val="0"/>
          <w:numId w:val="0"/>
        </w:numPr>
        <w:spacing w:before="240"/>
        <w:rPr>
          <w:sz w:val="20"/>
          <w:szCs w:val="28"/>
        </w:rPr>
      </w:pPr>
      <w:bookmarkStart w:id="1" w:name="_Hlk53124173"/>
      <w:r w:rsidRPr="00667CD1">
        <w:rPr>
          <w:sz w:val="20"/>
          <w:szCs w:val="28"/>
        </w:rPr>
        <w:t xml:space="preserve">Transfer duty relief for </w:t>
      </w:r>
      <w:r w:rsidR="007422B5" w:rsidRPr="00667CD1">
        <w:rPr>
          <w:sz w:val="20"/>
          <w:szCs w:val="28"/>
        </w:rPr>
        <w:t>bushfire victims</w:t>
      </w:r>
    </w:p>
    <w:p w14:paraId="257946F1" w14:textId="2BB5F935" w:rsidR="00A04BC2" w:rsidRPr="00667CD1" w:rsidRDefault="00A04BC2" w:rsidP="00DC5EFC">
      <w:pPr>
        <w:pStyle w:val="BodyText"/>
        <w:rPr>
          <w:sz w:val="20"/>
          <w:szCs w:val="16"/>
        </w:rPr>
      </w:pPr>
      <w:r w:rsidRPr="00667CD1">
        <w:rPr>
          <w:sz w:val="20"/>
          <w:szCs w:val="16"/>
        </w:rPr>
        <w:t>The 2019-20 bushfires ravaged vast stretches of regional N</w:t>
      </w:r>
      <w:r w:rsidR="00BC29E3" w:rsidRPr="00667CD1">
        <w:rPr>
          <w:sz w:val="20"/>
          <w:szCs w:val="16"/>
        </w:rPr>
        <w:t xml:space="preserve">ew </w:t>
      </w:r>
      <w:r w:rsidRPr="00667CD1">
        <w:rPr>
          <w:sz w:val="20"/>
          <w:szCs w:val="16"/>
        </w:rPr>
        <w:t>S</w:t>
      </w:r>
      <w:r w:rsidR="00BC29E3" w:rsidRPr="00667CD1">
        <w:rPr>
          <w:sz w:val="20"/>
          <w:szCs w:val="16"/>
        </w:rPr>
        <w:t>out</w:t>
      </w:r>
      <w:r w:rsidR="00727FED" w:rsidRPr="00667CD1">
        <w:rPr>
          <w:sz w:val="20"/>
          <w:szCs w:val="16"/>
        </w:rPr>
        <w:t>h</w:t>
      </w:r>
      <w:r w:rsidR="00BC29E3" w:rsidRPr="00667CD1">
        <w:rPr>
          <w:sz w:val="20"/>
          <w:szCs w:val="16"/>
        </w:rPr>
        <w:t xml:space="preserve"> </w:t>
      </w:r>
      <w:r w:rsidRPr="00667CD1">
        <w:rPr>
          <w:sz w:val="20"/>
          <w:szCs w:val="16"/>
        </w:rPr>
        <w:t>W</w:t>
      </w:r>
      <w:r w:rsidR="00BC29E3" w:rsidRPr="00667CD1">
        <w:rPr>
          <w:sz w:val="20"/>
          <w:szCs w:val="16"/>
        </w:rPr>
        <w:t>ales</w:t>
      </w:r>
      <w:r w:rsidRPr="00667CD1">
        <w:rPr>
          <w:sz w:val="20"/>
          <w:szCs w:val="16"/>
        </w:rPr>
        <w:t xml:space="preserve"> and </w:t>
      </w:r>
      <w:r w:rsidR="00FB14A3" w:rsidRPr="00667CD1">
        <w:rPr>
          <w:sz w:val="20"/>
          <w:szCs w:val="16"/>
        </w:rPr>
        <w:t>destroyed</w:t>
      </w:r>
      <w:r w:rsidR="003008B3" w:rsidRPr="00667CD1">
        <w:rPr>
          <w:sz w:val="20"/>
          <w:szCs w:val="16"/>
        </w:rPr>
        <w:t xml:space="preserve"> </w:t>
      </w:r>
      <w:r w:rsidRPr="00667CD1">
        <w:rPr>
          <w:sz w:val="20"/>
          <w:szCs w:val="16"/>
        </w:rPr>
        <w:t xml:space="preserve">thousands of homes. People who lost their homes in the 2019-20 bushfires </w:t>
      </w:r>
      <w:r w:rsidR="00BC29E3" w:rsidRPr="00667CD1">
        <w:rPr>
          <w:sz w:val="20"/>
          <w:szCs w:val="16"/>
        </w:rPr>
        <w:t xml:space="preserve">can </w:t>
      </w:r>
      <w:r w:rsidRPr="00667CD1">
        <w:rPr>
          <w:sz w:val="20"/>
          <w:szCs w:val="16"/>
        </w:rPr>
        <w:t>access up to $55,000 in transfer duty relief if they</w:t>
      </w:r>
      <w:r w:rsidR="00BC29E3" w:rsidRPr="00667CD1">
        <w:rPr>
          <w:sz w:val="20"/>
          <w:szCs w:val="16"/>
        </w:rPr>
        <w:t xml:space="preserve"> </w:t>
      </w:r>
      <w:r w:rsidRPr="00667CD1">
        <w:rPr>
          <w:sz w:val="20"/>
          <w:szCs w:val="16"/>
        </w:rPr>
        <w:t xml:space="preserve">purchase a replacement property elsewhere </w:t>
      </w:r>
      <w:r w:rsidR="00BC29E3" w:rsidRPr="00667CD1">
        <w:rPr>
          <w:sz w:val="20"/>
          <w:szCs w:val="16"/>
        </w:rPr>
        <w:t xml:space="preserve">in New South Wales </w:t>
      </w:r>
      <w:r w:rsidRPr="00667CD1">
        <w:rPr>
          <w:sz w:val="20"/>
          <w:szCs w:val="16"/>
        </w:rPr>
        <w:t>rather than rebuild. Applications are open until 2 March 2022.</w:t>
      </w:r>
    </w:p>
    <w:p w14:paraId="0379255B" w14:textId="0F8AE443" w:rsidR="00794196" w:rsidRPr="00667CD1" w:rsidRDefault="00A04BC2" w:rsidP="00DC5EFC">
      <w:pPr>
        <w:pStyle w:val="BodyText"/>
        <w:rPr>
          <w:sz w:val="20"/>
          <w:szCs w:val="16"/>
        </w:rPr>
      </w:pPr>
      <w:bookmarkStart w:id="2" w:name="_Hlk53677672"/>
      <w:r w:rsidRPr="00667CD1">
        <w:rPr>
          <w:sz w:val="20"/>
          <w:szCs w:val="16"/>
        </w:rPr>
        <w:t xml:space="preserve">This measure </w:t>
      </w:r>
      <w:r w:rsidR="0095562C" w:rsidRPr="00667CD1">
        <w:rPr>
          <w:sz w:val="20"/>
          <w:szCs w:val="16"/>
        </w:rPr>
        <w:t>i</w:t>
      </w:r>
      <w:r w:rsidR="00F54B82" w:rsidRPr="00667CD1">
        <w:rPr>
          <w:sz w:val="20"/>
          <w:szCs w:val="16"/>
        </w:rPr>
        <w:t>s expect</w:t>
      </w:r>
      <w:r w:rsidR="008E7854" w:rsidRPr="00667CD1">
        <w:rPr>
          <w:sz w:val="20"/>
          <w:szCs w:val="16"/>
        </w:rPr>
        <w:t>e</w:t>
      </w:r>
      <w:r w:rsidR="00F54B82" w:rsidRPr="00667CD1">
        <w:rPr>
          <w:sz w:val="20"/>
          <w:szCs w:val="16"/>
        </w:rPr>
        <w:t xml:space="preserve">d to </w:t>
      </w:r>
      <w:r w:rsidRPr="00667CD1">
        <w:rPr>
          <w:sz w:val="20"/>
          <w:szCs w:val="16"/>
        </w:rPr>
        <w:t>cost $</w:t>
      </w:r>
      <w:r w:rsidR="00F54B82" w:rsidRPr="00667CD1">
        <w:rPr>
          <w:sz w:val="20"/>
          <w:szCs w:val="16"/>
        </w:rPr>
        <w:t>5.0</w:t>
      </w:r>
      <w:r w:rsidRPr="00667CD1">
        <w:rPr>
          <w:sz w:val="20"/>
          <w:szCs w:val="16"/>
        </w:rPr>
        <w:t xml:space="preserve"> million in 2019-20 and $5</w:t>
      </w:r>
      <w:r w:rsidR="00BC29E3" w:rsidRPr="00667CD1">
        <w:rPr>
          <w:sz w:val="20"/>
          <w:szCs w:val="16"/>
        </w:rPr>
        <w:t>.0</w:t>
      </w:r>
      <w:r w:rsidRPr="00667CD1">
        <w:rPr>
          <w:sz w:val="20"/>
          <w:szCs w:val="16"/>
        </w:rPr>
        <w:t xml:space="preserve"> million in 2020-21.</w:t>
      </w:r>
      <w:bookmarkEnd w:id="2"/>
      <w:r w:rsidRPr="00667CD1">
        <w:rPr>
          <w:sz w:val="20"/>
          <w:szCs w:val="16"/>
        </w:rPr>
        <w:t xml:space="preserve"> </w:t>
      </w:r>
      <w:r w:rsidR="00BC29E3" w:rsidRPr="00667CD1">
        <w:rPr>
          <w:sz w:val="20"/>
          <w:szCs w:val="16"/>
        </w:rPr>
        <w:t>T</w:t>
      </w:r>
      <w:r w:rsidRPr="00667CD1">
        <w:rPr>
          <w:sz w:val="20"/>
          <w:szCs w:val="16"/>
        </w:rPr>
        <w:t xml:space="preserve">he amount of transfer duty relief is calculated with reference to a homebuyer’s transfer duty liability. </w:t>
      </w:r>
      <w:r w:rsidR="00406AD3" w:rsidRPr="00667CD1">
        <w:rPr>
          <w:sz w:val="20"/>
          <w:szCs w:val="16"/>
        </w:rPr>
        <w:t>However, as the r</w:t>
      </w:r>
      <w:r w:rsidR="007422B5" w:rsidRPr="00667CD1">
        <w:rPr>
          <w:sz w:val="20"/>
          <w:szCs w:val="16"/>
        </w:rPr>
        <w:t>elief is paid as a grant</w:t>
      </w:r>
      <w:r w:rsidR="00E93A46" w:rsidRPr="00667CD1">
        <w:rPr>
          <w:sz w:val="20"/>
          <w:szCs w:val="16"/>
        </w:rPr>
        <w:t>,</w:t>
      </w:r>
      <w:r w:rsidRPr="00667CD1">
        <w:rPr>
          <w:sz w:val="20"/>
          <w:szCs w:val="16"/>
        </w:rPr>
        <w:t xml:space="preserve"> th</w:t>
      </w:r>
      <w:r w:rsidR="00B50F05" w:rsidRPr="00667CD1">
        <w:rPr>
          <w:sz w:val="20"/>
          <w:szCs w:val="16"/>
        </w:rPr>
        <w:t>e</w:t>
      </w:r>
      <w:r w:rsidRPr="00667CD1">
        <w:rPr>
          <w:sz w:val="20"/>
          <w:szCs w:val="16"/>
        </w:rPr>
        <w:t xml:space="preserve"> measure is recognised as an expenditure rather than </w:t>
      </w:r>
      <w:r w:rsidR="008F7F28" w:rsidRPr="00667CD1">
        <w:rPr>
          <w:sz w:val="20"/>
          <w:szCs w:val="16"/>
        </w:rPr>
        <w:t xml:space="preserve">foregone </w:t>
      </w:r>
      <w:r w:rsidRPr="00667CD1">
        <w:rPr>
          <w:sz w:val="20"/>
          <w:szCs w:val="16"/>
        </w:rPr>
        <w:t>revenue.</w:t>
      </w:r>
      <w:bookmarkEnd w:id="1"/>
    </w:p>
    <w:p w14:paraId="70586207" w14:textId="37352E4D" w:rsidR="00F40179" w:rsidRPr="00667CD1" w:rsidRDefault="00F40179" w:rsidP="008D3B9A">
      <w:pPr>
        <w:pStyle w:val="Heading5"/>
        <w:numPr>
          <w:ilvl w:val="0"/>
          <w:numId w:val="0"/>
        </w:numPr>
        <w:spacing w:before="240"/>
        <w:rPr>
          <w:sz w:val="20"/>
          <w:szCs w:val="28"/>
        </w:rPr>
      </w:pPr>
      <w:r w:rsidRPr="00667CD1">
        <w:rPr>
          <w:sz w:val="20"/>
          <w:szCs w:val="28"/>
        </w:rPr>
        <w:t xml:space="preserve">Government response to NSW Bushfire Inquiry - </w:t>
      </w:r>
      <w:r w:rsidR="004F7115" w:rsidRPr="00667CD1">
        <w:rPr>
          <w:sz w:val="20"/>
          <w:szCs w:val="28"/>
        </w:rPr>
        <w:t>I</w:t>
      </w:r>
      <w:r w:rsidRPr="00667CD1">
        <w:rPr>
          <w:sz w:val="20"/>
          <w:szCs w:val="28"/>
        </w:rPr>
        <w:t>nsurers</w:t>
      </w:r>
      <w:r w:rsidR="004F7115" w:rsidRPr="00667CD1">
        <w:rPr>
          <w:sz w:val="20"/>
          <w:szCs w:val="28"/>
        </w:rPr>
        <w:t>’</w:t>
      </w:r>
      <w:r w:rsidRPr="00667CD1">
        <w:rPr>
          <w:sz w:val="20"/>
          <w:szCs w:val="28"/>
        </w:rPr>
        <w:t xml:space="preserve"> </w:t>
      </w:r>
      <w:r w:rsidR="2FA1F15A" w:rsidRPr="00667CD1">
        <w:rPr>
          <w:sz w:val="20"/>
          <w:szCs w:val="28"/>
        </w:rPr>
        <w:t xml:space="preserve">Emergency Services Levy </w:t>
      </w:r>
      <w:r w:rsidR="5B77D43F" w:rsidRPr="00667CD1">
        <w:rPr>
          <w:sz w:val="20"/>
          <w:szCs w:val="28"/>
        </w:rPr>
        <w:t xml:space="preserve">and </w:t>
      </w:r>
      <w:r w:rsidR="000C67B1" w:rsidRPr="00667CD1">
        <w:rPr>
          <w:sz w:val="20"/>
          <w:szCs w:val="28"/>
        </w:rPr>
        <w:t>c</w:t>
      </w:r>
      <w:r w:rsidR="5B77D43F" w:rsidRPr="00667CD1">
        <w:rPr>
          <w:sz w:val="20"/>
          <w:szCs w:val="28"/>
        </w:rPr>
        <w:t>ouncils’</w:t>
      </w:r>
      <w:r w:rsidR="1EC4CBB1" w:rsidRPr="00667CD1">
        <w:rPr>
          <w:sz w:val="20"/>
          <w:szCs w:val="28"/>
        </w:rPr>
        <w:t xml:space="preserve"> </w:t>
      </w:r>
      <w:r w:rsidRPr="00667CD1">
        <w:rPr>
          <w:sz w:val="20"/>
          <w:szCs w:val="28"/>
        </w:rPr>
        <w:t>contribution</w:t>
      </w:r>
    </w:p>
    <w:p w14:paraId="7D26DA59" w14:textId="3CD0DFA9" w:rsidR="394E6D32" w:rsidRPr="00667CD1" w:rsidRDefault="204ACC92" w:rsidP="00DC5EFC">
      <w:pPr>
        <w:pStyle w:val="BodyText"/>
        <w:rPr>
          <w:sz w:val="20"/>
          <w:szCs w:val="16"/>
        </w:rPr>
      </w:pPr>
      <w:proofErr w:type="gramStart"/>
      <w:r w:rsidRPr="00667CD1">
        <w:rPr>
          <w:sz w:val="20"/>
          <w:szCs w:val="16"/>
        </w:rPr>
        <w:t>As a consequence of</w:t>
      </w:r>
      <w:proofErr w:type="gramEnd"/>
      <w:r w:rsidRPr="00667CD1">
        <w:rPr>
          <w:sz w:val="20"/>
          <w:szCs w:val="16"/>
        </w:rPr>
        <w:t xml:space="preserve"> the Government adopting recommendations from the independent NSW Bushfire Inquiry, additional insurers’ Emergency Services Levy and council contributions are expected to increase revenue by $104.2 million over the four years to 2023-24.</w:t>
      </w:r>
    </w:p>
    <w:p w14:paraId="130D9224" w14:textId="68FB5C69" w:rsidR="00F40179" w:rsidRPr="00667CD1" w:rsidRDefault="00F40179" w:rsidP="008D3B9A">
      <w:pPr>
        <w:pStyle w:val="Heading5"/>
        <w:numPr>
          <w:ilvl w:val="0"/>
          <w:numId w:val="0"/>
        </w:numPr>
        <w:spacing w:before="240"/>
        <w:rPr>
          <w:sz w:val="20"/>
          <w:szCs w:val="28"/>
        </w:rPr>
      </w:pPr>
      <w:r w:rsidRPr="00667CD1">
        <w:rPr>
          <w:sz w:val="20"/>
          <w:szCs w:val="28"/>
        </w:rPr>
        <w:t>Freeze of indexation rates for heavy vehicles</w:t>
      </w:r>
    </w:p>
    <w:p w14:paraId="0AAC3032" w14:textId="10E0D6A6" w:rsidR="00F40179" w:rsidRPr="00667CD1" w:rsidRDefault="00F40179" w:rsidP="00DC5EFC">
      <w:pPr>
        <w:pStyle w:val="BodyText"/>
        <w:rPr>
          <w:sz w:val="20"/>
          <w:szCs w:val="16"/>
        </w:rPr>
      </w:pPr>
      <w:r w:rsidRPr="00667CD1">
        <w:rPr>
          <w:sz w:val="20"/>
          <w:szCs w:val="16"/>
        </w:rPr>
        <w:t>The freezing of indexation rates for heavy vehicles will lower motor vehicle weight tax revenue by $34.4 million over the four years to 2023-24.</w:t>
      </w:r>
    </w:p>
    <w:p w14:paraId="55B2988B" w14:textId="77777777" w:rsidR="001A51DA" w:rsidRPr="00667CD1" w:rsidRDefault="001A51DA" w:rsidP="008D3B9A">
      <w:pPr>
        <w:pStyle w:val="Heading5"/>
        <w:numPr>
          <w:ilvl w:val="0"/>
          <w:numId w:val="0"/>
        </w:numPr>
        <w:spacing w:before="240"/>
        <w:rPr>
          <w:sz w:val="20"/>
          <w:szCs w:val="28"/>
        </w:rPr>
      </w:pPr>
      <w:bookmarkStart w:id="3" w:name="_Hlk53124265"/>
      <w:r w:rsidRPr="00667CD1">
        <w:rPr>
          <w:sz w:val="20"/>
          <w:szCs w:val="28"/>
        </w:rPr>
        <w:t>Drought relief and assistance - Primary Producer Heavy Vehicle Concession</w:t>
      </w:r>
    </w:p>
    <w:p w14:paraId="3F92F77E" w14:textId="3C39D2DB" w:rsidR="001A51DA" w:rsidRPr="00667CD1" w:rsidRDefault="001A51DA" w:rsidP="00DC5EFC">
      <w:pPr>
        <w:pStyle w:val="BodyText"/>
        <w:rPr>
          <w:sz w:val="20"/>
          <w:szCs w:val="16"/>
        </w:rPr>
      </w:pPr>
      <w:r w:rsidRPr="00667CD1">
        <w:rPr>
          <w:sz w:val="20"/>
          <w:szCs w:val="16"/>
        </w:rPr>
        <w:t xml:space="preserve">A </w:t>
      </w:r>
      <w:proofErr w:type="gramStart"/>
      <w:r w:rsidRPr="00667CD1">
        <w:rPr>
          <w:sz w:val="20"/>
          <w:szCs w:val="16"/>
        </w:rPr>
        <w:t>one year</w:t>
      </w:r>
      <w:proofErr w:type="gramEnd"/>
      <w:r w:rsidRPr="00667CD1">
        <w:rPr>
          <w:sz w:val="20"/>
          <w:szCs w:val="16"/>
        </w:rPr>
        <w:t xml:space="preserve"> extension to the rebate for Primary Producers Heavy Vehicle Registration costs will lower motor vehicle weight tax revenue by $36.1 million in 2020-21.</w:t>
      </w:r>
    </w:p>
    <w:p w14:paraId="6004A10F" w14:textId="61DC5F23" w:rsidR="0094567C" w:rsidRPr="00667CD1" w:rsidRDefault="0094567C" w:rsidP="008D3B9A">
      <w:pPr>
        <w:pStyle w:val="Heading5"/>
        <w:numPr>
          <w:ilvl w:val="0"/>
          <w:numId w:val="0"/>
        </w:numPr>
        <w:spacing w:before="240"/>
        <w:rPr>
          <w:sz w:val="20"/>
          <w:szCs w:val="28"/>
        </w:rPr>
      </w:pPr>
      <w:r w:rsidRPr="00667CD1">
        <w:rPr>
          <w:sz w:val="20"/>
          <w:szCs w:val="28"/>
        </w:rPr>
        <w:t>Payroll and gambling tax deferrals to support business cashflow</w:t>
      </w:r>
    </w:p>
    <w:p w14:paraId="7C921C91" w14:textId="77777777" w:rsidR="00C95861" w:rsidRPr="00667CD1" w:rsidRDefault="49894B54" w:rsidP="00DC5EFC">
      <w:pPr>
        <w:pStyle w:val="BodyText"/>
        <w:rPr>
          <w:sz w:val="20"/>
          <w:szCs w:val="16"/>
        </w:rPr>
      </w:pPr>
      <w:r w:rsidRPr="00667CD1">
        <w:rPr>
          <w:sz w:val="20"/>
          <w:szCs w:val="16"/>
        </w:rPr>
        <w:t xml:space="preserve">In response to COVID-19 the Government </w:t>
      </w:r>
      <w:r w:rsidR="00BE51EB" w:rsidRPr="00667CD1">
        <w:rPr>
          <w:sz w:val="20"/>
          <w:szCs w:val="16"/>
        </w:rPr>
        <w:t>offered</w:t>
      </w:r>
      <w:r w:rsidRPr="00667CD1">
        <w:rPr>
          <w:sz w:val="20"/>
          <w:szCs w:val="16"/>
        </w:rPr>
        <w:t xml:space="preserve"> a range of tax deferrals to support cashflow and improve liquidity for businesses impacted by mobility restrictions. Payments for payroll tax and a range of gambling taxes and duties were deferred for around six months, with extended repayment plans made available at the end of the deferral period.</w:t>
      </w:r>
    </w:p>
    <w:p w14:paraId="225EFE91" w14:textId="77777777" w:rsidR="008D3B9A" w:rsidRPr="00667CD1" w:rsidRDefault="008D3B9A">
      <w:pPr>
        <w:spacing w:after="200" w:line="276" w:lineRule="auto"/>
        <w:rPr>
          <w:rFonts w:ascii="Arial" w:eastAsiaTheme="minorHAnsi" w:hAnsi="Arial" w:cs="Arial"/>
          <w:bCs/>
          <w:szCs w:val="16"/>
        </w:rPr>
      </w:pPr>
      <w:r w:rsidRPr="00667CD1">
        <w:rPr>
          <w:sz w:val="16"/>
          <w:szCs w:val="16"/>
        </w:rPr>
        <w:br w:type="page"/>
      </w:r>
    </w:p>
    <w:p w14:paraId="4D32A623" w14:textId="336AC6F2" w:rsidR="00BE4065" w:rsidRPr="00667CD1" w:rsidRDefault="0254D16F" w:rsidP="00DC5EFC">
      <w:pPr>
        <w:pStyle w:val="BodyText"/>
        <w:rPr>
          <w:sz w:val="20"/>
          <w:szCs w:val="16"/>
        </w:rPr>
      </w:pPr>
      <w:r w:rsidRPr="00667CD1">
        <w:rPr>
          <w:sz w:val="20"/>
          <w:szCs w:val="16"/>
        </w:rPr>
        <w:lastRenderedPageBreak/>
        <w:t xml:space="preserve">The </w:t>
      </w:r>
      <w:r w:rsidR="006D261D" w:rsidRPr="00667CD1">
        <w:rPr>
          <w:sz w:val="20"/>
          <w:szCs w:val="16"/>
        </w:rPr>
        <w:t>deferral</w:t>
      </w:r>
      <w:r w:rsidR="2FBD8BCA" w:rsidRPr="00667CD1">
        <w:rPr>
          <w:sz w:val="20"/>
          <w:szCs w:val="16"/>
        </w:rPr>
        <w:t xml:space="preserve"> </w:t>
      </w:r>
      <w:r w:rsidRPr="00667CD1">
        <w:rPr>
          <w:sz w:val="20"/>
          <w:szCs w:val="16"/>
        </w:rPr>
        <w:t>of</w:t>
      </w:r>
      <w:r w:rsidR="006D261D" w:rsidRPr="00667CD1">
        <w:rPr>
          <w:sz w:val="20"/>
          <w:szCs w:val="16"/>
        </w:rPr>
        <w:t xml:space="preserve"> </w:t>
      </w:r>
      <w:r w:rsidR="009F7B3E" w:rsidRPr="00667CD1">
        <w:rPr>
          <w:sz w:val="20"/>
          <w:szCs w:val="16"/>
        </w:rPr>
        <w:t xml:space="preserve">payments for </w:t>
      </w:r>
      <w:r w:rsidR="006D261D" w:rsidRPr="00667CD1">
        <w:rPr>
          <w:sz w:val="20"/>
          <w:szCs w:val="16"/>
        </w:rPr>
        <w:t>payroll tax</w:t>
      </w:r>
      <w:r w:rsidRPr="00667CD1">
        <w:rPr>
          <w:sz w:val="20"/>
          <w:szCs w:val="16"/>
        </w:rPr>
        <w:t xml:space="preserve">, </w:t>
      </w:r>
      <w:r w:rsidR="006D261D" w:rsidRPr="00667CD1">
        <w:rPr>
          <w:sz w:val="20"/>
          <w:szCs w:val="16"/>
        </w:rPr>
        <w:t xml:space="preserve">gambling taxes and duties </w:t>
      </w:r>
      <w:r w:rsidR="00C371CD" w:rsidRPr="00667CD1">
        <w:rPr>
          <w:sz w:val="20"/>
          <w:szCs w:val="16"/>
        </w:rPr>
        <w:t>is</w:t>
      </w:r>
      <w:r w:rsidR="006D261D" w:rsidRPr="00667CD1">
        <w:rPr>
          <w:sz w:val="20"/>
          <w:szCs w:val="16"/>
        </w:rPr>
        <w:t xml:space="preserve"> not </w:t>
      </w:r>
      <w:r w:rsidR="15CCDE7E" w:rsidRPr="00667CD1">
        <w:rPr>
          <w:sz w:val="20"/>
          <w:szCs w:val="16"/>
        </w:rPr>
        <w:t xml:space="preserve">expected to </w:t>
      </w:r>
      <w:r w:rsidR="21472358" w:rsidRPr="00667CD1">
        <w:rPr>
          <w:sz w:val="20"/>
          <w:szCs w:val="16"/>
        </w:rPr>
        <w:t xml:space="preserve">directly reduce general government sector </w:t>
      </w:r>
      <w:r w:rsidR="006D261D" w:rsidRPr="00667CD1">
        <w:rPr>
          <w:sz w:val="20"/>
          <w:szCs w:val="16"/>
        </w:rPr>
        <w:t>revenue</w:t>
      </w:r>
      <w:r w:rsidR="009F7B3E" w:rsidRPr="00667CD1">
        <w:rPr>
          <w:sz w:val="20"/>
          <w:szCs w:val="16"/>
        </w:rPr>
        <w:t xml:space="preserve"> overall</w:t>
      </w:r>
      <w:r w:rsidR="21472358" w:rsidRPr="00667CD1">
        <w:rPr>
          <w:sz w:val="20"/>
          <w:szCs w:val="16"/>
        </w:rPr>
        <w:t>. However</w:t>
      </w:r>
      <w:r w:rsidR="006D261D" w:rsidRPr="00667CD1">
        <w:rPr>
          <w:sz w:val="20"/>
          <w:szCs w:val="16"/>
        </w:rPr>
        <w:t xml:space="preserve">, </w:t>
      </w:r>
      <w:r w:rsidR="21472358" w:rsidRPr="00667CD1">
        <w:rPr>
          <w:sz w:val="20"/>
          <w:szCs w:val="16"/>
        </w:rPr>
        <w:t>a component of 2019-20 payroll tax revenue will now</w:t>
      </w:r>
      <w:r w:rsidR="006D261D" w:rsidRPr="00667CD1">
        <w:rPr>
          <w:sz w:val="20"/>
          <w:szCs w:val="16"/>
        </w:rPr>
        <w:t xml:space="preserve"> be recognised in 2020-21</w:t>
      </w:r>
      <w:r w:rsidR="00F46FBE" w:rsidRPr="00667CD1">
        <w:rPr>
          <w:sz w:val="20"/>
          <w:szCs w:val="16"/>
        </w:rPr>
        <w:t xml:space="preserve"> rather</w:t>
      </w:r>
      <w:r w:rsidR="00095BFA" w:rsidRPr="00667CD1">
        <w:rPr>
          <w:sz w:val="20"/>
          <w:szCs w:val="16"/>
        </w:rPr>
        <w:t xml:space="preserve"> than 2019-20. This is because</w:t>
      </w:r>
      <w:r w:rsidR="6EF792BB" w:rsidRPr="00667CD1">
        <w:rPr>
          <w:sz w:val="20"/>
          <w:szCs w:val="16"/>
        </w:rPr>
        <w:t xml:space="preserve"> deferred payroll tax for some businesses will not be confirmed until</w:t>
      </w:r>
      <w:r w:rsidR="006C7FC4" w:rsidRPr="00667CD1">
        <w:rPr>
          <w:sz w:val="20"/>
          <w:szCs w:val="16"/>
        </w:rPr>
        <w:t xml:space="preserve"> deferred</w:t>
      </w:r>
      <w:r w:rsidR="6EF792BB" w:rsidRPr="00667CD1">
        <w:rPr>
          <w:sz w:val="20"/>
          <w:szCs w:val="16"/>
        </w:rPr>
        <w:t xml:space="preserve"> annual reconciliations </w:t>
      </w:r>
      <w:r w:rsidR="006C7FC4" w:rsidRPr="00667CD1">
        <w:rPr>
          <w:sz w:val="20"/>
          <w:szCs w:val="16"/>
        </w:rPr>
        <w:t xml:space="preserve">are finalised </w:t>
      </w:r>
      <w:r w:rsidR="00393201" w:rsidRPr="00667CD1">
        <w:rPr>
          <w:sz w:val="20"/>
          <w:szCs w:val="16"/>
        </w:rPr>
        <w:t>in 2020-21</w:t>
      </w:r>
      <w:r w:rsidR="6EF792BB" w:rsidRPr="00667CD1">
        <w:rPr>
          <w:sz w:val="20"/>
          <w:szCs w:val="16"/>
        </w:rPr>
        <w:t>.</w:t>
      </w:r>
    </w:p>
    <w:p w14:paraId="251AB97D" w14:textId="77777777" w:rsidR="00726846" w:rsidRPr="00667CD1" w:rsidRDefault="00726846" w:rsidP="00B0722F">
      <w:pPr>
        <w:rPr>
          <w:sz w:val="12"/>
          <w:szCs w:val="12"/>
        </w:rPr>
      </w:pPr>
    </w:p>
    <w:tbl>
      <w:tblPr>
        <w:tblW w:w="9615" w:type="dxa"/>
        <w:jc w:val="right"/>
        <w:shd w:val="clear" w:color="auto" w:fill="F2F2F2" w:themeFill="background1" w:themeFillShade="F2"/>
        <w:tblLayout w:type="fixed"/>
        <w:tblCellMar>
          <w:left w:w="0" w:type="dxa"/>
          <w:right w:w="0" w:type="dxa"/>
        </w:tblCellMar>
        <w:tblLook w:val="04A0" w:firstRow="1" w:lastRow="0" w:firstColumn="1" w:lastColumn="0" w:noHBand="0" w:noVBand="1"/>
        <w:tblCaption w:val="Box 4.1: Building on tax support for NSW businesses: Lowering the payroll tax rate"/>
        <w:tblDescription w:val="Box 4.1: Building on tax support for NSW businesses: Lowering the payroll tax rate"/>
      </w:tblPr>
      <w:tblGrid>
        <w:gridCol w:w="9615"/>
      </w:tblGrid>
      <w:tr w:rsidR="00A6317B" w:rsidRPr="00667CD1" w14:paraId="767902C8" w14:textId="77777777" w:rsidTr="6341F97D">
        <w:trPr>
          <w:trHeight w:val="653"/>
          <w:jc w:val="right"/>
        </w:trPr>
        <w:tc>
          <w:tcPr>
            <w:tcW w:w="9615" w:type="dxa"/>
            <w:shd w:val="clear" w:color="auto" w:fill="F2F2F2" w:themeFill="background1" w:themeFillShade="F2"/>
            <w:tcMar>
              <w:top w:w="0" w:type="dxa"/>
              <w:left w:w="108" w:type="dxa"/>
              <w:bottom w:w="0" w:type="dxa"/>
              <w:right w:w="108" w:type="dxa"/>
            </w:tcMar>
          </w:tcPr>
          <w:p w14:paraId="31B5B221" w14:textId="4569B956" w:rsidR="00A6317B" w:rsidRPr="00667CD1" w:rsidRDefault="00256EE9" w:rsidP="009375D4">
            <w:pPr>
              <w:pStyle w:val="Box51BoxHeading"/>
              <w:numPr>
                <w:ilvl w:val="0"/>
                <w:numId w:val="8"/>
              </w:numPr>
              <w:rPr>
                <w:sz w:val="19"/>
                <w:szCs w:val="16"/>
              </w:rPr>
            </w:pPr>
            <w:r w:rsidRPr="00667CD1">
              <w:rPr>
                <w:sz w:val="19"/>
                <w:szCs w:val="16"/>
              </w:rPr>
              <w:t xml:space="preserve">Building on tax support for NSW businesses: </w:t>
            </w:r>
            <w:r w:rsidR="00A6317B" w:rsidRPr="00667CD1">
              <w:rPr>
                <w:sz w:val="19"/>
                <w:szCs w:val="16"/>
              </w:rPr>
              <w:t>Lowering the payroll tax rate</w:t>
            </w:r>
          </w:p>
          <w:p w14:paraId="44A9609D" w14:textId="07F93C7E" w:rsidR="001427E8" w:rsidRPr="00667CD1" w:rsidRDefault="001427E8" w:rsidP="00820C69">
            <w:pPr>
              <w:pStyle w:val="BodyTextBox"/>
              <w:rPr>
                <w:sz w:val="20"/>
                <w:szCs w:val="20"/>
              </w:rPr>
            </w:pPr>
            <w:r w:rsidRPr="00667CD1">
              <w:rPr>
                <w:sz w:val="20"/>
                <w:szCs w:val="20"/>
              </w:rPr>
              <w:t>The Government is building on its strong record of reducing the payroll tax burden on N</w:t>
            </w:r>
            <w:r w:rsidR="00561AEE" w:rsidRPr="00667CD1">
              <w:rPr>
                <w:sz w:val="20"/>
                <w:szCs w:val="20"/>
              </w:rPr>
              <w:t xml:space="preserve">ew </w:t>
            </w:r>
            <w:r w:rsidRPr="00667CD1">
              <w:rPr>
                <w:sz w:val="20"/>
                <w:szCs w:val="20"/>
              </w:rPr>
              <w:t>S</w:t>
            </w:r>
            <w:r w:rsidR="00561AEE" w:rsidRPr="00667CD1">
              <w:rPr>
                <w:sz w:val="20"/>
                <w:szCs w:val="20"/>
              </w:rPr>
              <w:t xml:space="preserve">outh </w:t>
            </w:r>
            <w:r w:rsidRPr="00667CD1">
              <w:rPr>
                <w:sz w:val="20"/>
                <w:szCs w:val="20"/>
              </w:rPr>
              <w:t>W</w:t>
            </w:r>
            <w:r w:rsidR="00561AEE" w:rsidRPr="00667CD1">
              <w:rPr>
                <w:sz w:val="20"/>
                <w:szCs w:val="20"/>
              </w:rPr>
              <w:t>ales</w:t>
            </w:r>
            <w:r w:rsidRPr="00667CD1">
              <w:rPr>
                <w:sz w:val="20"/>
                <w:szCs w:val="20"/>
              </w:rPr>
              <w:t xml:space="preserve"> businesses. The Government has successively increased the payroll tax threshold from $750,000, with the </w:t>
            </w:r>
            <w:r w:rsidR="002E6DE7" w:rsidRPr="00667CD1">
              <w:rPr>
                <w:sz w:val="20"/>
                <w:szCs w:val="20"/>
              </w:rPr>
              <w:t>Government now increasing the threshold</w:t>
            </w:r>
            <w:r w:rsidR="0015167C" w:rsidRPr="00667CD1">
              <w:rPr>
                <w:sz w:val="20"/>
                <w:szCs w:val="20"/>
              </w:rPr>
              <w:t xml:space="preserve"> from</w:t>
            </w:r>
            <w:r w:rsidRPr="00667CD1">
              <w:rPr>
                <w:sz w:val="20"/>
                <w:szCs w:val="20"/>
              </w:rPr>
              <w:t xml:space="preserve"> $900,000 to $</w:t>
            </w:r>
            <w:r w:rsidR="00B02190" w:rsidRPr="00667CD1">
              <w:rPr>
                <w:sz w:val="20"/>
                <w:szCs w:val="20"/>
              </w:rPr>
              <w:t>1</w:t>
            </w:r>
            <w:r w:rsidR="0015167C" w:rsidRPr="00667CD1">
              <w:rPr>
                <w:sz w:val="20"/>
                <w:szCs w:val="20"/>
              </w:rPr>
              <w:t xml:space="preserve">.2 </w:t>
            </w:r>
            <w:r w:rsidRPr="00667CD1">
              <w:rPr>
                <w:sz w:val="20"/>
                <w:szCs w:val="20"/>
              </w:rPr>
              <w:t xml:space="preserve">million </w:t>
            </w:r>
            <w:r w:rsidR="0015167C" w:rsidRPr="00667CD1">
              <w:rPr>
                <w:sz w:val="20"/>
                <w:szCs w:val="20"/>
              </w:rPr>
              <w:t>from</w:t>
            </w:r>
            <w:r w:rsidRPr="00667CD1">
              <w:rPr>
                <w:sz w:val="20"/>
                <w:szCs w:val="20"/>
              </w:rPr>
              <w:t xml:space="preserve"> 1 July 2020</w:t>
            </w:r>
            <w:r w:rsidR="00BC641D" w:rsidRPr="00667CD1">
              <w:rPr>
                <w:sz w:val="20"/>
                <w:szCs w:val="20"/>
              </w:rPr>
              <w:t>. This builds upon and replaces the Government’s previous announcement to increase the threshold to $1.0 million from 1 July 2020</w:t>
            </w:r>
            <w:r w:rsidRPr="00667CD1">
              <w:rPr>
                <w:sz w:val="20"/>
                <w:szCs w:val="20"/>
              </w:rPr>
              <w:t xml:space="preserve">. </w:t>
            </w:r>
            <w:r w:rsidR="00015142" w:rsidRPr="00667CD1">
              <w:rPr>
                <w:sz w:val="20"/>
                <w:szCs w:val="20"/>
              </w:rPr>
              <w:t xml:space="preserve">At the 2018-19 Budget, it was estimated that </w:t>
            </w:r>
            <w:r w:rsidR="00340A04" w:rsidRPr="00667CD1">
              <w:rPr>
                <w:sz w:val="20"/>
                <w:szCs w:val="20"/>
              </w:rPr>
              <w:t>around 5,000</w:t>
            </w:r>
            <w:r w:rsidR="008A40FA" w:rsidRPr="00667CD1">
              <w:rPr>
                <w:sz w:val="20"/>
                <w:szCs w:val="20"/>
              </w:rPr>
              <w:t xml:space="preserve"> businesses</w:t>
            </w:r>
            <w:r w:rsidR="00340A04" w:rsidRPr="00667CD1">
              <w:rPr>
                <w:sz w:val="20"/>
                <w:szCs w:val="20"/>
              </w:rPr>
              <w:t xml:space="preserve"> that would have paid payroll tax would be exempt once the threshold reached $1</w:t>
            </w:r>
            <w:r w:rsidR="003462D8" w:rsidRPr="00667CD1">
              <w:rPr>
                <w:sz w:val="20"/>
                <w:szCs w:val="20"/>
              </w:rPr>
              <w:t>.0</w:t>
            </w:r>
            <w:r w:rsidR="00340A04" w:rsidRPr="00667CD1">
              <w:rPr>
                <w:sz w:val="20"/>
                <w:szCs w:val="20"/>
              </w:rPr>
              <w:t xml:space="preserve"> million. </w:t>
            </w:r>
            <w:r w:rsidR="0029177A" w:rsidRPr="00667CD1">
              <w:rPr>
                <w:sz w:val="20"/>
                <w:szCs w:val="20"/>
              </w:rPr>
              <w:t xml:space="preserve">It is estimated a further 3,500 businesses will be </w:t>
            </w:r>
            <w:r w:rsidR="00316A1C" w:rsidRPr="00667CD1">
              <w:rPr>
                <w:sz w:val="20"/>
                <w:szCs w:val="20"/>
              </w:rPr>
              <w:t>exempt</w:t>
            </w:r>
            <w:r w:rsidR="0029177A" w:rsidRPr="00667CD1">
              <w:rPr>
                <w:sz w:val="20"/>
                <w:szCs w:val="20"/>
              </w:rPr>
              <w:t xml:space="preserve"> with the Government’s decision to now increase the threshold from $1.0 million to $1.2 million</w:t>
            </w:r>
            <w:r w:rsidR="00BC2474" w:rsidRPr="00667CD1">
              <w:rPr>
                <w:sz w:val="20"/>
                <w:szCs w:val="20"/>
              </w:rPr>
              <w:t>.</w:t>
            </w:r>
          </w:p>
          <w:p w14:paraId="70BB777A" w14:textId="2E22A5C6" w:rsidR="001427E8" w:rsidRPr="00667CD1" w:rsidRDefault="001427E8" w:rsidP="00820C69">
            <w:pPr>
              <w:pStyle w:val="BodyTextBox"/>
              <w:rPr>
                <w:sz w:val="20"/>
                <w:szCs w:val="20"/>
              </w:rPr>
            </w:pPr>
            <w:r w:rsidRPr="00667CD1">
              <w:rPr>
                <w:sz w:val="20"/>
                <w:szCs w:val="20"/>
              </w:rPr>
              <w:t>As part of its initial COVID-19 support package, the Government also provided a 25 per cent discount on payroll tax for businesses with payrolls up to $10</w:t>
            </w:r>
            <w:r w:rsidR="001F76D5" w:rsidRPr="00667CD1">
              <w:rPr>
                <w:sz w:val="20"/>
                <w:szCs w:val="20"/>
              </w:rPr>
              <w:t>.0</w:t>
            </w:r>
            <w:r w:rsidRPr="00667CD1">
              <w:rPr>
                <w:sz w:val="20"/>
                <w:szCs w:val="20"/>
              </w:rPr>
              <w:t xml:space="preserve"> million and deferrals of payroll tax for all businesses for up to six months. </w:t>
            </w:r>
          </w:p>
          <w:p w14:paraId="4D534D8B" w14:textId="423E4CBB" w:rsidR="007F184B" w:rsidRPr="00667CD1" w:rsidRDefault="00487A6A" w:rsidP="00820C69">
            <w:pPr>
              <w:pStyle w:val="BodyTextBox"/>
              <w:rPr>
                <w:sz w:val="20"/>
                <w:szCs w:val="20"/>
              </w:rPr>
            </w:pPr>
            <w:r w:rsidRPr="00667CD1">
              <w:rPr>
                <w:sz w:val="20"/>
                <w:szCs w:val="20"/>
              </w:rPr>
              <w:t>Building upon these measures, the Government will reduce t</w:t>
            </w:r>
            <w:r w:rsidR="00A6317B" w:rsidRPr="00667CD1">
              <w:rPr>
                <w:sz w:val="20"/>
                <w:szCs w:val="20"/>
              </w:rPr>
              <w:t>he payroll tax rate from 5.45</w:t>
            </w:r>
            <w:r w:rsidR="00E751D7" w:rsidRPr="00667CD1">
              <w:rPr>
                <w:sz w:val="20"/>
                <w:szCs w:val="20"/>
              </w:rPr>
              <w:t> </w:t>
            </w:r>
            <w:r w:rsidR="00A6317B" w:rsidRPr="00667CD1">
              <w:rPr>
                <w:sz w:val="20"/>
                <w:szCs w:val="20"/>
              </w:rPr>
              <w:t>per cent to 4.85 per cent for all New South Wales businesses in 2020-21 and 2021-22. This is equal to the lowest headline rate of payroll tax payable by businesses in any metropolitan area across Australia</w:t>
            </w:r>
            <w:r w:rsidR="00797C85" w:rsidRPr="00667CD1">
              <w:rPr>
                <w:sz w:val="20"/>
                <w:szCs w:val="20"/>
              </w:rPr>
              <w:t xml:space="preserve">. Matching </w:t>
            </w:r>
            <w:r w:rsidR="00864C7D" w:rsidRPr="00667CD1">
              <w:rPr>
                <w:sz w:val="20"/>
                <w:szCs w:val="20"/>
              </w:rPr>
              <w:t>N</w:t>
            </w:r>
            <w:r w:rsidR="00190809" w:rsidRPr="00667CD1">
              <w:rPr>
                <w:sz w:val="20"/>
                <w:szCs w:val="20"/>
              </w:rPr>
              <w:t xml:space="preserve">ew </w:t>
            </w:r>
            <w:r w:rsidR="00864C7D" w:rsidRPr="00667CD1">
              <w:rPr>
                <w:sz w:val="20"/>
                <w:szCs w:val="20"/>
              </w:rPr>
              <w:t>S</w:t>
            </w:r>
            <w:r w:rsidR="00190809" w:rsidRPr="00667CD1">
              <w:rPr>
                <w:sz w:val="20"/>
                <w:szCs w:val="20"/>
              </w:rPr>
              <w:t xml:space="preserve">outh </w:t>
            </w:r>
            <w:r w:rsidR="00864C7D" w:rsidRPr="00667CD1">
              <w:rPr>
                <w:sz w:val="20"/>
                <w:szCs w:val="20"/>
              </w:rPr>
              <w:t>W</w:t>
            </w:r>
            <w:r w:rsidR="00190809" w:rsidRPr="00667CD1">
              <w:rPr>
                <w:sz w:val="20"/>
                <w:szCs w:val="20"/>
              </w:rPr>
              <w:t>ales</w:t>
            </w:r>
            <w:r w:rsidR="00864C7D" w:rsidRPr="00667CD1">
              <w:rPr>
                <w:sz w:val="20"/>
                <w:szCs w:val="20"/>
              </w:rPr>
              <w:t xml:space="preserve"> to </w:t>
            </w:r>
            <w:r w:rsidR="00797C85" w:rsidRPr="00667CD1">
              <w:rPr>
                <w:sz w:val="20"/>
                <w:szCs w:val="20"/>
              </w:rPr>
              <w:t xml:space="preserve">the lowest headline tax rate benefits businesses due to the lower compliance costs associated with more harmonized tax settings. </w:t>
            </w:r>
            <w:r w:rsidR="007F184B" w:rsidRPr="00667CD1">
              <w:rPr>
                <w:sz w:val="20"/>
                <w:szCs w:val="20"/>
              </w:rPr>
              <w:t xml:space="preserve">It also complements the Government’s efforts in pursuing harmonised payroll tax administration reform </w:t>
            </w:r>
            <w:r w:rsidR="00D27426" w:rsidRPr="00667CD1">
              <w:rPr>
                <w:sz w:val="20"/>
                <w:szCs w:val="20"/>
              </w:rPr>
              <w:t>nationally</w:t>
            </w:r>
            <w:r w:rsidR="007F184B" w:rsidRPr="00667CD1">
              <w:rPr>
                <w:sz w:val="20"/>
                <w:szCs w:val="20"/>
              </w:rPr>
              <w:t xml:space="preserve">, in line with recommendations </w:t>
            </w:r>
            <w:r w:rsidR="00E70E88" w:rsidRPr="00667CD1">
              <w:rPr>
                <w:sz w:val="20"/>
                <w:szCs w:val="20"/>
              </w:rPr>
              <w:t>of</w:t>
            </w:r>
            <w:r w:rsidR="007F184B" w:rsidRPr="00667CD1">
              <w:rPr>
                <w:sz w:val="20"/>
                <w:szCs w:val="20"/>
              </w:rPr>
              <w:t xml:space="preserve"> the 2018 Review of Payroll Tax Administration</w:t>
            </w:r>
            <w:r w:rsidR="00E70E88" w:rsidRPr="00667CD1">
              <w:rPr>
                <w:sz w:val="20"/>
                <w:szCs w:val="20"/>
              </w:rPr>
              <w:t xml:space="preserve"> and of the</w:t>
            </w:r>
            <w:r w:rsidR="00891D99" w:rsidRPr="00667CD1">
              <w:rPr>
                <w:sz w:val="20"/>
                <w:szCs w:val="20"/>
              </w:rPr>
              <w:t xml:space="preserve"> </w:t>
            </w:r>
            <w:r w:rsidR="003F58D5" w:rsidRPr="00667CD1">
              <w:rPr>
                <w:sz w:val="20"/>
                <w:szCs w:val="20"/>
              </w:rPr>
              <w:t>NSW Review of Federal Financial Relations</w:t>
            </w:r>
            <w:r w:rsidR="007F184B" w:rsidRPr="00667CD1">
              <w:rPr>
                <w:sz w:val="20"/>
                <w:szCs w:val="20"/>
              </w:rPr>
              <w:t>.</w:t>
            </w:r>
            <w:r w:rsidR="009241E9" w:rsidRPr="00667CD1">
              <w:rPr>
                <w:sz w:val="20"/>
                <w:szCs w:val="20"/>
              </w:rPr>
              <w:t xml:space="preserve"> </w:t>
            </w:r>
          </w:p>
          <w:p w14:paraId="0C9EF14C" w14:textId="538D9E2E" w:rsidR="00A6317B" w:rsidRPr="00667CD1" w:rsidRDefault="00D84473" w:rsidP="00820C69">
            <w:pPr>
              <w:pStyle w:val="BodyTextBox"/>
              <w:rPr>
                <w:sz w:val="20"/>
                <w:szCs w:val="20"/>
                <w:lang w:val="en-US"/>
              </w:rPr>
            </w:pPr>
            <w:r w:rsidRPr="00667CD1">
              <w:rPr>
                <w:sz w:val="20"/>
                <w:szCs w:val="20"/>
              </w:rPr>
              <w:t>When combined with the higher payroll tax threshold in N</w:t>
            </w:r>
            <w:r w:rsidR="004C103D" w:rsidRPr="00667CD1">
              <w:rPr>
                <w:sz w:val="20"/>
                <w:szCs w:val="20"/>
              </w:rPr>
              <w:t xml:space="preserve">ew </w:t>
            </w:r>
            <w:r w:rsidRPr="00667CD1">
              <w:rPr>
                <w:sz w:val="20"/>
                <w:szCs w:val="20"/>
              </w:rPr>
              <w:t>S</w:t>
            </w:r>
            <w:r w:rsidR="004C103D" w:rsidRPr="00667CD1">
              <w:rPr>
                <w:sz w:val="20"/>
                <w:szCs w:val="20"/>
              </w:rPr>
              <w:t xml:space="preserve">outh </w:t>
            </w:r>
            <w:r w:rsidRPr="00667CD1">
              <w:rPr>
                <w:sz w:val="20"/>
                <w:szCs w:val="20"/>
              </w:rPr>
              <w:t>W</w:t>
            </w:r>
            <w:r w:rsidR="004C103D" w:rsidRPr="00667CD1">
              <w:rPr>
                <w:sz w:val="20"/>
                <w:szCs w:val="20"/>
              </w:rPr>
              <w:t>ales</w:t>
            </w:r>
            <w:r w:rsidRPr="00667CD1">
              <w:rPr>
                <w:sz w:val="20"/>
                <w:szCs w:val="20"/>
              </w:rPr>
              <w:t>,</w:t>
            </w:r>
            <w:r w:rsidRPr="00667CD1">
              <w:rPr>
                <w:rFonts w:ascii="Times New Roman" w:hAnsi="Times New Roman" w:cs="Times New Roman"/>
                <w:sz w:val="20"/>
                <w:szCs w:val="20"/>
              </w:rPr>
              <w:t xml:space="preserve"> </w:t>
            </w:r>
            <w:r w:rsidR="3A24A07F" w:rsidRPr="00667CD1">
              <w:rPr>
                <w:rFonts w:eastAsiaTheme="minorEastAsia"/>
                <w:sz w:val="20"/>
                <w:szCs w:val="20"/>
              </w:rPr>
              <w:t xml:space="preserve">these tax cuts also mean that </w:t>
            </w:r>
            <w:r w:rsidR="00ED1E28" w:rsidRPr="00667CD1">
              <w:rPr>
                <w:rFonts w:eastAsiaTheme="minorEastAsia"/>
                <w:sz w:val="20"/>
                <w:szCs w:val="20"/>
              </w:rPr>
              <w:t xml:space="preserve">while a lower headline payroll tax rate applies to businesses in regional </w:t>
            </w:r>
            <w:r w:rsidR="00CB0B2D" w:rsidRPr="00667CD1">
              <w:rPr>
                <w:rFonts w:eastAsiaTheme="minorEastAsia"/>
                <w:sz w:val="20"/>
                <w:szCs w:val="20"/>
              </w:rPr>
              <w:t>Victoria</w:t>
            </w:r>
            <w:r w:rsidR="3A24A07F" w:rsidRPr="00667CD1">
              <w:rPr>
                <w:rFonts w:eastAsiaTheme="minorEastAsia"/>
                <w:sz w:val="20"/>
                <w:szCs w:val="20"/>
              </w:rPr>
              <w:t xml:space="preserve"> in 2020-21, a business with a payroll of below $1.59 million will pay less payroll tax in N</w:t>
            </w:r>
            <w:r w:rsidR="004C103D" w:rsidRPr="00667CD1">
              <w:rPr>
                <w:rFonts w:eastAsiaTheme="minorEastAsia"/>
                <w:sz w:val="20"/>
                <w:szCs w:val="20"/>
              </w:rPr>
              <w:t xml:space="preserve">ew </w:t>
            </w:r>
            <w:r w:rsidR="3A24A07F" w:rsidRPr="00667CD1">
              <w:rPr>
                <w:rFonts w:eastAsiaTheme="minorEastAsia"/>
                <w:sz w:val="20"/>
                <w:szCs w:val="20"/>
              </w:rPr>
              <w:t>S</w:t>
            </w:r>
            <w:r w:rsidR="004C103D" w:rsidRPr="00667CD1">
              <w:rPr>
                <w:rFonts w:eastAsiaTheme="minorEastAsia"/>
                <w:sz w:val="20"/>
                <w:szCs w:val="20"/>
              </w:rPr>
              <w:t xml:space="preserve">outh </w:t>
            </w:r>
            <w:r w:rsidR="3A24A07F" w:rsidRPr="00667CD1">
              <w:rPr>
                <w:rFonts w:eastAsiaTheme="minorEastAsia"/>
                <w:sz w:val="20"/>
                <w:szCs w:val="20"/>
              </w:rPr>
              <w:t>W</w:t>
            </w:r>
            <w:r w:rsidR="004C103D" w:rsidRPr="00667CD1">
              <w:rPr>
                <w:rFonts w:eastAsiaTheme="minorEastAsia"/>
                <w:sz w:val="20"/>
                <w:szCs w:val="20"/>
              </w:rPr>
              <w:t>ales</w:t>
            </w:r>
            <w:r w:rsidR="3A24A07F" w:rsidRPr="00667CD1">
              <w:rPr>
                <w:rFonts w:eastAsiaTheme="minorEastAsia"/>
                <w:sz w:val="20"/>
                <w:szCs w:val="20"/>
              </w:rPr>
              <w:t xml:space="preserve"> than an equivalent business in regional Victoria.</w:t>
            </w:r>
            <w:r w:rsidRPr="00667CD1">
              <w:rPr>
                <w:rFonts w:eastAsiaTheme="minorEastAsia"/>
                <w:sz w:val="20"/>
                <w:szCs w:val="20"/>
              </w:rPr>
              <w:t xml:space="preserve"> </w:t>
            </w:r>
            <w:r w:rsidRPr="00667CD1">
              <w:rPr>
                <w:sz w:val="20"/>
                <w:szCs w:val="20"/>
              </w:rPr>
              <w:t xml:space="preserve">These tax cuts </w:t>
            </w:r>
            <w:r w:rsidR="00803A58" w:rsidRPr="00667CD1">
              <w:rPr>
                <w:sz w:val="20"/>
                <w:szCs w:val="20"/>
              </w:rPr>
              <w:t>are expected to</w:t>
            </w:r>
            <w:r w:rsidRPr="00667CD1">
              <w:rPr>
                <w:sz w:val="20"/>
                <w:szCs w:val="20"/>
              </w:rPr>
              <w:t xml:space="preserve"> benefit</w:t>
            </w:r>
            <w:r w:rsidR="00EB5251" w:rsidRPr="00667CD1">
              <w:rPr>
                <w:sz w:val="20"/>
                <w:szCs w:val="20"/>
              </w:rPr>
              <w:t xml:space="preserve"> </w:t>
            </w:r>
            <w:r w:rsidR="008B6EB6" w:rsidRPr="00667CD1">
              <w:rPr>
                <w:sz w:val="20"/>
                <w:szCs w:val="20"/>
              </w:rPr>
              <w:t xml:space="preserve">around </w:t>
            </w:r>
            <w:r w:rsidR="00797BE0" w:rsidRPr="00667CD1">
              <w:rPr>
                <w:sz w:val="20"/>
                <w:szCs w:val="20"/>
              </w:rPr>
              <w:t>36,000</w:t>
            </w:r>
            <w:r w:rsidRPr="00667CD1">
              <w:rPr>
                <w:sz w:val="20"/>
                <w:szCs w:val="20"/>
              </w:rPr>
              <w:t xml:space="preserve"> </w:t>
            </w:r>
            <w:r w:rsidRPr="00667CD1" w:rsidDel="005116B5">
              <w:rPr>
                <w:sz w:val="20"/>
                <w:szCs w:val="20"/>
              </w:rPr>
              <w:t xml:space="preserve">payroll </w:t>
            </w:r>
            <w:r w:rsidR="005116B5" w:rsidRPr="00667CD1">
              <w:rPr>
                <w:sz w:val="20"/>
                <w:szCs w:val="20"/>
              </w:rPr>
              <w:t>taxpayers</w:t>
            </w:r>
            <w:r w:rsidR="00803A58" w:rsidRPr="00667CD1">
              <w:rPr>
                <w:sz w:val="20"/>
                <w:szCs w:val="20"/>
              </w:rPr>
              <w:t xml:space="preserve"> </w:t>
            </w:r>
            <w:r w:rsidRPr="00667CD1">
              <w:rPr>
                <w:sz w:val="20"/>
                <w:szCs w:val="20"/>
              </w:rPr>
              <w:t>across the State in both metropolitan and regional areas</w:t>
            </w:r>
            <w:r w:rsidR="002E6D7F" w:rsidRPr="00667CD1">
              <w:rPr>
                <w:sz w:val="20"/>
                <w:szCs w:val="20"/>
              </w:rPr>
              <w:t>.</w:t>
            </w:r>
          </w:p>
          <w:p w14:paraId="176E2099" w14:textId="423F5600" w:rsidR="00A6317B" w:rsidRPr="00667CD1" w:rsidRDefault="00A6317B" w:rsidP="00820C69">
            <w:pPr>
              <w:pStyle w:val="BodyTextBox"/>
              <w:rPr>
                <w:sz w:val="20"/>
                <w:szCs w:val="20"/>
              </w:rPr>
            </w:pPr>
            <w:r w:rsidRPr="00667CD1">
              <w:rPr>
                <w:sz w:val="20"/>
                <w:szCs w:val="20"/>
              </w:rPr>
              <w:t xml:space="preserve">Following from </w:t>
            </w:r>
            <w:r w:rsidR="002E6D7F" w:rsidRPr="00667CD1">
              <w:rPr>
                <w:sz w:val="20"/>
                <w:szCs w:val="20"/>
              </w:rPr>
              <w:t xml:space="preserve">payroll tax </w:t>
            </w:r>
            <w:r w:rsidRPr="00667CD1">
              <w:rPr>
                <w:sz w:val="20"/>
                <w:szCs w:val="20"/>
              </w:rPr>
              <w:t>support provided through the earlier phase of the pandemic, this measure supports business</w:t>
            </w:r>
            <w:r w:rsidR="00104310" w:rsidRPr="00667CD1">
              <w:rPr>
                <w:sz w:val="20"/>
                <w:szCs w:val="20"/>
              </w:rPr>
              <w:t>es</w:t>
            </w:r>
            <w:r w:rsidRPr="00667CD1">
              <w:rPr>
                <w:sz w:val="20"/>
                <w:szCs w:val="20"/>
              </w:rPr>
              <w:t xml:space="preserve"> to play their role in the economic recovery, by reducing the cost to business of increasing worker hours and employment.</w:t>
            </w:r>
          </w:p>
          <w:p w14:paraId="52E3FACB" w14:textId="6529785B" w:rsidR="00A6317B" w:rsidRPr="00667CD1" w:rsidRDefault="00A6317B" w:rsidP="00820C69">
            <w:pPr>
              <w:pStyle w:val="BodyTextBox"/>
              <w:rPr>
                <w:sz w:val="20"/>
                <w:szCs w:val="20"/>
                <w:lang w:val="en-US"/>
              </w:rPr>
            </w:pPr>
            <w:r w:rsidRPr="00667CD1">
              <w:rPr>
                <w:sz w:val="20"/>
                <w:szCs w:val="20"/>
                <w:lang w:val="en-US"/>
              </w:rPr>
              <w:t xml:space="preserve">All New South Wales’ payroll taxpayers will benefit from paying less tax and, on average, a business liable for payroll tax </w:t>
            </w:r>
            <w:r w:rsidR="002F311F" w:rsidRPr="00667CD1">
              <w:rPr>
                <w:sz w:val="20"/>
                <w:szCs w:val="20"/>
                <w:lang w:val="en-US"/>
              </w:rPr>
              <w:t>could</w:t>
            </w:r>
            <w:r w:rsidRPr="00667CD1">
              <w:rPr>
                <w:sz w:val="20"/>
                <w:szCs w:val="20"/>
                <w:lang w:val="en-US"/>
              </w:rPr>
              <w:t xml:space="preserve"> save around $</w:t>
            </w:r>
            <w:r w:rsidR="00582888" w:rsidRPr="00667CD1">
              <w:rPr>
                <w:sz w:val="20"/>
                <w:szCs w:val="20"/>
                <w:lang w:val="en-US"/>
              </w:rPr>
              <w:t>3</w:t>
            </w:r>
            <w:r w:rsidR="00B55BFB" w:rsidRPr="00667CD1">
              <w:rPr>
                <w:sz w:val="20"/>
                <w:szCs w:val="20"/>
                <w:lang w:val="en-US"/>
              </w:rPr>
              <w:t>4</w:t>
            </w:r>
            <w:r w:rsidR="00666DD1" w:rsidRPr="00667CD1">
              <w:rPr>
                <w:sz w:val="20"/>
                <w:szCs w:val="20"/>
                <w:lang w:val="en-US"/>
              </w:rPr>
              <w:t>,000</w:t>
            </w:r>
            <w:r w:rsidRPr="00667CD1">
              <w:rPr>
                <w:sz w:val="20"/>
                <w:szCs w:val="20"/>
                <w:lang w:val="en-US"/>
              </w:rPr>
              <w:t xml:space="preserve"> each year, over </w:t>
            </w:r>
            <w:r w:rsidR="00582888" w:rsidRPr="00667CD1">
              <w:rPr>
                <w:sz w:val="20"/>
                <w:szCs w:val="20"/>
                <w:lang w:val="en-US"/>
              </w:rPr>
              <w:t>2020-21 and 2021-22</w:t>
            </w:r>
            <w:r w:rsidR="0079249D" w:rsidRPr="00667CD1">
              <w:rPr>
                <w:sz w:val="20"/>
                <w:szCs w:val="20"/>
                <w:lang w:val="en-US"/>
              </w:rPr>
              <w:t xml:space="preserve"> from measures announced in </w:t>
            </w:r>
            <w:r w:rsidR="00C262E1" w:rsidRPr="00667CD1">
              <w:rPr>
                <w:sz w:val="20"/>
                <w:szCs w:val="20"/>
                <w:lang w:val="en-US"/>
              </w:rPr>
              <w:t>this</w:t>
            </w:r>
            <w:r w:rsidR="0079249D" w:rsidRPr="00667CD1">
              <w:rPr>
                <w:sz w:val="20"/>
                <w:szCs w:val="20"/>
                <w:lang w:val="en-US"/>
              </w:rPr>
              <w:t xml:space="preserve"> Budget</w:t>
            </w:r>
            <w:r w:rsidRPr="00667CD1">
              <w:rPr>
                <w:sz w:val="20"/>
                <w:szCs w:val="20"/>
                <w:lang w:val="en-US"/>
              </w:rPr>
              <w:t>. These cost savings will help support increased working hours or additional employment in N</w:t>
            </w:r>
            <w:r w:rsidR="001B45EE" w:rsidRPr="00667CD1">
              <w:rPr>
                <w:sz w:val="20"/>
                <w:szCs w:val="20"/>
                <w:lang w:val="en-US"/>
              </w:rPr>
              <w:t xml:space="preserve">ew </w:t>
            </w:r>
            <w:r w:rsidRPr="00667CD1">
              <w:rPr>
                <w:sz w:val="20"/>
                <w:szCs w:val="20"/>
                <w:lang w:val="en-US"/>
              </w:rPr>
              <w:t>S</w:t>
            </w:r>
            <w:r w:rsidR="001B45EE" w:rsidRPr="00667CD1">
              <w:rPr>
                <w:sz w:val="20"/>
                <w:szCs w:val="20"/>
                <w:lang w:val="en-US"/>
              </w:rPr>
              <w:t xml:space="preserve">outh </w:t>
            </w:r>
            <w:r w:rsidRPr="00667CD1">
              <w:rPr>
                <w:sz w:val="20"/>
                <w:szCs w:val="20"/>
                <w:lang w:val="en-US"/>
              </w:rPr>
              <w:t>W</w:t>
            </w:r>
            <w:r w:rsidR="001B45EE" w:rsidRPr="00667CD1">
              <w:rPr>
                <w:sz w:val="20"/>
                <w:szCs w:val="20"/>
                <w:lang w:val="en-US"/>
              </w:rPr>
              <w:t>ales</w:t>
            </w:r>
            <w:r w:rsidR="008824B0" w:rsidRPr="00667CD1">
              <w:rPr>
                <w:sz w:val="20"/>
                <w:szCs w:val="20"/>
                <w:lang w:val="en-US"/>
              </w:rPr>
              <w:t>, especial</w:t>
            </w:r>
            <w:r w:rsidR="00E04FAF" w:rsidRPr="00667CD1">
              <w:rPr>
                <w:sz w:val="20"/>
                <w:szCs w:val="20"/>
                <w:lang w:val="en-US"/>
              </w:rPr>
              <w:t xml:space="preserve">ly as the </w:t>
            </w:r>
            <w:proofErr w:type="spellStart"/>
            <w:r w:rsidR="00E04FAF" w:rsidRPr="00667CD1">
              <w:rPr>
                <w:sz w:val="20"/>
                <w:szCs w:val="20"/>
                <w:lang w:val="en-US"/>
              </w:rPr>
              <w:t>JobKeeper</w:t>
            </w:r>
            <w:proofErr w:type="spellEnd"/>
            <w:r w:rsidR="00E04FAF" w:rsidRPr="00667CD1">
              <w:rPr>
                <w:sz w:val="20"/>
                <w:szCs w:val="20"/>
                <w:lang w:val="en-US"/>
              </w:rPr>
              <w:t xml:space="preserve"> scheme is phased out in 2021</w:t>
            </w:r>
            <w:r w:rsidR="00890EAA" w:rsidRPr="00667CD1">
              <w:rPr>
                <w:sz w:val="20"/>
                <w:szCs w:val="20"/>
                <w:lang w:val="en-US"/>
              </w:rPr>
              <w:t>, with around 8,000 jobs supported on average across 2020</w:t>
            </w:r>
            <w:r w:rsidR="00E751D7" w:rsidRPr="00667CD1">
              <w:rPr>
                <w:sz w:val="20"/>
                <w:szCs w:val="20"/>
                <w:lang w:val="en-US"/>
              </w:rPr>
              <w:noBreakHyphen/>
            </w:r>
            <w:r w:rsidR="00890EAA" w:rsidRPr="00667CD1">
              <w:rPr>
                <w:sz w:val="20"/>
                <w:szCs w:val="20"/>
                <w:lang w:val="en-US"/>
              </w:rPr>
              <w:t>21 and 2021-22 from increased hours or additional employment</w:t>
            </w:r>
            <w:r w:rsidRPr="00667CD1">
              <w:rPr>
                <w:sz w:val="20"/>
                <w:szCs w:val="20"/>
                <w:lang w:val="en-US"/>
              </w:rPr>
              <w:t>. Businesses will also be entitled to immediate tax savings as the lower tax rate applies retrospectively from 1 July 2020.</w:t>
            </w:r>
          </w:p>
          <w:p w14:paraId="53A18505" w14:textId="35426404" w:rsidR="00A6317B" w:rsidRPr="00667CD1" w:rsidRDefault="00A6317B" w:rsidP="00B0722F">
            <w:pPr>
              <w:pStyle w:val="BodyTextBox"/>
              <w:rPr>
                <w:color w:val="auto"/>
                <w:sz w:val="18"/>
                <w:szCs w:val="18"/>
                <w:lang w:val="en-US"/>
              </w:rPr>
            </w:pPr>
            <w:r w:rsidRPr="00667CD1">
              <w:rPr>
                <w:sz w:val="20"/>
                <w:szCs w:val="20"/>
                <w:lang w:val="en-US"/>
              </w:rPr>
              <w:t xml:space="preserve">The lower tax rate </w:t>
            </w:r>
            <w:r w:rsidR="002F311F" w:rsidRPr="00667CD1">
              <w:rPr>
                <w:sz w:val="20"/>
                <w:szCs w:val="20"/>
                <w:lang w:val="en-US"/>
              </w:rPr>
              <w:t>is e</w:t>
            </w:r>
            <w:r w:rsidR="000F398F" w:rsidRPr="00667CD1">
              <w:rPr>
                <w:sz w:val="20"/>
                <w:szCs w:val="20"/>
                <w:lang w:val="en-US"/>
              </w:rPr>
              <w:t>xpected</w:t>
            </w:r>
            <w:r w:rsidR="002F311F" w:rsidRPr="00667CD1">
              <w:rPr>
                <w:sz w:val="20"/>
                <w:szCs w:val="20"/>
                <w:lang w:val="en-US"/>
              </w:rPr>
              <w:t xml:space="preserve"> to</w:t>
            </w:r>
            <w:r w:rsidRPr="00667CD1">
              <w:rPr>
                <w:sz w:val="20"/>
                <w:szCs w:val="20"/>
                <w:lang w:val="en-US"/>
              </w:rPr>
              <w:t xml:space="preserve"> provide N</w:t>
            </w:r>
            <w:r w:rsidR="004F793F" w:rsidRPr="00667CD1">
              <w:rPr>
                <w:sz w:val="20"/>
                <w:szCs w:val="20"/>
                <w:lang w:val="en-US"/>
              </w:rPr>
              <w:t>ew South Wales</w:t>
            </w:r>
            <w:r w:rsidRPr="00667CD1">
              <w:rPr>
                <w:sz w:val="20"/>
                <w:szCs w:val="20"/>
                <w:lang w:val="en-US"/>
              </w:rPr>
              <w:t xml:space="preserve"> businesses with </w:t>
            </w:r>
            <w:r w:rsidR="002F311F" w:rsidRPr="00667CD1">
              <w:rPr>
                <w:sz w:val="20"/>
                <w:szCs w:val="20"/>
                <w:lang w:val="en-US"/>
              </w:rPr>
              <w:t>around</w:t>
            </w:r>
            <w:r w:rsidRPr="00667CD1">
              <w:rPr>
                <w:sz w:val="20"/>
                <w:szCs w:val="20"/>
                <w:lang w:val="en-US"/>
              </w:rPr>
              <w:t xml:space="preserve"> $2.1 billion in savings in total across 2020-21 and 2021-22.  </w:t>
            </w:r>
          </w:p>
        </w:tc>
      </w:tr>
    </w:tbl>
    <w:p w14:paraId="57A5D83D" w14:textId="77777777" w:rsidR="00F34865" w:rsidRPr="00667CD1" w:rsidRDefault="00F34865" w:rsidP="008D3B9A">
      <w:pPr>
        <w:rPr>
          <w:sz w:val="16"/>
          <w:szCs w:val="16"/>
        </w:rPr>
      </w:pPr>
    </w:p>
    <w:p w14:paraId="212D1B80" w14:textId="77777777" w:rsidR="00F34865" w:rsidRPr="00667CD1" w:rsidRDefault="00F34865" w:rsidP="008D3B9A">
      <w:pPr>
        <w:rPr>
          <w:rFonts w:ascii="Arial Bold" w:hAnsi="Arial Bold"/>
          <w:b/>
          <w:kern w:val="28"/>
          <w:sz w:val="22"/>
          <w:szCs w:val="28"/>
        </w:rPr>
      </w:pPr>
      <w:r w:rsidRPr="00667CD1">
        <w:rPr>
          <w:sz w:val="16"/>
          <w:szCs w:val="16"/>
        </w:rPr>
        <w:br w:type="page"/>
      </w:r>
    </w:p>
    <w:p w14:paraId="67834FB3" w14:textId="106581B1" w:rsidR="001078C4" w:rsidRPr="00667CD1" w:rsidRDefault="49DC980F" w:rsidP="006444B0">
      <w:pPr>
        <w:pStyle w:val="Heading3"/>
        <w:numPr>
          <w:ilvl w:val="0"/>
          <w:numId w:val="0"/>
        </w:numPr>
        <w:ind w:left="720" w:hanging="720"/>
        <w:rPr>
          <w:sz w:val="22"/>
          <w:szCs w:val="28"/>
        </w:rPr>
      </w:pPr>
      <w:r w:rsidRPr="00667CD1">
        <w:rPr>
          <w:sz w:val="22"/>
          <w:szCs w:val="28"/>
        </w:rPr>
        <w:lastRenderedPageBreak/>
        <w:t>O</w:t>
      </w:r>
      <w:r w:rsidR="7EE4C277" w:rsidRPr="00667CD1">
        <w:rPr>
          <w:sz w:val="22"/>
          <w:szCs w:val="28"/>
        </w:rPr>
        <w:t>ther</w:t>
      </w:r>
      <w:r w:rsidR="4E7E170F" w:rsidRPr="00667CD1">
        <w:rPr>
          <w:sz w:val="22"/>
          <w:szCs w:val="28"/>
        </w:rPr>
        <w:t xml:space="preserve"> </w:t>
      </w:r>
      <w:r w:rsidR="5DEA930B" w:rsidRPr="00667CD1">
        <w:rPr>
          <w:sz w:val="22"/>
          <w:szCs w:val="28"/>
        </w:rPr>
        <w:t xml:space="preserve">new </w:t>
      </w:r>
      <w:r w:rsidR="4E7E170F" w:rsidRPr="00667CD1">
        <w:rPr>
          <w:sz w:val="22"/>
          <w:szCs w:val="28"/>
        </w:rPr>
        <w:t xml:space="preserve">revenue measures </w:t>
      </w:r>
      <w:r w:rsidRPr="00667CD1">
        <w:rPr>
          <w:sz w:val="22"/>
          <w:szCs w:val="28"/>
        </w:rPr>
        <w:t>since 2019-20 H</w:t>
      </w:r>
      <w:r w:rsidR="6EF93EA3" w:rsidRPr="00667CD1">
        <w:rPr>
          <w:sz w:val="22"/>
          <w:szCs w:val="28"/>
        </w:rPr>
        <w:t>alf-Yearly Review</w:t>
      </w:r>
    </w:p>
    <w:p w14:paraId="226D32E6" w14:textId="5775721D" w:rsidR="00C96D26" w:rsidRPr="00667CD1" w:rsidRDefault="00B441BD" w:rsidP="00DC5EFC">
      <w:pPr>
        <w:pStyle w:val="BodyText"/>
        <w:rPr>
          <w:rStyle w:val="normaltextrun"/>
          <w:rFonts w:ascii="Arial Bold" w:hAnsi="Arial Bold"/>
          <w:b/>
          <w:kern w:val="28"/>
          <w:sz w:val="22"/>
          <w:shd w:val="clear" w:color="auto" w:fill="FFFFFF"/>
          <w:lang w:eastAsia="x-none"/>
        </w:rPr>
      </w:pPr>
      <w:r w:rsidRPr="00667CD1">
        <w:rPr>
          <w:rStyle w:val="normaltextrun"/>
          <w:sz w:val="20"/>
          <w:szCs w:val="16"/>
          <w:shd w:val="clear" w:color="auto" w:fill="FFFFFF"/>
        </w:rPr>
        <w:t xml:space="preserve">Table 4.2 shows other </w:t>
      </w:r>
      <w:r w:rsidR="0021430B" w:rsidRPr="00667CD1">
        <w:rPr>
          <w:rStyle w:val="normaltextrun"/>
          <w:sz w:val="20"/>
          <w:szCs w:val="16"/>
          <w:shd w:val="clear" w:color="auto" w:fill="FFFFFF"/>
        </w:rPr>
        <w:t xml:space="preserve">new </w:t>
      </w:r>
      <w:r w:rsidRPr="00667CD1">
        <w:rPr>
          <w:rStyle w:val="normaltextrun"/>
          <w:sz w:val="20"/>
          <w:szCs w:val="16"/>
          <w:shd w:val="clear" w:color="auto" w:fill="FFFFFF"/>
        </w:rPr>
        <w:t>revenue measures announced since the 2019-20 Half-Yearly Revie</w:t>
      </w:r>
      <w:r w:rsidR="0021430B" w:rsidRPr="00667CD1">
        <w:rPr>
          <w:rStyle w:val="normaltextrun"/>
          <w:sz w:val="20"/>
          <w:szCs w:val="16"/>
          <w:shd w:val="clear" w:color="auto" w:fill="FFFFFF"/>
        </w:rPr>
        <w:t xml:space="preserve">w, including </w:t>
      </w:r>
      <w:r w:rsidR="07E9FF13" w:rsidRPr="00667CD1">
        <w:rPr>
          <w:rStyle w:val="normaltextrun"/>
          <w:sz w:val="20"/>
          <w:szCs w:val="16"/>
          <w:shd w:val="clear" w:color="auto" w:fill="FFFFFF"/>
        </w:rPr>
        <w:t>new transport, health and training measures</w:t>
      </w:r>
      <w:r w:rsidR="0021430B" w:rsidRPr="00667CD1">
        <w:rPr>
          <w:rStyle w:val="normaltextrun"/>
          <w:sz w:val="20"/>
          <w:szCs w:val="16"/>
          <w:shd w:val="clear" w:color="auto" w:fill="FFFFFF"/>
        </w:rPr>
        <w:t xml:space="preserve"> announced in this Budget.</w:t>
      </w:r>
      <w:r w:rsidRPr="00667CD1">
        <w:rPr>
          <w:rStyle w:val="normaltextrun"/>
          <w:sz w:val="20"/>
          <w:szCs w:val="16"/>
          <w:shd w:val="clear" w:color="auto" w:fill="FFFFFF"/>
        </w:rPr>
        <w:t xml:space="preserve"> </w:t>
      </w:r>
    </w:p>
    <w:p w14:paraId="1DD8B4A8" w14:textId="6C1EF4C0" w:rsidR="00925356" w:rsidRPr="00667CD1" w:rsidRDefault="4B2958EA" w:rsidP="5BE867C5">
      <w:pPr>
        <w:pStyle w:val="Table4X"/>
        <w:tabs>
          <w:tab w:val="clear" w:pos="1134"/>
          <w:tab w:val="left" w:pos="1304"/>
        </w:tabs>
        <w:ind w:left="1304" w:hanging="1304"/>
        <w:rPr>
          <w:sz w:val="18"/>
          <w:szCs w:val="18"/>
        </w:rPr>
      </w:pPr>
      <w:r w:rsidRPr="00667CD1">
        <w:rPr>
          <w:sz w:val="18"/>
          <w:szCs w:val="18"/>
        </w:rPr>
        <w:t>O</w:t>
      </w:r>
      <w:r w:rsidR="64FCFBC7" w:rsidRPr="00667CD1">
        <w:rPr>
          <w:sz w:val="18"/>
          <w:szCs w:val="18"/>
        </w:rPr>
        <w:t>ther</w:t>
      </w:r>
      <w:r w:rsidR="4E7E170F" w:rsidRPr="00667CD1">
        <w:rPr>
          <w:sz w:val="18"/>
          <w:szCs w:val="18"/>
        </w:rPr>
        <w:t xml:space="preserve"> </w:t>
      </w:r>
      <w:r w:rsidRPr="00667CD1">
        <w:rPr>
          <w:sz w:val="18"/>
          <w:szCs w:val="18"/>
        </w:rPr>
        <w:t xml:space="preserve">new </w:t>
      </w:r>
      <w:r w:rsidR="4E7E170F" w:rsidRPr="00667CD1">
        <w:rPr>
          <w:sz w:val="18"/>
          <w:szCs w:val="18"/>
        </w:rPr>
        <w:t>revenue measures</w:t>
      </w:r>
    </w:p>
    <w:tbl>
      <w:tblPr>
        <w:tblW w:w="9639" w:type="dxa"/>
        <w:tblLook w:val="04A0" w:firstRow="1" w:lastRow="0" w:firstColumn="1" w:lastColumn="0" w:noHBand="0" w:noVBand="1"/>
        <w:tblCaption w:val="Table 4.2:  Other new revenue measures"/>
        <w:tblDescription w:val="Table 4.2:  Other new revenue measures"/>
      </w:tblPr>
      <w:tblGrid>
        <w:gridCol w:w="4743"/>
        <w:gridCol w:w="796"/>
        <w:gridCol w:w="796"/>
        <w:gridCol w:w="796"/>
        <w:gridCol w:w="796"/>
        <w:gridCol w:w="796"/>
        <w:gridCol w:w="916"/>
      </w:tblGrid>
      <w:tr w:rsidR="00F85033" w:rsidRPr="00667CD1" w14:paraId="7308087A" w14:textId="77777777" w:rsidTr="00694725">
        <w:trPr>
          <w:trHeight w:val="250"/>
        </w:trPr>
        <w:tc>
          <w:tcPr>
            <w:tcW w:w="4743" w:type="dxa"/>
            <w:tcBorders>
              <w:top w:val="nil"/>
              <w:left w:val="nil"/>
              <w:right w:val="nil"/>
            </w:tcBorders>
            <w:shd w:val="clear" w:color="000000" w:fill="008EBA"/>
            <w:vAlign w:val="center"/>
            <w:hideMark/>
          </w:tcPr>
          <w:p w14:paraId="493F8B15" w14:textId="77777777" w:rsidR="00F85033" w:rsidRPr="00667CD1" w:rsidRDefault="00F85033" w:rsidP="00F85033">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796" w:type="dxa"/>
            <w:tcBorders>
              <w:top w:val="nil"/>
              <w:left w:val="nil"/>
              <w:right w:val="nil"/>
            </w:tcBorders>
            <w:shd w:val="clear" w:color="000000" w:fill="008EBA"/>
            <w:noWrap/>
            <w:vAlign w:val="bottom"/>
            <w:hideMark/>
          </w:tcPr>
          <w:p w14:paraId="25C7721B" w14:textId="77777777" w:rsidR="00F85033" w:rsidRPr="00667CD1" w:rsidRDefault="00F85033"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2019-20</w:t>
            </w:r>
          </w:p>
        </w:tc>
        <w:tc>
          <w:tcPr>
            <w:tcW w:w="796" w:type="dxa"/>
            <w:tcBorders>
              <w:top w:val="nil"/>
              <w:left w:val="nil"/>
              <w:right w:val="nil"/>
            </w:tcBorders>
            <w:shd w:val="clear" w:color="000000" w:fill="008EBA"/>
            <w:noWrap/>
            <w:vAlign w:val="bottom"/>
            <w:hideMark/>
          </w:tcPr>
          <w:p w14:paraId="6F71489A" w14:textId="77777777" w:rsidR="00F85033" w:rsidRPr="00667CD1" w:rsidRDefault="00F85033"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2020-21</w:t>
            </w:r>
          </w:p>
        </w:tc>
        <w:tc>
          <w:tcPr>
            <w:tcW w:w="796" w:type="dxa"/>
            <w:tcBorders>
              <w:top w:val="nil"/>
              <w:left w:val="nil"/>
              <w:right w:val="nil"/>
            </w:tcBorders>
            <w:shd w:val="clear" w:color="000000" w:fill="008EBA"/>
            <w:noWrap/>
            <w:vAlign w:val="bottom"/>
            <w:hideMark/>
          </w:tcPr>
          <w:p w14:paraId="67FB3122" w14:textId="77777777" w:rsidR="00F85033" w:rsidRPr="00667CD1" w:rsidRDefault="00F85033"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2021-22</w:t>
            </w:r>
          </w:p>
        </w:tc>
        <w:tc>
          <w:tcPr>
            <w:tcW w:w="796" w:type="dxa"/>
            <w:tcBorders>
              <w:top w:val="nil"/>
              <w:left w:val="nil"/>
              <w:right w:val="nil"/>
            </w:tcBorders>
            <w:shd w:val="clear" w:color="000000" w:fill="008EBA"/>
            <w:noWrap/>
            <w:vAlign w:val="bottom"/>
            <w:hideMark/>
          </w:tcPr>
          <w:p w14:paraId="2A98C27D" w14:textId="77777777" w:rsidR="00F85033" w:rsidRPr="00667CD1" w:rsidRDefault="00F85033"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2022-23</w:t>
            </w:r>
          </w:p>
        </w:tc>
        <w:tc>
          <w:tcPr>
            <w:tcW w:w="796" w:type="dxa"/>
            <w:tcBorders>
              <w:top w:val="nil"/>
              <w:left w:val="nil"/>
              <w:right w:val="nil"/>
            </w:tcBorders>
            <w:shd w:val="clear" w:color="000000" w:fill="008EBA"/>
            <w:noWrap/>
            <w:vAlign w:val="bottom"/>
            <w:hideMark/>
          </w:tcPr>
          <w:p w14:paraId="416A06C8" w14:textId="77777777" w:rsidR="00F85033" w:rsidRPr="00667CD1" w:rsidRDefault="00F85033"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2023-24</w:t>
            </w:r>
          </w:p>
        </w:tc>
        <w:tc>
          <w:tcPr>
            <w:tcW w:w="916" w:type="dxa"/>
            <w:tcBorders>
              <w:top w:val="nil"/>
              <w:left w:val="nil"/>
              <w:bottom w:val="nil"/>
              <w:right w:val="nil"/>
            </w:tcBorders>
            <w:shd w:val="clear" w:color="auto" w:fill="008EBA"/>
            <w:noWrap/>
            <w:vAlign w:val="bottom"/>
            <w:hideMark/>
          </w:tcPr>
          <w:p w14:paraId="1B930A8A" w14:textId="77777777" w:rsidR="00F85033" w:rsidRPr="00667CD1" w:rsidRDefault="00F85033" w:rsidP="00D64D63">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Four years</w:t>
            </w:r>
          </w:p>
        </w:tc>
      </w:tr>
      <w:tr w:rsidR="00F85033" w:rsidRPr="00667CD1" w14:paraId="5C5412C0" w14:textId="77777777" w:rsidTr="00694725">
        <w:trPr>
          <w:trHeight w:val="250"/>
        </w:trPr>
        <w:tc>
          <w:tcPr>
            <w:tcW w:w="4743" w:type="dxa"/>
            <w:tcBorders>
              <w:top w:val="nil"/>
              <w:left w:val="nil"/>
              <w:bottom w:val="nil"/>
              <w:right w:val="nil"/>
            </w:tcBorders>
            <w:shd w:val="clear" w:color="000000" w:fill="00426F"/>
            <w:hideMark/>
          </w:tcPr>
          <w:p w14:paraId="163A20F1" w14:textId="77777777" w:rsidR="00F85033" w:rsidRPr="00667CD1" w:rsidRDefault="00F85033" w:rsidP="00F85033">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796" w:type="dxa"/>
            <w:tcBorders>
              <w:top w:val="nil"/>
              <w:left w:val="nil"/>
              <w:bottom w:val="nil"/>
              <w:right w:val="nil"/>
            </w:tcBorders>
            <w:shd w:val="clear" w:color="000000" w:fill="00426F"/>
            <w:hideMark/>
          </w:tcPr>
          <w:p w14:paraId="4F0E7153" w14:textId="77777777" w:rsidR="00F85033" w:rsidRPr="00667CD1" w:rsidRDefault="00F85033" w:rsidP="00F85033">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796" w:type="dxa"/>
            <w:tcBorders>
              <w:top w:val="nil"/>
              <w:left w:val="nil"/>
              <w:bottom w:val="nil"/>
              <w:right w:val="nil"/>
            </w:tcBorders>
            <w:shd w:val="clear" w:color="000000" w:fill="00426F"/>
            <w:hideMark/>
          </w:tcPr>
          <w:p w14:paraId="781E6AB2" w14:textId="77777777" w:rsidR="00F85033" w:rsidRPr="00667CD1" w:rsidRDefault="00F85033" w:rsidP="00F85033">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796" w:type="dxa"/>
            <w:tcBorders>
              <w:top w:val="nil"/>
              <w:left w:val="nil"/>
              <w:bottom w:val="nil"/>
              <w:right w:val="nil"/>
            </w:tcBorders>
            <w:shd w:val="clear" w:color="000000" w:fill="00426F"/>
            <w:hideMark/>
          </w:tcPr>
          <w:p w14:paraId="41F01DEF" w14:textId="77777777" w:rsidR="00F85033" w:rsidRPr="00667CD1" w:rsidRDefault="00F85033" w:rsidP="00F85033">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796" w:type="dxa"/>
            <w:tcBorders>
              <w:top w:val="nil"/>
              <w:left w:val="nil"/>
              <w:bottom w:val="nil"/>
              <w:right w:val="nil"/>
            </w:tcBorders>
            <w:shd w:val="clear" w:color="000000" w:fill="00426F"/>
            <w:hideMark/>
          </w:tcPr>
          <w:p w14:paraId="33B929A0" w14:textId="77777777" w:rsidR="00F85033" w:rsidRPr="00667CD1" w:rsidRDefault="00F85033" w:rsidP="00F85033">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796" w:type="dxa"/>
            <w:tcBorders>
              <w:top w:val="nil"/>
              <w:left w:val="nil"/>
              <w:bottom w:val="nil"/>
              <w:right w:val="nil"/>
            </w:tcBorders>
            <w:shd w:val="clear" w:color="000000" w:fill="00426F"/>
            <w:hideMark/>
          </w:tcPr>
          <w:p w14:paraId="617EA3C2" w14:textId="77777777" w:rsidR="00F85033" w:rsidRPr="00667CD1" w:rsidRDefault="00F85033" w:rsidP="00F85033">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16" w:type="dxa"/>
            <w:tcBorders>
              <w:top w:val="nil"/>
              <w:left w:val="nil"/>
              <w:bottom w:val="nil"/>
              <w:right w:val="nil"/>
            </w:tcBorders>
            <w:shd w:val="clear" w:color="auto" w:fill="008EBA"/>
            <w:vAlign w:val="center"/>
            <w:hideMark/>
          </w:tcPr>
          <w:p w14:paraId="525D3200" w14:textId="696129D4" w:rsidR="00F85033" w:rsidRPr="00667CD1" w:rsidRDefault="00F85033" w:rsidP="00F85033">
            <w:pPr>
              <w:jc w:val="center"/>
              <w:rPr>
                <w:rFonts w:ascii="Arial" w:hAnsi="Arial" w:cs="Arial"/>
                <w:color w:val="FFFFFF"/>
                <w:sz w:val="12"/>
                <w:szCs w:val="12"/>
                <w:lang w:eastAsia="en-AU"/>
              </w:rPr>
            </w:pPr>
            <w:r w:rsidRPr="00667CD1">
              <w:rPr>
                <w:rFonts w:ascii="Arial" w:hAnsi="Arial" w:cs="Arial"/>
                <w:color w:val="FFFFFF"/>
                <w:sz w:val="12"/>
                <w:szCs w:val="12"/>
                <w:lang w:eastAsia="en-AU"/>
              </w:rPr>
              <w:t xml:space="preserve">to </w:t>
            </w:r>
            <w:r w:rsidR="00735265" w:rsidRPr="00667CD1">
              <w:rPr>
                <w:rFonts w:ascii="Arial" w:hAnsi="Arial" w:cs="Arial"/>
                <w:color w:val="FFFFFF"/>
                <w:sz w:val="12"/>
                <w:szCs w:val="12"/>
                <w:lang w:eastAsia="en-AU"/>
              </w:rPr>
              <w:br/>
            </w:r>
            <w:r w:rsidRPr="00667CD1">
              <w:rPr>
                <w:rFonts w:ascii="Arial" w:hAnsi="Arial" w:cs="Arial"/>
                <w:color w:val="FFFFFF"/>
                <w:sz w:val="12"/>
                <w:szCs w:val="12"/>
                <w:lang w:eastAsia="en-AU"/>
              </w:rPr>
              <w:t>2023-24</w:t>
            </w:r>
          </w:p>
        </w:tc>
      </w:tr>
      <w:tr w:rsidR="00E618E5" w:rsidRPr="00667CD1" w14:paraId="4E30AD4F" w14:textId="77777777" w:rsidTr="003B4998">
        <w:trPr>
          <w:trHeight w:val="397"/>
        </w:trPr>
        <w:tc>
          <w:tcPr>
            <w:tcW w:w="4743" w:type="dxa"/>
            <w:tcBorders>
              <w:top w:val="nil"/>
              <w:left w:val="nil"/>
              <w:bottom w:val="nil"/>
              <w:right w:val="nil"/>
            </w:tcBorders>
            <w:shd w:val="clear" w:color="000000" w:fill="FFFFFF"/>
            <w:vAlign w:val="bottom"/>
            <w:hideMark/>
          </w:tcPr>
          <w:p w14:paraId="6FC7AF22" w14:textId="4E8BDDCB" w:rsidR="00E618E5" w:rsidRPr="00667CD1" w:rsidRDefault="00E618E5" w:rsidP="003B4998">
            <w:pPr>
              <w:ind w:left="130" w:hanging="130"/>
              <w:rPr>
                <w:rFonts w:ascii="Arial" w:hAnsi="Arial" w:cs="Arial"/>
                <w:sz w:val="12"/>
                <w:szCs w:val="12"/>
                <w:lang w:eastAsia="en-AU"/>
              </w:rPr>
            </w:pPr>
            <w:r w:rsidRPr="00667CD1">
              <w:rPr>
                <w:rFonts w:ascii="Arial" w:hAnsi="Arial" w:cs="Arial"/>
                <w:sz w:val="12"/>
                <w:szCs w:val="12"/>
                <w:lang w:eastAsia="en-AU"/>
              </w:rPr>
              <w:t>Agency cost pressures primarily resulting from the COVID-19 pandemic</w:t>
            </w:r>
          </w:p>
        </w:tc>
        <w:tc>
          <w:tcPr>
            <w:tcW w:w="796" w:type="dxa"/>
            <w:tcBorders>
              <w:top w:val="nil"/>
              <w:left w:val="nil"/>
              <w:bottom w:val="nil"/>
              <w:right w:val="nil"/>
            </w:tcBorders>
            <w:shd w:val="clear" w:color="000000" w:fill="FFFFFF"/>
            <w:noWrap/>
            <w:vAlign w:val="bottom"/>
            <w:hideMark/>
          </w:tcPr>
          <w:p w14:paraId="5A968D22" w14:textId="68ACCFB7" w:rsidR="00E618E5" w:rsidRPr="00667CD1" w:rsidRDefault="00E618E5"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(77) </w:t>
            </w:r>
          </w:p>
        </w:tc>
        <w:tc>
          <w:tcPr>
            <w:tcW w:w="796" w:type="dxa"/>
            <w:tcBorders>
              <w:top w:val="nil"/>
              <w:left w:val="nil"/>
              <w:bottom w:val="nil"/>
              <w:right w:val="nil"/>
            </w:tcBorders>
            <w:shd w:val="clear" w:color="000000" w:fill="F2F2F2"/>
            <w:noWrap/>
            <w:vAlign w:val="bottom"/>
            <w:hideMark/>
          </w:tcPr>
          <w:p w14:paraId="5CB12CD6" w14:textId="6909B4F7" w:rsidR="00E618E5" w:rsidRPr="00667CD1" w:rsidRDefault="00E618E5"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(100) </w:t>
            </w:r>
          </w:p>
        </w:tc>
        <w:tc>
          <w:tcPr>
            <w:tcW w:w="796" w:type="dxa"/>
            <w:tcBorders>
              <w:top w:val="nil"/>
              <w:left w:val="nil"/>
              <w:bottom w:val="nil"/>
              <w:right w:val="nil"/>
            </w:tcBorders>
            <w:shd w:val="clear" w:color="000000" w:fill="F2F2F2"/>
            <w:noWrap/>
            <w:vAlign w:val="bottom"/>
            <w:hideMark/>
          </w:tcPr>
          <w:p w14:paraId="141205A1" w14:textId="68E839C4" w:rsidR="00E618E5" w:rsidRPr="00667CD1" w:rsidRDefault="00E618E5"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96" w:type="dxa"/>
            <w:tcBorders>
              <w:top w:val="nil"/>
              <w:left w:val="nil"/>
              <w:bottom w:val="nil"/>
              <w:right w:val="nil"/>
            </w:tcBorders>
            <w:shd w:val="clear" w:color="000000" w:fill="F2F2F2"/>
            <w:noWrap/>
            <w:vAlign w:val="bottom"/>
            <w:hideMark/>
          </w:tcPr>
          <w:p w14:paraId="126EBCF2" w14:textId="1B102AF0" w:rsidR="00E618E5" w:rsidRPr="00667CD1" w:rsidRDefault="00E618E5"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96" w:type="dxa"/>
            <w:tcBorders>
              <w:top w:val="nil"/>
              <w:left w:val="nil"/>
              <w:bottom w:val="nil"/>
              <w:right w:val="nil"/>
            </w:tcBorders>
            <w:shd w:val="clear" w:color="000000" w:fill="F2F2F2"/>
            <w:noWrap/>
            <w:vAlign w:val="bottom"/>
            <w:hideMark/>
          </w:tcPr>
          <w:p w14:paraId="3D534005" w14:textId="3CF92271" w:rsidR="00E618E5" w:rsidRPr="00667CD1" w:rsidRDefault="00E618E5"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916" w:type="dxa"/>
            <w:tcBorders>
              <w:top w:val="nil"/>
              <w:left w:val="nil"/>
              <w:bottom w:val="nil"/>
              <w:right w:val="nil"/>
            </w:tcBorders>
            <w:shd w:val="clear" w:color="000000" w:fill="F2F2F2"/>
            <w:noWrap/>
            <w:vAlign w:val="bottom"/>
            <w:hideMark/>
          </w:tcPr>
          <w:p w14:paraId="3DCBCAD2" w14:textId="1DB92715" w:rsidR="00E618E5" w:rsidRPr="00667CD1" w:rsidRDefault="00E618E5" w:rsidP="008D3B9A">
            <w:pPr>
              <w:ind w:left="-1022" w:right="48"/>
              <w:jc w:val="right"/>
              <w:rPr>
                <w:rFonts w:ascii="Arial" w:hAnsi="Arial" w:cs="Arial"/>
                <w:b/>
                <w:color w:val="0579B9"/>
                <w:sz w:val="12"/>
                <w:szCs w:val="12"/>
                <w:lang w:eastAsia="en-AU"/>
              </w:rPr>
            </w:pPr>
            <w:r w:rsidRPr="00667CD1" w:rsidDel="004C3B6C">
              <w:rPr>
                <w:rFonts w:ascii="Arial" w:hAnsi="Arial" w:cs="Arial"/>
                <w:b/>
                <w:color w:val="0579B9"/>
                <w:sz w:val="12"/>
                <w:szCs w:val="12"/>
                <w:lang w:eastAsia="en-AU"/>
              </w:rPr>
              <w:t>(</w:t>
            </w:r>
            <w:r w:rsidR="003B5FF3" w:rsidRPr="00667CD1" w:rsidDel="004C3B6C">
              <w:rPr>
                <w:rFonts w:ascii="Arial" w:hAnsi="Arial" w:cs="Arial"/>
                <w:b/>
                <w:color w:val="0579B9"/>
                <w:sz w:val="12"/>
                <w:szCs w:val="12"/>
                <w:lang w:eastAsia="en-AU"/>
              </w:rPr>
              <w:t>100</w:t>
            </w:r>
            <w:r w:rsidRPr="00667CD1" w:rsidDel="004C3B6C">
              <w:rPr>
                <w:rFonts w:ascii="Arial" w:hAnsi="Arial" w:cs="Arial"/>
                <w:b/>
                <w:color w:val="0579B9"/>
                <w:sz w:val="12"/>
                <w:szCs w:val="12"/>
                <w:lang w:eastAsia="en-AU"/>
              </w:rPr>
              <w:t>)</w:t>
            </w:r>
            <w:r w:rsidRPr="00667CD1">
              <w:rPr>
                <w:rFonts w:ascii="Arial" w:hAnsi="Arial" w:cs="Arial"/>
                <w:b/>
                <w:color w:val="0579B9"/>
                <w:sz w:val="12"/>
                <w:szCs w:val="12"/>
                <w:lang w:eastAsia="en-AU"/>
              </w:rPr>
              <w:t xml:space="preserve"> </w:t>
            </w:r>
          </w:p>
        </w:tc>
      </w:tr>
      <w:tr w:rsidR="00F85033" w:rsidRPr="00667CD1" w14:paraId="281B3594" w14:textId="77777777" w:rsidTr="003B4998">
        <w:trPr>
          <w:trHeight w:val="250"/>
        </w:trPr>
        <w:tc>
          <w:tcPr>
            <w:tcW w:w="4743" w:type="dxa"/>
            <w:tcBorders>
              <w:top w:val="nil"/>
              <w:left w:val="nil"/>
              <w:bottom w:val="nil"/>
              <w:right w:val="nil"/>
            </w:tcBorders>
            <w:shd w:val="clear" w:color="000000" w:fill="FFFFFF"/>
            <w:vAlign w:val="bottom"/>
            <w:hideMark/>
          </w:tcPr>
          <w:p w14:paraId="3C75936E" w14:textId="77777777" w:rsidR="00F85033" w:rsidRPr="00667CD1" w:rsidRDefault="00F85033" w:rsidP="003B4998">
            <w:pPr>
              <w:ind w:left="130" w:hanging="130"/>
              <w:rPr>
                <w:rFonts w:ascii="Arial" w:hAnsi="Arial" w:cs="Arial"/>
                <w:sz w:val="12"/>
                <w:szCs w:val="12"/>
                <w:lang w:eastAsia="en-AU"/>
              </w:rPr>
            </w:pPr>
            <w:r w:rsidRPr="00667CD1">
              <w:rPr>
                <w:rFonts w:ascii="Arial" w:hAnsi="Arial" w:cs="Arial"/>
                <w:sz w:val="12"/>
                <w:szCs w:val="12"/>
                <w:lang w:eastAsia="en-AU"/>
              </w:rPr>
              <w:t>NSW Generations Fund (NGF) distributions</w:t>
            </w:r>
          </w:p>
        </w:tc>
        <w:tc>
          <w:tcPr>
            <w:tcW w:w="796" w:type="dxa"/>
            <w:tcBorders>
              <w:top w:val="nil"/>
              <w:left w:val="nil"/>
              <w:bottom w:val="nil"/>
              <w:right w:val="nil"/>
            </w:tcBorders>
            <w:shd w:val="clear" w:color="000000" w:fill="FFFFFF"/>
            <w:noWrap/>
            <w:vAlign w:val="bottom"/>
            <w:hideMark/>
          </w:tcPr>
          <w:p w14:paraId="05A5B3BD"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96" w:type="dxa"/>
            <w:tcBorders>
              <w:top w:val="nil"/>
              <w:left w:val="nil"/>
              <w:bottom w:val="nil"/>
              <w:right w:val="nil"/>
            </w:tcBorders>
            <w:shd w:val="clear" w:color="000000" w:fill="F2F2F2"/>
            <w:noWrap/>
            <w:vAlign w:val="bottom"/>
            <w:hideMark/>
          </w:tcPr>
          <w:p w14:paraId="40ED05CB"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56 </w:t>
            </w:r>
          </w:p>
        </w:tc>
        <w:tc>
          <w:tcPr>
            <w:tcW w:w="796" w:type="dxa"/>
            <w:tcBorders>
              <w:top w:val="nil"/>
              <w:left w:val="nil"/>
              <w:bottom w:val="nil"/>
              <w:right w:val="nil"/>
            </w:tcBorders>
            <w:shd w:val="clear" w:color="000000" w:fill="F2F2F2"/>
            <w:noWrap/>
            <w:vAlign w:val="bottom"/>
            <w:hideMark/>
          </w:tcPr>
          <w:p w14:paraId="6004160F"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193 </w:t>
            </w:r>
          </w:p>
        </w:tc>
        <w:tc>
          <w:tcPr>
            <w:tcW w:w="796" w:type="dxa"/>
            <w:tcBorders>
              <w:top w:val="nil"/>
              <w:left w:val="nil"/>
              <w:bottom w:val="nil"/>
              <w:right w:val="nil"/>
            </w:tcBorders>
            <w:shd w:val="clear" w:color="000000" w:fill="F2F2F2"/>
            <w:noWrap/>
            <w:vAlign w:val="bottom"/>
            <w:hideMark/>
          </w:tcPr>
          <w:p w14:paraId="17CF2B12"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373 </w:t>
            </w:r>
          </w:p>
        </w:tc>
        <w:tc>
          <w:tcPr>
            <w:tcW w:w="796" w:type="dxa"/>
            <w:tcBorders>
              <w:top w:val="nil"/>
              <w:left w:val="nil"/>
              <w:bottom w:val="nil"/>
              <w:right w:val="nil"/>
            </w:tcBorders>
            <w:shd w:val="clear" w:color="000000" w:fill="F2F2F2"/>
            <w:noWrap/>
            <w:vAlign w:val="bottom"/>
            <w:hideMark/>
          </w:tcPr>
          <w:p w14:paraId="01B4216B"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581 </w:t>
            </w:r>
          </w:p>
        </w:tc>
        <w:tc>
          <w:tcPr>
            <w:tcW w:w="916" w:type="dxa"/>
            <w:tcBorders>
              <w:top w:val="nil"/>
              <w:left w:val="nil"/>
              <w:bottom w:val="nil"/>
              <w:right w:val="nil"/>
            </w:tcBorders>
            <w:shd w:val="clear" w:color="000000" w:fill="F2F2F2"/>
            <w:noWrap/>
            <w:vAlign w:val="bottom"/>
            <w:hideMark/>
          </w:tcPr>
          <w:p w14:paraId="7672AB1C" w14:textId="77777777" w:rsidR="00F85033" w:rsidRPr="00667CD1" w:rsidRDefault="00F85033" w:rsidP="008D3B9A">
            <w:pPr>
              <w:ind w:left="-1022" w:right="48"/>
              <w:jc w:val="right"/>
              <w:rPr>
                <w:rFonts w:ascii="Arial" w:hAnsi="Arial" w:cs="Arial"/>
                <w:b/>
                <w:bCs/>
                <w:color w:val="0579B9"/>
                <w:sz w:val="12"/>
                <w:szCs w:val="12"/>
                <w:lang w:eastAsia="en-AU"/>
              </w:rPr>
            </w:pPr>
            <w:r w:rsidRPr="00667CD1">
              <w:rPr>
                <w:rFonts w:ascii="Arial" w:hAnsi="Arial" w:cs="Arial"/>
                <w:b/>
                <w:bCs/>
                <w:color w:val="0579B9"/>
                <w:sz w:val="12"/>
                <w:szCs w:val="12"/>
                <w:lang w:eastAsia="en-AU"/>
              </w:rPr>
              <w:t xml:space="preserve">1,203 </w:t>
            </w:r>
          </w:p>
        </w:tc>
      </w:tr>
      <w:tr w:rsidR="00F85033" w:rsidRPr="00667CD1" w14:paraId="1E7CF720" w14:textId="77777777" w:rsidTr="003B4998">
        <w:trPr>
          <w:trHeight w:val="250"/>
        </w:trPr>
        <w:tc>
          <w:tcPr>
            <w:tcW w:w="4743" w:type="dxa"/>
            <w:tcBorders>
              <w:top w:val="nil"/>
              <w:left w:val="nil"/>
              <w:bottom w:val="nil"/>
              <w:right w:val="nil"/>
            </w:tcBorders>
            <w:shd w:val="clear" w:color="000000" w:fill="FFFFFF"/>
            <w:vAlign w:val="bottom"/>
            <w:hideMark/>
          </w:tcPr>
          <w:p w14:paraId="36E3489B" w14:textId="1DEE8E8C" w:rsidR="00F85033" w:rsidRPr="00667CD1" w:rsidRDefault="00BD484D" w:rsidP="003B4998">
            <w:pPr>
              <w:ind w:left="130" w:hanging="130"/>
              <w:rPr>
                <w:rFonts w:ascii="Arial" w:hAnsi="Arial" w:cs="Arial"/>
                <w:sz w:val="12"/>
                <w:szCs w:val="12"/>
                <w:lang w:eastAsia="en-AU"/>
              </w:rPr>
            </w:pPr>
            <w:r w:rsidRPr="00667CD1">
              <w:rPr>
                <w:rFonts w:ascii="Arial" w:hAnsi="Arial" w:cs="Arial"/>
                <w:sz w:val="12"/>
                <w:szCs w:val="12"/>
                <w:lang w:eastAsia="en-AU"/>
              </w:rPr>
              <w:t xml:space="preserve">Additional </w:t>
            </w:r>
            <w:r w:rsidR="00EA6214" w:rsidRPr="00667CD1">
              <w:rPr>
                <w:rFonts w:ascii="Arial" w:hAnsi="Arial" w:cs="Arial"/>
                <w:sz w:val="12"/>
                <w:szCs w:val="12"/>
                <w:lang w:eastAsia="en-AU"/>
              </w:rPr>
              <w:t>Towards Zero</w:t>
            </w:r>
            <w:r w:rsidR="00F85033" w:rsidRPr="00667CD1">
              <w:rPr>
                <w:rFonts w:ascii="Arial" w:hAnsi="Arial" w:cs="Arial"/>
                <w:sz w:val="12"/>
                <w:szCs w:val="12"/>
                <w:lang w:eastAsia="en-AU"/>
              </w:rPr>
              <w:t xml:space="preserve"> Initiative</w:t>
            </w:r>
          </w:p>
        </w:tc>
        <w:tc>
          <w:tcPr>
            <w:tcW w:w="796" w:type="dxa"/>
            <w:tcBorders>
              <w:top w:val="nil"/>
              <w:left w:val="nil"/>
              <w:bottom w:val="nil"/>
              <w:right w:val="nil"/>
            </w:tcBorders>
            <w:shd w:val="clear" w:color="000000" w:fill="FFFFFF"/>
            <w:noWrap/>
            <w:vAlign w:val="bottom"/>
            <w:hideMark/>
          </w:tcPr>
          <w:p w14:paraId="486533FB"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96" w:type="dxa"/>
            <w:tcBorders>
              <w:top w:val="nil"/>
              <w:left w:val="nil"/>
              <w:bottom w:val="nil"/>
              <w:right w:val="nil"/>
            </w:tcBorders>
            <w:shd w:val="clear" w:color="000000" w:fill="F2F2F2"/>
            <w:noWrap/>
            <w:vAlign w:val="bottom"/>
            <w:hideMark/>
          </w:tcPr>
          <w:p w14:paraId="6D87FD92"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15 </w:t>
            </w:r>
          </w:p>
        </w:tc>
        <w:tc>
          <w:tcPr>
            <w:tcW w:w="796" w:type="dxa"/>
            <w:tcBorders>
              <w:top w:val="nil"/>
              <w:left w:val="nil"/>
              <w:bottom w:val="nil"/>
              <w:right w:val="nil"/>
            </w:tcBorders>
            <w:shd w:val="clear" w:color="000000" w:fill="F2F2F2"/>
            <w:noWrap/>
            <w:vAlign w:val="bottom"/>
            <w:hideMark/>
          </w:tcPr>
          <w:p w14:paraId="1517BEA1"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81 </w:t>
            </w:r>
          </w:p>
        </w:tc>
        <w:tc>
          <w:tcPr>
            <w:tcW w:w="796" w:type="dxa"/>
            <w:tcBorders>
              <w:top w:val="nil"/>
              <w:left w:val="nil"/>
              <w:bottom w:val="nil"/>
              <w:right w:val="nil"/>
            </w:tcBorders>
            <w:shd w:val="clear" w:color="000000" w:fill="F2F2F2"/>
            <w:noWrap/>
            <w:vAlign w:val="bottom"/>
            <w:hideMark/>
          </w:tcPr>
          <w:p w14:paraId="4AF8F23E"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95 </w:t>
            </w:r>
          </w:p>
        </w:tc>
        <w:tc>
          <w:tcPr>
            <w:tcW w:w="796" w:type="dxa"/>
            <w:tcBorders>
              <w:top w:val="nil"/>
              <w:left w:val="nil"/>
              <w:bottom w:val="nil"/>
              <w:right w:val="nil"/>
            </w:tcBorders>
            <w:shd w:val="clear" w:color="000000" w:fill="F2F2F2"/>
            <w:noWrap/>
            <w:vAlign w:val="bottom"/>
            <w:hideMark/>
          </w:tcPr>
          <w:p w14:paraId="4B720080"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106 </w:t>
            </w:r>
          </w:p>
        </w:tc>
        <w:tc>
          <w:tcPr>
            <w:tcW w:w="916" w:type="dxa"/>
            <w:tcBorders>
              <w:top w:val="nil"/>
              <w:left w:val="nil"/>
              <w:bottom w:val="nil"/>
              <w:right w:val="nil"/>
            </w:tcBorders>
            <w:shd w:val="clear" w:color="000000" w:fill="F2F2F2"/>
            <w:noWrap/>
            <w:vAlign w:val="bottom"/>
            <w:hideMark/>
          </w:tcPr>
          <w:p w14:paraId="6F8A0F61" w14:textId="77777777" w:rsidR="00F85033" w:rsidRPr="00667CD1" w:rsidRDefault="00F85033" w:rsidP="008D3B9A">
            <w:pPr>
              <w:ind w:left="-1022" w:right="48"/>
              <w:jc w:val="right"/>
              <w:rPr>
                <w:rFonts w:ascii="Arial" w:hAnsi="Arial" w:cs="Arial"/>
                <w:b/>
                <w:bCs/>
                <w:color w:val="0579B9"/>
                <w:sz w:val="12"/>
                <w:szCs w:val="12"/>
                <w:lang w:eastAsia="en-AU"/>
              </w:rPr>
            </w:pPr>
            <w:r w:rsidRPr="00667CD1">
              <w:rPr>
                <w:rFonts w:ascii="Arial" w:hAnsi="Arial" w:cs="Arial"/>
                <w:b/>
                <w:bCs/>
                <w:color w:val="0579B9"/>
                <w:sz w:val="12"/>
                <w:szCs w:val="12"/>
                <w:lang w:eastAsia="en-AU"/>
              </w:rPr>
              <w:t xml:space="preserve">298 </w:t>
            </w:r>
          </w:p>
        </w:tc>
      </w:tr>
      <w:tr w:rsidR="00F85033" w:rsidRPr="00667CD1" w14:paraId="402A23D8" w14:textId="77777777" w:rsidTr="003B4998">
        <w:trPr>
          <w:trHeight w:val="250"/>
        </w:trPr>
        <w:tc>
          <w:tcPr>
            <w:tcW w:w="4743" w:type="dxa"/>
            <w:tcBorders>
              <w:top w:val="nil"/>
              <w:left w:val="nil"/>
              <w:bottom w:val="nil"/>
              <w:right w:val="nil"/>
            </w:tcBorders>
            <w:shd w:val="clear" w:color="000000" w:fill="FFFFFF"/>
            <w:vAlign w:val="bottom"/>
            <w:hideMark/>
          </w:tcPr>
          <w:p w14:paraId="3B2135E8" w14:textId="77777777" w:rsidR="00F85033" w:rsidRPr="00667CD1" w:rsidRDefault="00F85033" w:rsidP="003B4998">
            <w:pPr>
              <w:ind w:left="130" w:hanging="130"/>
              <w:rPr>
                <w:rFonts w:ascii="Arial" w:hAnsi="Arial" w:cs="Arial"/>
                <w:sz w:val="12"/>
                <w:szCs w:val="12"/>
                <w:lang w:eastAsia="en-AU"/>
              </w:rPr>
            </w:pPr>
            <w:r w:rsidRPr="00667CD1">
              <w:rPr>
                <w:rFonts w:ascii="Arial" w:hAnsi="Arial" w:cs="Arial"/>
                <w:sz w:val="12"/>
                <w:szCs w:val="12"/>
                <w:lang w:eastAsia="en-AU"/>
              </w:rPr>
              <w:t>Revised Western Sydney City Deal</w:t>
            </w:r>
          </w:p>
        </w:tc>
        <w:tc>
          <w:tcPr>
            <w:tcW w:w="796" w:type="dxa"/>
            <w:tcBorders>
              <w:top w:val="nil"/>
              <w:left w:val="nil"/>
              <w:bottom w:val="nil"/>
              <w:right w:val="nil"/>
            </w:tcBorders>
            <w:shd w:val="clear" w:color="000000" w:fill="FFFFFF"/>
            <w:noWrap/>
            <w:vAlign w:val="bottom"/>
            <w:hideMark/>
          </w:tcPr>
          <w:p w14:paraId="041DD05D"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96" w:type="dxa"/>
            <w:tcBorders>
              <w:top w:val="nil"/>
              <w:left w:val="nil"/>
              <w:bottom w:val="nil"/>
              <w:right w:val="nil"/>
            </w:tcBorders>
            <w:shd w:val="clear" w:color="000000" w:fill="F2F2F2"/>
            <w:noWrap/>
            <w:vAlign w:val="bottom"/>
            <w:hideMark/>
          </w:tcPr>
          <w:p w14:paraId="06CF336A"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293 </w:t>
            </w:r>
          </w:p>
        </w:tc>
        <w:tc>
          <w:tcPr>
            <w:tcW w:w="796" w:type="dxa"/>
            <w:tcBorders>
              <w:top w:val="nil"/>
              <w:left w:val="nil"/>
              <w:bottom w:val="nil"/>
              <w:right w:val="nil"/>
            </w:tcBorders>
            <w:shd w:val="clear" w:color="000000" w:fill="F2F2F2"/>
            <w:noWrap/>
            <w:vAlign w:val="bottom"/>
            <w:hideMark/>
          </w:tcPr>
          <w:p w14:paraId="55F422C1"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96" w:type="dxa"/>
            <w:tcBorders>
              <w:top w:val="nil"/>
              <w:left w:val="nil"/>
              <w:bottom w:val="nil"/>
              <w:right w:val="nil"/>
            </w:tcBorders>
            <w:shd w:val="clear" w:color="000000" w:fill="F2F2F2"/>
            <w:noWrap/>
            <w:vAlign w:val="bottom"/>
            <w:hideMark/>
          </w:tcPr>
          <w:p w14:paraId="11E61744"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96" w:type="dxa"/>
            <w:tcBorders>
              <w:top w:val="nil"/>
              <w:left w:val="nil"/>
              <w:bottom w:val="nil"/>
              <w:right w:val="nil"/>
            </w:tcBorders>
            <w:shd w:val="clear" w:color="000000" w:fill="F2F2F2"/>
            <w:noWrap/>
            <w:vAlign w:val="bottom"/>
            <w:hideMark/>
          </w:tcPr>
          <w:p w14:paraId="43173450"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916" w:type="dxa"/>
            <w:tcBorders>
              <w:top w:val="nil"/>
              <w:left w:val="nil"/>
              <w:bottom w:val="nil"/>
              <w:right w:val="nil"/>
            </w:tcBorders>
            <w:shd w:val="clear" w:color="000000" w:fill="F2F2F2"/>
            <w:noWrap/>
            <w:vAlign w:val="bottom"/>
            <w:hideMark/>
          </w:tcPr>
          <w:p w14:paraId="6C3ECC22" w14:textId="77777777" w:rsidR="00F85033" w:rsidRPr="00667CD1" w:rsidRDefault="00F85033" w:rsidP="008D3B9A">
            <w:pPr>
              <w:ind w:left="-1022" w:right="48"/>
              <w:jc w:val="right"/>
              <w:rPr>
                <w:rFonts w:ascii="Arial" w:hAnsi="Arial" w:cs="Arial"/>
                <w:b/>
                <w:bCs/>
                <w:color w:val="0579B9"/>
                <w:sz w:val="12"/>
                <w:szCs w:val="12"/>
                <w:lang w:eastAsia="en-AU"/>
              </w:rPr>
            </w:pPr>
            <w:r w:rsidRPr="00667CD1">
              <w:rPr>
                <w:rFonts w:ascii="Arial" w:hAnsi="Arial" w:cs="Arial"/>
                <w:b/>
                <w:bCs/>
                <w:color w:val="0579B9"/>
                <w:sz w:val="12"/>
                <w:szCs w:val="12"/>
                <w:lang w:eastAsia="en-AU"/>
              </w:rPr>
              <w:t xml:space="preserve">293 </w:t>
            </w:r>
          </w:p>
        </w:tc>
      </w:tr>
      <w:tr w:rsidR="00F85033" w:rsidRPr="00667CD1" w14:paraId="6F7D8EBE" w14:textId="77777777" w:rsidTr="003B4998">
        <w:trPr>
          <w:trHeight w:val="250"/>
        </w:trPr>
        <w:tc>
          <w:tcPr>
            <w:tcW w:w="4743" w:type="dxa"/>
            <w:tcBorders>
              <w:top w:val="nil"/>
              <w:left w:val="nil"/>
              <w:bottom w:val="nil"/>
              <w:right w:val="nil"/>
            </w:tcBorders>
            <w:shd w:val="clear" w:color="000000" w:fill="FFFFFF"/>
            <w:vAlign w:val="bottom"/>
            <w:hideMark/>
          </w:tcPr>
          <w:p w14:paraId="7CA0E3A5" w14:textId="77777777" w:rsidR="00F85033" w:rsidRPr="00667CD1" w:rsidRDefault="00F85033" w:rsidP="003B4998">
            <w:pPr>
              <w:ind w:left="130" w:hanging="130"/>
              <w:rPr>
                <w:rFonts w:ascii="Arial" w:hAnsi="Arial" w:cs="Arial"/>
                <w:sz w:val="12"/>
                <w:szCs w:val="12"/>
                <w:lang w:eastAsia="en-AU"/>
              </w:rPr>
            </w:pPr>
            <w:r w:rsidRPr="00667CD1">
              <w:rPr>
                <w:rFonts w:ascii="Arial" w:hAnsi="Arial" w:cs="Arial"/>
                <w:sz w:val="12"/>
                <w:szCs w:val="12"/>
                <w:lang w:eastAsia="en-AU"/>
              </w:rPr>
              <w:t>TAFE funding support</w:t>
            </w:r>
          </w:p>
        </w:tc>
        <w:tc>
          <w:tcPr>
            <w:tcW w:w="796" w:type="dxa"/>
            <w:tcBorders>
              <w:top w:val="nil"/>
              <w:left w:val="nil"/>
              <w:bottom w:val="nil"/>
              <w:right w:val="nil"/>
            </w:tcBorders>
            <w:shd w:val="clear" w:color="000000" w:fill="FFFFFF"/>
            <w:noWrap/>
            <w:vAlign w:val="bottom"/>
            <w:hideMark/>
          </w:tcPr>
          <w:p w14:paraId="434A2501"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96" w:type="dxa"/>
            <w:tcBorders>
              <w:top w:val="nil"/>
              <w:left w:val="nil"/>
              <w:bottom w:val="nil"/>
              <w:right w:val="nil"/>
            </w:tcBorders>
            <w:shd w:val="clear" w:color="000000" w:fill="F2F2F2"/>
            <w:noWrap/>
            <w:vAlign w:val="bottom"/>
            <w:hideMark/>
          </w:tcPr>
          <w:p w14:paraId="0E7A7F24"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(228) </w:t>
            </w:r>
          </w:p>
        </w:tc>
        <w:tc>
          <w:tcPr>
            <w:tcW w:w="796" w:type="dxa"/>
            <w:tcBorders>
              <w:top w:val="nil"/>
              <w:left w:val="nil"/>
              <w:bottom w:val="nil"/>
              <w:right w:val="nil"/>
            </w:tcBorders>
            <w:shd w:val="clear" w:color="000000" w:fill="F2F2F2"/>
            <w:noWrap/>
            <w:vAlign w:val="bottom"/>
            <w:hideMark/>
          </w:tcPr>
          <w:p w14:paraId="0C6C5183"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96" w:type="dxa"/>
            <w:tcBorders>
              <w:top w:val="nil"/>
              <w:left w:val="nil"/>
              <w:bottom w:val="nil"/>
              <w:right w:val="nil"/>
            </w:tcBorders>
            <w:shd w:val="clear" w:color="000000" w:fill="F2F2F2"/>
            <w:noWrap/>
            <w:vAlign w:val="bottom"/>
            <w:hideMark/>
          </w:tcPr>
          <w:p w14:paraId="327FC25E"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96" w:type="dxa"/>
            <w:tcBorders>
              <w:top w:val="nil"/>
              <w:left w:val="nil"/>
              <w:bottom w:val="nil"/>
              <w:right w:val="nil"/>
            </w:tcBorders>
            <w:shd w:val="clear" w:color="000000" w:fill="F2F2F2"/>
            <w:noWrap/>
            <w:vAlign w:val="bottom"/>
            <w:hideMark/>
          </w:tcPr>
          <w:p w14:paraId="6A505754"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916" w:type="dxa"/>
            <w:tcBorders>
              <w:top w:val="nil"/>
              <w:left w:val="nil"/>
              <w:bottom w:val="nil"/>
              <w:right w:val="nil"/>
            </w:tcBorders>
            <w:shd w:val="clear" w:color="000000" w:fill="F2F2F2"/>
            <w:noWrap/>
            <w:vAlign w:val="bottom"/>
            <w:hideMark/>
          </w:tcPr>
          <w:p w14:paraId="273320C9" w14:textId="77777777" w:rsidR="00F85033" w:rsidRPr="00667CD1" w:rsidRDefault="00F85033" w:rsidP="008D3B9A">
            <w:pPr>
              <w:ind w:left="-1022" w:right="48"/>
              <w:jc w:val="right"/>
              <w:rPr>
                <w:rFonts w:ascii="Arial" w:hAnsi="Arial" w:cs="Arial"/>
                <w:b/>
                <w:bCs/>
                <w:color w:val="0579B9"/>
                <w:sz w:val="12"/>
                <w:szCs w:val="12"/>
                <w:lang w:eastAsia="en-AU"/>
              </w:rPr>
            </w:pPr>
            <w:r w:rsidRPr="00667CD1">
              <w:rPr>
                <w:rFonts w:ascii="Arial" w:hAnsi="Arial" w:cs="Arial"/>
                <w:b/>
                <w:bCs/>
                <w:color w:val="0579B9"/>
                <w:sz w:val="12"/>
                <w:szCs w:val="12"/>
                <w:lang w:eastAsia="en-AU"/>
              </w:rPr>
              <w:t xml:space="preserve">(228) </w:t>
            </w:r>
          </w:p>
        </w:tc>
      </w:tr>
      <w:tr w:rsidR="00F85033" w:rsidRPr="00667CD1" w14:paraId="6F951861" w14:textId="77777777" w:rsidTr="003B4998">
        <w:trPr>
          <w:trHeight w:val="250"/>
        </w:trPr>
        <w:tc>
          <w:tcPr>
            <w:tcW w:w="4743" w:type="dxa"/>
            <w:tcBorders>
              <w:top w:val="nil"/>
              <w:left w:val="nil"/>
              <w:bottom w:val="nil"/>
              <w:right w:val="nil"/>
            </w:tcBorders>
            <w:shd w:val="clear" w:color="000000" w:fill="FFFFFF"/>
            <w:vAlign w:val="bottom"/>
            <w:hideMark/>
          </w:tcPr>
          <w:p w14:paraId="3ED9F30E" w14:textId="77777777" w:rsidR="00F85033" w:rsidRPr="00667CD1" w:rsidRDefault="00F85033" w:rsidP="003B4998">
            <w:pPr>
              <w:ind w:left="130" w:hanging="130"/>
              <w:rPr>
                <w:rFonts w:ascii="Arial" w:hAnsi="Arial" w:cs="Arial"/>
                <w:sz w:val="12"/>
                <w:szCs w:val="12"/>
                <w:lang w:eastAsia="en-AU"/>
              </w:rPr>
            </w:pPr>
            <w:r w:rsidRPr="00667CD1">
              <w:rPr>
                <w:rFonts w:ascii="Arial" w:hAnsi="Arial" w:cs="Arial"/>
                <w:sz w:val="12"/>
                <w:szCs w:val="12"/>
                <w:lang w:eastAsia="en-AU"/>
              </w:rPr>
              <w:t>Expansion of Transport Access Program</w:t>
            </w:r>
          </w:p>
        </w:tc>
        <w:tc>
          <w:tcPr>
            <w:tcW w:w="796" w:type="dxa"/>
            <w:tcBorders>
              <w:top w:val="nil"/>
              <w:left w:val="nil"/>
              <w:bottom w:val="nil"/>
              <w:right w:val="nil"/>
            </w:tcBorders>
            <w:shd w:val="clear" w:color="000000" w:fill="FFFFFF"/>
            <w:noWrap/>
            <w:vAlign w:val="bottom"/>
            <w:hideMark/>
          </w:tcPr>
          <w:p w14:paraId="4A4E2671"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96" w:type="dxa"/>
            <w:tcBorders>
              <w:top w:val="nil"/>
              <w:left w:val="nil"/>
              <w:bottom w:val="nil"/>
              <w:right w:val="nil"/>
            </w:tcBorders>
            <w:shd w:val="clear" w:color="000000" w:fill="F2F2F2"/>
            <w:noWrap/>
            <w:vAlign w:val="bottom"/>
            <w:hideMark/>
          </w:tcPr>
          <w:p w14:paraId="3325AC65"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10 </w:t>
            </w:r>
          </w:p>
        </w:tc>
        <w:tc>
          <w:tcPr>
            <w:tcW w:w="796" w:type="dxa"/>
            <w:tcBorders>
              <w:top w:val="nil"/>
              <w:left w:val="nil"/>
              <w:bottom w:val="nil"/>
              <w:right w:val="nil"/>
            </w:tcBorders>
            <w:shd w:val="clear" w:color="000000" w:fill="F2F2F2"/>
            <w:noWrap/>
            <w:vAlign w:val="bottom"/>
            <w:hideMark/>
          </w:tcPr>
          <w:p w14:paraId="47537562"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111 </w:t>
            </w:r>
          </w:p>
        </w:tc>
        <w:tc>
          <w:tcPr>
            <w:tcW w:w="796" w:type="dxa"/>
            <w:tcBorders>
              <w:top w:val="nil"/>
              <w:left w:val="nil"/>
              <w:bottom w:val="nil"/>
              <w:right w:val="nil"/>
            </w:tcBorders>
            <w:shd w:val="clear" w:color="000000" w:fill="F2F2F2"/>
            <w:noWrap/>
            <w:vAlign w:val="bottom"/>
            <w:hideMark/>
          </w:tcPr>
          <w:p w14:paraId="67CB1082"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59 </w:t>
            </w:r>
          </w:p>
        </w:tc>
        <w:tc>
          <w:tcPr>
            <w:tcW w:w="796" w:type="dxa"/>
            <w:tcBorders>
              <w:top w:val="nil"/>
              <w:left w:val="nil"/>
              <w:bottom w:val="nil"/>
              <w:right w:val="nil"/>
            </w:tcBorders>
            <w:shd w:val="clear" w:color="000000" w:fill="F2F2F2"/>
            <w:noWrap/>
            <w:vAlign w:val="bottom"/>
            <w:hideMark/>
          </w:tcPr>
          <w:p w14:paraId="7445383F"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12 </w:t>
            </w:r>
          </w:p>
        </w:tc>
        <w:tc>
          <w:tcPr>
            <w:tcW w:w="916" w:type="dxa"/>
            <w:tcBorders>
              <w:top w:val="nil"/>
              <w:left w:val="nil"/>
              <w:bottom w:val="nil"/>
              <w:right w:val="nil"/>
            </w:tcBorders>
            <w:shd w:val="clear" w:color="000000" w:fill="F2F2F2"/>
            <w:noWrap/>
            <w:vAlign w:val="bottom"/>
            <w:hideMark/>
          </w:tcPr>
          <w:p w14:paraId="1E8BADBE" w14:textId="77777777" w:rsidR="00F85033" w:rsidRPr="00667CD1" w:rsidRDefault="00F85033" w:rsidP="008D3B9A">
            <w:pPr>
              <w:ind w:left="-1022" w:right="48"/>
              <w:jc w:val="right"/>
              <w:rPr>
                <w:rFonts w:ascii="Arial" w:hAnsi="Arial" w:cs="Arial"/>
                <w:b/>
                <w:bCs/>
                <w:color w:val="0579B9"/>
                <w:sz w:val="12"/>
                <w:szCs w:val="12"/>
                <w:lang w:eastAsia="en-AU"/>
              </w:rPr>
            </w:pPr>
            <w:r w:rsidRPr="00667CD1">
              <w:rPr>
                <w:rFonts w:ascii="Arial" w:hAnsi="Arial" w:cs="Arial"/>
                <w:b/>
                <w:bCs/>
                <w:color w:val="0579B9"/>
                <w:sz w:val="12"/>
                <w:szCs w:val="12"/>
                <w:lang w:eastAsia="en-AU"/>
              </w:rPr>
              <w:t xml:space="preserve">192 </w:t>
            </w:r>
          </w:p>
        </w:tc>
      </w:tr>
      <w:tr w:rsidR="00F85033" w:rsidRPr="00667CD1" w14:paraId="343C2B66" w14:textId="77777777" w:rsidTr="003B4998">
        <w:trPr>
          <w:trHeight w:val="250"/>
        </w:trPr>
        <w:tc>
          <w:tcPr>
            <w:tcW w:w="4743" w:type="dxa"/>
            <w:tcBorders>
              <w:top w:val="nil"/>
              <w:left w:val="nil"/>
              <w:bottom w:val="nil"/>
              <w:right w:val="nil"/>
            </w:tcBorders>
            <w:shd w:val="clear" w:color="000000" w:fill="FFFFFF"/>
            <w:vAlign w:val="bottom"/>
            <w:hideMark/>
          </w:tcPr>
          <w:p w14:paraId="45D53095" w14:textId="77777777" w:rsidR="00F85033" w:rsidRPr="00667CD1" w:rsidRDefault="00F85033" w:rsidP="003B4998">
            <w:pPr>
              <w:ind w:left="130" w:hanging="130"/>
              <w:rPr>
                <w:rFonts w:ascii="Arial" w:hAnsi="Arial" w:cs="Arial"/>
                <w:sz w:val="12"/>
                <w:szCs w:val="12"/>
                <w:lang w:eastAsia="en-AU"/>
              </w:rPr>
            </w:pPr>
            <w:r w:rsidRPr="00667CD1">
              <w:rPr>
                <w:rFonts w:ascii="Arial" w:hAnsi="Arial" w:cs="Arial"/>
                <w:sz w:val="12"/>
                <w:szCs w:val="12"/>
                <w:lang w:eastAsia="en-AU"/>
              </w:rPr>
              <w:t xml:space="preserve">Housing Industry Support - </w:t>
            </w:r>
            <w:proofErr w:type="spellStart"/>
            <w:r w:rsidRPr="00667CD1">
              <w:rPr>
                <w:rFonts w:ascii="Arial" w:hAnsi="Arial" w:cs="Arial"/>
                <w:sz w:val="12"/>
                <w:szCs w:val="12"/>
                <w:lang w:eastAsia="en-AU"/>
              </w:rPr>
              <w:t>ePlanning</w:t>
            </w:r>
            <w:proofErr w:type="spellEnd"/>
            <w:r w:rsidRPr="00667CD1">
              <w:rPr>
                <w:rFonts w:ascii="Arial" w:hAnsi="Arial" w:cs="Arial"/>
                <w:sz w:val="12"/>
                <w:szCs w:val="12"/>
                <w:lang w:eastAsia="en-AU"/>
              </w:rPr>
              <w:t xml:space="preserve"> Stage 4</w:t>
            </w:r>
          </w:p>
        </w:tc>
        <w:tc>
          <w:tcPr>
            <w:tcW w:w="796" w:type="dxa"/>
            <w:tcBorders>
              <w:top w:val="nil"/>
              <w:left w:val="nil"/>
              <w:bottom w:val="nil"/>
              <w:right w:val="nil"/>
            </w:tcBorders>
            <w:shd w:val="clear" w:color="000000" w:fill="FFFFFF"/>
            <w:noWrap/>
            <w:vAlign w:val="bottom"/>
            <w:hideMark/>
          </w:tcPr>
          <w:p w14:paraId="1EB59AF9"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96" w:type="dxa"/>
            <w:tcBorders>
              <w:top w:val="nil"/>
              <w:left w:val="nil"/>
              <w:bottom w:val="nil"/>
              <w:right w:val="nil"/>
            </w:tcBorders>
            <w:shd w:val="clear" w:color="000000" w:fill="F2F2F2"/>
            <w:noWrap/>
            <w:vAlign w:val="bottom"/>
            <w:hideMark/>
          </w:tcPr>
          <w:p w14:paraId="380709F0"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2 </w:t>
            </w:r>
          </w:p>
        </w:tc>
        <w:tc>
          <w:tcPr>
            <w:tcW w:w="796" w:type="dxa"/>
            <w:tcBorders>
              <w:top w:val="nil"/>
              <w:left w:val="nil"/>
              <w:bottom w:val="nil"/>
              <w:right w:val="nil"/>
            </w:tcBorders>
            <w:shd w:val="clear" w:color="000000" w:fill="F2F2F2"/>
            <w:noWrap/>
            <w:vAlign w:val="bottom"/>
            <w:hideMark/>
          </w:tcPr>
          <w:p w14:paraId="011520F8"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14 </w:t>
            </w:r>
          </w:p>
        </w:tc>
        <w:tc>
          <w:tcPr>
            <w:tcW w:w="796" w:type="dxa"/>
            <w:tcBorders>
              <w:top w:val="nil"/>
              <w:left w:val="nil"/>
              <w:bottom w:val="nil"/>
              <w:right w:val="nil"/>
            </w:tcBorders>
            <w:shd w:val="clear" w:color="000000" w:fill="F2F2F2"/>
            <w:noWrap/>
            <w:vAlign w:val="bottom"/>
            <w:hideMark/>
          </w:tcPr>
          <w:p w14:paraId="229E8956"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14 </w:t>
            </w:r>
          </w:p>
        </w:tc>
        <w:tc>
          <w:tcPr>
            <w:tcW w:w="796" w:type="dxa"/>
            <w:tcBorders>
              <w:top w:val="nil"/>
              <w:left w:val="nil"/>
              <w:bottom w:val="nil"/>
              <w:right w:val="nil"/>
            </w:tcBorders>
            <w:shd w:val="clear" w:color="000000" w:fill="F2F2F2"/>
            <w:noWrap/>
            <w:vAlign w:val="bottom"/>
            <w:hideMark/>
          </w:tcPr>
          <w:p w14:paraId="37076769"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14 </w:t>
            </w:r>
          </w:p>
        </w:tc>
        <w:tc>
          <w:tcPr>
            <w:tcW w:w="916" w:type="dxa"/>
            <w:tcBorders>
              <w:top w:val="nil"/>
              <w:left w:val="nil"/>
              <w:bottom w:val="nil"/>
              <w:right w:val="nil"/>
            </w:tcBorders>
            <w:shd w:val="clear" w:color="000000" w:fill="F2F2F2"/>
            <w:noWrap/>
            <w:vAlign w:val="bottom"/>
            <w:hideMark/>
          </w:tcPr>
          <w:p w14:paraId="3216EAD8" w14:textId="77777777" w:rsidR="00F85033" w:rsidRPr="00667CD1" w:rsidRDefault="00F85033" w:rsidP="008D3B9A">
            <w:pPr>
              <w:ind w:left="-1022" w:right="48"/>
              <w:jc w:val="right"/>
              <w:rPr>
                <w:rFonts w:ascii="Arial" w:hAnsi="Arial" w:cs="Arial"/>
                <w:b/>
                <w:bCs/>
                <w:color w:val="0579B9"/>
                <w:sz w:val="12"/>
                <w:szCs w:val="12"/>
                <w:lang w:eastAsia="en-AU"/>
              </w:rPr>
            </w:pPr>
            <w:r w:rsidRPr="00667CD1">
              <w:rPr>
                <w:rFonts w:ascii="Arial" w:hAnsi="Arial" w:cs="Arial"/>
                <w:b/>
                <w:bCs/>
                <w:color w:val="0579B9"/>
                <w:sz w:val="12"/>
                <w:szCs w:val="12"/>
                <w:lang w:eastAsia="en-AU"/>
              </w:rPr>
              <w:t xml:space="preserve">44 </w:t>
            </w:r>
          </w:p>
        </w:tc>
      </w:tr>
      <w:tr w:rsidR="00F85033" w:rsidRPr="00667CD1" w14:paraId="7F5E7656" w14:textId="77777777" w:rsidTr="003B4998">
        <w:trPr>
          <w:trHeight w:val="397"/>
        </w:trPr>
        <w:tc>
          <w:tcPr>
            <w:tcW w:w="4743" w:type="dxa"/>
            <w:tcBorders>
              <w:top w:val="nil"/>
              <w:left w:val="nil"/>
              <w:bottom w:val="nil"/>
              <w:right w:val="nil"/>
            </w:tcBorders>
            <w:shd w:val="clear" w:color="000000" w:fill="FFFFFF"/>
            <w:vAlign w:val="bottom"/>
            <w:hideMark/>
          </w:tcPr>
          <w:p w14:paraId="0359B41C" w14:textId="77777777" w:rsidR="00F85033" w:rsidRPr="00667CD1" w:rsidRDefault="00F85033" w:rsidP="003B4998">
            <w:pPr>
              <w:ind w:left="130" w:hanging="130"/>
              <w:rPr>
                <w:rFonts w:ascii="Arial" w:hAnsi="Arial" w:cs="Arial"/>
                <w:sz w:val="12"/>
                <w:szCs w:val="12"/>
                <w:lang w:eastAsia="en-AU"/>
              </w:rPr>
            </w:pPr>
            <w:r w:rsidRPr="00667CD1">
              <w:rPr>
                <w:rFonts w:ascii="Arial" w:hAnsi="Arial" w:cs="Arial"/>
                <w:sz w:val="12"/>
                <w:szCs w:val="12"/>
                <w:lang w:eastAsia="en-AU"/>
              </w:rPr>
              <w:t>Extension of Aboriginal Housing Office Asset Recycling Program</w:t>
            </w:r>
          </w:p>
        </w:tc>
        <w:tc>
          <w:tcPr>
            <w:tcW w:w="796" w:type="dxa"/>
            <w:tcBorders>
              <w:top w:val="nil"/>
              <w:left w:val="nil"/>
              <w:bottom w:val="nil"/>
              <w:right w:val="nil"/>
            </w:tcBorders>
            <w:shd w:val="clear" w:color="000000" w:fill="FFFFFF"/>
            <w:noWrap/>
            <w:vAlign w:val="bottom"/>
            <w:hideMark/>
          </w:tcPr>
          <w:p w14:paraId="235F57A9"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 </w:t>
            </w:r>
          </w:p>
        </w:tc>
        <w:tc>
          <w:tcPr>
            <w:tcW w:w="796" w:type="dxa"/>
            <w:tcBorders>
              <w:top w:val="nil"/>
              <w:left w:val="nil"/>
              <w:bottom w:val="nil"/>
              <w:right w:val="nil"/>
            </w:tcBorders>
            <w:shd w:val="clear" w:color="000000" w:fill="F2F2F2"/>
            <w:noWrap/>
            <w:vAlign w:val="bottom"/>
            <w:hideMark/>
          </w:tcPr>
          <w:p w14:paraId="1BB2BECC"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6 </w:t>
            </w:r>
          </w:p>
        </w:tc>
        <w:tc>
          <w:tcPr>
            <w:tcW w:w="796" w:type="dxa"/>
            <w:tcBorders>
              <w:top w:val="nil"/>
              <w:left w:val="nil"/>
              <w:bottom w:val="nil"/>
              <w:right w:val="nil"/>
            </w:tcBorders>
            <w:shd w:val="clear" w:color="000000" w:fill="F2F2F2"/>
            <w:noWrap/>
            <w:vAlign w:val="bottom"/>
            <w:hideMark/>
          </w:tcPr>
          <w:p w14:paraId="334E47C4"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6 </w:t>
            </w:r>
          </w:p>
        </w:tc>
        <w:tc>
          <w:tcPr>
            <w:tcW w:w="796" w:type="dxa"/>
            <w:tcBorders>
              <w:top w:val="nil"/>
              <w:left w:val="nil"/>
              <w:bottom w:val="nil"/>
              <w:right w:val="nil"/>
            </w:tcBorders>
            <w:shd w:val="clear" w:color="000000" w:fill="F2F2F2"/>
            <w:noWrap/>
            <w:vAlign w:val="bottom"/>
            <w:hideMark/>
          </w:tcPr>
          <w:p w14:paraId="5D23F1C2"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6 </w:t>
            </w:r>
          </w:p>
        </w:tc>
        <w:tc>
          <w:tcPr>
            <w:tcW w:w="796" w:type="dxa"/>
            <w:tcBorders>
              <w:top w:val="nil"/>
              <w:left w:val="nil"/>
              <w:bottom w:val="nil"/>
              <w:right w:val="nil"/>
            </w:tcBorders>
            <w:shd w:val="clear" w:color="000000" w:fill="F2F2F2"/>
            <w:noWrap/>
            <w:vAlign w:val="bottom"/>
            <w:hideMark/>
          </w:tcPr>
          <w:p w14:paraId="46FE8B39" w14:textId="77777777" w:rsidR="00F85033" w:rsidRPr="00667CD1" w:rsidRDefault="00F85033"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6 </w:t>
            </w:r>
          </w:p>
        </w:tc>
        <w:tc>
          <w:tcPr>
            <w:tcW w:w="916" w:type="dxa"/>
            <w:tcBorders>
              <w:top w:val="nil"/>
              <w:left w:val="nil"/>
              <w:bottom w:val="nil"/>
              <w:right w:val="nil"/>
            </w:tcBorders>
            <w:shd w:val="clear" w:color="000000" w:fill="F2F2F2"/>
            <w:noWrap/>
            <w:vAlign w:val="bottom"/>
            <w:hideMark/>
          </w:tcPr>
          <w:p w14:paraId="2E2FEB31" w14:textId="77777777" w:rsidR="00F85033" w:rsidRPr="00667CD1" w:rsidRDefault="00F85033" w:rsidP="008D3B9A">
            <w:pPr>
              <w:ind w:left="-1022" w:right="48"/>
              <w:jc w:val="right"/>
              <w:rPr>
                <w:rFonts w:ascii="Arial" w:hAnsi="Arial" w:cs="Arial"/>
                <w:b/>
                <w:bCs/>
                <w:color w:val="0579B9"/>
                <w:sz w:val="12"/>
                <w:szCs w:val="12"/>
                <w:lang w:eastAsia="en-AU"/>
              </w:rPr>
            </w:pPr>
            <w:r w:rsidRPr="00667CD1">
              <w:rPr>
                <w:rFonts w:ascii="Arial" w:hAnsi="Arial" w:cs="Arial"/>
                <w:b/>
                <w:bCs/>
                <w:color w:val="0579B9"/>
                <w:sz w:val="12"/>
                <w:szCs w:val="12"/>
                <w:lang w:eastAsia="en-AU"/>
              </w:rPr>
              <w:t xml:space="preserve">24 </w:t>
            </w:r>
          </w:p>
        </w:tc>
      </w:tr>
      <w:tr w:rsidR="008D6D6E" w:rsidRPr="00667CD1" w14:paraId="0B4AA88E" w14:textId="77777777" w:rsidTr="003B4998">
        <w:trPr>
          <w:trHeight w:val="250"/>
        </w:trPr>
        <w:tc>
          <w:tcPr>
            <w:tcW w:w="4743" w:type="dxa"/>
            <w:tcBorders>
              <w:top w:val="nil"/>
              <w:left w:val="nil"/>
              <w:bottom w:val="nil"/>
              <w:right w:val="nil"/>
            </w:tcBorders>
            <w:shd w:val="clear" w:color="000000" w:fill="FFFFFF"/>
            <w:vAlign w:val="bottom"/>
            <w:hideMark/>
          </w:tcPr>
          <w:p w14:paraId="65EEC2A4" w14:textId="77777777" w:rsidR="008D6D6E" w:rsidRPr="00667CD1" w:rsidRDefault="008D6D6E" w:rsidP="003B4998">
            <w:pPr>
              <w:ind w:left="130" w:hanging="130"/>
              <w:rPr>
                <w:rFonts w:ascii="Arial" w:hAnsi="Arial" w:cs="Arial"/>
                <w:sz w:val="12"/>
                <w:szCs w:val="12"/>
                <w:lang w:eastAsia="en-AU"/>
              </w:rPr>
            </w:pPr>
            <w:r w:rsidRPr="00667CD1">
              <w:rPr>
                <w:rFonts w:ascii="Arial" w:hAnsi="Arial" w:cs="Arial"/>
                <w:sz w:val="12"/>
                <w:szCs w:val="12"/>
                <w:lang w:eastAsia="en-AU"/>
              </w:rPr>
              <w:t>Other measures</w:t>
            </w:r>
          </w:p>
        </w:tc>
        <w:tc>
          <w:tcPr>
            <w:tcW w:w="796" w:type="dxa"/>
            <w:tcBorders>
              <w:top w:val="nil"/>
              <w:left w:val="nil"/>
              <w:bottom w:val="nil"/>
              <w:right w:val="nil"/>
            </w:tcBorders>
            <w:shd w:val="clear" w:color="000000" w:fill="FFFFFF"/>
            <w:noWrap/>
            <w:vAlign w:val="bottom"/>
            <w:hideMark/>
          </w:tcPr>
          <w:p w14:paraId="13AE0218" w14:textId="3888A693" w:rsidR="008D6D6E" w:rsidRPr="00667CD1" w:rsidRDefault="008D6D6E" w:rsidP="008D3B9A">
            <w:pPr>
              <w:ind w:left="-1022" w:right="48"/>
              <w:jc w:val="right"/>
              <w:rPr>
                <w:rFonts w:ascii="Arial" w:hAnsi="Arial" w:cs="Arial"/>
                <w:sz w:val="12"/>
                <w:szCs w:val="12"/>
                <w:lang w:eastAsia="en-AU"/>
              </w:rPr>
            </w:pPr>
            <w:r w:rsidRPr="00667CD1">
              <w:rPr>
                <w:rFonts w:ascii="Arial" w:hAnsi="Arial" w:cs="Arial"/>
                <w:sz w:val="12"/>
                <w:szCs w:val="12"/>
                <w:lang w:eastAsia="en-AU"/>
              </w:rPr>
              <w:t>17</w:t>
            </w:r>
          </w:p>
        </w:tc>
        <w:tc>
          <w:tcPr>
            <w:tcW w:w="796" w:type="dxa"/>
            <w:tcBorders>
              <w:top w:val="nil"/>
              <w:left w:val="nil"/>
              <w:bottom w:val="nil"/>
              <w:right w:val="nil"/>
            </w:tcBorders>
            <w:shd w:val="clear" w:color="000000" w:fill="F2F2F2"/>
            <w:noWrap/>
            <w:vAlign w:val="bottom"/>
            <w:hideMark/>
          </w:tcPr>
          <w:p w14:paraId="15931781" w14:textId="0C0235C6" w:rsidR="008D6D6E" w:rsidRPr="00667CD1" w:rsidRDefault="008D6D6E"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52 </w:t>
            </w:r>
          </w:p>
        </w:tc>
        <w:tc>
          <w:tcPr>
            <w:tcW w:w="796" w:type="dxa"/>
            <w:tcBorders>
              <w:top w:val="nil"/>
              <w:left w:val="nil"/>
              <w:bottom w:val="nil"/>
              <w:right w:val="nil"/>
            </w:tcBorders>
            <w:shd w:val="clear" w:color="000000" w:fill="F2F2F2"/>
            <w:noWrap/>
            <w:vAlign w:val="bottom"/>
            <w:hideMark/>
          </w:tcPr>
          <w:p w14:paraId="46F97FF6" w14:textId="5E1B6014" w:rsidR="008D6D6E" w:rsidRPr="00667CD1" w:rsidRDefault="008D6D6E"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64 </w:t>
            </w:r>
          </w:p>
        </w:tc>
        <w:tc>
          <w:tcPr>
            <w:tcW w:w="796" w:type="dxa"/>
            <w:tcBorders>
              <w:top w:val="nil"/>
              <w:left w:val="nil"/>
              <w:bottom w:val="nil"/>
              <w:right w:val="nil"/>
            </w:tcBorders>
            <w:shd w:val="clear" w:color="000000" w:fill="F2F2F2"/>
            <w:noWrap/>
            <w:vAlign w:val="bottom"/>
            <w:hideMark/>
          </w:tcPr>
          <w:p w14:paraId="6CAEE0DF" w14:textId="08607931" w:rsidR="008D6D6E" w:rsidRPr="00667CD1" w:rsidRDefault="008D6D6E"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67 </w:t>
            </w:r>
          </w:p>
        </w:tc>
        <w:tc>
          <w:tcPr>
            <w:tcW w:w="796" w:type="dxa"/>
            <w:tcBorders>
              <w:top w:val="nil"/>
              <w:left w:val="nil"/>
              <w:bottom w:val="nil"/>
              <w:right w:val="nil"/>
            </w:tcBorders>
            <w:shd w:val="clear" w:color="000000" w:fill="F2F2F2"/>
            <w:noWrap/>
            <w:vAlign w:val="bottom"/>
            <w:hideMark/>
          </w:tcPr>
          <w:p w14:paraId="0BF5C96B" w14:textId="0162BAF5" w:rsidR="008D6D6E" w:rsidRPr="00667CD1" w:rsidRDefault="008D6D6E" w:rsidP="008D3B9A">
            <w:pPr>
              <w:ind w:left="-1022" w:right="48"/>
              <w:jc w:val="right"/>
              <w:rPr>
                <w:rFonts w:ascii="Arial" w:hAnsi="Arial" w:cs="Arial"/>
                <w:sz w:val="12"/>
                <w:szCs w:val="12"/>
                <w:lang w:eastAsia="en-AU"/>
              </w:rPr>
            </w:pPr>
            <w:r w:rsidRPr="00667CD1">
              <w:rPr>
                <w:rFonts w:ascii="Arial" w:hAnsi="Arial" w:cs="Arial"/>
                <w:sz w:val="12"/>
                <w:szCs w:val="12"/>
                <w:lang w:eastAsia="en-AU"/>
              </w:rPr>
              <w:t xml:space="preserve">119 </w:t>
            </w:r>
          </w:p>
        </w:tc>
        <w:tc>
          <w:tcPr>
            <w:tcW w:w="916" w:type="dxa"/>
            <w:tcBorders>
              <w:top w:val="nil"/>
              <w:left w:val="nil"/>
              <w:bottom w:val="nil"/>
              <w:right w:val="nil"/>
            </w:tcBorders>
            <w:shd w:val="clear" w:color="000000" w:fill="F2F2F2"/>
            <w:noWrap/>
            <w:vAlign w:val="bottom"/>
            <w:hideMark/>
          </w:tcPr>
          <w:p w14:paraId="6F3CD1D4" w14:textId="1176CE6E" w:rsidR="008D6D6E" w:rsidRPr="00667CD1" w:rsidRDefault="008D6D6E" w:rsidP="008D3B9A">
            <w:pPr>
              <w:ind w:left="-1022" w:right="48"/>
              <w:jc w:val="right"/>
              <w:rPr>
                <w:rFonts w:ascii="Arial" w:hAnsi="Arial" w:cs="Arial"/>
                <w:b/>
                <w:bCs/>
                <w:color w:val="0579B9"/>
                <w:sz w:val="12"/>
                <w:szCs w:val="12"/>
                <w:lang w:eastAsia="en-AU"/>
              </w:rPr>
            </w:pPr>
            <w:r w:rsidRPr="00667CD1">
              <w:rPr>
                <w:rFonts w:ascii="Arial" w:hAnsi="Arial" w:cs="Arial"/>
                <w:b/>
                <w:bCs/>
                <w:color w:val="0579B9"/>
                <w:sz w:val="12"/>
                <w:szCs w:val="12"/>
                <w:lang w:eastAsia="en-AU"/>
              </w:rPr>
              <w:t xml:space="preserve">301 </w:t>
            </w:r>
          </w:p>
        </w:tc>
      </w:tr>
      <w:tr w:rsidR="00CF3957" w:rsidRPr="00667CD1" w14:paraId="1B2BA792" w14:textId="77777777" w:rsidTr="008D3B9A">
        <w:trPr>
          <w:trHeight w:val="340"/>
        </w:trPr>
        <w:tc>
          <w:tcPr>
            <w:tcW w:w="4743" w:type="dxa"/>
            <w:tcBorders>
              <w:top w:val="single" w:sz="4" w:space="0" w:color="auto"/>
              <w:left w:val="nil"/>
              <w:bottom w:val="single" w:sz="4" w:space="0" w:color="auto"/>
              <w:right w:val="nil"/>
            </w:tcBorders>
            <w:shd w:val="clear" w:color="000000" w:fill="FFFFFF"/>
            <w:vAlign w:val="center"/>
            <w:hideMark/>
          </w:tcPr>
          <w:p w14:paraId="4A3110D9" w14:textId="10E6835F" w:rsidR="00CF3957" w:rsidRPr="00667CD1" w:rsidRDefault="00CF3957" w:rsidP="00CF3957">
            <w:pPr>
              <w:rPr>
                <w:rFonts w:ascii="Arial" w:hAnsi="Arial" w:cs="Arial"/>
                <w:b/>
                <w:bCs/>
                <w:color w:val="0579B9"/>
                <w:sz w:val="12"/>
                <w:szCs w:val="12"/>
                <w:lang w:eastAsia="en-AU"/>
              </w:rPr>
            </w:pPr>
            <w:r w:rsidRPr="00667CD1">
              <w:rPr>
                <w:rFonts w:ascii="Arial" w:hAnsi="Arial" w:cs="Arial"/>
                <w:b/>
                <w:bCs/>
                <w:color w:val="0579B9"/>
                <w:sz w:val="12"/>
                <w:szCs w:val="12"/>
                <w:lang w:eastAsia="en-AU"/>
              </w:rPr>
              <w:t xml:space="preserve">Total - other new revenue measures </w:t>
            </w:r>
          </w:p>
        </w:tc>
        <w:tc>
          <w:tcPr>
            <w:tcW w:w="796" w:type="dxa"/>
            <w:tcBorders>
              <w:top w:val="single" w:sz="4" w:space="0" w:color="auto"/>
              <w:left w:val="nil"/>
              <w:bottom w:val="single" w:sz="4" w:space="0" w:color="auto"/>
              <w:right w:val="nil"/>
            </w:tcBorders>
            <w:shd w:val="clear" w:color="000000" w:fill="FFFFFF"/>
            <w:noWrap/>
            <w:vAlign w:val="center"/>
          </w:tcPr>
          <w:p w14:paraId="576036B0" w14:textId="1FCFF907" w:rsidR="00CF3957" w:rsidRPr="00667CD1" w:rsidRDefault="00CF3957" w:rsidP="008D3B9A">
            <w:pPr>
              <w:ind w:left="-1022" w:right="48"/>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(61) </w:t>
            </w:r>
          </w:p>
        </w:tc>
        <w:tc>
          <w:tcPr>
            <w:tcW w:w="796" w:type="dxa"/>
            <w:tcBorders>
              <w:top w:val="single" w:sz="4" w:space="0" w:color="auto"/>
              <w:left w:val="nil"/>
              <w:bottom w:val="single" w:sz="4" w:space="0" w:color="auto"/>
              <w:right w:val="nil"/>
            </w:tcBorders>
            <w:shd w:val="clear" w:color="000000" w:fill="F2F2F2"/>
            <w:noWrap/>
            <w:vAlign w:val="center"/>
          </w:tcPr>
          <w:p w14:paraId="211EE052" w14:textId="089147AE" w:rsidR="00CF3957" w:rsidRPr="00667CD1" w:rsidRDefault="00CF3957" w:rsidP="008D3B9A">
            <w:pPr>
              <w:ind w:left="-1022" w:right="48"/>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106 </w:t>
            </w:r>
          </w:p>
        </w:tc>
        <w:tc>
          <w:tcPr>
            <w:tcW w:w="796" w:type="dxa"/>
            <w:tcBorders>
              <w:top w:val="single" w:sz="4" w:space="0" w:color="auto"/>
              <w:left w:val="nil"/>
              <w:bottom w:val="single" w:sz="4" w:space="0" w:color="auto"/>
              <w:right w:val="nil"/>
            </w:tcBorders>
            <w:shd w:val="clear" w:color="000000" w:fill="F2F2F2"/>
            <w:noWrap/>
            <w:vAlign w:val="center"/>
          </w:tcPr>
          <w:p w14:paraId="38907039" w14:textId="6C24C69D" w:rsidR="00CF3957" w:rsidRPr="00667CD1" w:rsidRDefault="00CF3957" w:rsidP="008D3B9A">
            <w:pPr>
              <w:ind w:left="-1022" w:right="48"/>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469 </w:t>
            </w:r>
          </w:p>
        </w:tc>
        <w:tc>
          <w:tcPr>
            <w:tcW w:w="796" w:type="dxa"/>
            <w:tcBorders>
              <w:top w:val="single" w:sz="4" w:space="0" w:color="auto"/>
              <w:left w:val="nil"/>
              <w:bottom w:val="single" w:sz="4" w:space="0" w:color="auto"/>
              <w:right w:val="nil"/>
            </w:tcBorders>
            <w:shd w:val="clear" w:color="000000" w:fill="F2F2F2"/>
            <w:noWrap/>
            <w:vAlign w:val="center"/>
          </w:tcPr>
          <w:p w14:paraId="182E0AA9" w14:textId="59E473E3" w:rsidR="00CF3957" w:rsidRPr="00667CD1" w:rsidRDefault="00CF3957" w:rsidP="008D3B9A">
            <w:pPr>
              <w:ind w:left="-1022" w:right="48"/>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614 </w:t>
            </w:r>
          </w:p>
        </w:tc>
        <w:tc>
          <w:tcPr>
            <w:tcW w:w="796" w:type="dxa"/>
            <w:tcBorders>
              <w:top w:val="single" w:sz="4" w:space="0" w:color="auto"/>
              <w:left w:val="nil"/>
              <w:bottom w:val="single" w:sz="4" w:space="0" w:color="auto"/>
              <w:right w:val="nil"/>
            </w:tcBorders>
            <w:shd w:val="clear" w:color="000000" w:fill="F2F2F2"/>
            <w:noWrap/>
            <w:vAlign w:val="center"/>
          </w:tcPr>
          <w:p w14:paraId="395BA19A" w14:textId="2C3EB93C" w:rsidR="00CF3957" w:rsidRPr="00667CD1" w:rsidRDefault="00CF3957" w:rsidP="008D3B9A">
            <w:pPr>
              <w:ind w:left="-1022" w:right="48"/>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838 </w:t>
            </w:r>
          </w:p>
        </w:tc>
        <w:tc>
          <w:tcPr>
            <w:tcW w:w="916" w:type="dxa"/>
            <w:tcBorders>
              <w:top w:val="single" w:sz="4" w:space="0" w:color="auto"/>
              <w:left w:val="nil"/>
              <w:bottom w:val="single" w:sz="4" w:space="0" w:color="auto"/>
              <w:right w:val="nil"/>
            </w:tcBorders>
            <w:shd w:val="clear" w:color="000000" w:fill="F2F2F2"/>
            <w:noWrap/>
            <w:vAlign w:val="center"/>
          </w:tcPr>
          <w:p w14:paraId="0B53713B" w14:textId="18C715AA" w:rsidR="00CF3957" w:rsidRPr="00667CD1" w:rsidRDefault="00CF3957" w:rsidP="008D3B9A">
            <w:pPr>
              <w:ind w:left="-1022" w:right="48"/>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2,027 </w:t>
            </w:r>
          </w:p>
        </w:tc>
      </w:tr>
    </w:tbl>
    <w:p w14:paraId="41AA9BF4" w14:textId="18953AF5" w:rsidR="00095152" w:rsidRPr="00667CD1" w:rsidRDefault="00095152" w:rsidP="002E4B45">
      <w:pPr>
        <w:pStyle w:val="Heading5"/>
        <w:numPr>
          <w:ilvl w:val="0"/>
          <w:numId w:val="0"/>
        </w:numPr>
        <w:rPr>
          <w:sz w:val="20"/>
          <w:szCs w:val="28"/>
        </w:rPr>
      </w:pPr>
      <w:r w:rsidRPr="00667CD1">
        <w:rPr>
          <w:sz w:val="20"/>
          <w:szCs w:val="28"/>
        </w:rPr>
        <w:t xml:space="preserve">Agency cost pressures </w:t>
      </w:r>
      <w:r w:rsidR="0011242A" w:rsidRPr="00667CD1">
        <w:rPr>
          <w:sz w:val="20"/>
          <w:szCs w:val="28"/>
        </w:rPr>
        <w:t xml:space="preserve">primarily </w:t>
      </w:r>
      <w:r w:rsidRPr="00667CD1">
        <w:rPr>
          <w:sz w:val="20"/>
          <w:szCs w:val="28"/>
        </w:rPr>
        <w:t>resulting from the COVID-19 pandemic</w:t>
      </w:r>
    </w:p>
    <w:p w14:paraId="1BA87A20" w14:textId="29061201" w:rsidR="00095152" w:rsidRPr="00667CD1" w:rsidRDefault="009C3342" w:rsidP="00DC5EFC">
      <w:pPr>
        <w:pStyle w:val="BodyText"/>
        <w:rPr>
          <w:sz w:val="20"/>
          <w:szCs w:val="16"/>
        </w:rPr>
      </w:pPr>
      <w:r w:rsidRPr="00667CD1">
        <w:rPr>
          <w:rStyle w:val="normaltextrun"/>
          <w:color w:val="000000" w:themeColor="text1"/>
          <w:sz w:val="20"/>
          <w:szCs w:val="16"/>
        </w:rPr>
        <w:t>Various</w:t>
      </w:r>
      <w:r w:rsidR="00095152" w:rsidRPr="00667CD1">
        <w:rPr>
          <w:rStyle w:val="normaltextrun"/>
          <w:color w:val="000000"/>
          <w:sz w:val="20"/>
          <w:szCs w:val="16"/>
          <w:shd w:val="clear" w:color="auto" w:fill="FFFFFF"/>
        </w:rPr>
        <w:t xml:space="preserve"> measure</w:t>
      </w:r>
      <w:r w:rsidRPr="00667CD1">
        <w:rPr>
          <w:rStyle w:val="normaltextrun"/>
          <w:color w:val="000000" w:themeColor="text1"/>
          <w:sz w:val="20"/>
          <w:szCs w:val="16"/>
        </w:rPr>
        <w:t>s</w:t>
      </w:r>
      <w:r w:rsidR="00095152" w:rsidRPr="00667CD1">
        <w:rPr>
          <w:rStyle w:val="normaltextrun"/>
          <w:color w:val="000000"/>
          <w:sz w:val="20"/>
          <w:szCs w:val="16"/>
          <w:shd w:val="clear" w:color="auto" w:fill="FFFFFF"/>
        </w:rPr>
        <w:t xml:space="preserve"> provide funding support to Government agencies in recognition of the impact of the COVID-19 pandemic outbreak on their operations. This will decrease revenue by $</w:t>
      </w:r>
      <w:r w:rsidR="00B74C66" w:rsidRPr="00667CD1">
        <w:rPr>
          <w:rStyle w:val="normaltextrun"/>
          <w:color w:val="000000"/>
          <w:sz w:val="20"/>
          <w:szCs w:val="16"/>
          <w:shd w:val="clear" w:color="auto" w:fill="FFFFFF"/>
        </w:rPr>
        <w:t>100.</w:t>
      </w:r>
      <w:r w:rsidR="00260BB9" w:rsidRPr="00667CD1">
        <w:rPr>
          <w:rStyle w:val="normaltextrun"/>
          <w:color w:val="000000"/>
          <w:sz w:val="20"/>
          <w:szCs w:val="16"/>
          <w:shd w:val="clear" w:color="auto" w:fill="FFFFFF"/>
        </w:rPr>
        <w:t>3</w:t>
      </w:r>
      <w:r w:rsidR="00095152" w:rsidRPr="00667CD1">
        <w:rPr>
          <w:rStyle w:val="normaltextrun"/>
          <w:color w:val="000000"/>
          <w:sz w:val="20"/>
          <w:szCs w:val="16"/>
          <w:shd w:val="clear" w:color="auto" w:fill="FFFFFF"/>
        </w:rPr>
        <w:t xml:space="preserve"> </w:t>
      </w:r>
      <w:r w:rsidR="00410A48" w:rsidRPr="00667CD1">
        <w:rPr>
          <w:rStyle w:val="normaltextrun"/>
          <w:color w:val="000000"/>
          <w:sz w:val="20"/>
          <w:szCs w:val="16"/>
          <w:shd w:val="clear" w:color="auto" w:fill="FFFFFF"/>
        </w:rPr>
        <w:t xml:space="preserve">million </w:t>
      </w:r>
      <w:r w:rsidR="00095152" w:rsidRPr="00667CD1">
        <w:rPr>
          <w:rStyle w:val="normaltextrun"/>
          <w:color w:val="000000"/>
          <w:sz w:val="20"/>
          <w:szCs w:val="16"/>
          <w:shd w:val="clear" w:color="auto" w:fill="FFFFFF"/>
        </w:rPr>
        <w:t xml:space="preserve">over the </w:t>
      </w:r>
      <w:r w:rsidR="00410A48" w:rsidRPr="00667CD1">
        <w:rPr>
          <w:rStyle w:val="normaltextrun"/>
          <w:color w:val="000000"/>
          <w:sz w:val="20"/>
          <w:szCs w:val="16"/>
          <w:shd w:val="clear" w:color="auto" w:fill="FFFFFF"/>
        </w:rPr>
        <w:t xml:space="preserve">four </w:t>
      </w:r>
      <w:r w:rsidR="00095152" w:rsidRPr="00667CD1">
        <w:rPr>
          <w:rStyle w:val="normaltextrun"/>
          <w:color w:val="000000"/>
          <w:sz w:val="20"/>
          <w:szCs w:val="16"/>
          <w:shd w:val="clear" w:color="auto" w:fill="FFFFFF"/>
        </w:rPr>
        <w:t>years to 2023-24.</w:t>
      </w:r>
    </w:p>
    <w:p w14:paraId="6DB12D25" w14:textId="13BF80D4" w:rsidR="00D74D54" w:rsidRPr="00667CD1" w:rsidRDefault="006C43D8" w:rsidP="0043080B">
      <w:pPr>
        <w:pStyle w:val="Heading5"/>
        <w:numPr>
          <w:ilvl w:val="0"/>
          <w:numId w:val="0"/>
        </w:numPr>
        <w:rPr>
          <w:sz w:val="20"/>
          <w:szCs w:val="28"/>
        </w:rPr>
      </w:pPr>
      <w:r w:rsidRPr="00667CD1">
        <w:rPr>
          <w:sz w:val="20"/>
          <w:szCs w:val="28"/>
        </w:rPr>
        <w:t>NSW Generations Fund (NGF) distributions</w:t>
      </w:r>
    </w:p>
    <w:p w14:paraId="411DC998" w14:textId="7ABC4B7E" w:rsidR="00D74D54" w:rsidRPr="00667CD1" w:rsidRDefault="001A57F9" w:rsidP="00DC5EFC">
      <w:pPr>
        <w:pStyle w:val="BodyText"/>
        <w:rPr>
          <w:sz w:val="20"/>
          <w:szCs w:val="16"/>
        </w:rPr>
      </w:pPr>
      <w:r w:rsidRPr="00667CD1">
        <w:rPr>
          <w:rStyle w:val="normaltextrun"/>
          <w:color w:val="000000"/>
          <w:sz w:val="20"/>
          <w:szCs w:val="16"/>
          <w:shd w:val="clear" w:color="auto" w:fill="FFFFFF"/>
        </w:rPr>
        <w:t xml:space="preserve">Distributions </w:t>
      </w:r>
      <w:r w:rsidR="00000768" w:rsidRPr="00667CD1">
        <w:rPr>
          <w:rStyle w:val="normaltextrun"/>
          <w:color w:val="000000"/>
          <w:sz w:val="20"/>
          <w:szCs w:val="16"/>
          <w:shd w:val="clear" w:color="auto" w:fill="FFFFFF"/>
        </w:rPr>
        <w:t xml:space="preserve">from State Owned Corporations </w:t>
      </w:r>
      <w:r w:rsidRPr="00667CD1">
        <w:rPr>
          <w:rStyle w:val="normaltextrun"/>
          <w:color w:val="000000"/>
          <w:sz w:val="20"/>
          <w:szCs w:val="16"/>
          <w:shd w:val="clear" w:color="auto" w:fill="FFFFFF"/>
        </w:rPr>
        <w:t xml:space="preserve">and mining royalties </w:t>
      </w:r>
      <w:r w:rsidR="00000768" w:rsidRPr="00667CD1">
        <w:rPr>
          <w:rStyle w:val="normaltextrun"/>
          <w:color w:val="000000"/>
          <w:sz w:val="20"/>
          <w:szCs w:val="16"/>
          <w:shd w:val="clear" w:color="auto" w:fill="FFFFFF"/>
        </w:rPr>
        <w:t xml:space="preserve">will be directed into the NGF from 2020-21, which </w:t>
      </w:r>
      <w:r w:rsidR="002D37AA" w:rsidRPr="00667CD1">
        <w:rPr>
          <w:rStyle w:val="normaltextrun"/>
          <w:color w:val="000000"/>
          <w:sz w:val="20"/>
          <w:szCs w:val="16"/>
          <w:shd w:val="clear" w:color="auto" w:fill="FFFFFF"/>
        </w:rPr>
        <w:t>is expected to</w:t>
      </w:r>
      <w:r w:rsidR="00000768" w:rsidRPr="00667CD1">
        <w:rPr>
          <w:rStyle w:val="normaltextrun"/>
          <w:color w:val="000000"/>
          <w:sz w:val="20"/>
          <w:szCs w:val="16"/>
          <w:shd w:val="clear" w:color="auto" w:fill="FFFFFF"/>
        </w:rPr>
        <w:t xml:space="preserve"> increase </w:t>
      </w:r>
      <w:r w:rsidR="00A34029" w:rsidRPr="00667CD1">
        <w:rPr>
          <w:rStyle w:val="normaltextrun"/>
          <w:color w:val="000000"/>
          <w:sz w:val="20"/>
          <w:szCs w:val="16"/>
          <w:shd w:val="clear" w:color="auto" w:fill="FFFFFF"/>
        </w:rPr>
        <w:t xml:space="preserve">investment returns </w:t>
      </w:r>
      <w:r w:rsidR="00000768" w:rsidRPr="00667CD1">
        <w:rPr>
          <w:rStyle w:val="normaltextrun"/>
          <w:color w:val="000000"/>
          <w:sz w:val="20"/>
          <w:szCs w:val="16"/>
          <w:shd w:val="clear" w:color="auto" w:fill="FFFFFF"/>
        </w:rPr>
        <w:t xml:space="preserve">from the NGF by $1.2 billion over the </w:t>
      </w:r>
      <w:r w:rsidR="00C46321" w:rsidRPr="00667CD1">
        <w:rPr>
          <w:rStyle w:val="normaltextrun"/>
          <w:color w:val="000000"/>
          <w:sz w:val="20"/>
          <w:szCs w:val="16"/>
          <w:shd w:val="clear" w:color="auto" w:fill="FFFFFF"/>
        </w:rPr>
        <w:t xml:space="preserve">four </w:t>
      </w:r>
      <w:r w:rsidR="00000768" w:rsidRPr="00667CD1">
        <w:rPr>
          <w:rStyle w:val="normaltextrun"/>
          <w:color w:val="000000"/>
          <w:sz w:val="20"/>
          <w:szCs w:val="16"/>
          <w:shd w:val="clear" w:color="auto" w:fill="FFFFFF"/>
        </w:rPr>
        <w:t>years to 2023-24.</w:t>
      </w:r>
    </w:p>
    <w:p w14:paraId="3FC8217C" w14:textId="7905127E" w:rsidR="00FC2BAB" w:rsidRPr="00667CD1" w:rsidRDefault="001C3BB9" w:rsidP="0043080B">
      <w:pPr>
        <w:pStyle w:val="Heading5"/>
        <w:numPr>
          <w:ilvl w:val="0"/>
          <w:numId w:val="0"/>
        </w:numPr>
        <w:rPr>
          <w:sz w:val="20"/>
          <w:szCs w:val="28"/>
        </w:rPr>
      </w:pPr>
      <w:r w:rsidRPr="00667CD1">
        <w:rPr>
          <w:sz w:val="20"/>
          <w:szCs w:val="28"/>
        </w:rPr>
        <w:t xml:space="preserve">Additional </w:t>
      </w:r>
      <w:r w:rsidR="00EA6214" w:rsidRPr="00667CD1">
        <w:rPr>
          <w:sz w:val="20"/>
          <w:szCs w:val="28"/>
        </w:rPr>
        <w:t>Towards Zero</w:t>
      </w:r>
      <w:r w:rsidR="00A56174" w:rsidRPr="00667CD1">
        <w:rPr>
          <w:sz w:val="20"/>
          <w:szCs w:val="28"/>
        </w:rPr>
        <w:t xml:space="preserve"> Initiative</w:t>
      </w:r>
    </w:p>
    <w:p w14:paraId="7BB95567" w14:textId="72FA1E27" w:rsidR="00FC2BAB" w:rsidRPr="00667CD1" w:rsidRDefault="00220583" w:rsidP="00DC5EFC">
      <w:pPr>
        <w:pStyle w:val="BodyText"/>
        <w:rPr>
          <w:sz w:val="20"/>
          <w:szCs w:val="16"/>
        </w:rPr>
      </w:pPr>
      <w:r w:rsidRPr="00667CD1">
        <w:rPr>
          <w:sz w:val="20"/>
          <w:szCs w:val="16"/>
        </w:rPr>
        <w:t>The</w:t>
      </w:r>
      <w:r w:rsidR="007530D9" w:rsidRPr="00667CD1">
        <w:rPr>
          <w:sz w:val="20"/>
          <w:szCs w:val="16"/>
        </w:rPr>
        <w:t xml:space="preserve"> Government</w:t>
      </w:r>
      <w:r w:rsidR="00641D45" w:rsidRPr="00667CD1">
        <w:rPr>
          <w:sz w:val="20"/>
          <w:szCs w:val="16"/>
        </w:rPr>
        <w:t>’</w:t>
      </w:r>
      <w:r w:rsidR="007530D9" w:rsidRPr="00667CD1">
        <w:rPr>
          <w:sz w:val="20"/>
          <w:szCs w:val="16"/>
        </w:rPr>
        <w:t xml:space="preserve">s </w:t>
      </w:r>
      <w:r w:rsidR="00F73B9A" w:rsidRPr="00667CD1">
        <w:rPr>
          <w:sz w:val="20"/>
          <w:szCs w:val="16"/>
        </w:rPr>
        <w:t>Towards Zero</w:t>
      </w:r>
      <w:r w:rsidR="000D7B54" w:rsidRPr="00667CD1">
        <w:rPr>
          <w:sz w:val="20"/>
          <w:szCs w:val="16"/>
        </w:rPr>
        <w:t xml:space="preserve"> </w:t>
      </w:r>
      <w:r w:rsidR="00EA6214" w:rsidRPr="00667CD1">
        <w:rPr>
          <w:sz w:val="20"/>
          <w:szCs w:val="16"/>
        </w:rPr>
        <w:t>initiative</w:t>
      </w:r>
      <w:r w:rsidR="000D7B54" w:rsidRPr="00667CD1">
        <w:rPr>
          <w:sz w:val="20"/>
          <w:szCs w:val="16"/>
        </w:rPr>
        <w:t xml:space="preserve"> </w:t>
      </w:r>
      <w:r w:rsidR="00276B33" w:rsidRPr="00667CD1">
        <w:rPr>
          <w:sz w:val="20"/>
          <w:szCs w:val="16"/>
        </w:rPr>
        <w:t>is</w:t>
      </w:r>
      <w:r w:rsidR="005C5542" w:rsidRPr="00667CD1">
        <w:rPr>
          <w:sz w:val="20"/>
          <w:szCs w:val="16"/>
        </w:rPr>
        <w:t xml:space="preserve"> expected to </w:t>
      </w:r>
      <w:r w:rsidR="00527CC6" w:rsidRPr="00667CD1">
        <w:rPr>
          <w:sz w:val="20"/>
          <w:szCs w:val="16"/>
        </w:rPr>
        <w:t>increase revenue</w:t>
      </w:r>
      <w:r w:rsidR="00255CB5" w:rsidRPr="00667CD1">
        <w:rPr>
          <w:sz w:val="20"/>
          <w:szCs w:val="16"/>
        </w:rPr>
        <w:t xml:space="preserve"> from fines and fees</w:t>
      </w:r>
      <w:r w:rsidR="00527CC6" w:rsidRPr="00667CD1">
        <w:rPr>
          <w:sz w:val="20"/>
          <w:szCs w:val="16"/>
        </w:rPr>
        <w:t xml:space="preserve"> by </w:t>
      </w:r>
      <w:r w:rsidR="00DB3053" w:rsidRPr="00667CD1">
        <w:rPr>
          <w:sz w:val="20"/>
          <w:szCs w:val="16"/>
        </w:rPr>
        <w:t xml:space="preserve">$298.1 million over the </w:t>
      </w:r>
      <w:r w:rsidR="00E126C9" w:rsidRPr="00667CD1">
        <w:rPr>
          <w:sz w:val="20"/>
          <w:szCs w:val="16"/>
        </w:rPr>
        <w:t xml:space="preserve">four </w:t>
      </w:r>
      <w:r w:rsidR="00DB3053" w:rsidRPr="00667CD1">
        <w:rPr>
          <w:sz w:val="20"/>
          <w:szCs w:val="16"/>
        </w:rPr>
        <w:t>years to 2023-24.</w:t>
      </w:r>
      <w:r w:rsidR="00A04B98" w:rsidRPr="00667CD1">
        <w:rPr>
          <w:sz w:val="20"/>
          <w:szCs w:val="16"/>
        </w:rPr>
        <w:t xml:space="preserve"> </w:t>
      </w:r>
      <w:r w:rsidR="00F775E2" w:rsidRPr="00667CD1">
        <w:rPr>
          <w:sz w:val="20"/>
          <w:szCs w:val="16"/>
        </w:rPr>
        <w:t xml:space="preserve">This </w:t>
      </w:r>
      <w:r w:rsidR="00644614" w:rsidRPr="00667CD1">
        <w:rPr>
          <w:sz w:val="20"/>
          <w:szCs w:val="16"/>
        </w:rPr>
        <w:t xml:space="preserve">revenue </w:t>
      </w:r>
      <w:r w:rsidR="00F775E2" w:rsidRPr="00667CD1">
        <w:rPr>
          <w:sz w:val="20"/>
          <w:szCs w:val="16"/>
        </w:rPr>
        <w:t>is hypothecated to road safety initiatives.</w:t>
      </w:r>
    </w:p>
    <w:p w14:paraId="55B89E12" w14:textId="6B0D13B5" w:rsidR="00980EDA" w:rsidRPr="00667CD1" w:rsidRDefault="008D0C8A" w:rsidP="0043080B">
      <w:pPr>
        <w:pStyle w:val="Heading5"/>
        <w:numPr>
          <w:ilvl w:val="0"/>
          <w:numId w:val="0"/>
        </w:numPr>
        <w:rPr>
          <w:sz w:val="20"/>
          <w:szCs w:val="28"/>
        </w:rPr>
      </w:pPr>
      <w:r w:rsidRPr="00667CD1">
        <w:rPr>
          <w:sz w:val="20"/>
          <w:szCs w:val="28"/>
        </w:rPr>
        <w:t>Revised Western Sydney City Deal</w:t>
      </w:r>
    </w:p>
    <w:p w14:paraId="73DFB2FA" w14:textId="23D97DB8" w:rsidR="007B1A7D" w:rsidRPr="00667CD1" w:rsidRDefault="007B1A7D" w:rsidP="00DC5EFC">
      <w:pPr>
        <w:pStyle w:val="BodyText"/>
        <w:rPr>
          <w:sz w:val="20"/>
          <w:szCs w:val="16"/>
        </w:rPr>
      </w:pPr>
      <w:r w:rsidRPr="00667CD1">
        <w:rPr>
          <w:sz w:val="20"/>
          <w:szCs w:val="16"/>
        </w:rPr>
        <w:t>The NSW Government is e</w:t>
      </w:r>
      <w:r w:rsidR="00392502" w:rsidRPr="00667CD1">
        <w:rPr>
          <w:sz w:val="20"/>
          <w:szCs w:val="16"/>
        </w:rPr>
        <w:t>xpecting</w:t>
      </w:r>
      <w:r w:rsidRPr="00667CD1">
        <w:rPr>
          <w:sz w:val="20"/>
          <w:szCs w:val="16"/>
        </w:rPr>
        <w:t xml:space="preserve"> to receive an additional $</w:t>
      </w:r>
      <w:r w:rsidR="00612FE5" w:rsidRPr="00667CD1">
        <w:rPr>
          <w:sz w:val="20"/>
          <w:szCs w:val="16"/>
        </w:rPr>
        <w:t>293.0</w:t>
      </w:r>
      <w:r w:rsidRPr="00667CD1">
        <w:rPr>
          <w:sz w:val="20"/>
          <w:szCs w:val="16"/>
        </w:rPr>
        <w:t xml:space="preserve"> </w:t>
      </w:r>
      <w:r w:rsidR="00612FE5" w:rsidRPr="00667CD1">
        <w:rPr>
          <w:sz w:val="20"/>
          <w:szCs w:val="16"/>
        </w:rPr>
        <w:t>m</w:t>
      </w:r>
      <w:r w:rsidRPr="00667CD1">
        <w:rPr>
          <w:sz w:val="20"/>
          <w:szCs w:val="16"/>
        </w:rPr>
        <w:t xml:space="preserve">illion in grant revenue from the Commonwealth over the </w:t>
      </w:r>
      <w:r w:rsidR="00E126C9" w:rsidRPr="00667CD1">
        <w:rPr>
          <w:sz w:val="20"/>
          <w:szCs w:val="16"/>
        </w:rPr>
        <w:t xml:space="preserve">four </w:t>
      </w:r>
      <w:r w:rsidRPr="00667CD1">
        <w:rPr>
          <w:sz w:val="20"/>
          <w:szCs w:val="16"/>
        </w:rPr>
        <w:t xml:space="preserve">years to 2023-24 </w:t>
      </w:r>
      <w:r w:rsidR="00DD796C" w:rsidRPr="00667CD1">
        <w:rPr>
          <w:sz w:val="20"/>
          <w:szCs w:val="16"/>
        </w:rPr>
        <w:t>due to revisions to the Western Sydney City Deal</w:t>
      </w:r>
      <w:r w:rsidRPr="00667CD1">
        <w:rPr>
          <w:sz w:val="20"/>
          <w:szCs w:val="16"/>
        </w:rPr>
        <w:t>.</w:t>
      </w:r>
    </w:p>
    <w:p w14:paraId="49ED6063" w14:textId="0058B676" w:rsidR="002C2271" w:rsidRPr="00667CD1" w:rsidRDefault="006F53FD" w:rsidP="00FD2C11">
      <w:pPr>
        <w:pStyle w:val="Heading5"/>
        <w:numPr>
          <w:ilvl w:val="0"/>
          <w:numId w:val="0"/>
        </w:numPr>
        <w:rPr>
          <w:sz w:val="20"/>
          <w:szCs w:val="28"/>
        </w:rPr>
      </w:pPr>
      <w:r w:rsidRPr="00667CD1">
        <w:rPr>
          <w:sz w:val="20"/>
          <w:szCs w:val="28"/>
        </w:rPr>
        <w:t>TAFE funding support</w:t>
      </w:r>
    </w:p>
    <w:p w14:paraId="32978949" w14:textId="212F7C57" w:rsidR="002C2271" w:rsidRPr="00667CD1" w:rsidRDefault="00351333" w:rsidP="00DC5EFC">
      <w:pPr>
        <w:pStyle w:val="BodyText"/>
        <w:rPr>
          <w:sz w:val="20"/>
          <w:szCs w:val="16"/>
        </w:rPr>
      </w:pPr>
      <w:r w:rsidRPr="00667CD1">
        <w:rPr>
          <w:sz w:val="20"/>
          <w:szCs w:val="16"/>
        </w:rPr>
        <w:t xml:space="preserve">There </w:t>
      </w:r>
      <w:r w:rsidR="00C00D78" w:rsidRPr="00667CD1">
        <w:rPr>
          <w:sz w:val="20"/>
          <w:szCs w:val="16"/>
        </w:rPr>
        <w:t>is expected to be a r</w:t>
      </w:r>
      <w:r w:rsidR="00B04BE9" w:rsidRPr="00667CD1">
        <w:rPr>
          <w:sz w:val="20"/>
          <w:szCs w:val="16"/>
        </w:rPr>
        <w:t xml:space="preserve">eduction in commercial revenue due to </w:t>
      </w:r>
      <w:r w:rsidR="00117BF2" w:rsidRPr="00667CD1">
        <w:rPr>
          <w:sz w:val="20"/>
          <w:szCs w:val="16"/>
        </w:rPr>
        <w:t xml:space="preserve">both </w:t>
      </w:r>
      <w:r w:rsidR="00B04BE9" w:rsidRPr="00667CD1">
        <w:rPr>
          <w:sz w:val="20"/>
          <w:szCs w:val="16"/>
        </w:rPr>
        <w:t>changes to Commonwealth VET FEE-HELP loans and increasing demand for fee</w:t>
      </w:r>
      <w:r w:rsidR="00F0500D" w:rsidRPr="00667CD1">
        <w:rPr>
          <w:sz w:val="20"/>
          <w:szCs w:val="16"/>
        </w:rPr>
        <w:t>-</w:t>
      </w:r>
      <w:r w:rsidR="00B04BE9" w:rsidRPr="00667CD1">
        <w:rPr>
          <w:sz w:val="20"/>
          <w:szCs w:val="16"/>
        </w:rPr>
        <w:t xml:space="preserve">free courses </w:t>
      </w:r>
      <w:r w:rsidR="00FD49B4" w:rsidRPr="00667CD1">
        <w:rPr>
          <w:sz w:val="20"/>
          <w:szCs w:val="16"/>
        </w:rPr>
        <w:t>over</w:t>
      </w:r>
      <w:r w:rsidR="00B04BE9" w:rsidRPr="00667CD1">
        <w:rPr>
          <w:sz w:val="20"/>
          <w:szCs w:val="16"/>
        </w:rPr>
        <w:t xml:space="preserve"> commercial courses</w:t>
      </w:r>
      <w:r w:rsidR="002C2271" w:rsidRPr="00667CD1">
        <w:rPr>
          <w:sz w:val="20"/>
          <w:szCs w:val="16"/>
        </w:rPr>
        <w:t>.</w:t>
      </w:r>
      <w:r w:rsidR="00251939" w:rsidRPr="00667CD1">
        <w:rPr>
          <w:sz w:val="20"/>
          <w:szCs w:val="16"/>
        </w:rPr>
        <w:t xml:space="preserve"> Th</w:t>
      </w:r>
      <w:r w:rsidR="0081731D" w:rsidRPr="00667CD1">
        <w:rPr>
          <w:sz w:val="20"/>
          <w:szCs w:val="16"/>
        </w:rPr>
        <w:t>ese factors</w:t>
      </w:r>
      <w:r w:rsidR="00251939" w:rsidRPr="00667CD1">
        <w:rPr>
          <w:sz w:val="20"/>
          <w:szCs w:val="16"/>
        </w:rPr>
        <w:t xml:space="preserve"> will decrease </w:t>
      </w:r>
      <w:r w:rsidR="00051AA2" w:rsidRPr="00667CD1">
        <w:rPr>
          <w:sz w:val="20"/>
          <w:szCs w:val="16"/>
        </w:rPr>
        <w:t xml:space="preserve">revenue from the sale of goods and services by </w:t>
      </w:r>
      <w:r w:rsidR="00884411" w:rsidRPr="00667CD1">
        <w:rPr>
          <w:sz w:val="20"/>
          <w:szCs w:val="16"/>
        </w:rPr>
        <w:t>$2</w:t>
      </w:r>
      <w:r w:rsidR="00AD3103" w:rsidRPr="00667CD1">
        <w:rPr>
          <w:sz w:val="20"/>
          <w:szCs w:val="16"/>
        </w:rPr>
        <w:t>28.0</w:t>
      </w:r>
      <w:r w:rsidR="002832B3" w:rsidRPr="00667CD1">
        <w:rPr>
          <w:sz w:val="20"/>
          <w:szCs w:val="16"/>
        </w:rPr>
        <w:t xml:space="preserve"> million </w:t>
      </w:r>
      <w:r w:rsidR="00007C09" w:rsidRPr="00667CD1">
        <w:rPr>
          <w:sz w:val="20"/>
          <w:szCs w:val="16"/>
        </w:rPr>
        <w:t>in 2020-21</w:t>
      </w:r>
      <w:r w:rsidR="002832B3" w:rsidRPr="00667CD1">
        <w:rPr>
          <w:sz w:val="20"/>
          <w:szCs w:val="16"/>
        </w:rPr>
        <w:t>.</w:t>
      </w:r>
    </w:p>
    <w:p w14:paraId="67FBA8E2" w14:textId="244105D1" w:rsidR="00AD3103" w:rsidRPr="00667CD1" w:rsidRDefault="00AD3103" w:rsidP="00FD2C11">
      <w:pPr>
        <w:pStyle w:val="Heading5"/>
        <w:numPr>
          <w:ilvl w:val="0"/>
          <w:numId w:val="0"/>
        </w:numPr>
        <w:rPr>
          <w:sz w:val="20"/>
          <w:szCs w:val="28"/>
        </w:rPr>
      </w:pPr>
      <w:r w:rsidRPr="00667CD1">
        <w:rPr>
          <w:sz w:val="20"/>
          <w:szCs w:val="28"/>
        </w:rPr>
        <w:t>Expansion of Transport Access Program</w:t>
      </w:r>
    </w:p>
    <w:p w14:paraId="3C8AD885" w14:textId="0FE348A5" w:rsidR="00AD3103" w:rsidRPr="00667CD1" w:rsidRDefault="00AD3103" w:rsidP="00DF12AC">
      <w:pPr>
        <w:textAlignment w:val="baseline"/>
        <w:rPr>
          <w:rFonts w:ascii="Arial" w:eastAsiaTheme="minorHAnsi" w:hAnsi="Arial" w:cs="Arial"/>
          <w:noProof/>
          <w:lang w:eastAsia="x-none"/>
        </w:rPr>
      </w:pPr>
      <w:r w:rsidRPr="00667CD1">
        <w:rPr>
          <w:rFonts w:ascii="Arial" w:eastAsiaTheme="minorHAnsi" w:hAnsi="Arial" w:cs="Arial"/>
          <w:noProof/>
          <w:lang w:eastAsia="x-none"/>
        </w:rPr>
        <w:t xml:space="preserve">This measure provides funding for seven station upgrades to improve access to transport. This will increase revenue from the sale of goods and services by $192.0 million over the </w:t>
      </w:r>
      <w:r w:rsidR="00FD3FA5" w:rsidRPr="00667CD1">
        <w:rPr>
          <w:rFonts w:ascii="Arial" w:eastAsiaTheme="minorHAnsi" w:hAnsi="Arial" w:cs="Arial"/>
          <w:noProof/>
          <w:lang w:eastAsia="x-none"/>
        </w:rPr>
        <w:t>four</w:t>
      </w:r>
      <w:r w:rsidRPr="00667CD1">
        <w:rPr>
          <w:rFonts w:ascii="Arial" w:eastAsiaTheme="minorHAnsi" w:hAnsi="Arial" w:cs="Arial"/>
          <w:noProof/>
          <w:lang w:eastAsia="x-none"/>
        </w:rPr>
        <w:t xml:space="preserve"> years to 2023-24.</w:t>
      </w:r>
    </w:p>
    <w:p w14:paraId="3A1390B8" w14:textId="1B5614D8" w:rsidR="00476267" w:rsidRPr="00667CD1" w:rsidRDefault="00BF1BA9" w:rsidP="001C3BB9">
      <w:pPr>
        <w:pStyle w:val="Heading5"/>
        <w:numPr>
          <w:ilvl w:val="0"/>
          <w:numId w:val="0"/>
        </w:numPr>
        <w:spacing w:before="240"/>
        <w:rPr>
          <w:sz w:val="20"/>
          <w:szCs w:val="28"/>
        </w:rPr>
      </w:pPr>
      <w:r w:rsidRPr="00667CD1">
        <w:rPr>
          <w:sz w:val="20"/>
          <w:szCs w:val="28"/>
        </w:rPr>
        <w:t xml:space="preserve">Housing Industry Support - </w:t>
      </w:r>
      <w:proofErr w:type="spellStart"/>
      <w:r w:rsidRPr="00667CD1">
        <w:rPr>
          <w:sz w:val="20"/>
          <w:szCs w:val="28"/>
        </w:rPr>
        <w:t>ePlanning</w:t>
      </w:r>
      <w:proofErr w:type="spellEnd"/>
      <w:r w:rsidRPr="00667CD1">
        <w:rPr>
          <w:sz w:val="20"/>
          <w:szCs w:val="28"/>
        </w:rPr>
        <w:t xml:space="preserve"> Stage 4</w:t>
      </w:r>
    </w:p>
    <w:p w14:paraId="1BA3B498" w14:textId="3EDF633F" w:rsidR="00476267" w:rsidRPr="00667CD1" w:rsidRDefault="00400F53" w:rsidP="00DC5EFC">
      <w:pPr>
        <w:pStyle w:val="BodyText"/>
        <w:rPr>
          <w:sz w:val="20"/>
          <w:szCs w:val="16"/>
        </w:rPr>
      </w:pPr>
      <w:r w:rsidRPr="00667CD1">
        <w:rPr>
          <w:sz w:val="20"/>
          <w:szCs w:val="16"/>
        </w:rPr>
        <w:t xml:space="preserve">This measure will </w:t>
      </w:r>
      <w:r w:rsidR="00003FBC" w:rsidRPr="00667CD1">
        <w:rPr>
          <w:sz w:val="20"/>
          <w:szCs w:val="16"/>
        </w:rPr>
        <w:t>s</w:t>
      </w:r>
      <w:r w:rsidR="00100F78" w:rsidRPr="00667CD1">
        <w:rPr>
          <w:sz w:val="20"/>
          <w:szCs w:val="16"/>
        </w:rPr>
        <w:t xml:space="preserve">upport the rollout of Stage 4 of </w:t>
      </w:r>
      <w:proofErr w:type="spellStart"/>
      <w:r w:rsidR="00100F78" w:rsidRPr="00667CD1">
        <w:rPr>
          <w:sz w:val="20"/>
          <w:szCs w:val="16"/>
        </w:rPr>
        <w:t>ePlanning</w:t>
      </w:r>
      <w:proofErr w:type="spellEnd"/>
      <w:r w:rsidR="003E177E" w:rsidRPr="00667CD1">
        <w:rPr>
          <w:sz w:val="20"/>
          <w:szCs w:val="16"/>
        </w:rPr>
        <w:t xml:space="preserve">, which will </w:t>
      </w:r>
      <w:r w:rsidR="002E51D2" w:rsidRPr="00667CD1">
        <w:rPr>
          <w:sz w:val="20"/>
          <w:szCs w:val="16"/>
        </w:rPr>
        <w:t>increase revenue from the sale of goods and services by $44</w:t>
      </w:r>
      <w:r w:rsidR="005701C9" w:rsidRPr="00667CD1">
        <w:rPr>
          <w:sz w:val="20"/>
          <w:szCs w:val="16"/>
        </w:rPr>
        <w:t>.0</w:t>
      </w:r>
      <w:r w:rsidR="002E51D2" w:rsidRPr="00667CD1">
        <w:rPr>
          <w:sz w:val="20"/>
          <w:szCs w:val="16"/>
        </w:rPr>
        <w:t xml:space="preserve"> million over the </w:t>
      </w:r>
      <w:r w:rsidR="004147BA" w:rsidRPr="00667CD1">
        <w:rPr>
          <w:sz w:val="20"/>
          <w:szCs w:val="16"/>
        </w:rPr>
        <w:t xml:space="preserve">four </w:t>
      </w:r>
      <w:r w:rsidR="002E51D2" w:rsidRPr="00667CD1">
        <w:rPr>
          <w:sz w:val="20"/>
          <w:szCs w:val="16"/>
        </w:rPr>
        <w:t>years to 2023-24</w:t>
      </w:r>
      <w:r w:rsidR="00476267" w:rsidRPr="00667CD1">
        <w:rPr>
          <w:sz w:val="20"/>
          <w:szCs w:val="16"/>
        </w:rPr>
        <w:t>.</w:t>
      </w:r>
    </w:p>
    <w:p w14:paraId="4026E824" w14:textId="1B5614D8" w:rsidR="00856DC7" w:rsidRPr="00667CD1" w:rsidRDefault="003A44DD" w:rsidP="00FD2C11">
      <w:pPr>
        <w:pStyle w:val="Heading5"/>
        <w:numPr>
          <w:ilvl w:val="0"/>
          <w:numId w:val="0"/>
        </w:numPr>
        <w:rPr>
          <w:sz w:val="20"/>
          <w:szCs w:val="28"/>
        </w:rPr>
      </w:pPr>
      <w:r w:rsidRPr="00667CD1">
        <w:rPr>
          <w:sz w:val="20"/>
          <w:szCs w:val="28"/>
        </w:rPr>
        <w:lastRenderedPageBreak/>
        <w:t>Extension of Aboriginal Housing Office Asset Recycling Program</w:t>
      </w:r>
    </w:p>
    <w:p w14:paraId="2FA495FB" w14:textId="3C7784D2" w:rsidR="00856DC7" w:rsidRPr="00667CD1" w:rsidRDefault="00A537A4" w:rsidP="00DC5EFC">
      <w:pPr>
        <w:pStyle w:val="BodyText"/>
        <w:rPr>
          <w:sz w:val="20"/>
          <w:szCs w:val="16"/>
        </w:rPr>
      </w:pPr>
      <w:r w:rsidRPr="00667CD1">
        <w:rPr>
          <w:sz w:val="20"/>
          <w:szCs w:val="16"/>
        </w:rPr>
        <w:t xml:space="preserve">Insurance revenue </w:t>
      </w:r>
      <w:r w:rsidR="00382633" w:rsidRPr="00667CD1">
        <w:rPr>
          <w:sz w:val="20"/>
          <w:szCs w:val="16"/>
        </w:rPr>
        <w:t>wil</w:t>
      </w:r>
      <w:r w:rsidR="00AD4353" w:rsidRPr="00667CD1">
        <w:rPr>
          <w:sz w:val="20"/>
          <w:szCs w:val="16"/>
        </w:rPr>
        <w:t>l be retained within the Aboriginal Housing Office</w:t>
      </w:r>
      <w:r w:rsidR="00BB3DAE" w:rsidRPr="00667CD1">
        <w:rPr>
          <w:sz w:val="20"/>
          <w:szCs w:val="16"/>
        </w:rPr>
        <w:t xml:space="preserve"> to replace properties lost through sale or major damage to ensure constant dwelling stock</w:t>
      </w:r>
      <w:r w:rsidR="00856DC7" w:rsidRPr="00667CD1">
        <w:rPr>
          <w:sz w:val="20"/>
          <w:szCs w:val="16"/>
        </w:rPr>
        <w:t>.</w:t>
      </w:r>
      <w:r w:rsidR="001B3C34" w:rsidRPr="00667CD1">
        <w:rPr>
          <w:sz w:val="20"/>
          <w:szCs w:val="16"/>
        </w:rPr>
        <w:t xml:space="preserve"> This will </w:t>
      </w:r>
      <w:r w:rsidR="00283A07" w:rsidRPr="00667CD1">
        <w:rPr>
          <w:sz w:val="20"/>
          <w:szCs w:val="16"/>
        </w:rPr>
        <w:t xml:space="preserve">increase other revenue by $24.0 million over the </w:t>
      </w:r>
      <w:r w:rsidR="004147BA" w:rsidRPr="00667CD1">
        <w:rPr>
          <w:sz w:val="20"/>
          <w:szCs w:val="16"/>
        </w:rPr>
        <w:t xml:space="preserve">four </w:t>
      </w:r>
      <w:r w:rsidR="00283A07" w:rsidRPr="00667CD1">
        <w:rPr>
          <w:sz w:val="20"/>
          <w:szCs w:val="16"/>
        </w:rPr>
        <w:t>years to 2023-24.</w:t>
      </w:r>
    </w:p>
    <w:bookmarkEnd w:id="0"/>
    <w:bookmarkEnd w:id="3"/>
    <w:p w14:paraId="748B17CC" w14:textId="697EFF23" w:rsidR="00140E0C" w:rsidRPr="00667CD1" w:rsidRDefault="00140E0C" w:rsidP="003B4998">
      <w:pPr>
        <w:pStyle w:val="Heading2"/>
        <w:tabs>
          <w:tab w:val="left" w:pos="709"/>
        </w:tabs>
        <w:ind w:left="709" w:hanging="709"/>
        <w:rPr>
          <w:sz w:val="24"/>
          <w:szCs w:val="28"/>
        </w:rPr>
      </w:pPr>
      <w:r w:rsidRPr="00667CD1">
        <w:rPr>
          <w:sz w:val="24"/>
          <w:szCs w:val="28"/>
        </w:rPr>
        <w:t xml:space="preserve">General </w:t>
      </w:r>
      <w:r w:rsidR="0015563D" w:rsidRPr="00667CD1">
        <w:rPr>
          <w:sz w:val="24"/>
          <w:szCs w:val="28"/>
        </w:rPr>
        <w:t>g</w:t>
      </w:r>
      <w:r w:rsidRPr="00667CD1">
        <w:rPr>
          <w:sz w:val="24"/>
          <w:szCs w:val="28"/>
        </w:rPr>
        <w:t xml:space="preserve">overnment </w:t>
      </w:r>
      <w:r w:rsidR="0015563D" w:rsidRPr="00667CD1">
        <w:rPr>
          <w:sz w:val="24"/>
          <w:szCs w:val="28"/>
        </w:rPr>
        <w:t>r</w:t>
      </w:r>
      <w:r w:rsidRPr="00667CD1">
        <w:rPr>
          <w:sz w:val="24"/>
          <w:szCs w:val="28"/>
        </w:rPr>
        <w:t>evenue</w:t>
      </w:r>
    </w:p>
    <w:p w14:paraId="2B540C88" w14:textId="6725C42A" w:rsidR="0071392C" w:rsidRPr="00667CD1" w:rsidRDefault="00395A40" w:rsidP="009E01C2">
      <w:pPr>
        <w:pStyle w:val="Heading3"/>
        <w:numPr>
          <w:ilvl w:val="0"/>
          <w:numId w:val="0"/>
        </w:numPr>
        <w:ind w:left="720" w:hanging="720"/>
        <w:rPr>
          <w:sz w:val="22"/>
          <w:szCs w:val="28"/>
        </w:rPr>
      </w:pPr>
      <w:r w:rsidRPr="00667CD1">
        <w:rPr>
          <w:sz w:val="22"/>
          <w:szCs w:val="28"/>
        </w:rPr>
        <w:t xml:space="preserve">Revenue result for </w:t>
      </w:r>
      <w:r w:rsidR="0071392C" w:rsidRPr="00667CD1">
        <w:rPr>
          <w:sz w:val="22"/>
          <w:szCs w:val="28"/>
        </w:rPr>
        <w:t xml:space="preserve">2019-20 </w:t>
      </w:r>
    </w:p>
    <w:p w14:paraId="72EEAC65" w14:textId="5199C5DA" w:rsidR="00C96D26" w:rsidRPr="00667CD1" w:rsidRDefault="00810B10" w:rsidP="00DC5EFC">
      <w:pPr>
        <w:pStyle w:val="BodyText"/>
        <w:rPr>
          <w:sz w:val="20"/>
          <w:szCs w:val="16"/>
        </w:rPr>
      </w:pPr>
      <w:r w:rsidRPr="00667CD1">
        <w:rPr>
          <w:sz w:val="20"/>
          <w:szCs w:val="16"/>
        </w:rPr>
        <w:t xml:space="preserve">General government revenue </w:t>
      </w:r>
      <w:r w:rsidR="00737D50" w:rsidRPr="00667CD1">
        <w:rPr>
          <w:sz w:val="20"/>
          <w:szCs w:val="16"/>
        </w:rPr>
        <w:t xml:space="preserve">was </w:t>
      </w:r>
      <w:r w:rsidRPr="00667CD1">
        <w:rPr>
          <w:sz w:val="20"/>
          <w:szCs w:val="16"/>
        </w:rPr>
        <w:t>$</w:t>
      </w:r>
      <w:r w:rsidR="00D006EC" w:rsidRPr="00667CD1">
        <w:rPr>
          <w:sz w:val="20"/>
          <w:szCs w:val="16"/>
        </w:rPr>
        <w:t>81.</w:t>
      </w:r>
      <w:r w:rsidR="008D576F" w:rsidRPr="00667CD1">
        <w:rPr>
          <w:sz w:val="20"/>
          <w:szCs w:val="16"/>
        </w:rPr>
        <w:t>4</w:t>
      </w:r>
      <w:r w:rsidRPr="00667CD1">
        <w:rPr>
          <w:sz w:val="20"/>
          <w:szCs w:val="16"/>
        </w:rPr>
        <w:t xml:space="preserve"> billion in 2019-</w:t>
      </w:r>
      <w:r w:rsidR="00D006EC" w:rsidRPr="00667CD1">
        <w:rPr>
          <w:sz w:val="20"/>
          <w:szCs w:val="16"/>
        </w:rPr>
        <w:t>2</w:t>
      </w:r>
      <w:r w:rsidRPr="00667CD1">
        <w:rPr>
          <w:sz w:val="20"/>
          <w:szCs w:val="16"/>
        </w:rPr>
        <w:t>0, $</w:t>
      </w:r>
      <w:r w:rsidR="00D006EC" w:rsidRPr="00667CD1">
        <w:rPr>
          <w:sz w:val="20"/>
          <w:szCs w:val="16"/>
        </w:rPr>
        <w:t>2.8</w:t>
      </w:r>
      <w:r w:rsidRPr="00667CD1">
        <w:rPr>
          <w:sz w:val="20"/>
          <w:szCs w:val="16"/>
        </w:rPr>
        <w:t xml:space="preserve"> billion lower than forecast in the 2019-20 Half</w:t>
      </w:r>
      <w:r w:rsidR="009F7B3E" w:rsidRPr="00667CD1">
        <w:rPr>
          <w:sz w:val="20"/>
          <w:szCs w:val="16"/>
        </w:rPr>
        <w:t>-</w:t>
      </w:r>
      <w:r w:rsidRPr="00667CD1">
        <w:rPr>
          <w:sz w:val="20"/>
          <w:szCs w:val="16"/>
        </w:rPr>
        <w:t xml:space="preserve">Yearly Review (see Chart 4.1). The main drivers of change since the </w:t>
      </w:r>
      <w:r w:rsidR="00F54411" w:rsidRPr="00667CD1">
        <w:rPr>
          <w:sz w:val="20"/>
          <w:szCs w:val="16"/>
        </w:rPr>
        <w:br w:type="textWrapping" w:clear="all"/>
      </w:r>
      <w:r w:rsidRPr="00667CD1">
        <w:rPr>
          <w:sz w:val="20"/>
          <w:szCs w:val="16"/>
        </w:rPr>
        <w:t>2019-20 Half</w:t>
      </w:r>
      <w:r w:rsidR="009F7B3E" w:rsidRPr="00667CD1">
        <w:rPr>
          <w:sz w:val="20"/>
          <w:szCs w:val="16"/>
        </w:rPr>
        <w:t>-</w:t>
      </w:r>
      <w:r w:rsidRPr="00667CD1">
        <w:rPr>
          <w:sz w:val="20"/>
          <w:szCs w:val="16"/>
        </w:rPr>
        <w:t xml:space="preserve">Yearly Review </w:t>
      </w:r>
      <w:r w:rsidR="00EA5A2D" w:rsidRPr="00667CD1">
        <w:rPr>
          <w:sz w:val="20"/>
          <w:szCs w:val="16"/>
        </w:rPr>
        <w:t>we</w:t>
      </w:r>
      <w:r w:rsidRPr="00667CD1">
        <w:rPr>
          <w:sz w:val="20"/>
          <w:szCs w:val="16"/>
        </w:rPr>
        <w:t>re a $</w:t>
      </w:r>
      <w:r w:rsidR="0024741E" w:rsidRPr="00667CD1">
        <w:rPr>
          <w:sz w:val="20"/>
          <w:szCs w:val="16"/>
        </w:rPr>
        <w:t>1</w:t>
      </w:r>
      <w:r w:rsidRPr="00667CD1">
        <w:rPr>
          <w:sz w:val="20"/>
          <w:szCs w:val="16"/>
        </w:rPr>
        <w:t>.</w:t>
      </w:r>
      <w:r w:rsidR="0024741E" w:rsidRPr="00667CD1">
        <w:rPr>
          <w:sz w:val="20"/>
          <w:szCs w:val="16"/>
        </w:rPr>
        <w:t>3</w:t>
      </w:r>
      <w:r w:rsidRPr="00667CD1">
        <w:rPr>
          <w:sz w:val="20"/>
          <w:szCs w:val="16"/>
        </w:rPr>
        <w:t xml:space="preserve"> </w:t>
      </w:r>
      <w:r w:rsidR="0024741E" w:rsidRPr="00667CD1">
        <w:rPr>
          <w:sz w:val="20"/>
          <w:szCs w:val="16"/>
        </w:rPr>
        <w:t>b</w:t>
      </w:r>
      <w:r w:rsidRPr="00667CD1">
        <w:rPr>
          <w:sz w:val="20"/>
          <w:szCs w:val="16"/>
        </w:rPr>
        <w:t>illion reduction in payroll tax, a $5</w:t>
      </w:r>
      <w:r w:rsidR="00D006EC" w:rsidRPr="00667CD1">
        <w:rPr>
          <w:sz w:val="20"/>
          <w:szCs w:val="16"/>
        </w:rPr>
        <w:t>78.4</w:t>
      </w:r>
      <w:r w:rsidRPr="00667CD1">
        <w:rPr>
          <w:sz w:val="20"/>
          <w:szCs w:val="16"/>
        </w:rPr>
        <w:t xml:space="preserve"> million shortfall in transfer duty</w:t>
      </w:r>
      <w:r w:rsidR="002D3586" w:rsidRPr="00667CD1">
        <w:rPr>
          <w:sz w:val="20"/>
          <w:szCs w:val="16"/>
        </w:rPr>
        <w:t xml:space="preserve"> and</w:t>
      </w:r>
      <w:r w:rsidRPr="00667CD1">
        <w:rPr>
          <w:sz w:val="20"/>
          <w:szCs w:val="16"/>
        </w:rPr>
        <w:t xml:space="preserve"> </w:t>
      </w:r>
      <w:r w:rsidR="00EA5A2D" w:rsidRPr="00667CD1">
        <w:rPr>
          <w:sz w:val="20"/>
          <w:szCs w:val="16"/>
        </w:rPr>
        <w:t>$45</w:t>
      </w:r>
      <w:r w:rsidR="00D006EC" w:rsidRPr="00667CD1">
        <w:rPr>
          <w:sz w:val="20"/>
          <w:szCs w:val="16"/>
        </w:rPr>
        <w:t>5.9</w:t>
      </w:r>
      <w:r w:rsidR="00EA5A2D" w:rsidRPr="00667CD1">
        <w:rPr>
          <w:sz w:val="20"/>
          <w:szCs w:val="16"/>
        </w:rPr>
        <w:t xml:space="preserve"> million </w:t>
      </w:r>
      <w:r w:rsidR="00BD4FF9" w:rsidRPr="00667CD1">
        <w:rPr>
          <w:sz w:val="20"/>
          <w:szCs w:val="16"/>
        </w:rPr>
        <w:t xml:space="preserve">in </w:t>
      </w:r>
      <w:r w:rsidR="00536C93" w:rsidRPr="00667CD1">
        <w:rPr>
          <w:sz w:val="20"/>
          <w:szCs w:val="16"/>
        </w:rPr>
        <w:t xml:space="preserve">lower </w:t>
      </w:r>
      <w:r w:rsidR="00BD4FF9" w:rsidRPr="00667CD1">
        <w:rPr>
          <w:sz w:val="20"/>
          <w:szCs w:val="16"/>
        </w:rPr>
        <w:t>gambling taxes</w:t>
      </w:r>
      <w:r w:rsidRPr="00667CD1">
        <w:rPr>
          <w:sz w:val="20"/>
          <w:szCs w:val="16"/>
        </w:rPr>
        <w:t>.</w:t>
      </w:r>
      <w:r w:rsidR="002752B8" w:rsidRPr="00667CD1">
        <w:rPr>
          <w:sz w:val="20"/>
          <w:szCs w:val="16"/>
        </w:rPr>
        <w:t xml:space="preserve"> </w:t>
      </w:r>
      <w:r w:rsidR="00CE26D6" w:rsidRPr="00667CD1">
        <w:rPr>
          <w:sz w:val="20"/>
          <w:szCs w:val="16"/>
        </w:rPr>
        <w:t>In contrast</w:t>
      </w:r>
      <w:r w:rsidR="00527B65" w:rsidRPr="00667CD1">
        <w:rPr>
          <w:sz w:val="20"/>
          <w:szCs w:val="16"/>
        </w:rPr>
        <w:t>,</w:t>
      </w:r>
      <w:r w:rsidR="002752B8" w:rsidRPr="00667CD1">
        <w:rPr>
          <w:sz w:val="20"/>
          <w:szCs w:val="16"/>
        </w:rPr>
        <w:t xml:space="preserve"> grant revenue </w:t>
      </w:r>
      <w:r w:rsidR="00527B65" w:rsidRPr="00667CD1">
        <w:rPr>
          <w:sz w:val="20"/>
          <w:szCs w:val="16"/>
        </w:rPr>
        <w:t>was</w:t>
      </w:r>
      <w:r w:rsidR="002752B8" w:rsidRPr="00667CD1">
        <w:rPr>
          <w:sz w:val="20"/>
          <w:szCs w:val="16"/>
        </w:rPr>
        <w:t xml:space="preserve"> $1.6 billion higher</w:t>
      </w:r>
      <w:r w:rsidR="000D6375" w:rsidRPr="00667CD1">
        <w:rPr>
          <w:sz w:val="20"/>
          <w:szCs w:val="16"/>
        </w:rPr>
        <w:t xml:space="preserve"> than </w:t>
      </w:r>
      <w:r w:rsidR="00240542" w:rsidRPr="00667CD1">
        <w:rPr>
          <w:sz w:val="20"/>
          <w:szCs w:val="16"/>
        </w:rPr>
        <w:t>forecast</w:t>
      </w:r>
      <w:r w:rsidR="000D6375" w:rsidRPr="00667CD1">
        <w:rPr>
          <w:sz w:val="20"/>
          <w:szCs w:val="16"/>
        </w:rPr>
        <w:t xml:space="preserve"> at the 2019-20 Half-Yearly Review</w:t>
      </w:r>
      <w:r w:rsidR="00492ABB" w:rsidRPr="00667CD1">
        <w:rPr>
          <w:sz w:val="20"/>
          <w:szCs w:val="16"/>
        </w:rPr>
        <w:t xml:space="preserve">, primarily </w:t>
      </w:r>
      <w:r w:rsidR="00DD5541" w:rsidRPr="00667CD1">
        <w:rPr>
          <w:sz w:val="20"/>
          <w:szCs w:val="16"/>
        </w:rPr>
        <w:t>due to</w:t>
      </w:r>
      <w:r w:rsidR="00492ABB" w:rsidRPr="00667CD1">
        <w:rPr>
          <w:sz w:val="20"/>
          <w:szCs w:val="16"/>
        </w:rPr>
        <w:t xml:space="preserve"> one-off Commonwealth payments to support the pandemic health response and bushfire recovery efforts.</w:t>
      </w:r>
    </w:p>
    <w:p w14:paraId="32D11ACF" w14:textId="1A5506C9" w:rsidR="00790793" w:rsidRPr="00667CD1" w:rsidRDefault="00790793" w:rsidP="003B4998">
      <w:pPr>
        <w:pStyle w:val="Chart41"/>
        <w:ind w:left="1302" w:hanging="1302"/>
        <w:rPr>
          <w:sz w:val="18"/>
          <w:szCs w:val="16"/>
        </w:rPr>
      </w:pPr>
      <w:r w:rsidRPr="00667CD1">
        <w:rPr>
          <w:sz w:val="18"/>
          <w:szCs w:val="16"/>
        </w:rPr>
        <w:t>Changes in 20</w:t>
      </w:r>
      <w:r w:rsidR="00771BDE" w:rsidRPr="00667CD1">
        <w:rPr>
          <w:sz w:val="18"/>
          <w:szCs w:val="16"/>
        </w:rPr>
        <w:t>19</w:t>
      </w:r>
      <w:r w:rsidRPr="00667CD1">
        <w:rPr>
          <w:sz w:val="18"/>
          <w:szCs w:val="16"/>
        </w:rPr>
        <w:t>-2</w:t>
      </w:r>
      <w:r w:rsidR="00771BDE" w:rsidRPr="00667CD1">
        <w:rPr>
          <w:sz w:val="18"/>
          <w:szCs w:val="16"/>
        </w:rPr>
        <w:t>0</w:t>
      </w:r>
      <w:r w:rsidRPr="00667CD1">
        <w:rPr>
          <w:sz w:val="18"/>
          <w:szCs w:val="16"/>
        </w:rPr>
        <w:t xml:space="preserve"> revenue – 2019-20 H</w:t>
      </w:r>
      <w:r w:rsidR="00A57638" w:rsidRPr="00667CD1">
        <w:rPr>
          <w:sz w:val="18"/>
          <w:szCs w:val="16"/>
        </w:rPr>
        <w:t>alf-Yearly Review</w:t>
      </w:r>
      <w:r w:rsidRPr="00667CD1">
        <w:rPr>
          <w:sz w:val="18"/>
          <w:szCs w:val="16"/>
        </w:rPr>
        <w:t xml:space="preserve"> to 2020-21 Budget</w:t>
      </w:r>
    </w:p>
    <w:p w14:paraId="321FED7C" w14:textId="58D5E12D" w:rsidR="000D6FE9" w:rsidRPr="00667CD1" w:rsidRDefault="008C36C6" w:rsidP="00EA5A2D">
      <w:pPr>
        <w:pStyle w:val="Chart41"/>
        <w:numPr>
          <w:ilvl w:val="0"/>
          <w:numId w:val="0"/>
        </w:numPr>
        <w:rPr>
          <w:i w:val="0"/>
          <w:iCs/>
          <w:sz w:val="18"/>
          <w:szCs w:val="16"/>
        </w:rPr>
      </w:pPr>
      <w:r w:rsidRPr="00667CD1">
        <w:rPr>
          <w:noProof/>
          <w:sz w:val="18"/>
          <w:szCs w:val="16"/>
        </w:rPr>
        <w:drawing>
          <wp:inline distT="0" distB="0" distL="0" distR="0" wp14:anchorId="202C4E72" wp14:editId="22085E1C">
            <wp:extent cx="6120765" cy="2778826"/>
            <wp:effectExtent l="0" t="0" r="0" b="0"/>
            <wp:docPr id="10" name="Chart 10" descr="Chart 4.1:  Changes in 2019-20 revenue – 2019-20 Half-Yearly Review to 2020-21 Budget">
              <a:extLst xmlns:a="http://schemas.openxmlformats.org/drawingml/2006/main">
                <a:ext uri="{FF2B5EF4-FFF2-40B4-BE49-F238E27FC236}">
                  <a16:creationId xmlns:a16="http://schemas.microsoft.com/office/drawing/2014/main" id="{4A6088B5-898F-4865-AE66-59D21CB38A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69AB06F" w14:textId="4269781E" w:rsidR="0071392C" w:rsidRPr="00667CD1" w:rsidRDefault="00395A40" w:rsidP="0071392C">
      <w:pPr>
        <w:pStyle w:val="Heading3"/>
        <w:numPr>
          <w:ilvl w:val="0"/>
          <w:numId w:val="0"/>
        </w:numPr>
        <w:ind w:left="720" w:hanging="720"/>
        <w:rPr>
          <w:sz w:val="22"/>
          <w:szCs w:val="28"/>
        </w:rPr>
      </w:pPr>
      <w:r w:rsidRPr="00667CD1">
        <w:rPr>
          <w:sz w:val="22"/>
          <w:szCs w:val="28"/>
        </w:rPr>
        <w:t xml:space="preserve">Forecast for </w:t>
      </w:r>
      <w:r w:rsidR="0071392C" w:rsidRPr="00667CD1">
        <w:rPr>
          <w:sz w:val="22"/>
          <w:szCs w:val="28"/>
        </w:rPr>
        <w:t xml:space="preserve">2020-21 </w:t>
      </w:r>
      <w:r w:rsidR="003928C3" w:rsidRPr="00667CD1">
        <w:rPr>
          <w:sz w:val="22"/>
          <w:szCs w:val="28"/>
        </w:rPr>
        <w:t xml:space="preserve">and </w:t>
      </w:r>
      <w:r w:rsidRPr="00667CD1">
        <w:rPr>
          <w:sz w:val="22"/>
          <w:szCs w:val="28"/>
        </w:rPr>
        <w:t xml:space="preserve">beyond </w:t>
      </w:r>
    </w:p>
    <w:p w14:paraId="6F8DA26B" w14:textId="19DFCB19" w:rsidR="00BA2A21" w:rsidRPr="00667CD1" w:rsidRDefault="0083085A" w:rsidP="00BA2A21">
      <w:pPr>
        <w:pStyle w:val="Chart41"/>
        <w:numPr>
          <w:ilvl w:val="0"/>
          <w:numId w:val="0"/>
        </w:numPr>
        <w:rPr>
          <w:rFonts w:eastAsiaTheme="minorEastAsia" w:cs="Arial"/>
          <w:i w:val="0"/>
          <w:color w:val="auto"/>
          <w:sz w:val="20"/>
          <w:lang w:eastAsia="x-none"/>
        </w:rPr>
      </w:pPr>
      <w:r w:rsidRPr="00667CD1">
        <w:rPr>
          <w:rFonts w:eastAsiaTheme="minorEastAsia" w:cs="Arial"/>
          <w:i w:val="0"/>
          <w:color w:val="auto"/>
          <w:sz w:val="20"/>
        </w:rPr>
        <w:t>General government revenue</w:t>
      </w:r>
      <w:r w:rsidR="00EA5A2D" w:rsidRPr="00667CD1">
        <w:rPr>
          <w:rFonts w:eastAsiaTheme="minorEastAsia" w:cs="Arial"/>
          <w:i w:val="0"/>
          <w:color w:val="auto"/>
          <w:sz w:val="20"/>
        </w:rPr>
        <w:t xml:space="preserve"> is forecast to reach $8</w:t>
      </w:r>
      <w:r w:rsidR="00426837" w:rsidRPr="00667CD1">
        <w:rPr>
          <w:rFonts w:eastAsiaTheme="minorEastAsia" w:cs="Arial"/>
          <w:i w:val="0"/>
          <w:color w:val="auto"/>
          <w:sz w:val="20"/>
        </w:rPr>
        <w:t>2.</w:t>
      </w:r>
      <w:r w:rsidR="7A75BC11" w:rsidRPr="00667CD1">
        <w:rPr>
          <w:rFonts w:eastAsiaTheme="minorEastAsia" w:cs="Arial"/>
          <w:i w:val="0"/>
          <w:noProof/>
          <w:color w:val="auto"/>
          <w:sz w:val="20"/>
        </w:rPr>
        <w:t>1</w:t>
      </w:r>
      <w:r w:rsidR="00D245E1" w:rsidRPr="00667CD1">
        <w:rPr>
          <w:rFonts w:eastAsiaTheme="minorEastAsia" w:cs="Arial"/>
          <w:i w:val="0"/>
          <w:color w:val="auto"/>
          <w:sz w:val="20"/>
        </w:rPr>
        <w:t xml:space="preserve"> </w:t>
      </w:r>
      <w:r w:rsidR="00EA5A2D" w:rsidRPr="00667CD1">
        <w:rPr>
          <w:rFonts w:eastAsiaTheme="minorEastAsia" w:cs="Arial"/>
          <w:i w:val="0"/>
          <w:color w:val="auto"/>
          <w:sz w:val="20"/>
        </w:rPr>
        <w:t>billion in 2020-21, $</w:t>
      </w:r>
      <w:r w:rsidR="4FAC6338" w:rsidRPr="00667CD1">
        <w:rPr>
          <w:rFonts w:eastAsiaTheme="minorEastAsia" w:cs="Arial"/>
          <w:i w:val="0"/>
          <w:noProof/>
          <w:color w:val="auto"/>
          <w:sz w:val="20"/>
        </w:rPr>
        <w:t>782</w:t>
      </w:r>
      <w:r w:rsidR="00963206" w:rsidRPr="00667CD1">
        <w:rPr>
          <w:rFonts w:eastAsiaTheme="minorEastAsia" w:cs="Arial"/>
          <w:i w:val="0"/>
          <w:color w:val="auto"/>
          <w:sz w:val="20"/>
        </w:rPr>
        <w:t>.5</w:t>
      </w:r>
      <w:r w:rsidR="00606A50" w:rsidRPr="00667CD1">
        <w:rPr>
          <w:rFonts w:eastAsiaTheme="minorEastAsia" w:cs="Arial"/>
          <w:i w:val="0"/>
          <w:color w:val="auto"/>
          <w:sz w:val="20"/>
        </w:rPr>
        <w:t xml:space="preserve"> </w:t>
      </w:r>
      <w:r w:rsidR="00CA10E6" w:rsidRPr="00667CD1">
        <w:rPr>
          <w:rFonts w:eastAsiaTheme="minorEastAsia" w:cs="Arial"/>
          <w:i w:val="0"/>
          <w:color w:val="auto"/>
          <w:sz w:val="20"/>
        </w:rPr>
        <w:t>million</w:t>
      </w:r>
      <w:r w:rsidR="00EA5A2D" w:rsidRPr="00667CD1">
        <w:rPr>
          <w:rFonts w:eastAsiaTheme="minorEastAsia" w:cs="Arial"/>
          <w:i w:val="0"/>
          <w:color w:val="auto"/>
          <w:sz w:val="20"/>
        </w:rPr>
        <w:t xml:space="preserve"> </w:t>
      </w:r>
      <w:r w:rsidR="00CA58F8" w:rsidRPr="00667CD1">
        <w:rPr>
          <w:rFonts w:eastAsiaTheme="minorEastAsia" w:cs="Arial"/>
          <w:i w:val="0"/>
          <w:color w:val="auto"/>
          <w:sz w:val="20"/>
        </w:rPr>
        <w:t>higher</w:t>
      </w:r>
      <w:r w:rsidR="00EA5A2D" w:rsidRPr="00667CD1">
        <w:rPr>
          <w:rFonts w:eastAsiaTheme="minorEastAsia" w:cs="Arial"/>
          <w:i w:val="0"/>
          <w:color w:val="auto"/>
          <w:sz w:val="20"/>
        </w:rPr>
        <w:t xml:space="preserve"> than 2019-20. Taxation revenue </w:t>
      </w:r>
      <w:r w:rsidR="00CA58F8" w:rsidRPr="00667CD1">
        <w:rPr>
          <w:rFonts w:eastAsiaTheme="minorEastAsia" w:cs="Arial"/>
          <w:i w:val="0"/>
          <w:color w:val="auto"/>
          <w:sz w:val="20"/>
        </w:rPr>
        <w:t>is expected to</w:t>
      </w:r>
      <w:r w:rsidR="00EA5A2D" w:rsidRPr="00667CD1">
        <w:rPr>
          <w:rFonts w:eastAsiaTheme="minorEastAsia" w:cs="Arial"/>
          <w:i w:val="0"/>
          <w:color w:val="auto"/>
          <w:sz w:val="20"/>
        </w:rPr>
        <w:t xml:space="preserve"> account for </w:t>
      </w:r>
      <w:r w:rsidR="00E422A5" w:rsidRPr="00667CD1">
        <w:rPr>
          <w:rFonts w:eastAsiaTheme="minorEastAsia" w:cs="Arial"/>
          <w:i w:val="0"/>
          <w:color w:val="auto"/>
          <w:sz w:val="20"/>
        </w:rPr>
        <w:t>38</w:t>
      </w:r>
      <w:r w:rsidR="001459C4" w:rsidRPr="00667CD1">
        <w:rPr>
          <w:rFonts w:eastAsiaTheme="minorEastAsia" w:cs="Arial"/>
          <w:i w:val="0"/>
          <w:color w:val="auto"/>
          <w:sz w:val="20"/>
        </w:rPr>
        <w:t>.</w:t>
      </w:r>
      <w:r w:rsidR="25A02F6A" w:rsidRPr="00667CD1">
        <w:rPr>
          <w:rFonts w:eastAsiaTheme="minorEastAsia" w:cs="Arial"/>
          <w:i w:val="0"/>
          <w:noProof/>
          <w:color w:val="auto"/>
          <w:sz w:val="20"/>
        </w:rPr>
        <w:t>6</w:t>
      </w:r>
      <w:r w:rsidR="00CA10E6" w:rsidRPr="00667CD1">
        <w:rPr>
          <w:rFonts w:eastAsiaTheme="minorEastAsia" w:cs="Arial"/>
          <w:i w:val="0"/>
          <w:color w:val="auto"/>
          <w:sz w:val="20"/>
        </w:rPr>
        <w:t xml:space="preserve"> </w:t>
      </w:r>
      <w:r w:rsidR="00EA5A2D" w:rsidRPr="00667CD1">
        <w:rPr>
          <w:rFonts w:eastAsiaTheme="minorEastAsia" w:cs="Arial"/>
          <w:i w:val="0"/>
          <w:color w:val="auto"/>
          <w:sz w:val="20"/>
        </w:rPr>
        <w:t xml:space="preserve">per cent of this total, while Commonwealth </w:t>
      </w:r>
      <w:r w:rsidR="00644614" w:rsidRPr="00667CD1">
        <w:rPr>
          <w:rFonts w:eastAsiaTheme="minorEastAsia" w:cs="Arial"/>
          <w:i w:val="0"/>
          <w:color w:val="auto"/>
          <w:sz w:val="20"/>
        </w:rPr>
        <w:t xml:space="preserve">and other </w:t>
      </w:r>
      <w:r w:rsidR="00EA5A2D" w:rsidRPr="00667CD1">
        <w:rPr>
          <w:rFonts w:eastAsiaTheme="minorEastAsia" w:cs="Arial"/>
          <w:i w:val="0"/>
          <w:color w:val="auto"/>
          <w:sz w:val="20"/>
        </w:rPr>
        <w:t xml:space="preserve">grants, including GST, </w:t>
      </w:r>
      <w:r w:rsidR="001459C4" w:rsidRPr="00667CD1">
        <w:rPr>
          <w:rFonts w:eastAsiaTheme="minorEastAsia" w:cs="Arial"/>
          <w:i w:val="0"/>
          <w:color w:val="auto"/>
          <w:sz w:val="20"/>
        </w:rPr>
        <w:t>are</w:t>
      </w:r>
      <w:r w:rsidR="00CA58F8" w:rsidRPr="00667CD1">
        <w:rPr>
          <w:rFonts w:eastAsiaTheme="minorEastAsia" w:cs="Arial"/>
          <w:i w:val="0"/>
          <w:color w:val="auto"/>
          <w:sz w:val="20"/>
        </w:rPr>
        <w:t xml:space="preserve"> forecast to</w:t>
      </w:r>
      <w:r w:rsidR="00EA5A2D" w:rsidRPr="00667CD1">
        <w:rPr>
          <w:rFonts w:eastAsiaTheme="minorEastAsia" w:cs="Arial"/>
          <w:i w:val="0"/>
          <w:color w:val="auto"/>
          <w:sz w:val="20"/>
        </w:rPr>
        <w:t xml:space="preserve"> provide </w:t>
      </w:r>
      <w:r w:rsidR="0068158C" w:rsidRPr="00667CD1">
        <w:rPr>
          <w:rFonts w:eastAsiaTheme="minorEastAsia" w:cs="Arial"/>
          <w:i w:val="0"/>
          <w:color w:val="auto"/>
          <w:sz w:val="20"/>
        </w:rPr>
        <w:t>40</w:t>
      </w:r>
      <w:r w:rsidR="00EA5A2D" w:rsidRPr="00667CD1">
        <w:rPr>
          <w:rFonts w:eastAsiaTheme="minorEastAsia" w:cs="Arial"/>
          <w:i w:val="0"/>
          <w:color w:val="auto"/>
          <w:sz w:val="20"/>
        </w:rPr>
        <w:t>.</w:t>
      </w:r>
      <w:r w:rsidR="02838A0B" w:rsidRPr="00667CD1">
        <w:rPr>
          <w:rFonts w:eastAsiaTheme="minorEastAsia" w:cs="Arial"/>
          <w:i w:val="0"/>
          <w:color w:val="auto"/>
          <w:sz w:val="20"/>
        </w:rPr>
        <w:t>6</w:t>
      </w:r>
      <w:r w:rsidR="0068158C" w:rsidRPr="00667CD1">
        <w:rPr>
          <w:rFonts w:eastAsiaTheme="minorEastAsia" w:cs="Arial"/>
          <w:i w:val="0"/>
          <w:color w:val="auto"/>
          <w:sz w:val="20"/>
        </w:rPr>
        <w:t xml:space="preserve"> </w:t>
      </w:r>
      <w:r w:rsidR="00EA5A2D" w:rsidRPr="00667CD1">
        <w:rPr>
          <w:rFonts w:eastAsiaTheme="minorEastAsia" w:cs="Arial"/>
          <w:i w:val="0"/>
          <w:color w:val="auto"/>
          <w:sz w:val="20"/>
        </w:rPr>
        <w:t>per cent (see Chart 4.2)</w:t>
      </w:r>
      <w:r w:rsidR="00CA58F8" w:rsidRPr="00667CD1">
        <w:rPr>
          <w:rFonts w:eastAsiaTheme="minorEastAsia" w:cs="Arial"/>
          <w:i w:val="0"/>
          <w:color w:val="auto"/>
          <w:sz w:val="20"/>
        </w:rPr>
        <w:t>.</w:t>
      </w:r>
    </w:p>
    <w:p w14:paraId="139BCA0B" w14:textId="77777777" w:rsidR="00AD3818" w:rsidRPr="00667CD1" w:rsidRDefault="00AD3818">
      <w:pPr>
        <w:spacing w:after="200" w:line="276" w:lineRule="auto"/>
        <w:rPr>
          <w:rFonts w:ascii="Arial" w:hAnsi="Arial"/>
          <w:i/>
          <w:color w:val="4F4F4F"/>
          <w:sz w:val="18"/>
          <w:szCs w:val="16"/>
        </w:rPr>
      </w:pPr>
      <w:r w:rsidRPr="00667CD1">
        <w:rPr>
          <w:sz w:val="16"/>
          <w:szCs w:val="16"/>
        </w:rPr>
        <w:br w:type="page"/>
      </w:r>
    </w:p>
    <w:p w14:paraId="693A4B8A" w14:textId="2C6E03FD" w:rsidR="000D6FE9" w:rsidRPr="00667CD1" w:rsidRDefault="000D6FE9" w:rsidP="00B962C0">
      <w:pPr>
        <w:pStyle w:val="Chart41"/>
        <w:spacing w:after="240"/>
        <w:ind w:left="1304" w:hanging="1304"/>
        <w:rPr>
          <w:sz w:val="18"/>
          <w:szCs w:val="16"/>
        </w:rPr>
      </w:pPr>
      <w:r w:rsidRPr="00667CD1">
        <w:rPr>
          <w:sz w:val="18"/>
          <w:szCs w:val="16"/>
        </w:rPr>
        <w:lastRenderedPageBreak/>
        <w:t>Composition of total revenue, 2020-21</w:t>
      </w:r>
    </w:p>
    <w:p w14:paraId="3F23C14C" w14:textId="59973E20" w:rsidR="00771BDE" w:rsidRPr="00667CD1" w:rsidDel="008F1ADE" w:rsidRDefault="00782ED4" w:rsidP="00771BDE">
      <w:pPr>
        <w:spacing w:before="120"/>
        <w:jc w:val="center"/>
        <w:rPr>
          <w:sz w:val="16"/>
          <w:szCs w:val="16"/>
        </w:rPr>
      </w:pPr>
      <w:r>
        <w:rPr>
          <w:noProof/>
          <w:sz w:val="16"/>
          <w:szCs w:val="16"/>
        </w:rPr>
        <w:drawing>
          <wp:inline distT="0" distB="0" distL="0" distR="0" wp14:anchorId="7B93D57D" wp14:editId="3B37752E">
            <wp:extent cx="4828540" cy="30664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28540" cy="3066415"/>
                    </a:xfrm>
                    <a:prstGeom prst="rect">
                      <a:avLst/>
                    </a:prstGeom>
                    <a:noFill/>
                  </pic:spPr>
                </pic:pic>
              </a:graphicData>
            </a:graphic>
          </wp:inline>
        </w:drawing>
      </w:r>
    </w:p>
    <w:p w14:paraId="4D006E21" w14:textId="7EA36E5D" w:rsidR="00582813" w:rsidRPr="00667CD1" w:rsidRDefault="00EA5A2D" w:rsidP="00DC5EFC">
      <w:pPr>
        <w:pStyle w:val="BodyText"/>
        <w:rPr>
          <w:sz w:val="20"/>
          <w:szCs w:val="16"/>
        </w:rPr>
      </w:pPr>
      <w:r w:rsidRPr="00667CD1">
        <w:rPr>
          <w:sz w:val="20"/>
          <w:szCs w:val="16"/>
        </w:rPr>
        <w:t>General government revenue is expected to grow at a</w:t>
      </w:r>
      <w:r w:rsidR="009F7B3E" w:rsidRPr="00667CD1">
        <w:rPr>
          <w:sz w:val="20"/>
          <w:szCs w:val="16"/>
        </w:rPr>
        <w:t xml:space="preserve"> compound</w:t>
      </w:r>
      <w:r w:rsidRPr="00667CD1">
        <w:rPr>
          <w:sz w:val="20"/>
          <w:szCs w:val="16"/>
        </w:rPr>
        <w:t xml:space="preserve"> annual rate of </w:t>
      </w:r>
      <w:r w:rsidR="0068158C" w:rsidRPr="00667CD1">
        <w:rPr>
          <w:sz w:val="20"/>
          <w:szCs w:val="16"/>
        </w:rPr>
        <w:t>3.</w:t>
      </w:r>
      <w:r w:rsidR="00B470DE" w:rsidRPr="00667CD1">
        <w:rPr>
          <w:sz w:val="20"/>
          <w:szCs w:val="16"/>
        </w:rPr>
        <w:t xml:space="preserve">4 </w:t>
      </w:r>
      <w:r w:rsidRPr="00667CD1">
        <w:rPr>
          <w:sz w:val="20"/>
          <w:szCs w:val="16"/>
        </w:rPr>
        <w:t>per cent  over the four years to 2023-24 (Table 4.</w:t>
      </w:r>
      <w:r w:rsidR="00382B97" w:rsidRPr="00667CD1">
        <w:rPr>
          <w:sz w:val="20"/>
          <w:szCs w:val="16"/>
        </w:rPr>
        <w:t>3</w:t>
      </w:r>
      <w:r w:rsidRPr="00667CD1">
        <w:rPr>
          <w:sz w:val="20"/>
          <w:szCs w:val="16"/>
        </w:rPr>
        <w:t>)</w:t>
      </w:r>
      <w:r w:rsidR="00582813" w:rsidRPr="00667CD1">
        <w:rPr>
          <w:sz w:val="20"/>
          <w:szCs w:val="16"/>
        </w:rPr>
        <w:t xml:space="preserve">, </w:t>
      </w:r>
      <w:r w:rsidR="00416465" w:rsidRPr="00667CD1">
        <w:rPr>
          <w:sz w:val="20"/>
          <w:szCs w:val="16"/>
        </w:rPr>
        <w:t xml:space="preserve">which is comparable to </w:t>
      </w:r>
      <w:r w:rsidR="00EE662E" w:rsidRPr="00667CD1">
        <w:rPr>
          <w:sz w:val="20"/>
          <w:szCs w:val="16"/>
        </w:rPr>
        <w:t xml:space="preserve">the </w:t>
      </w:r>
      <w:r w:rsidR="00582813" w:rsidRPr="00667CD1">
        <w:rPr>
          <w:sz w:val="20"/>
          <w:szCs w:val="16"/>
        </w:rPr>
        <w:t xml:space="preserve">previous forecast </w:t>
      </w:r>
      <w:r w:rsidR="009F7B3E" w:rsidRPr="00667CD1">
        <w:rPr>
          <w:sz w:val="20"/>
          <w:szCs w:val="16"/>
        </w:rPr>
        <w:t>rate of 3.</w:t>
      </w:r>
      <w:r w:rsidR="00756C96" w:rsidRPr="00667CD1">
        <w:rPr>
          <w:sz w:val="20"/>
          <w:szCs w:val="16"/>
        </w:rPr>
        <w:t>3</w:t>
      </w:r>
      <w:r w:rsidR="009F7B3E" w:rsidRPr="00667CD1">
        <w:rPr>
          <w:sz w:val="20"/>
          <w:szCs w:val="16"/>
        </w:rPr>
        <w:t xml:space="preserve"> per cent </w:t>
      </w:r>
      <w:r w:rsidR="00756C96" w:rsidRPr="00667CD1">
        <w:rPr>
          <w:sz w:val="20"/>
          <w:szCs w:val="16"/>
        </w:rPr>
        <w:t xml:space="preserve">over the four years to 2022-23 </w:t>
      </w:r>
      <w:r w:rsidR="009F7B3E" w:rsidRPr="00667CD1">
        <w:rPr>
          <w:sz w:val="20"/>
          <w:szCs w:val="16"/>
        </w:rPr>
        <w:t>in the 2019-20 Half-Yearly Review</w:t>
      </w:r>
      <w:r w:rsidR="00416465" w:rsidRPr="00667CD1">
        <w:rPr>
          <w:sz w:val="20"/>
          <w:szCs w:val="16"/>
        </w:rPr>
        <w:t xml:space="preserve">, but </w:t>
      </w:r>
      <w:r w:rsidR="00EC189B" w:rsidRPr="00667CD1">
        <w:rPr>
          <w:sz w:val="20"/>
          <w:szCs w:val="16"/>
        </w:rPr>
        <w:t xml:space="preserve">now </w:t>
      </w:r>
      <w:r w:rsidR="00416465" w:rsidRPr="00667CD1">
        <w:rPr>
          <w:sz w:val="20"/>
          <w:szCs w:val="16"/>
        </w:rPr>
        <w:t>off a base</w:t>
      </w:r>
      <w:r w:rsidR="00F67C2A" w:rsidRPr="00667CD1">
        <w:rPr>
          <w:sz w:val="20"/>
          <w:szCs w:val="16"/>
        </w:rPr>
        <w:t xml:space="preserve"> that is $</w:t>
      </w:r>
      <w:r w:rsidR="005D4C7A" w:rsidRPr="00667CD1">
        <w:rPr>
          <w:sz w:val="20"/>
          <w:szCs w:val="16"/>
        </w:rPr>
        <w:t>2.8 billion lower</w:t>
      </w:r>
      <w:r w:rsidR="009E6B88" w:rsidRPr="00667CD1">
        <w:rPr>
          <w:sz w:val="20"/>
          <w:szCs w:val="16"/>
        </w:rPr>
        <w:t>.</w:t>
      </w:r>
    </w:p>
    <w:p w14:paraId="3451B809" w14:textId="6F2E18F4" w:rsidR="00983901" w:rsidRPr="00667CD1" w:rsidRDefault="00EA5A2D" w:rsidP="00DC5EFC">
      <w:pPr>
        <w:pStyle w:val="BodyText"/>
        <w:rPr>
          <w:i/>
          <w:color w:val="4F4F4F"/>
          <w:kern w:val="28"/>
          <w:sz w:val="18"/>
          <w:szCs w:val="18"/>
        </w:rPr>
      </w:pPr>
      <w:r w:rsidRPr="00667CD1">
        <w:rPr>
          <w:sz w:val="20"/>
          <w:szCs w:val="16"/>
        </w:rPr>
        <w:t xml:space="preserve">Taxation revenue is forecast to grow by </w:t>
      </w:r>
      <w:r w:rsidR="00CA2758" w:rsidRPr="00667CD1">
        <w:rPr>
          <w:sz w:val="20"/>
          <w:szCs w:val="16"/>
        </w:rPr>
        <w:t>5.</w:t>
      </w:r>
      <w:r w:rsidR="27043F8A" w:rsidRPr="00667CD1">
        <w:rPr>
          <w:sz w:val="20"/>
          <w:szCs w:val="16"/>
        </w:rPr>
        <w:t>4</w:t>
      </w:r>
      <w:r w:rsidRPr="00667CD1">
        <w:rPr>
          <w:sz w:val="20"/>
          <w:szCs w:val="16"/>
        </w:rPr>
        <w:t xml:space="preserve"> per cent per annum on average over the four years to 2023</w:t>
      </w:r>
      <w:r w:rsidR="52563048" w:rsidRPr="00667CD1">
        <w:rPr>
          <w:sz w:val="20"/>
          <w:szCs w:val="16"/>
        </w:rPr>
        <w:t>-</w:t>
      </w:r>
      <w:r w:rsidRPr="00667CD1">
        <w:rPr>
          <w:sz w:val="20"/>
          <w:szCs w:val="16"/>
        </w:rPr>
        <w:t>24</w:t>
      </w:r>
      <w:r w:rsidR="00DF019B" w:rsidRPr="00667CD1">
        <w:rPr>
          <w:sz w:val="20"/>
          <w:szCs w:val="16"/>
        </w:rPr>
        <w:t>, while</w:t>
      </w:r>
      <w:r w:rsidR="00253847" w:rsidRPr="00667CD1">
        <w:rPr>
          <w:sz w:val="20"/>
          <w:szCs w:val="16"/>
        </w:rPr>
        <w:t xml:space="preserve"> </w:t>
      </w:r>
      <w:r w:rsidR="00DD708C" w:rsidRPr="00667CD1">
        <w:rPr>
          <w:sz w:val="20"/>
          <w:szCs w:val="16"/>
        </w:rPr>
        <w:t>grant</w:t>
      </w:r>
      <w:r w:rsidRPr="00667CD1">
        <w:rPr>
          <w:sz w:val="20"/>
          <w:szCs w:val="16"/>
        </w:rPr>
        <w:t xml:space="preserve"> revenue is expected to grow at an average annual rate of</w:t>
      </w:r>
      <w:r w:rsidR="00DF019B" w:rsidRPr="00667CD1">
        <w:rPr>
          <w:sz w:val="20"/>
          <w:szCs w:val="16"/>
        </w:rPr>
        <w:t xml:space="preserve"> only</w:t>
      </w:r>
      <w:r w:rsidRPr="00667CD1">
        <w:rPr>
          <w:sz w:val="20"/>
          <w:szCs w:val="16"/>
        </w:rPr>
        <w:t xml:space="preserve"> </w:t>
      </w:r>
      <w:r w:rsidR="00317543" w:rsidRPr="00667CD1">
        <w:rPr>
          <w:sz w:val="20"/>
          <w:szCs w:val="16"/>
        </w:rPr>
        <w:t>2.</w:t>
      </w:r>
      <w:r w:rsidR="002C17E3" w:rsidRPr="00667CD1">
        <w:rPr>
          <w:sz w:val="20"/>
          <w:szCs w:val="16"/>
        </w:rPr>
        <w:t xml:space="preserve">8 </w:t>
      </w:r>
      <w:r w:rsidRPr="00667CD1">
        <w:rPr>
          <w:sz w:val="20"/>
          <w:szCs w:val="16"/>
        </w:rPr>
        <w:t>per cent over the four years to 2023-24.</w:t>
      </w:r>
    </w:p>
    <w:p w14:paraId="0B2BF270" w14:textId="6301AFB0" w:rsidR="00771BDE" w:rsidRPr="00667CD1" w:rsidRDefault="00771BDE" w:rsidP="00FD098E">
      <w:pPr>
        <w:pStyle w:val="Table4X"/>
        <w:tabs>
          <w:tab w:val="clear" w:pos="1134"/>
          <w:tab w:val="left" w:pos="1276"/>
        </w:tabs>
        <w:ind w:left="1276" w:hanging="1276"/>
        <w:rPr>
          <w:sz w:val="18"/>
          <w:szCs w:val="18"/>
        </w:rPr>
      </w:pPr>
      <w:r w:rsidRPr="00667CD1">
        <w:rPr>
          <w:sz w:val="18"/>
          <w:szCs w:val="18"/>
        </w:rPr>
        <w:t>General government sector - summary of revenue</w:t>
      </w:r>
    </w:p>
    <w:tbl>
      <w:tblPr>
        <w:tblW w:w="9777" w:type="dxa"/>
        <w:tblLayout w:type="fixed"/>
        <w:tblLook w:val="04A0" w:firstRow="1" w:lastRow="0" w:firstColumn="1" w:lastColumn="0" w:noHBand="0" w:noVBand="1"/>
        <w:tblCaption w:val="Table 4.3:  General government sector - summary of revenue"/>
        <w:tblDescription w:val="Table 4.3:  General government sector - summary of revenue"/>
      </w:tblPr>
      <w:tblGrid>
        <w:gridCol w:w="2633"/>
        <w:gridCol w:w="967"/>
        <w:gridCol w:w="881"/>
        <w:gridCol w:w="899"/>
        <w:gridCol w:w="844"/>
        <w:gridCol w:w="862"/>
        <w:gridCol w:w="862"/>
        <w:gridCol w:w="914"/>
        <w:gridCol w:w="915"/>
      </w:tblGrid>
      <w:tr w:rsidR="00687A5C" w:rsidRPr="00667CD1" w14:paraId="503BEAF3" w14:textId="77777777" w:rsidTr="00DE3B3F">
        <w:trPr>
          <w:trHeight w:val="360"/>
        </w:trPr>
        <w:tc>
          <w:tcPr>
            <w:tcW w:w="2633" w:type="dxa"/>
            <w:tcBorders>
              <w:top w:val="nil"/>
              <w:left w:val="nil"/>
              <w:bottom w:val="nil"/>
              <w:right w:val="nil"/>
            </w:tcBorders>
            <w:shd w:val="clear" w:color="000000" w:fill="008EBA"/>
            <w:vAlign w:val="center"/>
            <w:hideMark/>
          </w:tcPr>
          <w:p w14:paraId="1F0DF432" w14:textId="77777777" w:rsidR="00687A5C" w:rsidRPr="00667CD1" w:rsidRDefault="00687A5C" w:rsidP="00687A5C">
            <w:pPr>
              <w:jc w:val="center"/>
              <w:rPr>
                <w:rFonts w:ascii="Arial" w:hAnsi="Arial" w:cs="Arial"/>
                <w:i/>
                <w:iCs/>
                <w:color w:val="FFFFFF"/>
                <w:sz w:val="12"/>
                <w:szCs w:val="12"/>
                <w:lang w:eastAsia="en-AU"/>
              </w:rPr>
            </w:pPr>
            <w:bookmarkStart w:id="4" w:name="RANGE!C17:J30"/>
            <w:r w:rsidRPr="00667CD1">
              <w:rPr>
                <w:rFonts w:ascii="Arial" w:hAnsi="Arial" w:cs="Arial"/>
                <w:i/>
                <w:iCs/>
                <w:color w:val="FFFFFF"/>
                <w:sz w:val="12"/>
                <w:szCs w:val="12"/>
                <w:lang w:eastAsia="en-AU"/>
              </w:rPr>
              <w:t> </w:t>
            </w:r>
            <w:bookmarkEnd w:id="4"/>
          </w:p>
        </w:tc>
        <w:tc>
          <w:tcPr>
            <w:tcW w:w="967" w:type="dxa"/>
            <w:tcBorders>
              <w:top w:val="nil"/>
              <w:left w:val="nil"/>
              <w:bottom w:val="nil"/>
              <w:right w:val="nil"/>
            </w:tcBorders>
            <w:shd w:val="clear" w:color="000000" w:fill="008EBA"/>
            <w:noWrap/>
            <w:vAlign w:val="bottom"/>
            <w:hideMark/>
          </w:tcPr>
          <w:p w14:paraId="755DF03D"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2018-19</w:t>
            </w:r>
          </w:p>
        </w:tc>
        <w:tc>
          <w:tcPr>
            <w:tcW w:w="881" w:type="dxa"/>
            <w:tcBorders>
              <w:top w:val="nil"/>
              <w:left w:val="nil"/>
              <w:bottom w:val="nil"/>
              <w:right w:val="nil"/>
            </w:tcBorders>
            <w:shd w:val="clear" w:color="000000" w:fill="008EBA"/>
            <w:noWrap/>
            <w:vAlign w:val="bottom"/>
            <w:hideMark/>
          </w:tcPr>
          <w:p w14:paraId="2FD63857"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2019-20</w:t>
            </w:r>
          </w:p>
        </w:tc>
        <w:tc>
          <w:tcPr>
            <w:tcW w:w="899" w:type="dxa"/>
            <w:tcBorders>
              <w:top w:val="nil"/>
              <w:left w:val="nil"/>
              <w:bottom w:val="nil"/>
              <w:right w:val="nil"/>
            </w:tcBorders>
            <w:shd w:val="clear" w:color="000000" w:fill="008EBA"/>
            <w:noWrap/>
            <w:vAlign w:val="bottom"/>
            <w:hideMark/>
          </w:tcPr>
          <w:p w14:paraId="483C35E6"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2020-21</w:t>
            </w:r>
          </w:p>
        </w:tc>
        <w:tc>
          <w:tcPr>
            <w:tcW w:w="844" w:type="dxa"/>
            <w:tcBorders>
              <w:top w:val="nil"/>
              <w:left w:val="nil"/>
              <w:bottom w:val="nil"/>
              <w:right w:val="nil"/>
            </w:tcBorders>
            <w:shd w:val="clear" w:color="000000" w:fill="008EBA"/>
            <w:noWrap/>
            <w:vAlign w:val="bottom"/>
            <w:hideMark/>
          </w:tcPr>
          <w:p w14:paraId="48EC9FA8"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2021-22</w:t>
            </w:r>
          </w:p>
        </w:tc>
        <w:tc>
          <w:tcPr>
            <w:tcW w:w="862" w:type="dxa"/>
            <w:tcBorders>
              <w:top w:val="nil"/>
              <w:left w:val="nil"/>
              <w:bottom w:val="nil"/>
              <w:right w:val="nil"/>
            </w:tcBorders>
            <w:shd w:val="clear" w:color="000000" w:fill="008EBA"/>
            <w:noWrap/>
            <w:vAlign w:val="bottom"/>
            <w:hideMark/>
          </w:tcPr>
          <w:p w14:paraId="38B5C779"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2022-23</w:t>
            </w:r>
          </w:p>
        </w:tc>
        <w:tc>
          <w:tcPr>
            <w:tcW w:w="862" w:type="dxa"/>
            <w:tcBorders>
              <w:top w:val="nil"/>
              <w:left w:val="nil"/>
              <w:bottom w:val="nil"/>
              <w:right w:val="nil"/>
            </w:tcBorders>
            <w:shd w:val="clear" w:color="000000" w:fill="008EBA"/>
            <w:noWrap/>
            <w:vAlign w:val="bottom"/>
            <w:hideMark/>
          </w:tcPr>
          <w:p w14:paraId="30B245D3"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2023-24</w:t>
            </w:r>
          </w:p>
        </w:tc>
        <w:tc>
          <w:tcPr>
            <w:tcW w:w="914" w:type="dxa"/>
            <w:vMerge w:val="restart"/>
            <w:tcBorders>
              <w:top w:val="nil"/>
              <w:left w:val="nil"/>
              <w:bottom w:val="nil"/>
              <w:right w:val="nil"/>
            </w:tcBorders>
            <w:shd w:val="clear" w:color="000000" w:fill="4F4F4F"/>
            <w:vAlign w:val="center"/>
            <w:hideMark/>
          </w:tcPr>
          <w:p w14:paraId="422D7376" w14:textId="77777777" w:rsidR="00687A5C" w:rsidRPr="00667CD1" w:rsidRDefault="00687A5C" w:rsidP="00DE3B3F">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 Average growth p.a. 2019-20 to 2023-24</w:t>
            </w:r>
          </w:p>
        </w:tc>
        <w:tc>
          <w:tcPr>
            <w:tcW w:w="915" w:type="dxa"/>
            <w:vMerge w:val="restart"/>
            <w:tcBorders>
              <w:top w:val="nil"/>
              <w:left w:val="nil"/>
              <w:bottom w:val="nil"/>
              <w:right w:val="nil"/>
            </w:tcBorders>
            <w:shd w:val="clear" w:color="000000" w:fill="4F4F4F"/>
            <w:vAlign w:val="center"/>
            <w:hideMark/>
          </w:tcPr>
          <w:p w14:paraId="64B35E77" w14:textId="77777777" w:rsidR="00687A5C" w:rsidRPr="00667CD1" w:rsidRDefault="00687A5C" w:rsidP="00DE3B3F">
            <w:pPr>
              <w:ind w:left="-57" w:right="-57"/>
              <w:jc w:val="center"/>
              <w:rPr>
                <w:rFonts w:ascii="Arial" w:hAnsi="Arial" w:cs="Arial"/>
                <w:color w:val="FFFFFF"/>
                <w:sz w:val="12"/>
                <w:szCs w:val="12"/>
                <w:lang w:eastAsia="en-AU"/>
              </w:rPr>
            </w:pPr>
            <w:r w:rsidRPr="00667CD1">
              <w:rPr>
                <w:rFonts w:ascii="Arial" w:hAnsi="Arial" w:cs="Arial"/>
                <w:color w:val="FFFFFF"/>
                <w:sz w:val="12"/>
                <w:szCs w:val="12"/>
                <w:lang w:eastAsia="en-AU"/>
              </w:rPr>
              <w:t>% Share of Revenue over 4 years to 2023-24</w:t>
            </w:r>
          </w:p>
        </w:tc>
      </w:tr>
      <w:tr w:rsidR="00735265" w:rsidRPr="00667CD1" w14:paraId="6AAB11B5" w14:textId="77777777" w:rsidTr="00DE3B3F">
        <w:trPr>
          <w:trHeight w:val="300"/>
        </w:trPr>
        <w:tc>
          <w:tcPr>
            <w:tcW w:w="2633" w:type="dxa"/>
            <w:tcBorders>
              <w:top w:val="nil"/>
              <w:left w:val="nil"/>
              <w:right w:val="nil"/>
            </w:tcBorders>
            <w:shd w:val="clear" w:color="000000" w:fill="008EBA"/>
            <w:vAlign w:val="bottom"/>
            <w:hideMark/>
          </w:tcPr>
          <w:p w14:paraId="25B13F73" w14:textId="77777777" w:rsidR="00687A5C" w:rsidRPr="00667CD1" w:rsidRDefault="00687A5C" w:rsidP="00687A5C">
            <w:pPr>
              <w:jc w:val="center"/>
              <w:rPr>
                <w:rFonts w:ascii="Arial" w:hAnsi="Arial" w:cs="Arial"/>
                <w:i/>
                <w:iCs/>
                <w:color w:val="FFFFFF"/>
                <w:sz w:val="12"/>
                <w:szCs w:val="12"/>
                <w:lang w:eastAsia="en-AU"/>
              </w:rPr>
            </w:pPr>
            <w:r w:rsidRPr="00667CD1">
              <w:rPr>
                <w:rFonts w:ascii="Arial" w:hAnsi="Arial" w:cs="Arial"/>
                <w:i/>
                <w:iCs/>
                <w:color w:val="FFFFFF"/>
                <w:sz w:val="12"/>
                <w:szCs w:val="12"/>
                <w:lang w:eastAsia="en-AU"/>
              </w:rPr>
              <w:t> </w:t>
            </w:r>
          </w:p>
        </w:tc>
        <w:tc>
          <w:tcPr>
            <w:tcW w:w="967" w:type="dxa"/>
            <w:tcBorders>
              <w:top w:val="nil"/>
              <w:left w:val="nil"/>
              <w:right w:val="nil"/>
            </w:tcBorders>
            <w:shd w:val="clear" w:color="000000" w:fill="008EBA"/>
            <w:vAlign w:val="center"/>
            <w:hideMark/>
          </w:tcPr>
          <w:p w14:paraId="1BDBEA15"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 xml:space="preserve">Actual </w:t>
            </w:r>
          </w:p>
        </w:tc>
        <w:tc>
          <w:tcPr>
            <w:tcW w:w="881" w:type="dxa"/>
            <w:tcBorders>
              <w:top w:val="nil"/>
              <w:left w:val="nil"/>
              <w:right w:val="nil"/>
            </w:tcBorders>
            <w:shd w:val="clear" w:color="000000" w:fill="008EBA"/>
            <w:vAlign w:val="center"/>
            <w:hideMark/>
          </w:tcPr>
          <w:p w14:paraId="5EAFF028"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899" w:type="dxa"/>
            <w:tcBorders>
              <w:top w:val="nil"/>
              <w:left w:val="nil"/>
              <w:right w:val="nil"/>
            </w:tcBorders>
            <w:shd w:val="clear" w:color="000000" w:fill="008EBA"/>
            <w:vAlign w:val="center"/>
            <w:hideMark/>
          </w:tcPr>
          <w:p w14:paraId="1E9D2824"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Budget</w:t>
            </w:r>
          </w:p>
        </w:tc>
        <w:tc>
          <w:tcPr>
            <w:tcW w:w="2568" w:type="dxa"/>
            <w:gridSpan w:val="3"/>
            <w:tcBorders>
              <w:top w:val="nil"/>
              <w:left w:val="nil"/>
              <w:right w:val="nil"/>
            </w:tcBorders>
            <w:shd w:val="clear" w:color="000000" w:fill="008EBA"/>
            <w:vAlign w:val="center"/>
            <w:hideMark/>
          </w:tcPr>
          <w:p w14:paraId="0E19BF5A"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Forward Estimates</w:t>
            </w:r>
          </w:p>
        </w:tc>
        <w:tc>
          <w:tcPr>
            <w:tcW w:w="914" w:type="dxa"/>
            <w:vMerge/>
            <w:tcBorders>
              <w:top w:val="nil"/>
              <w:left w:val="nil"/>
              <w:bottom w:val="nil"/>
              <w:right w:val="nil"/>
            </w:tcBorders>
            <w:vAlign w:val="center"/>
            <w:hideMark/>
          </w:tcPr>
          <w:p w14:paraId="0CCEA41C" w14:textId="77777777" w:rsidR="00687A5C" w:rsidRPr="00667CD1" w:rsidRDefault="00687A5C" w:rsidP="00687A5C">
            <w:pPr>
              <w:rPr>
                <w:rFonts w:ascii="Arial" w:hAnsi="Arial" w:cs="Arial"/>
                <w:color w:val="FFFFFF"/>
                <w:sz w:val="12"/>
                <w:szCs w:val="12"/>
                <w:lang w:eastAsia="en-AU"/>
              </w:rPr>
            </w:pPr>
          </w:p>
        </w:tc>
        <w:tc>
          <w:tcPr>
            <w:tcW w:w="915" w:type="dxa"/>
            <w:vMerge/>
            <w:tcBorders>
              <w:top w:val="nil"/>
              <w:left w:val="nil"/>
              <w:bottom w:val="nil"/>
              <w:right w:val="nil"/>
            </w:tcBorders>
            <w:vAlign w:val="center"/>
            <w:hideMark/>
          </w:tcPr>
          <w:p w14:paraId="6E7A736D" w14:textId="77777777" w:rsidR="00687A5C" w:rsidRPr="00667CD1" w:rsidRDefault="00687A5C" w:rsidP="00687A5C">
            <w:pPr>
              <w:rPr>
                <w:rFonts w:ascii="Arial" w:hAnsi="Arial" w:cs="Arial"/>
                <w:color w:val="FFFFFF"/>
                <w:sz w:val="12"/>
                <w:szCs w:val="12"/>
                <w:lang w:eastAsia="en-AU"/>
              </w:rPr>
            </w:pPr>
          </w:p>
        </w:tc>
      </w:tr>
      <w:tr w:rsidR="000F206E" w:rsidRPr="00667CD1" w14:paraId="2EADE0DB" w14:textId="77777777" w:rsidTr="00DE3B3F">
        <w:trPr>
          <w:trHeight w:val="360"/>
        </w:trPr>
        <w:tc>
          <w:tcPr>
            <w:tcW w:w="2633" w:type="dxa"/>
            <w:tcBorders>
              <w:top w:val="nil"/>
              <w:left w:val="nil"/>
              <w:right w:val="nil"/>
            </w:tcBorders>
            <w:shd w:val="clear" w:color="000000" w:fill="00426F"/>
            <w:hideMark/>
          </w:tcPr>
          <w:p w14:paraId="3FD3495C" w14:textId="77777777" w:rsidR="00687A5C" w:rsidRPr="00667CD1" w:rsidRDefault="00687A5C" w:rsidP="00687A5C">
            <w:pPr>
              <w:jc w:val="center"/>
              <w:rPr>
                <w:rFonts w:ascii="Arial" w:hAnsi="Arial" w:cs="Arial"/>
                <w:i/>
                <w:iCs/>
                <w:color w:val="FFFFFF"/>
                <w:sz w:val="12"/>
                <w:szCs w:val="12"/>
                <w:lang w:eastAsia="en-AU"/>
              </w:rPr>
            </w:pPr>
            <w:r w:rsidRPr="00667CD1">
              <w:rPr>
                <w:rFonts w:ascii="Arial" w:hAnsi="Arial" w:cs="Arial"/>
                <w:i/>
                <w:iCs/>
                <w:color w:val="FFFFFF"/>
                <w:sz w:val="12"/>
                <w:szCs w:val="12"/>
                <w:lang w:eastAsia="en-AU"/>
              </w:rPr>
              <w:t> </w:t>
            </w:r>
          </w:p>
        </w:tc>
        <w:tc>
          <w:tcPr>
            <w:tcW w:w="967" w:type="dxa"/>
            <w:tcBorders>
              <w:top w:val="nil"/>
              <w:left w:val="nil"/>
              <w:right w:val="nil"/>
            </w:tcBorders>
            <w:shd w:val="clear" w:color="000000" w:fill="00426F"/>
            <w:hideMark/>
          </w:tcPr>
          <w:p w14:paraId="27B22AE3"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81" w:type="dxa"/>
            <w:tcBorders>
              <w:top w:val="nil"/>
              <w:left w:val="nil"/>
              <w:right w:val="nil"/>
            </w:tcBorders>
            <w:shd w:val="clear" w:color="000000" w:fill="00426F"/>
            <w:hideMark/>
          </w:tcPr>
          <w:p w14:paraId="7923FF7B"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99" w:type="dxa"/>
            <w:tcBorders>
              <w:top w:val="nil"/>
              <w:left w:val="nil"/>
              <w:right w:val="nil"/>
            </w:tcBorders>
            <w:shd w:val="clear" w:color="000000" w:fill="00426F"/>
            <w:hideMark/>
          </w:tcPr>
          <w:p w14:paraId="750D1AA6"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44" w:type="dxa"/>
            <w:tcBorders>
              <w:top w:val="nil"/>
              <w:left w:val="nil"/>
              <w:right w:val="nil"/>
            </w:tcBorders>
            <w:shd w:val="clear" w:color="000000" w:fill="00426F"/>
            <w:hideMark/>
          </w:tcPr>
          <w:p w14:paraId="12C45402"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62" w:type="dxa"/>
            <w:tcBorders>
              <w:top w:val="nil"/>
              <w:left w:val="nil"/>
              <w:right w:val="nil"/>
            </w:tcBorders>
            <w:shd w:val="clear" w:color="000000" w:fill="00426F"/>
            <w:hideMark/>
          </w:tcPr>
          <w:p w14:paraId="10D79464"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62" w:type="dxa"/>
            <w:tcBorders>
              <w:top w:val="nil"/>
              <w:left w:val="nil"/>
              <w:right w:val="nil"/>
            </w:tcBorders>
            <w:shd w:val="clear" w:color="000000" w:fill="00426F"/>
            <w:hideMark/>
          </w:tcPr>
          <w:p w14:paraId="396474A1" w14:textId="77777777" w:rsidR="00687A5C" w:rsidRPr="00667CD1" w:rsidRDefault="00687A5C" w:rsidP="00687A5C">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14" w:type="dxa"/>
            <w:vMerge/>
            <w:tcBorders>
              <w:top w:val="nil"/>
              <w:left w:val="nil"/>
              <w:bottom w:val="nil"/>
              <w:right w:val="nil"/>
            </w:tcBorders>
            <w:vAlign w:val="center"/>
            <w:hideMark/>
          </w:tcPr>
          <w:p w14:paraId="5DDB1615" w14:textId="77777777" w:rsidR="00687A5C" w:rsidRPr="00667CD1" w:rsidRDefault="00687A5C" w:rsidP="00687A5C">
            <w:pPr>
              <w:rPr>
                <w:rFonts w:ascii="Arial" w:hAnsi="Arial" w:cs="Arial"/>
                <w:color w:val="FFFFFF"/>
                <w:sz w:val="12"/>
                <w:szCs w:val="12"/>
                <w:lang w:eastAsia="en-AU"/>
              </w:rPr>
            </w:pPr>
          </w:p>
        </w:tc>
        <w:tc>
          <w:tcPr>
            <w:tcW w:w="915" w:type="dxa"/>
            <w:vMerge/>
            <w:tcBorders>
              <w:top w:val="nil"/>
              <w:left w:val="nil"/>
              <w:bottom w:val="nil"/>
              <w:right w:val="nil"/>
            </w:tcBorders>
            <w:vAlign w:val="center"/>
            <w:hideMark/>
          </w:tcPr>
          <w:p w14:paraId="38EB1C6A" w14:textId="77777777" w:rsidR="00687A5C" w:rsidRPr="00667CD1" w:rsidRDefault="00687A5C" w:rsidP="00687A5C">
            <w:pPr>
              <w:rPr>
                <w:rFonts w:ascii="Arial" w:hAnsi="Arial" w:cs="Arial"/>
                <w:color w:val="FFFFFF"/>
                <w:sz w:val="12"/>
                <w:szCs w:val="12"/>
                <w:lang w:eastAsia="en-AU"/>
              </w:rPr>
            </w:pPr>
          </w:p>
        </w:tc>
      </w:tr>
      <w:tr w:rsidR="00C27309" w:rsidRPr="00667CD1" w14:paraId="52C2C0AC" w14:textId="77777777" w:rsidTr="00DE3B3F">
        <w:trPr>
          <w:trHeight w:val="170"/>
        </w:trPr>
        <w:tc>
          <w:tcPr>
            <w:tcW w:w="2633" w:type="dxa"/>
            <w:tcBorders>
              <w:left w:val="nil"/>
              <w:bottom w:val="nil"/>
              <w:right w:val="nil"/>
            </w:tcBorders>
            <w:shd w:val="clear" w:color="auto" w:fill="auto"/>
            <w:noWrap/>
            <w:vAlign w:val="bottom"/>
            <w:hideMark/>
          </w:tcPr>
          <w:p w14:paraId="5F97FCEF" w14:textId="77777777" w:rsidR="00687A5C" w:rsidRPr="00667CD1" w:rsidRDefault="00687A5C" w:rsidP="00687A5C">
            <w:pPr>
              <w:rPr>
                <w:rFonts w:ascii="Arial" w:hAnsi="Arial" w:cs="Arial"/>
                <w:b/>
                <w:bCs/>
                <w:color w:val="000000"/>
                <w:sz w:val="12"/>
                <w:szCs w:val="12"/>
                <w:lang w:eastAsia="en-AU"/>
              </w:rPr>
            </w:pPr>
            <w:r w:rsidRPr="00667CD1">
              <w:rPr>
                <w:rFonts w:ascii="Arial" w:hAnsi="Arial" w:cs="Arial"/>
                <w:b/>
                <w:bCs/>
                <w:color w:val="000000"/>
                <w:sz w:val="12"/>
                <w:szCs w:val="12"/>
                <w:lang w:eastAsia="en-AU"/>
              </w:rPr>
              <w:t xml:space="preserve">Revenue from transactions </w:t>
            </w:r>
          </w:p>
        </w:tc>
        <w:tc>
          <w:tcPr>
            <w:tcW w:w="967" w:type="dxa"/>
            <w:tcBorders>
              <w:left w:val="nil"/>
              <w:bottom w:val="nil"/>
              <w:right w:val="nil"/>
            </w:tcBorders>
            <w:shd w:val="clear" w:color="auto" w:fill="auto"/>
            <w:noWrap/>
            <w:vAlign w:val="bottom"/>
            <w:hideMark/>
          </w:tcPr>
          <w:p w14:paraId="64CF52AF" w14:textId="77777777" w:rsidR="00687A5C" w:rsidRPr="00667CD1" w:rsidRDefault="00687A5C" w:rsidP="00687A5C">
            <w:pPr>
              <w:rPr>
                <w:rFonts w:ascii="Arial" w:hAnsi="Arial" w:cs="Arial"/>
                <w:sz w:val="12"/>
                <w:szCs w:val="12"/>
                <w:lang w:eastAsia="en-AU"/>
              </w:rPr>
            </w:pPr>
          </w:p>
        </w:tc>
        <w:tc>
          <w:tcPr>
            <w:tcW w:w="881" w:type="dxa"/>
            <w:tcBorders>
              <w:left w:val="nil"/>
              <w:bottom w:val="nil"/>
              <w:right w:val="nil"/>
            </w:tcBorders>
            <w:shd w:val="clear" w:color="auto" w:fill="auto"/>
            <w:noWrap/>
            <w:vAlign w:val="bottom"/>
            <w:hideMark/>
          </w:tcPr>
          <w:p w14:paraId="00A3F911" w14:textId="77777777" w:rsidR="00687A5C" w:rsidRPr="00667CD1" w:rsidRDefault="00687A5C" w:rsidP="00687A5C">
            <w:pPr>
              <w:rPr>
                <w:rFonts w:ascii="Arial" w:hAnsi="Arial" w:cs="Arial"/>
                <w:sz w:val="12"/>
                <w:szCs w:val="12"/>
                <w:lang w:eastAsia="en-AU"/>
              </w:rPr>
            </w:pPr>
          </w:p>
        </w:tc>
        <w:tc>
          <w:tcPr>
            <w:tcW w:w="899" w:type="dxa"/>
            <w:tcBorders>
              <w:left w:val="nil"/>
              <w:bottom w:val="nil"/>
              <w:right w:val="nil"/>
            </w:tcBorders>
            <w:shd w:val="clear" w:color="000000" w:fill="F2F2F2"/>
            <w:noWrap/>
            <w:hideMark/>
          </w:tcPr>
          <w:p w14:paraId="2D96AD76" w14:textId="77777777" w:rsidR="00687A5C" w:rsidRPr="00667CD1" w:rsidRDefault="00687A5C" w:rsidP="00687A5C">
            <w:pPr>
              <w:jc w:val="center"/>
              <w:rPr>
                <w:rFonts w:ascii="Arial" w:hAnsi="Arial" w:cs="Arial"/>
                <w:sz w:val="12"/>
                <w:szCs w:val="12"/>
                <w:lang w:eastAsia="en-AU"/>
              </w:rPr>
            </w:pPr>
            <w:r w:rsidRPr="00667CD1">
              <w:rPr>
                <w:rFonts w:ascii="Arial" w:hAnsi="Arial" w:cs="Arial"/>
                <w:sz w:val="12"/>
                <w:szCs w:val="12"/>
                <w:lang w:eastAsia="en-AU"/>
              </w:rPr>
              <w:t> </w:t>
            </w:r>
          </w:p>
        </w:tc>
        <w:tc>
          <w:tcPr>
            <w:tcW w:w="844" w:type="dxa"/>
            <w:tcBorders>
              <w:left w:val="nil"/>
              <w:bottom w:val="nil"/>
              <w:right w:val="nil"/>
            </w:tcBorders>
            <w:shd w:val="clear" w:color="000000" w:fill="F2F2F2"/>
            <w:noWrap/>
            <w:hideMark/>
          </w:tcPr>
          <w:p w14:paraId="088948C3" w14:textId="77777777" w:rsidR="00687A5C" w:rsidRPr="00667CD1" w:rsidRDefault="00687A5C" w:rsidP="00687A5C">
            <w:pPr>
              <w:jc w:val="center"/>
              <w:rPr>
                <w:rFonts w:ascii="Arial" w:hAnsi="Arial" w:cs="Arial"/>
                <w:sz w:val="12"/>
                <w:szCs w:val="12"/>
                <w:lang w:eastAsia="en-AU"/>
              </w:rPr>
            </w:pPr>
            <w:r w:rsidRPr="00667CD1">
              <w:rPr>
                <w:rFonts w:ascii="Arial" w:hAnsi="Arial" w:cs="Arial"/>
                <w:sz w:val="12"/>
                <w:szCs w:val="12"/>
                <w:lang w:eastAsia="en-AU"/>
              </w:rPr>
              <w:t> </w:t>
            </w:r>
          </w:p>
        </w:tc>
        <w:tc>
          <w:tcPr>
            <w:tcW w:w="862" w:type="dxa"/>
            <w:tcBorders>
              <w:left w:val="nil"/>
              <w:bottom w:val="nil"/>
              <w:right w:val="nil"/>
            </w:tcBorders>
            <w:shd w:val="clear" w:color="000000" w:fill="F2F2F2"/>
            <w:noWrap/>
            <w:hideMark/>
          </w:tcPr>
          <w:p w14:paraId="15B904FF" w14:textId="77777777" w:rsidR="00687A5C" w:rsidRPr="00667CD1" w:rsidRDefault="00687A5C" w:rsidP="00687A5C">
            <w:pPr>
              <w:jc w:val="center"/>
              <w:rPr>
                <w:rFonts w:ascii="Arial" w:hAnsi="Arial" w:cs="Arial"/>
                <w:sz w:val="12"/>
                <w:szCs w:val="12"/>
                <w:lang w:eastAsia="en-AU"/>
              </w:rPr>
            </w:pPr>
            <w:r w:rsidRPr="00667CD1">
              <w:rPr>
                <w:rFonts w:ascii="Arial" w:hAnsi="Arial" w:cs="Arial"/>
                <w:sz w:val="12"/>
                <w:szCs w:val="12"/>
                <w:lang w:eastAsia="en-AU"/>
              </w:rPr>
              <w:t> </w:t>
            </w:r>
          </w:p>
        </w:tc>
        <w:tc>
          <w:tcPr>
            <w:tcW w:w="862" w:type="dxa"/>
            <w:tcBorders>
              <w:left w:val="nil"/>
              <w:bottom w:val="nil"/>
              <w:right w:val="nil"/>
            </w:tcBorders>
            <w:shd w:val="clear" w:color="000000" w:fill="F2F2F2"/>
            <w:noWrap/>
            <w:hideMark/>
          </w:tcPr>
          <w:p w14:paraId="7601638B" w14:textId="77777777" w:rsidR="00687A5C" w:rsidRPr="00667CD1" w:rsidRDefault="00687A5C" w:rsidP="00687A5C">
            <w:pPr>
              <w:jc w:val="center"/>
              <w:rPr>
                <w:rFonts w:ascii="Arial" w:hAnsi="Arial" w:cs="Arial"/>
                <w:sz w:val="12"/>
                <w:szCs w:val="12"/>
                <w:lang w:eastAsia="en-AU"/>
              </w:rPr>
            </w:pPr>
            <w:r w:rsidRPr="00667CD1">
              <w:rPr>
                <w:rFonts w:ascii="Arial" w:hAnsi="Arial" w:cs="Arial"/>
                <w:sz w:val="12"/>
                <w:szCs w:val="12"/>
                <w:lang w:eastAsia="en-AU"/>
              </w:rPr>
              <w:t> </w:t>
            </w:r>
          </w:p>
        </w:tc>
        <w:tc>
          <w:tcPr>
            <w:tcW w:w="914" w:type="dxa"/>
            <w:tcBorders>
              <w:top w:val="nil"/>
              <w:left w:val="nil"/>
              <w:bottom w:val="nil"/>
              <w:right w:val="nil"/>
            </w:tcBorders>
            <w:shd w:val="clear" w:color="auto" w:fill="auto"/>
            <w:noWrap/>
            <w:vAlign w:val="bottom"/>
            <w:hideMark/>
          </w:tcPr>
          <w:p w14:paraId="2E54B6D5" w14:textId="77777777" w:rsidR="00687A5C" w:rsidRPr="00667CD1" w:rsidRDefault="00687A5C" w:rsidP="00687A5C">
            <w:pPr>
              <w:jc w:val="center"/>
              <w:rPr>
                <w:rFonts w:ascii="Arial" w:hAnsi="Arial" w:cs="Arial"/>
                <w:sz w:val="12"/>
                <w:szCs w:val="12"/>
                <w:lang w:eastAsia="en-AU"/>
              </w:rPr>
            </w:pPr>
          </w:p>
        </w:tc>
        <w:tc>
          <w:tcPr>
            <w:tcW w:w="915" w:type="dxa"/>
            <w:tcBorders>
              <w:top w:val="nil"/>
              <w:left w:val="nil"/>
              <w:bottom w:val="nil"/>
              <w:right w:val="nil"/>
            </w:tcBorders>
            <w:shd w:val="clear" w:color="auto" w:fill="auto"/>
            <w:noWrap/>
            <w:vAlign w:val="bottom"/>
            <w:hideMark/>
          </w:tcPr>
          <w:p w14:paraId="02F6D7D5" w14:textId="77777777" w:rsidR="00687A5C" w:rsidRPr="00667CD1" w:rsidRDefault="00687A5C" w:rsidP="00687A5C">
            <w:pPr>
              <w:rPr>
                <w:rFonts w:ascii="Arial" w:hAnsi="Arial" w:cs="Arial"/>
                <w:sz w:val="12"/>
                <w:szCs w:val="12"/>
                <w:lang w:eastAsia="en-AU"/>
              </w:rPr>
            </w:pPr>
          </w:p>
        </w:tc>
      </w:tr>
      <w:tr w:rsidR="007A149F" w:rsidRPr="00667CD1" w14:paraId="329C9E27" w14:textId="77777777" w:rsidTr="00D34EA4">
        <w:trPr>
          <w:trHeight w:val="340"/>
        </w:trPr>
        <w:tc>
          <w:tcPr>
            <w:tcW w:w="2633" w:type="dxa"/>
            <w:tcBorders>
              <w:top w:val="nil"/>
              <w:left w:val="nil"/>
              <w:bottom w:val="nil"/>
              <w:right w:val="nil"/>
            </w:tcBorders>
            <w:shd w:val="clear" w:color="auto" w:fill="auto"/>
            <w:vAlign w:val="center"/>
            <w:hideMark/>
          </w:tcPr>
          <w:p w14:paraId="14666C78" w14:textId="77777777" w:rsidR="007A149F" w:rsidRPr="00667CD1" w:rsidRDefault="007A149F" w:rsidP="007A149F">
            <w:pPr>
              <w:rPr>
                <w:rFonts w:ascii="Arial" w:hAnsi="Arial" w:cs="Arial"/>
                <w:sz w:val="12"/>
                <w:szCs w:val="12"/>
                <w:lang w:eastAsia="en-AU"/>
              </w:rPr>
            </w:pPr>
            <w:r w:rsidRPr="00667CD1">
              <w:rPr>
                <w:rFonts w:ascii="Arial" w:hAnsi="Arial" w:cs="Arial"/>
                <w:sz w:val="12"/>
                <w:szCs w:val="12"/>
                <w:lang w:eastAsia="en-AU"/>
              </w:rPr>
              <w:t>Taxation</w:t>
            </w:r>
          </w:p>
        </w:tc>
        <w:tc>
          <w:tcPr>
            <w:tcW w:w="967" w:type="dxa"/>
            <w:tcBorders>
              <w:top w:val="nil"/>
              <w:left w:val="nil"/>
              <w:bottom w:val="nil"/>
              <w:right w:val="nil"/>
            </w:tcBorders>
            <w:shd w:val="clear" w:color="auto" w:fill="auto"/>
            <w:noWrap/>
            <w:vAlign w:val="bottom"/>
            <w:hideMark/>
          </w:tcPr>
          <w:p w14:paraId="385BE3E1" w14:textId="5ECDD966" w:rsidR="007A149F" w:rsidRPr="00667CD1" w:rsidRDefault="007A149F" w:rsidP="00D34EA4">
            <w:pPr>
              <w:ind w:left="-227" w:right="113"/>
              <w:jc w:val="right"/>
              <w:rPr>
                <w:rFonts w:ascii="Arial" w:hAnsi="Arial" w:cs="Arial"/>
                <w:sz w:val="12"/>
                <w:szCs w:val="12"/>
                <w:lang w:eastAsia="en-AU"/>
              </w:rPr>
            </w:pPr>
            <w:r w:rsidRPr="00667CD1" w:rsidDel="001428B3">
              <w:rPr>
                <w:rFonts w:ascii="Arial" w:hAnsi="Arial" w:cs="Arial"/>
                <w:sz w:val="12"/>
                <w:szCs w:val="12"/>
                <w:lang w:eastAsia="en-AU"/>
              </w:rPr>
              <w:t>31,026</w:t>
            </w:r>
          </w:p>
        </w:tc>
        <w:tc>
          <w:tcPr>
            <w:tcW w:w="881" w:type="dxa"/>
            <w:tcBorders>
              <w:top w:val="nil"/>
              <w:left w:val="nil"/>
              <w:bottom w:val="nil"/>
              <w:right w:val="nil"/>
            </w:tcBorders>
            <w:shd w:val="clear" w:color="auto" w:fill="auto"/>
            <w:noWrap/>
            <w:vAlign w:val="bottom"/>
            <w:hideMark/>
          </w:tcPr>
          <w:p w14:paraId="3841EFA1" w14:textId="3744626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29,941</w:t>
            </w:r>
          </w:p>
        </w:tc>
        <w:tc>
          <w:tcPr>
            <w:tcW w:w="899" w:type="dxa"/>
            <w:tcBorders>
              <w:top w:val="nil"/>
              <w:left w:val="nil"/>
              <w:bottom w:val="nil"/>
              <w:right w:val="nil"/>
            </w:tcBorders>
            <w:shd w:val="clear" w:color="000000" w:fill="F2F2F2"/>
            <w:noWrap/>
            <w:vAlign w:val="bottom"/>
            <w:hideMark/>
          </w:tcPr>
          <w:p w14:paraId="5492B281" w14:textId="48B396E2"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31,711</w:t>
            </w:r>
          </w:p>
        </w:tc>
        <w:tc>
          <w:tcPr>
            <w:tcW w:w="844" w:type="dxa"/>
            <w:tcBorders>
              <w:top w:val="nil"/>
              <w:left w:val="nil"/>
              <w:bottom w:val="nil"/>
              <w:right w:val="nil"/>
            </w:tcBorders>
            <w:shd w:val="clear" w:color="000000" w:fill="F2F2F2"/>
            <w:noWrap/>
            <w:vAlign w:val="bottom"/>
            <w:hideMark/>
          </w:tcPr>
          <w:p w14:paraId="1AD6CF7D" w14:textId="3E0E3489"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32,552</w:t>
            </w:r>
          </w:p>
        </w:tc>
        <w:tc>
          <w:tcPr>
            <w:tcW w:w="862" w:type="dxa"/>
            <w:tcBorders>
              <w:top w:val="nil"/>
              <w:left w:val="nil"/>
              <w:bottom w:val="nil"/>
              <w:right w:val="nil"/>
            </w:tcBorders>
            <w:shd w:val="clear" w:color="000000" w:fill="F2F2F2"/>
            <w:noWrap/>
            <w:vAlign w:val="bottom"/>
            <w:hideMark/>
          </w:tcPr>
          <w:p w14:paraId="3DE2B2F8" w14:textId="5F26D8B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35,211</w:t>
            </w:r>
          </w:p>
        </w:tc>
        <w:tc>
          <w:tcPr>
            <w:tcW w:w="862" w:type="dxa"/>
            <w:tcBorders>
              <w:top w:val="nil"/>
              <w:left w:val="nil"/>
              <w:bottom w:val="nil"/>
              <w:right w:val="nil"/>
            </w:tcBorders>
            <w:shd w:val="clear" w:color="000000" w:fill="F2F2F2"/>
            <w:noWrap/>
            <w:vAlign w:val="bottom"/>
            <w:hideMark/>
          </w:tcPr>
          <w:p w14:paraId="3CF8B5A7" w14:textId="3B61404D"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36,885</w:t>
            </w:r>
          </w:p>
        </w:tc>
        <w:tc>
          <w:tcPr>
            <w:tcW w:w="914" w:type="dxa"/>
            <w:tcBorders>
              <w:top w:val="nil"/>
              <w:left w:val="nil"/>
              <w:bottom w:val="nil"/>
              <w:right w:val="nil"/>
            </w:tcBorders>
            <w:shd w:val="clear" w:color="auto" w:fill="auto"/>
            <w:noWrap/>
            <w:vAlign w:val="bottom"/>
            <w:hideMark/>
          </w:tcPr>
          <w:p w14:paraId="2C5D8E2D"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5.4</w:t>
            </w:r>
          </w:p>
        </w:tc>
        <w:tc>
          <w:tcPr>
            <w:tcW w:w="915" w:type="dxa"/>
            <w:tcBorders>
              <w:top w:val="nil"/>
              <w:left w:val="nil"/>
              <w:bottom w:val="nil"/>
              <w:right w:val="nil"/>
            </w:tcBorders>
            <w:shd w:val="clear" w:color="auto" w:fill="auto"/>
            <w:noWrap/>
            <w:vAlign w:val="bottom"/>
            <w:hideMark/>
          </w:tcPr>
          <w:p w14:paraId="1C242B44"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38.6%</w:t>
            </w:r>
          </w:p>
        </w:tc>
      </w:tr>
      <w:tr w:rsidR="007A149F" w:rsidRPr="00667CD1" w14:paraId="14DEECEB" w14:textId="77777777" w:rsidTr="00D34EA4">
        <w:trPr>
          <w:trHeight w:val="340"/>
        </w:trPr>
        <w:tc>
          <w:tcPr>
            <w:tcW w:w="2633" w:type="dxa"/>
            <w:tcBorders>
              <w:top w:val="nil"/>
              <w:left w:val="nil"/>
              <w:bottom w:val="nil"/>
              <w:right w:val="nil"/>
            </w:tcBorders>
            <w:shd w:val="clear" w:color="auto" w:fill="auto"/>
            <w:vAlign w:val="center"/>
            <w:hideMark/>
          </w:tcPr>
          <w:p w14:paraId="3D6C1ED3" w14:textId="77777777" w:rsidR="007A149F" w:rsidRPr="00667CD1" w:rsidRDefault="007A149F" w:rsidP="007A149F">
            <w:pPr>
              <w:rPr>
                <w:rFonts w:ascii="Arial" w:hAnsi="Arial" w:cs="Arial"/>
                <w:sz w:val="12"/>
                <w:szCs w:val="12"/>
                <w:lang w:eastAsia="en-AU"/>
              </w:rPr>
            </w:pPr>
            <w:r w:rsidRPr="00667CD1">
              <w:rPr>
                <w:rFonts w:ascii="Arial" w:hAnsi="Arial" w:cs="Arial"/>
                <w:sz w:val="12"/>
                <w:szCs w:val="12"/>
                <w:lang w:eastAsia="en-AU"/>
              </w:rPr>
              <w:t>Grant revenue (including GST)</w:t>
            </w:r>
          </w:p>
        </w:tc>
        <w:tc>
          <w:tcPr>
            <w:tcW w:w="967" w:type="dxa"/>
            <w:tcBorders>
              <w:top w:val="nil"/>
              <w:left w:val="nil"/>
              <w:bottom w:val="nil"/>
              <w:right w:val="nil"/>
            </w:tcBorders>
            <w:shd w:val="clear" w:color="auto" w:fill="auto"/>
            <w:noWrap/>
            <w:vAlign w:val="bottom"/>
            <w:hideMark/>
          </w:tcPr>
          <w:p w14:paraId="77E76AA0" w14:textId="1A1A1950" w:rsidR="007A149F" w:rsidRPr="00667CD1" w:rsidRDefault="007A149F" w:rsidP="00D34EA4">
            <w:pPr>
              <w:ind w:left="-227" w:right="113"/>
              <w:jc w:val="right"/>
              <w:rPr>
                <w:rFonts w:ascii="Arial" w:hAnsi="Arial" w:cs="Arial"/>
                <w:sz w:val="12"/>
                <w:szCs w:val="12"/>
                <w:lang w:eastAsia="en-AU"/>
              </w:rPr>
            </w:pPr>
            <w:r w:rsidRPr="00667CD1" w:rsidDel="001428B3">
              <w:rPr>
                <w:rFonts w:ascii="Arial" w:hAnsi="Arial" w:cs="Arial"/>
                <w:sz w:val="12"/>
                <w:szCs w:val="12"/>
                <w:lang w:eastAsia="en-AU"/>
              </w:rPr>
              <w:t>31,848</w:t>
            </w:r>
          </w:p>
        </w:tc>
        <w:tc>
          <w:tcPr>
            <w:tcW w:w="881" w:type="dxa"/>
            <w:tcBorders>
              <w:top w:val="nil"/>
              <w:left w:val="nil"/>
              <w:bottom w:val="nil"/>
              <w:right w:val="nil"/>
            </w:tcBorders>
            <w:shd w:val="clear" w:color="auto" w:fill="auto"/>
            <w:noWrap/>
            <w:vAlign w:val="bottom"/>
            <w:hideMark/>
          </w:tcPr>
          <w:p w14:paraId="03F28480" w14:textId="193C3EDD"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34,306</w:t>
            </w:r>
          </w:p>
        </w:tc>
        <w:tc>
          <w:tcPr>
            <w:tcW w:w="899" w:type="dxa"/>
            <w:tcBorders>
              <w:top w:val="nil"/>
              <w:left w:val="nil"/>
              <w:bottom w:val="nil"/>
              <w:right w:val="nil"/>
            </w:tcBorders>
            <w:shd w:val="clear" w:color="000000" w:fill="F2F2F2"/>
            <w:noWrap/>
            <w:vAlign w:val="bottom"/>
            <w:hideMark/>
          </w:tcPr>
          <w:p w14:paraId="09D1C618" w14:textId="2958A4B6"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33,325</w:t>
            </w:r>
          </w:p>
        </w:tc>
        <w:tc>
          <w:tcPr>
            <w:tcW w:w="844" w:type="dxa"/>
            <w:tcBorders>
              <w:top w:val="nil"/>
              <w:left w:val="nil"/>
              <w:bottom w:val="nil"/>
              <w:right w:val="nil"/>
            </w:tcBorders>
            <w:shd w:val="clear" w:color="000000" w:fill="F2F2F2"/>
            <w:noWrap/>
            <w:vAlign w:val="bottom"/>
            <w:hideMark/>
          </w:tcPr>
          <w:p w14:paraId="4FA944E9" w14:textId="42023473"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36,788</w:t>
            </w:r>
          </w:p>
        </w:tc>
        <w:tc>
          <w:tcPr>
            <w:tcW w:w="862" w:type="dxa"/>
            <w:tcBorders>
              <w:top w:val="nil"/>
              <w:left w:val="nil"/>
              <w:bottom w:val="nil"/>
              <w:right w:val="nil"/>
            </w:tcBorders>
            <w:shd w:val="clear" w:color="000000" w:fill="F2F2F2"/>
            <w:noWrap/>
            <w:vAlign w:val="bottom"/>
            <w:hideMark/>
          </w:tcPr>
          <w:p w14:paraId="2BC56F58" w14:textId="7054D878"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37,399</w:t>
            </w:r>
          </w:p>
        </w:tc>
        <w:tc>
          <w:tcPr>
            <w:tcW w:w="862" w:type="dxa"/>
            <w:tcBorders>
              <w:top w:val="nil"/>
              <w:left w:val="nil"/>
              <w:bottom w:val="nil"/>
              <w:right w:val="nil"/>
            </w:tcBorders>
            <w:shd w:val="clear" w:color="000000" w:fill="F2F2F2"/>
            <w:noWrap/>
            <w:vAlign w:val="bottom"/>
            <w:hideMark/>
          </w:tcPr>
          <w:p w14:paraId="504D4E7F" w14:textId="1CEC8EE9"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38,323</w:t>
            </w:r>
          </w:p>
        </w:tc>
        <w:tc>
          <w:tcPr>
            <w:tcW w:w="914" w:type="dxa"/>
            <w:tcBorders>
              <w:top w:val="nil"/>
              <w:left w:val="nil"/>
              <w:bottom w:val="nil"/>
              <w:right w:val="nil"/>
            </w:tcBorders>
            <w:shd w:val="clear" w:color="auto" w:fill="auto"/>
            <w:noWrap/>
            <w:vAlign w:val="bottom"/>
            <w:hideMark/>
          </w:tcPr>
          <w:p w14:paraId="40C93B93"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2.8</w:t>
            </w:r>
          </w:p>
        </w:tc>
        <w:tc>
          <w:tcPr>
            <w:tcW w:w="915" w:type="dxa"/>
            <w:tcBorders>
              <w:top w:val="nil"/>
              <w:left w:val="nil"/>
              <w:bottom w:val="nil"/>
              <w:right w:val="nil"/>
            </w:tcBorders>
            <w:shd w:val="clear" w:color="auto" w:fill="auto"/>
            <w:noWrap/>
            <w:vAlign w:val="bottom"/>
            <w:hideMark/>
          </w:tcPr>
          <w:p w14:paraId="02FF3D4A"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41.3%</w:t>
            </w:r>
          </w:p>
        </w:tc>
      </w:tr>
      <w:tr w:rsidR="007A149F" w:rsidRPr="00667CD1" w14:paraId="5BDD1CFA" w14:textId="77777777" w:rsidTr="00D34EA4">
        <w:trPr>
          <w:trHeight w:val="340"/>
        </w:trPr>
        <w:tc>
          <w:tcPr>
            <w:tcW w:w="2633" w:type="dxa"/>
            <w:tcBorders>
              <w:top w:val="nil"/>
              <w:left w:val="nil"/>
              <w:bottom w:val="nil"/>
              <w:right w:val="nil"/>
            </w:tcBorders>
            <w:shd w:val="clear" w:color="auto" w:fill="auto"/>
            <w:vAlign w:val="center"/>
            <w:hideMark/>
          </w:tcPr>
          <w:p w14:paraId="4733AD38" w14:textId="77777777" w:rsidR="007A149F" w:rsidRPr="00667CD1" w:rsidRDefault="007A149F" w:rsidP="007A149F">
            <w:pPr>
              <w:rPr>
                <w:rFonts w:ascii="Arial" w:hAnsi="Arial" w:cs="Arial"/>
                <w:sz w:val="12"/>
                <w:szCs w:val="12"/>
                <w:lang w:eastAsia="en-AU"/>
              </w:rPr>
            </w:pPr>
            <w:r w:rsidRPr="00667CD1">
              <w:rPr>
                <w:rFonts w:ascii="Arial" w:hAnsi="Arial" w:cs="Arial"/>
                <w:sz w:val="12"/>
                <w:szCs w:val="12"/>
                <w:lang w:eastAsia="en-AU"/>
              </w:rPr>
              <w:t>Sale of goods and services</w:t>
            </w:r>
          </w:p>
        </w:tc>
        <w:tc>
          <w:tcPr>
            <w:tcW w:w="967" w:type="dxa"/>
            <w:tcBorders>
              <w:top w:val="nil"/>
              <w:left w:val="nil"/>
              <w:bottom w:val="nil"/>
              <w:right w:val="nil"/>
            </w:tcBorders>
            <w:shd w:val="clear" w:color="auto" w:fill="auto"/>
            <w:noWrap/>
            <w:vAlign w:val="bottom"/>
            <w:hideMark/>
          </w:tcPr>
          <w:p w14:paraId="24891084" w14:textId="0BC3BBEA" w:rsidR="007A149F" w:rsidRPr="00667CD1" w:rsidRDefault="007A149F" w:rsidP="00D34EA4">
            <w:pPr>
              <w:ind w:left="-227" w:right="113"/>
              <w:jc w:val="right"/>
              <w:rPr>
                <w:rFonts w:ascii="Arial" w:hAnsi="Arial" w:cs="Arial"/>
                <w:sz w:val="12"/>
                <w:szCs w:val="12"/>
                <w:lang w:eastAsia="en-AU"/>
              </w:rPr>
            </w:pPr>
            <w:r w:rsidRPr="00667CD1" w:rsidDel="001428B3">
              <w:rPr>
                <w:rFonts w:ascii="Arial" w:hAnsi="Arial" w:cs="Arial"/>
                <w:sz w:val="12"/>
                <w:szCs w:val="12"/>
                <w:lang w:eastAsia="en-AU"/>
              </w:rPr>
              <w:t>9,745</w:t>
            </w:r>
          </w:p>
        </w:tc>
        <w:tc>
          <w:tcPr>
            <w:tcW w:w="881" w:type="dxa"/>
            <w:tcBorders>
              <w:top w:val="nil"/>
              <w:left w:val="nil"/>
              <w:bottom w:val="nil"/>
              <w:right w:val="nil"/>
            </w:tcBorders>
            <w:shd w:val="clear" w:color="auto" w:fill="auto"/>
            <w:noWrap/>
            <w:vAlign w:val="bottom"/>
            <w:hideMark/>
          </w:tcPr>
          <w:p w14:paraId="394B6342" w14:textId="10153919"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8,713</w:t>
            </w:r>
          </w:p>
        </w:tc>
        <w:tc>
          <w:tcPr>
            <w:tcW w:w="899" w:type="dxa"/>
            <w:tcBorders>
              <w:top w:val="nil"/>
              <w:left w:val="nil"/>
              <w:bottom w:val="nil"/>
              <w:right w:val="nil"/>
            </w:tcBorders>
            <w:shd w:val="clear" w:color="000000" w:fill="F2F2F2"/>
            <w:noWrap/>
            <w:vAlign w:val="bottom"/>
            <w:hideMark/>
          </w:tcPr>
          <w:p w14:paraId="1C2BA382" w14:textId="64F515F8"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9,560</w:t>
            </w:r>
          </w:p>
        </w:tc>
        <w:tc>
          <w:tcPr>
            <w:tcW w:w="844" w:type="dxa"/>
            <w:tcBorders>
              <w:top w:val="nil"/>
              <w:left w:val="nil"/>
              <w:bottom w:val="nil"/>
              <w:right w:val="nil"/>
            </w:tcBorders>
            <w:shd w:val="clear" w:color="000000" w:fill="F2F2F2"/>
            <w:noWrap/>
            <w:vAlign w:val="bottom"/>
            <w:hideMark/>
          </w:tcPr>
          <w:p w14:paraId="512C8579" w14:textId="69A300F5"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10,802</w:t>
            </w:r>
          </w:p>
        </w:tc>
        <w:tc>
          <w:tcPr>
            <w:tcW w:w="862" w:type="dxa"/>
            <w:tcBorders>
              <w:top w:val="nil"/>
              <w:left w:val="nil"/>
              <w:bottom w:val="nil"/>
              <w:right w:val="nil"/>
            </w:tcBorders>
            <w:shd w:val="clear" w:color="000000" w:fill="F2F2F2"/>
            <w:noWrap/>
            <w:vAlign w:val="bottom"/>
            <w:hideMark/>
          </w:tcPr>
          <w:p w14:paraId="3409453B" w14:textId="02015455"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9,919</w:t>
            </w:r>
          </w:p>
        </w:tc>
        <w:tc>
          <w:tcPr>
            <w:tcW w:w="862" w:type="dxa"/>
            <w:tcBorders>
              <w:top w:val="nil"/>
              <w:left w:val="nil"/>
              <w:bottom w:val="nil"/>
              <w:right w:val="nil"/>
            </w:tcBorders>
            <w:shd w:val="clear" w:color="000000" w:fill="F2F2F2"/>
            <w:noWrap/>
            <w:vAlign w:val="bottom"/>
            <w:hideMark/>
          </w:tcPr>
          <w:p w14:paraId="62B1ACD7" w14:textId="3A333851"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8,988</w:t>
            </w:r>
          </w:p>
        </w:tc>
        <w:tc>
          <w:tcPr>
            <w:tcW w:w="914" w:type="dxa"/>
            <w:tcBorders>
              <w:top w:val="nil"/>
              <w:left w:val="nil"/>
              <w:bottom w:val="nil"/>
              <w:right w:val="nil"/>
            </w:tcBorders>
            <w:shd w:val="clear" w:color="auto" w:fill="auto"/>
            <w:noWrap/>
            <w:vAlign w:val="bottom"/>
            <w:hideMark/>
          </w:tcPr>
          <w:p w14:paraId="5540AE16"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0.8</w:t>
            </w:r>
          </w:p>
        </w:tc>
        <w:tc>
          <w:tcPr>
            <w:tcW w:w="915" w:type="dxa"/>
            <w:tcBorders>
              <w:top w:val="nil"/>
              <w:left w:val="nil"/>
              <w:bottom w:val="nil"/>
              <w:right w:val="nil"/>
            </w:tcBorders>
            <w:shd w:val="clear" w:color="auto" w:fill="auto"/>
            <w:noWrap/>
            <w:vAlign w:val="bottom"/>
            <w:hideMark/>
          </w:tcPr>
          <w:p w14:paraId="2D63771B"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11.1%</w:t>
            </w:r>
          </w:p>
        </w:tc>
      </w:tr>
      <w:tr w:rsidR="007A149F" w:rsidRPr="00667CD1" w14:paraId="7B222752" w14:textId="77777777" w:rsidTr="00D34EA4">
        <w:trPr>
          <w:trHeight w:val="340"/>
        </w:trPr>
        <w:tc>
          <w:tcPr>
            <w:tcW w:w="2633" w:type="dxa"/>
            <w:tcBorders>
              <w:top w:val="nil"/>
              <w:left w:val="nil"/>
              <w:bottom w:val="nil"/>
              <w:right w:val="nil"/>
            </w:tcBorders>
            <w:shd w:val="clear" w:color="auto" w:fill="auto"/>
            <w:vAlign w:val="center"/>
            <w:hideMark/>
          </w:tcPr>
          <w:p w14:paraId="4CAD7850" w14:textId="77777777" w:rsidR="007A149F" w:rsidRPr="00667CD1" w:rsidRDefault="007A149F" w:rsidP="007A149F">
            <w:pPr>
              <w:rPr>
                <w:rFonts w:ascii="Arial" w:hAnsi="Arial" w:cs="Arial"/>
                <w:sz w:val="12"/>
                <w:szCs w:val="12"/>
                <w:lang w:eastAsia="en-AU"/>
              </w:rPr>
            </w:pPr>
            <w:r w:rsidRPr="00667CD1">
              <w:rPr>
                <w:rFonts w:ascii="Arial" w:hAnsi="Arial" w:cs="Arial"/>
                <w:sz w:val="12"/>
                <w:szCs w:val="12"/>
                <w:lang w:eastAsia="en-AU"/>
              </w:rPr>
              <w:t>Interest income</w:t>
            </w:r>
          </w:p>
        </w:tc>
        <w:tc>
          <w:tcPr>
            <w:tcW w:w="967" w:type="dxa"/>
            <w:tcBorders>
              <w:top w:val="nil"/>
              <w:left w:val="nil"/>
              <w:bottom w:val="nil"/>
              <w:right w:val="nil"/>
            </w:tcBorders>
            <w:shd w:val="clear" w:color="auto" w:fill="auto"/>
            <w:noWrap/>
            <w:vAlign w:val="bottom"/>
            <w:hideMark/>
          </w:tcPr>
          <w:p w14:paraId="35ED7891" w14:textId="6F0CB594" w:rsidR="007A149F" w:rsidRPr="00667CD1" w:rsidRDefault="007A149F" w:rsidP="00D34EA4">
            <w:pPr>
              <w:ind w:left="-227" w:right="113"/>
              <w:jc w:val="right"/>
              <w:rPr>
                <w:rFonts w:ascii="Arial" w:hAnsi="Arial" w:cs="Arial"/>
                <w:sz w:val="12"/>
                <w:szCs w:val="12"/>
                <w:lang w:eastAsia="en-AU"/>
              </w:rPr>
            </w:pPr>
            <w:r w:rsidRPr="00667CD1" w:rsidDel="001428B3">
              <w:rPr>
                <w:rFonts w:ascii="Arial" w:hAnsi="Arial" w:cs="Arial"/>
                <w:sz w:val="12"/>
                <w:szCs w:val="12"/>
                <w:lang w:eastAsia="en-AU"/>
              </w:rPr>
              <w:t>491</w:t>
            </w:r>
          </w:p>
        </w:tc>
        <w:tc>
          <w:tcPr>
            <w:tcW w:w="881" w:type="dxa"/>
            <w:tcBorders>
              <w:top w:val="nil"/>
              <w:left w:val="nil"/>
              <w:bottom w:val="nil"/>
              <w:right w:val="nil"/>
            </w:tcBorders>
            <w:shd w:val="clear" w:color="auto" w:fill="auto"/>
            <w:noWrap/>
            <w:vAlign w:val="bottom"/>
            <w:hideMark/>
          </w:tcPr>
          <w:p w14:paraId="723734E7" w14:textId="2DCB618D"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364</w:t>
            </w:r>
          </w:p>
        </w:tc>
        <w:tc>
          <w:tcPr>
            <w:tcW w:w="899" w:type="dxa"/>
            <w:tcBorders>
              <w:top w:val="nil"/>
              <w:left w:val="nil"/>
              <w:bottom w:val="nil"/>
              <w:right w:val="nil"/>
            </w:tcBorders>
            <w:shd w:val="clear" w:color="000000" w:fill="F2F2F2"/>
            <w:noWrap/>
            <w:vAlign w:val="bottom"/>
            <w:hideMark/>
          </w:tcPr>
          <w:p w14:paraId="4AF58724" w14:textId="28569BD5"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302</w:t>
            </w:r>
          </w:p>
        </w:tc>
        <w:tc>
          <w:tcPr>
            <w:tcW w:w="844" w:type="dxa"/>
            <w:tcBorders>
              <w:top w:val="nil"/>
              <w:left w:val="nil"/>
              <w:bottom w:val="nil"/>
              <w:right w:val="nil"/>
            </w:tcBorders>
            <w:shd w:val="clear" w:color="000000" w:fill="F2F2F2"/>
            <w:noWrap/>
            <w:vAlign w:val="bottom"/>
            <w:hideMark/>
          </w:tcPr>
          <w:p w14:paraId="484E486B" w14:textId="22EAB93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322</w:t>
            </w:r>
          </w:p>
        </w:tc>
        <w:tc>
          <w:tcPr>
            <w:tcW w:w="862" w:type="dxa"/>
            <w:tcBorders>
              <w:top w:val="nil"/>
              <w:left w:val="nil"/>
              <w:bottom w:val="nil"/>
              <w:right w:val="nil"/>
            </w:tcBorders>
            <w:shd w:val="clear" w:color="000000" w:fill="F2F2F2"/>
            <w:noWrap/>
            <w:vAlign w:val="bottom"/>
            <w:hideMark/>
          </w:tcPr>
          <w:p w14:paraId="7E3D10A0" w14:textId="712739D6"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337</w:t>
            </w:r>
          </w:p>
        </w:tc>
        <w:tc>
          <w:tcPr>
            <w:tcW w:w="862" w:type="dxa"/>
            <w:tcBorders>
              <w:top w:val="nil"/>
              <w:left w:val="nil"/>
              <w:bottom w:val="nil"/>
              <w:right w:val="nil"/>
            </w:tcBorders>
            <w:shd w:val="clear" w:color="000000" w:fill="F2F2F2"/>
            <w:noWrap/>
            <w:vAlign w:val="bottom"/>
            <w:hideMark/>
          </w:tcPr>
          <w:p w14:paraId="07B3CF93" w14:textId="730B861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350</w:t>
            </w:r>
          </w:p>
        </w:tc>
        <w:tc>
          <w:tcPr>
            <w:tcW w:w="914" w:type="dxa"/>
            <w:tcBorders>
              <w:top w:val="nil"/>
              <w:left w:val="nil"/>
              <w:bottom w:val="nil"/>
              <w:right w:val="nil"/>
            </w:tcBorders>
            <w:shd w:val="clear" w:color="auto" w:fill="auto"/>
            <w:noWrap/>
            <w:vAlign w:val="bottom"/>
            <w:hideMark/>
          </w:tcPr>
          <w:p w14:paraId="182F0136"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(1.0)</w:t>
            </w:r>
          </w:p>
        </w:tc>
        <w:tc>
          <w:tcPr>
            <w:tcW w:w="915" w:type="dxa"/>
            <w:tcBorders>
              <w:top w:val="nil"/>
              <w:left w:val="nil"/>
              <w:bottom w:val="nil"/>
              <w:right w:val="nil"/>
            </w:tcBorders>
            <w:shd w:val="clear" w:color="auto" w:fill="auto"/>
            <w:noWrap/>
            <w:vAlign w:val="bottom"/>
            <w:hideMark/>
          </w:tcPr>
          <w:p w14:paraId="5E4E410B"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0.4%</w:t>
            </w:r>
          </w:p>
        </w:tc>
      </w:tr>
      <w:tr w:rsidR="007A149F" w:rsidRPr="00667CD1" w14:paraId="4B32238B" w14:textId="77777777" w:rsidTr="00D34EA4">
        <w:trPr>
          <w:trHeight w:val="340"/>
        </w:trPr>
        <w:tc>
          <w:tcPr>
            <w:tcW w:w="2633" w:type="dxa"/>
            <w:tcBorders>
              <w:top w:val="nil"/>
              <w:left w:val="nil"/>
              <w:bottom w:val="nil"/>
              <w:right w:val="nil"/>
            </w:tcBorders>
            <w:shd w:val="clear" w:color="auto" w:fill="auto"/>
            <w:vAlign w:val="bottom"/>
            <w:hideMark/>
          </w:tcPr>
          <w:p w14:paraId="684B7D4E" w14:textId="77777777" w:rsidR="007A149F" w:rsidRPr="00667CD1" w:rsidRDefault="007A149F" w:rsidP="00D97E6B">
            <w:pPr>
              <w:rPr>
                <w:rFonts w:ascii="Arial" w:hAnsi="Arial" w:cs="Arial"/>
                <w:sz w:val="12"/>
                <w:szCs w:val="12"/>
                <w:lang w:eastAsia="en-AU"/>
              </w:rPr>
            </w:pPr>
            <w:r w:rsidRPr="00667CD1">
              <w:rPr>
                <w:rFonts w:ascii="Arial" w:hAnsi="Arial" w:cs="Arial"/>
                <w:sz w:val="12"/>
                <w:szCs w:val="12"/>
                <w:lang w:eastAsia="en-AU"/>
              </w:rPr>
              <w:t>Dividends and income tax equivalents from other sectors</w:t>
            </w:r>
          </w:p>
        </w:tc>
        <w:tc>
          <w:tcPr>
            <w:tcW w:w="967" w:type="dxa"/>
            <w:tcBorders>
              <w:top w:val="nil"/>
              <w:left w:val="nil"/>
              <w:bottom w:val="nil"/>
              <w:right w:val="nil"/>
            </w:tcBorders>
            <w:shd w:val="clear" w:color="auto" w:fill="auto"/>
            <w:noWrap/>
            <w:vAlign w:val="bottom"/>
            <w:hideMark/>
          </w:tcPr>
          <w:p w14:paraId="331317BE" w14:textId="559EEA19" w:rsidR="007A149F" w:rsidRPr="00667CD1" w:rsidRDefault="007A149F" w:rsidP="00D34EA4">
            <w:pPr>
              <w:ind w:left="-227" w:right="113"/>
              <w:jc w:val="right"/>
              <w:rPr>
                <w:rFonts w:ascii="Arial" w:hAnsi="Arial" w:cs="Arial"/>
                <w:sz w:val="12"/>
                <w:szCs w:val="12"/>
                <w:lang w:eastAsia="en-AU"/>
              </w:rPr>
            </w:pPr>
            <w:r w:rsidRPr="00667CD1" w:rsidDel="001428B3">
              <w:rPr>
                <w:rFonts w:ascii="Arial" w:hAnsi="Arial" w:cs="Arial"/>
                <w:sz w:val="12"/>
                <w:szCs w:val="12"/>
                <w:lang w:eastAsia="en-AU"/>
              </w:rPr>
              <w:t>1,932</w:t>
            </w:r>
          </w:p>
        </w:tc>
        <w:tc>
          <w:tcPr>
            <w:tcW w:w="881" w:type="dxa"/>
            <w:tcBorders>
              <w:top w:val="nil"/>
              <w:left w:val="nil"/>
              <w:bottom w:val="nil"/>
              <w:right w:val="nil"/>
            </w:tcBorders>
            <w:shd w:val="clear" w:color="auto" w:fill="auto"/>
            <w:noWrap/>
            <w:vAlign w:val="bottom"/>
            <w:hideMark/>
          </w:tcPr>
          <w:p w14:paraId="7E8297E8" w14:textId="372E8E48"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1,354</w:t>
            </w:r>
          </w:p>
        </w:tc>
        <w:tc>
          <w:tcPr>
            <w:tcW w:w="899" w:type="dxa"/>
            <w:tcBorders>
              <w:top w:val="nil"/>
              <w:left w:val="nil"/>
              <w:bottom w:val="nil"/>
              <w:right w:val="nil"/>
            </w:tcBorders>
            <w:shd w:val="clear" w:color="000000" w:fill="F2F2F2"/>
            <w:noWrap/>
            <w:vAlign w:val="bottom"/>
            <w:hideMark/>
          </w:tcPr>
          <w:p w14:paraId="730A8ED9" w14:textId="5288CB89"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1,070</w:t>
            </w:r>
          </w:p>
        </w:tc>
        <w:tc>
          <w:tcPr>
            <w:tcW w:w="844" w:type="dxa"/>
            <w:tcBorders>
              <w:top w:val="nil"/>
              <w:left w:val="nil"/>
              <w:bottom w:val="nil"/>
              <w:right w:val="nil"/>
            </w:tcBorders>
            <w:shd w:val="clear" w:color="000000" w:fill="F2F2F2"/>
            <w:noWrap/>
            <w:vAlign w:val="bottom"/>
            <w:hideMark/>
          </w:tcPr>
          <w:p w14:paraId="77170680" w14:textId="21D03F8F"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723</w:t>
            </w:r>
          </w:p>
        </w:tc>
        <w:tc>
          <w:tcPr>
            <w:tcW w:w="862" w:type="dxa"/>
            <w:tcBorders>
              <w:top w:val="nil"/>
              <w:left w:val="nil"/>
              <w:bottom w:val="nil"/>
              <w:right w:val="nil"/>
            </w:tcBorders>
            <w:shd w:val="clear" w:color="000000" w:fill="F2F2F2"/>
            <w:noWrap/>
            <w:vAlign w:val="bottom"/>
            <w:hideMark/>
          </w:tcPr>
          <w:p w14:paraId="49615D74" w14:textId="1C608655"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933</w:t>
            </w:r>
          </w:p>
        </w:tc>
        <w:tc>
          <w:tcPr>
            <w:tcW w:w="862" w:type="dxa"/>
            <w:tcBorders>
              <w:top w:val="nil"/>
              <w:left w:val="nil"/>
              <w:bottom w:val="nil"/>
              <w:right w:val="nil"/>
            </w:tcBorders>
            <w:shd w:val="clear" w:color="000000" w:fill="F2F2F2"/>
            <w:noWrap/>
            <w:vAlign w:val="bottom"/>
            <w:hideMark/>
          </w:tcPr>
          <w:p w14:paraId="374AF5D8" w14:textId="1C240390"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1,044</w:t>
            </w:r>
          </w:p>
        </w:tc>
        <w:tc>
          <w:tcPr>
            <w:tcW w:w="914" w:type="dxa"/>
            <w:tcBorders>
              <w:top w:val="nil"/>
              <w:left w:val="nil"/>
              <w:bottom w:val="nil"/>
              <w:right w:val="nil"/>
            </w:tcBorders>
            <w:shd w:val="clear" w:color="auto" w:fill="auto"/>
            <w:noWrap/>
            <w:vAlign w:val="bottom"/>
            <w:hideMark/>
          </w:tcPr>
          <w:p w14:paraId="51C63CFA"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(6.3)</w:t>
            </w:r>
          </w:p>
        </w:tc>
        <w:tc>
          <w:tcPr>
            <w:tcW w:w="915" w:type="dxa"/>
            <w:tcBorders>
              <w:top w:val="nil"/>
              <w:left w:val="nil"/>
              <w:bottom w:val="nil"/>
              <w:right w:val="nil"/>
            </w:tcBorders>
            <w:shd w:val="clear" w:color="auto" w:fill="auto"/>
            <w:noWrap/>
            <w:vAlign w:val="bottom"/>
            <w:hideMark/>
          </w:tcPr>
          <w:p w14:paraId="3D1E3709"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1.1%</w:t>
            </w:r>
          </w:p>
        </w:tc>
      </w:tr>
      <w:tr w:rsidR="007A149F" w:rsidRPr="00667CD1" w14:paraId="163708BD" w14:textId="77777777" w:rsidTr="00D34EA4">
        <w:trPr>
          <w:trHeight w:val="340"/>
        </w:trPr>
        <w:tc>
          <w:tcPr>
            <w:tcW w:w="2633" w:type="dxa"/>
            <w:tcBorders>
              <w:top w:val="nil"/>
              <w:left w:val="nil"/>
              <w:bottom w:val="nil"/>
              <w:right w:val="nil"/>
            </w:tcBorders>
            <w:shd w:val="clear" w:color="auto" w:fill="auto"/>
            <w:vAlign w:val="center"/>
            <w:hideMark/>
          </w:tcPr>
          <w:p w14:paraId="5D8A6C14" w14:textId="77777777" w:rsidR="007A149F" w:rsidRPr="00667CD1" w:rsidRDefault="007A149F" w:rsidP="007A149F">
            <w:pPr>
              <w:rPr>
                <w:rFonts w:ascii="Arial" w:hAnsi="Arial" w:cs="Arial"/>
                <w:sz w:val="12"/>
                <w:szCs w:val="12"/>
                <w:lang w:eastAsia="en-AU"/>
              </w:rPr>
            </w:pPr>
            <w:r w:rsidRPr="00667CD1">
              <w:rPr>
                <w:rFonts w:ascii="Arial" w:hAnsi="Arial" w:cs="Arial"/>
                <w:sz w:val="12"/>
                <w:szCs w:val="12"/>
                <w:lang w:eastAsia="en-AU"/>
              </w:rPr>
              <w:t>Other dividends and distributions</w:t>
            </w:r>
          </w:p>
        </w:tc>
        <w:tc>
          <w:tcPr>
            <w:tcW w:w="967" w:type="dxa"/>
            <w:tcBorders>
              <w:top w:val="nil"/>
              <w:left w:val="nil"/>
              <w:bottom w:val="nil"/>
              <w:right w:val="nil"/>
            </w:tcBorders>
            <w:shd w:val="clear" w:color="auto" w:fill="auto"/>
            <w:noWrap/>
            <w:vAlign w:val="bottom"/>
            <w:hideMark/>
          </w:tcPr>
          <w:p w14:paraId="22611A47" w14:textId="4C879A52" w:rsidR="007A149F" w:rsidRPr="00667CD1" w:rsidRDefault="007A149F" w:rsidP="00D34EA4">
            <w:pPr>
              <w:ind w:left="-227" w:right="113"/>
              <w:jc w:val="right"/>
              <w:rPr>
                <w:rFonts w:ascii="Arial" w:hAnsi="Arial" w:cs="Arial"/>
                <w:sz w:val="12"/>
                <w:szCs w:val="12"/>
                <w:lang w:eastAsia="en-AU"/>
              </w:rPr>
            </w:pPr>
            <w:r w:rsidRPr="00667CD1" w:rsidDel="001428B3">
              <w:rPr>
                <w:rFonts w:ascii="Arial" w:hAnsi="Arial" w:cs="Arial"/>
                <w:sz w:val="12"/>
                <w:szCs w:val="12"/>
                <w:lang w:eastAsia="en-AU"/>
              </w:rPr>
              <w:t>1,934</w:t>
            </w:r>
          </w:p>
        </w:tc>
        <w:tc>
          <w:tcPr>
            <w:tcW w:w="881" w:type="dxa"/>
            <w:tcBorders>
              <w:top w:val="nil"/>
              <w:left w:val="nil"/>
              <w:bottom w:val="nil"/>
              <w:right w:val="nil"/>
            </w:tcBorders>
            <w:shd w:val="clear" w:color="auto" w:fill="auto"/>
            <w:noWrap/>
            <w:vAlign w:val="bottom"/>
            <w:hideMark/>
          </w:tcPr>
          <w:p w14:paraId="0239D590" w14:textId="123C87B3"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2,426</w:t>
            </w:r>
          </w:p>
        </w:tc>
        <w:tc>
          <w:tcPr>
            <w:tcW w:w="899" w:type="dxa"/>
            <w:tcBorders>
              <w:top w:val="nil"/>
              <w:left w:val="nil"/>
              <w:bottom w:val="nil"/>
              <w:right w:val="nil"/>
            </w:tcBorders>
            <w:shd w:val="clear" w:color="000000" w:fill="F2F2F2"/>
            <w:noWrap/>
            <w:vAlign w:val="bottom"/>
            <w:hideMark/>
          </w:tcPr>
          <w:p w14:paraId="7FC29886" w14:textId="344EEA8C"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1,779</w:t>
            </w:r>
          </w:p>
        </w:tc>
        <w:tc>
          <w:tcPr>
            <w:tcW w:w="844" w:type="dxa"/>
            <w:tcBorders>
              <w:top w:val="nil"/>
              <w:left w:val="nil"/>
              <w:bottom w:val="nil"/>
              <w:right w:val="nil"/>
            </w:tcBorders>
            <w:shd w:val="clear" w:color="000000" w:fill="F2F2F2"/>
            <w:noWrap/>
            <w:vAlign w:val="bottom"/>
            <w:hideMark/>
          </w:tcPr>
          <w:p w14:paraId="67625B1E" w14:textId="2A82F434"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1,896</w:t>
            </w:r>
          </w:p>
        </w:tc>
        <w:tc>
          <w:tcPr>
            <w:tcW w:w="862" w:type="dxa"/>
            <w:tcBorders>
              <w:top w:val="nil"/>
              <w:left w:val="nil"/>
              <w:bottom w:val="nil"/>
              <w:right w:val="nil"/>
            </w:tcBorders>
            <w:shd w:val="clear" w:color="000000" w:fill="F2F2F2"/>
            <w:noWrap/>
            <w:vAlign w:val="bottom"/>
            <w:hideMark/>
          </w:tcPr>
          <w:p w14:paraId="434E8A34" w14:textId="7F7801E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2,360</w:t>
            </w:r>
          </w:p>
        </w:tc>
        <w:tc>
          <w:tcPr>
            <w:tcW w:w="862" w:type="dxa"/>
            <w:tcBorders>
              <w:top w:val="nil"/>
              <w:left w:val="nil"/>
              <w:bottom w:val="nil"/>
              <w:right w:val="nil"/>
            </w:tcBorders>
            <w:shd w:val="clear" w:color="000000" w:fill="F2F2F2"/>
            <w:noWrap/>
            <w:vAlign w:val="bottom"/>
            <w:hideMark/>
          </w:tcPr>
          <w:p w14:paraId="3718D3D8" w14:textId="2CA971AC"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2,720</w:t>
            </w:r>
          </w:p>
        </w:tc>
        <w:tc>
          <w:tcPr>
            <w:tcW w:w="914" w:type="dxa"/>
            <w:tcBorders>
              <w:top w:val="nil"/>
              <w:left w:val="nil"/>
              <w:bottom w:val="nil"/>
              <w:right w:val="nil"/>
            </w:tcBorders>
            <w:shd w:val="clear" w:color="auto" w:fill="auto"/>
            <w:noWrap/>
            <w:vAlign w:val="bottom"/>
            <w:hideMark/>
          </w:tcPr>
          <w:p w14:paraId="4E83CEF9"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2.9</w:t>
            </w:r>
          </w:p>
        </w:tc>
        <w:tc>
          <w:tcPr>
            <w:tcW w:w="915" w:type="dxa"/>
            <w:tcBorders>
              <w:top w:val="nil"/>
              <w:left w:val="nil"/>
              <w:bottom w:val="nil"/>
              <w:right w:val="nil"/>
            </w:tcBorders>
            <w:shd w:val="clear" w:color="auto" w:fill="auto"/>
            <w:noWrap/>
            <w:vAlign w:val="bottom"/>
            <w:hideMark/>
          </w:tcPr>
          <w:p w14:paraId="31A80791"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2.5%</w:t>
            </w:r>
          </w:p>
        </w:tc>
      </w:tr>
      <w:tr w:rsidR="007A149F" w:rsidRPr="00667CD1" w14:paraId="5192B20E" w14:textId="77777777" w:rsidTr="00D34EA4">
        <w:trPr>
          <w:trHeight w:val="340"/>
        </w:trPr>
        <w:tc>
          <w:tcPr>
            <w:tcW w:w="2633" w:type="dxa"/>
            <w:tcBorders>
              <w:top w:val="nil"/>
              <w:left w:val="nil"/>
              <w:bottom w:val="nil"/>
              <w:right w:val="nil"/>
            </w:tcBorders>
            <w:shd w:val="clear" w:color="auto" w:fill="auto"/>
            <w:vAlign w:val="center"/>
            <w:hideMark/>
          </w:tcPr>
          <w:p w14:paraId="585703F0" w14:textId="77777777" w:rsidR="007A149F" w:rsidRPr="00667CD1" w:rsidRDefault="007A149F" w:rsidP="007A149F">
            <w:pPr>
              <w:rPr>
                <w:rFonts w:ascii="Arial" w:hAnsi="Arial" w:cs="Arial"/>
                <w:sz w:val="12"/>
                <w:szCs w:val="12"/>
                <w:lang w:eastAsia="en-AU"/>
              </w:rPr>
            </w:pPr>
            <w:r w:rsidRPr="00667CD1">
              <w:rPr>
                <w:rFonts w:ascii="Arial" w:hAnsi="Arial" w:cs="Arial"/>
                <w:sz w:val="12"/>
                <w:szCs w:val="12"/>
                <w:lang w:eastAsia="en-AU"/>
              </w:rPr>
              <w:t xml:space="preserve">Royalties </w:t>
            </w:r>
          </w:p>
        </w:tc>
        <w:tc>
          <w:tcPr>
            <w:tcW w:w="967" w:type="dxa"/>
            <w:tcBorders>
              <w:top w:val="nil"/>
              <w:left w:val="nil"/>
              <w:bottom w:val="nil"/>
              <w:right w:val="nil"/>
            </w:tcBorders>
            <w:shd w:val="clear" w:color="auto" w:fill="auto"/>
            <w:noWrap/>
            <w:vAlign w:val="bottom"/>
            <w:hideMark/>
          </w:tcPr>
          <w:p w14:paraId="1D3F00C1" w14:textId="09382272" w:rsidR="007A149F" w:rsidRPr="00667CD1" w:rsidRDefault="007A149F" w:rsidP="00D34EA4">
            <w:pPr>
              <w:ind w:left="-227" w:right="113"/>
              <w:jc w:val="right"/>
              <w:rPr>
                <w:rFonts w:ascii="Arial" w:hAnsi="Arial" w:cs="Arial"/>
                <w:sz w:val="12"/>
                <w:szCs w:val="12"/>
                <w:lang w:eastAsia="en-AU"/>
              </w:rPr>
            </w:pPr>
            <w:r w:rsidRPr="00667CD1" w:rsidDel="001428B3">
              <w:rPr>
                <w:rFonts w:ascii="Arial" w:hAnsi="Arial" w:cs="Arial"/>
                <w:sz w:val="12"/>
                <w:szCs w:val="12"/>
                <w:lang w:eastAsia="en-AU"/>
              </w:rPr>
              <w:t>2,093</w:t>
            </w:r>
          </w:p>
        </w:tc>
        <w:tc>
          <w:tcPr>
            <w:tcW w:w="881" w:type="dxa"/>
            <w:tcBorders>
              <w:top w:val="nil"/>
              <w:left w:val="nil"/>
              <w:bottom w:val="nil"/>
              <w:right w:val="nil"/>
            </w:tcBorders>
            <w:shd w:val="clear" w:color="auto" w:fill="auto"/>
            <w:noWrap/>
            <w:vAlign w:val="bottom"/>
            <w:hideMark/>
          </w:tcPr>
          <w:p w14:paraId="150CBB8A" w14:textId="19028F34"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1,683</w:t>
            </w:r>
          </w:p>
        </w:tc>
        <w:tc>
          <w:tcPr>
            <w:tcW w:w="899" w:type="dxa"/>
            <w:tcBorders>
              <w:top w:val="nil"/>
              <w:left w:val="nil"/>
              <w:bottom w:val="nil"/>
              <w:right w:val="nil"/>
            </w:tcBorders>
            <w:shd w:val="clear" w:color="000000" w:fill="F2F2F2"/>
            <w:noWrap/>
            <w:vAlign w:val="bottom"/>
            <w:hideMark/>
          </w:tcPr>
          <w:p w14:paraId="2483654A" w14:textId="142D98E3"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1,417</w:t>
            </w:r>
          </w:p>
        </w:tc>
        <w:tc>
          <w:tcPr>
            <w:tcW w:w="844" w:type="dxa"/>
            <w:tcBorders>
              <w:top w:val="nil"/>
              <w:left w:val="nil"/>
              <w:bottom w:val="nil"/>
              <w:right w:val="nil"/>
            </w:tcBorders>
            <w:shd w:val="clear" w:color="000000" w:fill="F2F2F2"/>
            <w:noWrap/>
            <w:vAlign w:val="bottom"/>
            <w:hideMark/>
          </w:tcPr>
          <w:p w14:paraId="5FD19EA6" w14:textId="67DD2936"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1,497</w:t>
            </w:r>
          </w:p>
        </w:tc>
        <w:tc>
          <w:tcPr>
            <w:tcW w:w="862" w:type="dxa"/>
            <w:tcBorders>
              <w:top w:val="nil"/>
              <w:left w:val="nil"/>
              <w:bottom w:val="nil"/>
              <w:right w:val="nil"/>
            </w:tcBorders>
            <w:shd w:val="clear" w:color="000000" w:fill="F2F2F2"/>
            <w:noWrap/>
            <w:vAlign w:val="bottom"/>
            <w:hideMark/>
          </w:tcPr>
          <w:p w14:paraId="07C02D2F" w14:textId="39EDE684"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1,515</w:t>
            </w:r>
          </w:p>
        </w:tc>
        <w:tc>
          <w:tcPr>
            <w:tcW w:w="862" w:type="dxa"/>
            <w:tcBorders>
              <w:top w:val="nil"/>
              <w:left w:val="nil"/>
              <w:bottom w:val="nil"/>
              <w:right w:val="nil"/>
            </w:tcBorders>
            <w:shd w:val="clear" w:color="000000" w:fill="F2F2F2"/>
            <w:noWrap/>
            <w:vAlign w:val="bottom"/>
            <w:hideMark/>
          </w:tcPr>
          <w:p w14:paraId="7292269C" w14:textId="7B7A9C76"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1,587</w:t>
            </w:r>
          </w:p>
        </w:tc>
        <w:tc>
          <w:tcPr>
            <w:tcW w:w="914" w:type="dxa"/>
            <w:tcBorders>
              <w:top w:val="nil"/>
              <w:left w:val="nil"/>
              <w:bottom w:val="nil"/>
              <w:right w:val="nil"/>
            </w:tcBorders>
            <w:shd w:val="clear" w:color="auto" w:fill="auto"/>
            <w:noWrap/>
            <w:vAlign w:val="bottom"/>
            <w:hideMark/>
          </w:tcPr>
          <w:p w14:paraId="6BE013E6"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(1.5)</w:t>
            </w:r>
          </w:p>
        </w:tc>
        <w:tc>
          <w:tcPr>
            <w:tcW w:w="915" w:type="dxa"/>
            <w:tcBorders>
              <w:top w:val="nil"/>
              <w:left w:val="nil"/>
              <w:bottom w:val="nil"/>
              <w:right w:val="nil"/>
            </w:tcBorders>
            <w:shd w:val="clear" w:color="auto" w:fill="auto"/>
            <w:noWrap/>
            <w:vAlign w:val="bottom"/>
            <w:hideMark/>
          </w:tcPr>
          <w:p w14:paraId="0E6847AF"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1.7%</w:t>
            </w:r>
          </w:p>
        </w:tc>
      </w:tr>
      <w:tr w:rsidR="007A149F" w:rsidRPr="00667CD1" w14:paraId="7675DD48" w14:textId="77777777" w:rsidTr="006D255D">
        <w:trPr>
          <w:trHeight w:val="340"/>
        </w:trPr>
        <w:tc>
          <w:tcPr>
            <w:tcW w:w="2633" w:type="dxa"/>
            <w:tcBorders>
              <w:top w:val="nil"/>
              <w:left w:val="nil"/>
              <w:bottom w:val="nil"/>
              <w:right w:val="nil"/>
            </w:tcBorders>
            <w:shd w:val="clear" w:color="auto" w:fill="auto"/>
            <w:vAlign w:val="center"/>
            <w:hideMark/>
          </w:tcPr>
          <w:p w14:paraId="03C5A6BF" w14:textId="77777777" w:rsidR="007A149F" w:rsidRPr="00667CD1" w:rsidRDefault="007A149F" w:rsidP="007A149F">
            <w:pPr>
              <w:rPr>
                <w:rFonts w:ascii="Arial" w:hAnsi="Arial" w:cs="Arial"/>
                <w:sz w:val="12"/>
                <w:szCs w:val="12"/>
                <w:lang w:eastAsia="en-AU"/>
              </w:rPr>
            </w:pPr>
            <w:r w:rsidRPr="00667CD1">
              <w:rPr>
                <w:rFonts w:ascii="Arial" w:hAnsi="Arial" w:cs="Arial"/>
                <w:sz w:val="12"/>
                <w:szCs w:val="12"/>
                <w:lang w:eastAsia="en-AU"/>
              </w:rPr>
              <w:t xml:space="preserve">Fines, regulatory fees and other revenues </w:t>
            </w:r>
          </w:p>
        </w:tc>
        <w:tc>
          <w:tcPr>
            <w:tcW w:w="967" w:type="dxa"/>
            <w:tcBorders>
              <w:top w:val="nil"/>
              <w:left w:val="nil"/>
              <w:bottom w:val="single" w:sz="4" w:space="0" w:color="auto"/>
              <w:right w:val="nil"/>
            </w:tcBorders>
            <w:shd w:val="clear" w:color="auto" w:fill="auto"/>
            <w:noWrap/>
            <w:vAlign w:val="bottom"/>
            <w:hideMark/>
          </w:tcPr>
          <w:p w14:paraId="509A90D4" w14:textId="6BFD2096" w:rsidR="007A149F" w:rsidRPr="00667CD1" w:rsidRDefault="007A149F" w:rsidP="00D34EA4">
            <w:pPr>
              <w:ind w:left="-227" w:right="113"/>
              <w:jc w:val="right"/>
              <w:rPr>
                <w:rFonts w:ascii="Arial" w:hAnsi="Arial" w:cs="Arial"/>
                <w:sz w:val="12"/>
                <w:szCs w:val="12"/>
                <w:lang w:eastAsia="en-AU"/>
              </w:rPr>
            </w:pPr>
            <w:r w:rsidRPr="00667CD1" w:rsidDel="001428B3">
              <w:rPr>
                <w:rFonts w:ascii="Arial" w:hAnsi="Arial" w:cs="Arial"/>
                <w:sz w:val="12"/>
                <w:szCs w:val="12"/>
                <w:lang w:eastAsia="en-AU"/>
              </w:rPr>
              <w:t>2,586</w:t>
            </w:r>
          </w:p>
        </w:tc>
        <w:tc>
          <w:tcPr>
            <w:tcW w:w="881" w:type="dxa"/>
            <w:tcBorders>
              <w:top w:val="nil"/>
              <w:left w:val="nil"/>
              <w:bottom w:val="single" w:sz="4" w:space="0" w:color="auto"/>
              <w:right w:val="nil"/>
            </w:tcBorders>
            <w:shd w:val="clear" w:color="auto" w:fill="auto"/>
            <w:noWrap/>
            <w:vAlign w:val="bottom"/>
            <w:hideMark/>
          </w:tcPr>
          <w:p w14:paraId="54B2EBA2" w14:textId="4B4108FC"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2,578</w:t>
            </w:r>
          </w:p>
        </w:tc>
        <w:tc>
          <w:tcPr>
            <w:tcW w:w="899" w:type="dxa"/>
            <w:tcBorders>
              <w:top w:val="nil"/>
              <w:left w:val="nil"/>
              <w:bottom w:val="single" w:sz="4" w:space="0" w:color="auto"/>
              <w:right w:val="nil"/>
            </w:tcBorders>
            <w:shd w:val="clear" w:color="000000" w:fill="F2F2F2"/>
            <w:noWrap/>
            <w:vAlign w:val="bottom"/>
            <w:hideMark/>
          </w:tcPr>
          <w:p w14:paraId="6F067ECA" w14:textId="3FFE2711"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2,985</w:t>
            </w:r>
          </w:p>
        </w:tc>
        <w:tc>
          <w:tcPr>
            <w:tcW w:w="844" w:type="dxa"/>
            <w:tcBorders>
              <w:top w:val="nil"/>
              <w:left w:val="nil"/>
              <w:bottom w:val="single" w:sz="4" w:space="0" w:color="auto"/>
              <w:right w:val="nil"/>
            </w:tcBorders>
            <w:shd w:val="clear" w:color="000000" w:fill="F2F2F2"/>
            <w:noWrap/>
            <w:vAlign w:val="bottom"/>
            <w:hideMark/>
          </w:tcPr>
          <w:p w14:paraId="673AFC86" w14:textId="0591DB49"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3,108</w:t>
            </w:r>
          </w:p>
        </w:tc>
        <w:tc>
          <w:tcPr>
            <w:tcW w:w="862" w:type="dxa"/>
            <w:tcBorders>
              <w:top w:val="nil"/>
              <w:left w:val="nil"/>
              <w:bottom w:val="single" w:sz="4" w:space="0" w:color="auto"/>
              <w:right w:val="nil"/>
            </w:tcBorders>
            <w:shd w:val="clear" w:color="000000" w:fill="F2F2F2"/>
            <w:noWrap/>
            <w:vAlign w:val="bottom"/>
            <w:hideMark/>
          </w:tcPr>
          <w:p w14:paraId="5CF6854F" w14:textId="76B1297F"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2,927</w:t>
            </w:r>
          </w:p>
        </w:tc>
        <w:tc>
          <w:tcPr>
            <w:tcW w:w="862" w:type="dxa"/>
            <w:tcBorders>
              <w:top w:val="nil"/>
              <w:left w:val="nil"/>
              <w:bottom w:val="single" w:sz="4" w:space="0" w:color="auto"/>
              <w:right w:val="nil"/>
            </w:tcBorders>
            <w:shd w:val="clear" w:color="000000" w:fill="F2F2F2"/>
            <w:noWrap/>
            <w:vAlign w:val="bottom"/>
            <w:hideMark/>
          </w:tcPr>
          <w:p w14:paraId="7864FF5D" w14:textId="29D157ED"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3,034</w:t>
            </w:r>
          </w:p>
        </w:tc>
        <w:tc>
          <w:tcPr>
            <w:tcW w:w="914" w:type="dxa"/>
            <w:tcBorders>
              <w:top w:val="nil"/>
              <w:left w:val="nil"/>
              <w:bottom w:val="single" w:sz="4" w:space="0" w:color="auto"/>
              <w:right w:val="nil"/>
            </w:tcBorders>
            <w:shd w:val="clear" w:color="auto" w:fill="auto"/>
            <w:noWrap/>
            <w:vAlign w:val="bottom"/>
            <w:hideMark/>
          </w:tcPr>
          <w:p w14:paraId="55A5808E"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4.2</w:t>
            </w:r>
          </w:p>
        </w:tc>
        <w:tc>
          <w:tcPr>
            <w:tcW w:w="915" w:type="dxa"/>
            <w:tcBorders>
              <w:top w:val="nil"/>
              <w:left w:val="nil"/>
              <w:bottom w:val="single" w:sz="4" w:space="0" w:color="auto"/>
              <w:right w:val="nil"/>
            </w:tcBorders>
            <w:shd w:val="clear" w:color="auto" w:fill="auto"/>
            <w:noWrap/>
            <w:vAlign w:val="bottom"/>
            <w:hideMark/>
          </w:tcPr>
          <w:p w14:paraId="4941A579" w14:textId="77777777" w:rsidR="007A149F" w:rsidRPr="00667CD1" w:rsidRDefault="007A149F" w:rsidP="00D34EA4">
            <w:pPr>
              <w:ind w:left="-227" w:right="113"/>
              <w:jc w:val="right"/>
              <w:rPr>
                <w:rFonts w:ascii="Arial" w:hAnsi="Arial" w:cs="Arial"/>
                <w:sz w:val="12"/>
                <w:szCs w:val="12"/>
                <w:lang w:eastAsia="en-AU"/>
              </w:rPr>
            </w:pPr>
            <w:r w:rsidRPr="00667CD1">
              <w:rPr>
                <w:rFonts w:ascii="Arial" w:hAnsi="Arial" w:cs="Arial"/>
                <w:sz w:val="12"/>
                <w:szCs w:val="12"/>
                <w:lang w:eastAsia="en-AU"/>
              </w:rPr>
              <w:t>3.4%</w:t>
            </w:r>
          </w:p>
        </w:tc>
      </w:tr>
      <w:tr w:rsidR="007A149F" w:rsidRPr="00667CD1" w14:paraId="35BEFC09" w14:textId="77777777" w:rsidTr="006D255D">
        <w:trPr>
          <w:trHeight w:val="300"/>
        </w:trPr>
        <w:tc>
          <w:tcPr>
            <w:tcW w:w="2633" w:type="dxa"/>
            <w:tcBorders>
              <w:top w:val="single" w:sz="4" w:space="0" w:color="auto"/>
              <w:left w:val="nil"/>
              <w:bottom w:val="single" w:sz="4" w:space="0" w:color="auto"/>
              <w:right w:val="nil"/>
            </w:tcBorders>
            <w:shd w:val="clear" w:color="auto" w:fill="auto"/>
            <w:noWrap/>
            <w:vAlign w:val="center"/>
            <w:hideMark/>
          </w:tcPr>
          <w:p w14:paraId="22B71A8E" w14:textId="77777777" w:rsidR="007A149F" w:rsidRPr="00667CD1" w:rsidRDefault="007A149F" w:rsidP="007A149F">
            <w:pPr>
              <w:rPr>
                <w:rFonts w:ascii="Arial" w:hAnsi="Arial" w:cs="Arial"/>
                <w:b/>
                <w:color w:val="008EBA"/>
                <w:sz w:val="12"/>
                <w:szCs w:val="12"/>
                <w:lang w:eastAsia="en-AU"/>
              </w:rPr>
            </w:pPr>
            <w:r w:rsidRPr="00667CD1">
              <w:rPr>
                <w:rFonts w:ascii="Arial" w:hAnsi="Arial" w:cs="Arial"/>
                <w:b/>
                <w:color w:val="008EBA"/>
                <w:sz w:val="12"/>
                <w:szCs w:val="12"/>
                <w:lang w:eastAsia="en-AU"/>
              </w:rPr>
              <w:t xml:space="preserve">Total revenue </w:t>
            </w:r>
          </w:p>
        </w:tc>
        <w:tc>
          <w:tcPr>
            <w:tcW w:w="967" w:type="dxa"/>
            <w:tcBorders>
              <w:top w:val="single" w:sz="4" w:space="0" w:color="auto"/>
              <w:left w:val="nil"/>
              <w:bottom w:val="single" w:sz="4" w:space="0" w:color="auto"/>
              <w:right w:val="nil"/>
            </w:tcBorders>
            <w:shd w:val="clear" w:color="auto" w:fill="auto"/>
            <w:noWrap/>
            <w:vAlign w:val="center"/>
            <w:hideMark/>
          </w:tcPr>
          <w:p w14:paraId="658275C0" w14:textId="68D8026A" w:rsidR="007A149F" w:rsidRPr="00667CD1" w:rsidRDefault="007A149F" w:rsidP="006D255D">
            <w:pPr>
              <w:ind w:left="-227" w:right="113"/>
              <w:jc w:val="right"/>
              <w:rPr>
                <w:rFonts w:ascii="Arial" w:hAnsi="Arial" w:cs="Arial"/>
                <w:sz w:val="12"/>
                <w:szCs w:val="12"/>
                <w:lang w:eastAsia="en-AU"/>
              </w:rPr>
            </w:pPr>
            <w:r w:rsidRPr="00667CD1">
              <w:rPr>
                <w:rFonts w:ascii="Arial" w:hAnsi="Arial" w:cs="Arial"/>
                <w:b/>
                <w:color w:val="008EBA"/>
                <w:sz w:val="12"/>
                <w:szCs w:val="12"/>
                <w:lang w:eastAsia="en-AU"/>
              </w:rPr>
              <w:t>81,655</w:t>
            </w:r>
          </w:p>
        </w:tc>
        <w:tc>
          <w:tcPr>
            <w:tcW w:w="881" w:type="dxa"/>
            <w:tcBorders>
              <w:top w:val="single" w:sz="4" w:space="0" w:color="auto"/>
              <w:left w:val="nil"/>
              <w:bottom w:val="single" w:sz="4" w:space="0" w:color="auto"/>
              <w:right w:val="nil"/>
            </w:tcBorders>
            <w:shd w:val="clear" w:color="auto" w:fill="auto"/>
            <w:noWrap/>
            <w:vAlign w:val="center"/>
            <w:hideMark/>
          </w:tcPr>
          <w:p w14:paraId="58EC417B" w14:textId="0C140A54" w:rsidR="007A149F" w:rsidRPr="00667CD1" w:rsidRDefault="007A149F" w:rsidP="006D255D">
            <w:pPr>
              <w:ind w:left="-227" w:right="113"/>
              <w:jc w:val="right"/>
              <w:rPr>
                <w:rFonts w:ascii="Arial" w:hAnsi="Arial" w:cs="Arial"/>
                <w:b/>
                <w:color w:val="008EBA"/>
                <w:sz w:val="12"/>
                <w:szCs w:val="12"/>
                <w:lang w:eastAsia="en-AU"/>
              </w:rPr>
            </w:pPr>
            <w:r w:rsidRPr="00667CD1">
              <w:rPr>
                <w:rFonts w:ascii="Arial" w:hAnsi="Arial" w:cs="Arial"/>
                <w:b/>
                <w:color w:val="008EBA"/>
                <w:sz w:val="12"/>
                <w:szCs w:val="12"/>
                <w:lang w:eastAsia="en-AU"/>
              </w:rPr>
              <w:t>81,367</w:t>
            </w:r>
          </w:p>
        </w:tc>
        <w:tc>
          <w:tcPr>
            <w:tcW w:w="899" w:type="dxa"/>
            <w:tcBorders>
              <w:top w:val="single" w:sz="4" w:space="0" w:color="auto"/>
              <w:left w:val="nil"/>
              <w:bottom w:val="single" w:sz="4" w:space="0" w:color="auto"/>
              <w:right w:val="nil"/>
            </w:tcBorders>
            <w:shd w:val="clear" w:color="000000" w:fill="F2F2F2"/>
            <w:noWrap/>
            <w:vAlign w:val="center"/>
            <w:hideMark/>
          </w:tcPr>
          <w:p w14:paraId="7A98F9C0" w14:textId="71E8DA59" w:rsidR="007A149F" w:rsidRPr="00667CD1" w:rsidRDefault="007A149F" w:rsidP="006D255D">
            <w:pPr>
              <w:ind w:left="-227" w:right="113"/>
              <w:jc w:val="right"/>
              <w:rPr>
                <w:rFonts w:ascii="Arial" w:hAnsi="Arial" w:cs="Arial"/>
                <w:b/>
                <w:color w:val="008EBA"/>
                <w:sz w:val="12"/>
                <w:szCs w:val="12"/>
                <w:lang w:eastAsia="en-AU"/>
              </w:rPr>
            </w:pPr>
            <w:r w:rsidRPr="00667CD1">
              <w:rPr>
                <w:rFonts w:ascii="Arial" w:hAnsi="Arial" w:cs="Arial"/>
                <w:b/>
                <w:color w:val="008EBA"/>
                <w:sz w:val="12"/>
                <w:szCs w:val="12"/>
                <w:lang w:eastAsia="en-AU"/>
              </w:rPr>
              <w:t>82,149</w:t>
            </w:r>
          </w:p>
        </w:tc>
        <w:tc>
          <w:tcPr>
            <w:tcW w:w="844" w:type="dxa"/>
            <w:tcBorders>
              <w:top w:val="single" w:sz="4" w:space="0" w:color="auto"/>
              <w:left w:val="nil"/>
              <w:bottom w:val="single" w:sz="4" w:space="0" w:color="auto"/>
              <w:right w:val="nil"/>
            </w:tcBorders>
            <w:shd w:val="clear" w:color="000000" w:fill="F2F2F2"/>
            <w:noWrap/>
            <w:vAlign w:val="center"/>
            <w:hideMark/>
          </w:tcPr>
          <w:p w14:paraId="59B2346F" w14:textId="0D0D75CE" w:rsidR="007A149F" w:rsidRPr="00667CD1" w:rsidRDefault="007A149F" w:rsidP="006D255D">
            <w:pPr>
              <w:ind w:left="-227" w:right="113"/>
              <w:jc w:val="right"/>
              <w:rPr>
                <w:rFonts w:ascii="Arial" w:hAnsi="Arial" w:cs="Arial"/>
                <w:b/>
                <w:color w:val="008EBA"/>
                <w:sz w:val="12"/>
                <w:szCs w:val="12"/>
                <w:lang w:eastAsia="en-AU"/>
              </w:rPr>
            </w:pPr>
            <w:r w:rsidRPr="00667CD1">
              <w:rPr>
                <w:rFonts w:ascii="Arial" w:hAnsi="Arial" w:cs="Arial"/>
                <w:b/>
                <w:color w:val="008EBA"/>
                <w:sz w:val="12"/>
                <w:szCs w:val="12"/>
                <w:lang w:eastAsia="en-AU"/>
              </w:rPr>
              <w:t>87,689</w:t>
            </w:r>
          </w:p>
        </w:tc>
        <w:tc>
          <w:tcPr>
            <w:tcW w:w="862" w:type="dxa"/>
            <w:tcBorders>
              <w:top w:val="single" w:sz="4" w:space="0" w:color="auto"/>
              <w:left w:val="nil"/>
              <w:bottom w:val="single" w:sz="4" w:space="0" w:color="auto"/>
              <w:right w:val="nil"/>
            </w:tcBorders>
            <w:shd w:val="clear" w:color="000000" w:fill="F2F2F2"/>
            <w:noWrap/>
            <w:vAlign w:val="center"/>
            <w:hideMark/>
          </w:tcPr>
          <w:p w14:paraId="24925F91" w14:textId="586D21D9" w:rsidR="007A149F" w:rsidRPr="00667CD1" w:rsidRDefault="007A149F" w:rsidP="006D255D">
            <w:pPr>
              <w:ind w:left="-227" w:right="113"/>
              <w:jc w:val="right"/>
              <w:rPr>
                <w:rFonts w:ascii="Arial" w:hAnsi="Arial" w:cs="Arial"/>
                <w:b/>
                <w:color w:val="008EBA"/>
                <w:sz w:val="12"/>
                <w:szCs w:val="12"/>
                <w:lang w:eastAsia="en-AU"/>
              </w:rPr>
            </w:pPr>
            <w:r w:rsidRPr="00667CD1">
              <w:rPr>
                <w:rFonts w:ascii="Arial" w:hAnsi="Arial" w:cs="Arial"/>
                <w:b/>
                <w:color w:val="008EBA"/>
                <w:sz w:val="12"/>
                <w:szCs w:val="12"/>
                <w:lang w:eastAsia="en-AU"/>
              </w:rPr>
              <w:t>90,601</w:t>
            </w:r>
          </w:p>
        </w:tc>
        <w:tc>
          <w:tcPr>
            <w:tcW w:w="862" w:type="dxa"/>
            <w:tcBorders>
              <w:top w:val="single" w:sz="4" w:space="0" w:color="auto"/>
              <w:left w:val="nil"/>
              <w:bottom w:val="single" w:sz="4" w:space="0" w:color="auto"/>
              <w:right w:val="nil"/>
            </w:tcBorders>
            <w:shd w:val="clear" w:color="000000" w:fill="F2F2F2"/>
            <w:noWrap/>
            <w:vAlign w:val="center"/>
            <w:hideMark/>
          </w:tcPr>
          <w:p w14:paraId="1E68FDF7" w14:textId="6DB85CA5" w:rsidR="007A149F" w:rsidRPr="00667CD1" w:rsidRDefault="007A149F" w:rsidP="006D255D">
            <w:pPr>
              <w:ind w:left="-227" w:right="113"/>
              <w:jc w:val="right"/>
              <w:rPr>
                <w:rFonts w:ascii="Arial" w:hAnsi="Arial" w:cs="Arial"/>
                <w:b/>
                <w:color w:val="008EBA"/>
                <w:sz w:val="12"/>
                <w:szCs w:val="12"/>
                <w:lang w:eastAsia="en-AU"/>
              </w:rPr>
            </w:pPr>
            <w:r w:rsidRPr="00667CD1">
              <w:rPr>
                <w:rFonts w:ascii="Arial" w:hAnsi="Arial" w:cs="Arial"/>
                <w:b/>
                <w:color w:val="008EBA"/>
                <w:sz w:val="12"/>
                <w:szCs w:val="12"/>
                <w:lang w:eastAsia="en-AU"/>
              </w:rPr>
              <w:t>92,930</w:t>
            </w:r>
          </w:p>
        </w:tc>
        <w:tc>
          <w:tcPr>
            <w:tcW w:w="914" w:type="dxa"/>
            <w:tcBorders>
              <w:top w:val="single" w:sz="4" w:space="0" w:color="auto"/>
              <w:left w:val="nil"/>
              <w:bottom w:val="single" w:sz="4" w:space="0" w:color="auto"/>
              <w:right w:val="nil"/>
            </w:tcBorders>
            <w:shd w:val="clear" w:color="auto" w:fill="auto"/>
            <w:noWrap/>
            <w:vAlign w:val="center"/>
            <w:hideMark/>
          </w:tcPr>
          <w:p w14:paraId="3CE3C0BA" w14:textId="77777777" w:rsidR="007A149F" w:rsidRPr="00667CD1" w:rsidRDefault="007A149F" w:rsidP="006D255D">
            <w:pPr>
              <w:ind w:left="-227" w:right="113"/>
              <w:jc w:val="right"/>
              <w:rPr>
                <w:rFonts w:ascii="Arial" w:hAnsi="Arial" w:cs="Arial"/>
                <w:b/>
                <w:color w:val="008EBA"/>
                <w:sz w:val="12"/>
                <w:szCs w:val="12"/>
                <w:lang w:eastAsia="en-AU"/>
              </w:rPr>
            </w:pPr>
            <w:r w:rsidRPr="00667CD1">
              <w:rPr>
                <w:rFonts w:ascii="Arial" w:hAnsi="Arial" w:cs="Arial"/>
                <w:b/>
                <w:color w:val="008EBA"/>
                <w:sz w:val="12"/>
                <w:szCs w:val="12"/>
                <w:lang w:eastAsia="en-AU"/>
              </w:rPr>
              <w:t>3.4</w:t>
            </w:r>
          </w:p>
        </w:tc>
        <w:tc>
          <w:tcPr>
            <w:tcW w:w="915" w:type="dxa"/>
            <w:tcBorders>
              <w:top w:val="single" w:sz="4" w:space="0" w:color="auto"/>
              <w:left w:val="nil"/>
              <w:bottom w:val="single" w:sz="4" w:space="0" w:color="auto"/>
              <w:right w:val="nil"/>
            </w:tcBorders>
            <w:shd w:val="clear" w:color="auto" w:fill="auto"/>
            <w:noWrap/>
            <w:vAlign w:val="center"/>
            <w:hideMark/>
          </w:tcPr>
          <w:p w14:paraId="08656ACD" w14:textId="77777777" w:rsidR="007A149F" w:rsidRPr="00667CD1" w:rsidRDefault="007A149F" w:rsidP="006D255D">
            <w:pPr>
              <w:ind w:left="-227" w:right="113"/>
              <w:jc w:val="right"/>
              <w:rPr>
                <w:rFonts w:ascii="Arial" w:hAnsi="Arial" w:cs="Arial"/>
                <w:b/>
                <w:color w:val="008EBA"/>
                <w:sz w:val="12"/>
                <w:szCs w:val="12"/>
                <w:lang w:eastAsia="en-AU"/>
              </w:rPr>
            </w:pPr>
          </w:p>
        </w:tc>
      </w:tr>
    </w:tbl>
    <w:p w14:paraId="7A4DF02A" w14:textId="0AA7CBAC" w:rsidR="00D33A47" w:rsidRPr="00667CD1" w:rsidRDefault="00DF019B" w:rsidP="00DC5EFC">
      <w:pPr>
        <w:pStyle w:val="BodyText"/>
        <w:rPr>
          <w:sz w:val="20"/>
          <w:szCs w:val="16"/>
        </w:rPr>
      </w:pPr>
      <w:r w:rsidRPr="00667CD1">
        <w:rPr>
          <w:sz w:val="20"/>
          <w:szCs w:val="16"/>
        </w:rPr>
        <w:t>General government revenue is</w:t>
      </w:r>
      <w:r w:rsidR="00D33A47" w:rsidRPr="00667CD1">
        <w:rPr>
          <w:sz w:val="20"/>
          <w:szCs w:val="16"/>
        </w:rPr>
        <w:t xml:space="preserve"> forecast </w:t>
      </w:r>
      <w:r w:rsidRPr="00667CD1">
        <w:rPr>
          <w:sz w:val="20"/>
          <w:szCs w:val="16"/>
        </w:rPr>
        <w:t>to be $</w:t>
      </w:r>
      <w:r w:rsidR="00F36CBA" w:rsidRPr="00667CD1">
        <w:rPr>
          <w:sz w:val="20"/>
          <w:szCs w:val="16"/>
        </w:rPr>
        <w:t>1</w:t>
      </w:r>
      <w:r w:rsidR="00523876" w:rsidRPr="00667CD1">
        <w:rPr>
          <w:sz w:val="20"/>
          <w:szCs w:val="16"/>
        </w:rPr>
        <w:t>4.</w:t>
      </w:r>
      <w:r w:rsidR="65CE3851" w:rsidRPr="00667CD1">
        <w:rPr>
          <w:sz w:val="20"/>
          <w:szCs w:val="16"/>
        </w:rPr>
        <w:t>8</w:t>
      </w:r>
      <w:r w:rsidRPr="00667CD1">
        <w:rPr>
          <w:sz w:val="20"/>
          <w:szCs w:val="16"/>
        </w:rPr>
        <w:t xml:space="preserve"> billion lower over the </w:t>
      </w:r>
      <w:r w:rsidR="00E424F8" w:rsidRPr="00667CD1">
        <w:rPr>
          <w:sz w:val="20"/>
          <w:szCs w:val="16"/>
        </w:rPr>
        <w:t xml:space="preserve">four </w:t>
      </w:r>
      <w:r w:rsidRPr="00667CD1">
        <w:rPr>
          <w:sz w:val="20"/>
          <w:szCs w:val="16"/>
        </w:rPr>
        <w:t>years to 2023</w:t>
      </w:r>
      <w:r w:rsidR="00676A62" w:rsidRPr="00667CD1">
        <w:rPr>
          <w:sz w:val="20"/>
          <w:szCs w:val="16"/>
        </w:rPr>
        <w:noBreakHyphen/>
      </w:r>
      <w:r w:rsidRPr="00667CD1">
        <w:rPr>
          <w:sz w:val="20"/>
          <w:szCs w:val="16"/>
        </w:rPr>
        <w:t xml:space="preserve">24 </w:t>
      </w:r>
      <w:r w:rsidR="007A091C" w:rsidRPr="00667CD1">
        <w:rPr>
          <w:sz w:val="20"/>
          <w:szCs w:val="16"/>
        </w:rPr>
        <w:t>in comparison to forecasts</w:t>
      </w:r>
      <w:r w:rsidRPr="00667CD1">
        <w:rPr>
          <w:sz w:val="20"/>
          <w:szCs w:val="16"/>
        </w:rPr>
        <w:t xml:space="preserve"> at</w:t>
      </w:r>
      <w:r w:rsidR="00D33A47" w:rsidRPr="00667CD1">
        <w:rPr>
          <w:sz w:val="20"/>
          <w:szCs w:val="16"/>
        </w:rPr>
        <w:t xml:space="preserve"> the 2019-20 </w:t>
      </w:r>
      <w:r w:rsidR="009F7B3E" w:rsidRPr="00667CD1">
        <w:rPr>
          <w:sz w:val="20"/>
          <w:szCs w:val="16"/>
        </w:rPr>
        <w:t>Half-Yearly</w:t>
      </w:r>
      <w:r w:rsidR="00D33A47" w:rsidRPr="00667CD1">
        <w:rPr>
          <w:sz w:val="20"/>
          <w:szCs w:val="16"/>
        </w:rPr>
        <w:t xml:space="preserve"> Review </w:t>
      </w:r>
      <w:r w:rsidRPr="00667CD1">
        <w:rPr>
          <w:sz w:val="20"/>
          <w:szCs w:val="16"/>
        </w:rPr>
        <w:t xml:space="preserve">(See </w:t>
      </w:r>
      <w:r w:rsidR="009D69E4" w:rsidRPr="00667CD1">
        <w:rPr>
          <w:sz w:val="20"/>
          <w:szCs w:val="16"/>
        </w:rPr>
        <w:t xml:space="preserve">Chart 4.3 and Table </w:t>
      </w:r>
      <w:r w:rsidR="00394C8B" w:rsidRPr="00667CD1">
        <w:rPr>
          <w:sz w:val="20"/>
          <w:szCs w:val="16"/>
        </w:rPr>
        <w:t>4.</w:t>
      </w:r>
      <w:r w:rsidR="00BD101E" w:rsidRPr="00667CD1">
        <w:rPr>
          <w:sz w:val="20"/>
          <w:szCs w:val="16"/>
        </w:rPr>
        <w:t>4</w:t>
      </w:r>
      <w:r w:rsidR="00D33A47" w:rsidRPr="00667CD1">
        <w:rPr>
          <w:sz w:val="20"/>
          <w:szCs w:val="16"/>
        </w:rPr>
        <w:t>). Significant d</w:t>
      </w:r>
      <w:r w:rsidR="00850140" w:rsidRPr="00667CD1">
        <w:rPr>
          <w:sz w:val="20"/>
          <w:szCs w:val="16"/>
        </w:rPr>
        <w:t xml:space="preserve">owngrades, largely due to the impacts of </w:t>
      </w:r>
      <w:r w:rsidR="00EE662E" w:rsidRPr="00667CD1">
        <w:rPr>
          <w:sz w:val="20"/>
          <w:szCs w:val="16"/>
        </w:rPr>
        <w:t>the pandemic</w:t>
      </w:r>
      <w:r w:rsidR="00850140" w:rsidRPr="00667CD1">
        <w:rPr>
          <w:sz w:val="20"/>
          <w:szCs w:val="16"/>
        </w:rPr>
        <w:t xml:space="preserve">, </w:t>
      </w:r>
      <w:r w:rsidR="00D33A47" w:rsidRPr="00667CD1">
        <w:rPr>
          <w:sz w:val="20"/>
          <w:szCs w:val="16"/>
        </w:rPr>
        <w:t>include:</w:t>
      </w:r>
    </w:p>
    <w:p w14:paraId="04EE9FF8" w14:textId="0008066B" w:rsidR="00D33A47" w:rsidRPr="00667CD1" w:rsidRDefault="1582713C" w:rsidP="00DC5EFC">
      <w:pPr>
        <w:pStyle w:val="Bullet1"/>
        <w:rPr>
          <w:sz w:val="20"/>
          <w:szCs w:val="16"/>
        </w:rPr>
      </w:pPr>
      <w:r w:rsidRPr="00667CD1">
        <w:rPr>
          <w:sz w:val="20"/>
          <w:szCs w:val="16"/>
        </w:rPr>
        <w:t xml:space="preserve">a downward revision to forecast GST revenue (including </w:t>
      </w:r>
      <w:r w:rsidR="00721169" w:rsidRPr="00667CD1">
        <w:rPr>
          <w:sz w:val="20"/>
          <w:szCs w:val="16"/>
        </w:rPr>
        <w:t>“</w:t>
      </w:r>
      <w:r w:rsidRPr="00667CD1">
        <w:rPr>
          <w:sz w:val="20"/>
          <w:szCs w:val="16"/>
        </w:rPr>
        <w:t>no worse off</w:t>
      </w:r>
      <w:r w:rsidR="00721169" w:rsidRPr="00667CD1">
        <w:rPr>
          <w:sz w:val="20"/>
          <w:szCs w:val="16"/>
        </w:rPr>
        <w:t>”</w:t>
      </w:r>
      <w:r w:rsidRPr="00667CD1">
        <w:rPr>
          <w:sz w:val="20"/>
          <w:szCs w:val="16"/>
        </w:rPr>
        <w:t xml:space="preserve"> payments) of $</w:t>
      </w:r>
      <w:r w:rsidR="009E7DFC" w:rsidRPr="00667CD1">
        <w:rPr>
          <w:sz w:val="20"/>
          <w:szCs w:val="16"/>
        </w:rPr>
        <w:t>8</w:t>
      </w:r>
      <w:r w:rsidR="3F18A2A3" w:rsidRPr="00667CD1">
        <w:rPr>
          <w:sz w:val="20"/>
          <w:szCs w:val="16"/>
        </w:rPr>
        <w:t>.7</w:t>
      </w:r>
      <w:r w:rsidR="00676A62" w:rsidRPr="00667CD1">
        <w:rPr>
          <w:sz w:val="20"/>
          <w:szCs w:val="16"/>
        </w:rPr>
        <w:t> </w:t>
      </w:r>
      <w:r w:rsidRPr="00667CD1">
        <w:rPr>
          <w:sz w:val="20"/>
          <w:szCs w:val="16"/>
        </w:rPr>
        <w:t xml:space="preserve">billion, </w:t>
      </w:r>
      <w:r w:rsidR="009E7DFC" w:rsidRPr="00667CD1">
        <w:rPr>
          <w:sz w:val="20"/>
          <w:szCs w:val="16"/>
        </w:rPr>
        <w:t>mostly</w:t>
      </w:r>
      <w:r w:rsidR="3F18A2A3" w:rsidRPr="00667CD1">
        <w:rPr>
          <w:sz w:val="20"/>
          <w:szCs w:val="16"/>
        </w:rPr>
        <w:t xml:space="preserve"> </w:t>
      </w:r>
      <w:r w:rsidRPr="00667CD1">
        <w:rPr>
          <w:sz w:val="20"/>
          <w:szCs w:val="16"/>
        </w:rPr>
        <w:t xml:space="preserve">due to </w:t>
      </w:r>
      <w:r w:rsidR="009E7DFC" w:rsidRPr="00667CD1">
        <w:rPr>
          <w:sz w:val="20"/>
          <w:szCs w:val="16"/>
        </w:rPr>
        <w:t xml:space="preserve">downward </w:t>
      </w:r>
      <w:r w:rsidRPr="00667CD1">
        <w:rPr>
          <w:sz w:val="20"/>
          <w:szCs w:val="16"/>
        </w:rPr>
        <w:t>revisions of the GST pool</w:t>
      </w:r>
    </w:p>
    <w:p w14:paraId="1B036EE0" w14:textId="23EDD677" w:rsidR="00D33A47" w:rsidRPr="00667CD1" w:rsidRDefault="00D33A47" w:rsidP="00DC5EFC">
      <w:pPr>
        <w:pStyle w:val="Bullet1"/>
        <w:rPr>
          <w:sz w:val="20"/>
          <w:szCs w:val="16"/>
        </w:rPr>
      </w:pPr>
      <w:r w:rsidRPr="00667CD1">
        <w:rPr>
          <w:sz w:val="20"/>
          <w:szCs w:val="16"/>
        </w:rPr>
        <w:t>a downward revision to payroll tax revenue of $</w:t>
      </w:r>
      <w:r w:rsidR="007254C5" w:rsidRPr="00667CD1">
        <w:rPr>
          <w:sz w:val="20"/>
          <w:szCs w:val="16"/>
        </w:rPr>
        <w:t>6.</w:t>
      </w:r>
      <w:r w:rsidR="7A6D25AC" w:rsidRPr="00667CD1">
        <w:rPr>
          <w:sz w:val="20"/>
          <w:szCs w:val="16"/>
        </w:rPr>
        <w:t>8</w:t>
      </w:r>
      <w:r w:rsidRPr="00667CD1">
        <w:rPr>
          <w:sz w:val="20"/>
          <w:szCs w:val="16"/>
        </w:rPr>
        <w:t xml:space="preserve"> billion, due to the </w:t>
      </w:r>
      <w:r w:rsidR="00025F6A" w:rsidRPr="00667CD1">
        <w:rPr>
          <w:sz w:val="20"/>
          <w:szCs w:val="16"/>
        </w:rPr>
        <w:t>projected</w:t>
      </w:r>
      <w:r w:rsidR="000D4AD4" w:rsidRPr="00667CD1">
        <w:rPr>
          <w:sz w:val="20"/>
          <w:szCs w:val="16"/>
        </w:rPr>
        <w:t xml:space="preserve"> cost</w:t>
      </w:r>
      <w:r w:rsidRPr="00667CD1">
        <w:rPr>
          <w:sz w:val="20"/>
          <w:szCs w:val="16"/>
        </w:rPr>
        <w:t xml:space="preserve"> of </w:t>
      </w:r>
      <w:r w:rsidR="00450999" w:rsidRPr="00667CD1">
        <w:rPr>
          <w:sz w:val="20"/>
          <w:szCs w:val="16"/>
        </w:rPr>
        <w:t>tax relief</w:t>
      </w:r>
      <w:r w:rsidRPr="00667CD1">
        <w:rPr>
          <w:sz w:val="20"/>
          <w:szCs w:val="16"/>
        </w:rPr>
        <w:t xml:space="preserve"> and lower </w:t>
      </w:r>
      <w:r w:rsidR="001425E8" w:rsidRPr="00667CD1">
        <w:rPr>
          <w:sz w:val="20"/>
          <w:szCs w:val="16"/>
        </w:rPr>
        <w:t>expected</w:t>
      </w:r>
      <w:r w:rsidRPr="00667CD1">
        <w:rPr>
          <w:sz w:val="20"/>
          <w:szCs w:val="16"/>
        </w:rPr>
        <w:t xml:space="preserve"> employment </w:t>
      </w:r>
      <w:r w:rsidR="00710684" w:rsidRPr="00667CD1">
        <w:rPr>
          <w:sz w:val="20"/>
          <w:szCs w:val="16"/>
        </w:rPr>
        <w:t>and wages</w:t>
      </w:r>
    </w:p>
    <w:p w14:paraId="6DC14557" w14:textId="5C747224" w:rsidR="00D33A47" w:rsidRPr="00667CD1" w:rsidRDefault="1582713C" w:rsidP="00DC5EFC">
      <w:pPr>
        <w:pStyle w:val="Bullet1"/>
        <w:rPr>
          <w:sz w:val="20"/>
          <w:szCs w:val="16"/>
        </w:rPr>
      </w:pPr>
      <w:r w:rsidRPr="00667CD1">
        <w:rPr>
          <w:sz w:val="20"/>
          <w:szCs w:val="16"/>
        </w:rPr>
        <w:t xml:space="preserve">a downward revision to transfer duty revenue </w:t>
      </w:r>
      <w:r w:rsidR="75AFADA5" w:rsidRPr="00667CD1">
        <w:rPr>
          <w:sz w:val="20"/>
          <w:szCs w:val="16"/>
        </w:rPr>
        <w:t xml:space="preserve">of </w:t>
      </w:r>
      <w:r w:rsidRPr="00667CD1">
        <w:rPr>
          <w:sz w:val="20"/>
          <w:szCs w:val="16"/>
        </w:rPr>
        <w:t>$</w:t>
      </w:r>
      <w:r w:rsidR="00D00DEC" w:rsidRPr="00667CD1">
        <w:rPr>
          <w:sz w:val="20"/>
          <w:szCs w:val="16"/>
        </w:rPr>
        <w:t>2.</w:t>
      </w:r>
      <w:r w:rsidR="756AA9D3" w:rsidRPr="00667CD1">
        <w:rPr>
          <w:sz w:val="20"/>
          <w:szCs w:val="16"/>
        </w:rPr>
        <w:t>3</w:t>
      </w:r>
      <w:r w:rsidR="00D00DEC" w:rsidRPr="00667CD1">
        <w:rPr>
          <w:sz w:val="20"/>
          <w:szCs w:val="16"/>
        </w:rPr>
        <w:t xml:space="preserve"> </w:t>
      </w:r>
      <w:r w:rsidRPr="00667CD1">
        <w:rPr>
          <w:sz w:val="20"/>
          <w:szCs w:val="16"/>
        </w:rPr>
        <w:t xml:space="preserve">billion, </w:t>
      </w:r>
      <w:r w:rsidR="00D00DEC" w:rsidRPr="00667CD1">
        <w:rPr>
          <w:sz w:val="20"/>
          <w:szCs w:val="16"/>
        </w:rPr>
        <w:t>reflecting</w:t>
      </w:r>
      <w:r w:rsidRPr="00667CD1">
        <w:rPr>
          <w:sz w:val="20"/>
          <w:szCs w:val="16"/>
        </w:rPr>
        <w:t xml:space="preserve"> </w:t>
      </w:r>
      <w:r w:rsidR="1AE858C1" w:rsidRPr="00667CD1">
        <w:rPr>
          <w:sz w:val="20"/>
          <w:szCs w:val="16"/>
        </w:rPr>
        <w:t xml:space="preserve">weaker than previously expected property prices </w:t>
      </w:r>
      <w:r w:rsidR="75AFADA5" w:rsidRPr="00667CD1">
        <w:rPr>
          <w:sz w:val="20"/>
          <w:szCs w:val="16"/>
        </w:rPr>
        <w:t xml:space="preserve">growth </w:t>
      </w:r>
      <w:r w:rsidR="1AE858C1" w:rsidRPr="00667CD1">
        <w:rPr>
          <w:sz w:val="20"/>
          <w:szCs w:val="16"/>
        </w:rPr>
        <w:t xml:space="preserve">and </w:t>
      </w:r>
      <w:r w:rsidR="00D00DEC" w:rsidRPr="00667CD1">
        <w:rPr>
          <w:sz w:val="20"/>
          <w:szCs w:val="16"/>
        </w:rPr>
        <w:t xml:space="preserve">lower </w:t>
      </w:r>
      <w:r w:rsidR="1AE858C1" w:rsidRPr="00667CD1">
        <w:rPr>
          <w:sz w:val="20"/>
          <w:szCs w:val="16"/>
        </w:rPr>
        <w:t>transaction volumes</w:t>
      </w:r>
      <w:r w:rsidR="00D00DEC" w:rsidRPr="00667CD1">
        <w:rPr>
          <w:sz w:val="20"/>
          <w:szCs w:val="16"/>
        </w:rPr>
        <w:t>, notably</w:t>
      </w:r>
      <w:r w:rsidR="75AFADA5" w:rsidRPr="00667CD1">
        <w:rPr>
          <w:sz w:val="20"/>
          <w:szCs w:val="16"/>
        </w:rPr>
        <w:t xml:space="preserve"> </w:t>
      </w:r>
      <w:r w:rsidR="00D00DEC" w:rsidRPr="00667CD1">
        <w:rPr>
          <w:sz w:val="20"/>
          <w:szCs w:val="16"/>
        </w:rPr>
        <w:t>in the near term</w:t>
      </w:r>
    </w:p>
    <w:p w14:paraId="2A8DFCC3" w14:textId="563E9B15" w:rsidR="00D33A47" w:rsidRPr="00667CD1" w:rsidRDefault="1582713C" w:rsidP="00DC5EFC">
      <w:pPr>
        <w:pStyle w:val="Bullet1"/>
        <w:rPr>
          <w:sz w:val="20"/>
          <w:szCs w:val="16"/>
        </w:rPr>
      </w:pPr>
      <w:r w:rsidRPr="00667CD1">
        <w:rPr>
          <w:sz w:val="20"/>
          <w:szCs w:val="16"/>
        </w:rPr>
        <w:t>a reduction in land tax of $</w:t>
      </w:r>
      <w:r w:rsidR="6AE32B15" w:rsidRPr="00667CD1">
        <w:rPr>
          <w:sz w:val="20"/>
          <w:szCs w:val="16"/>
        </w:rPr>
        <w:t>1</w:t>
      </w:r>
      <w:r w:rsidR="7E2620E1" w:rsidRPr="00667CD1">
        <w:rPr>
          <w:sz w:val="20"/>
          <w:szCs w:val="16"/>
        </w:rPr>
        <w:t>.7</w:t>
      </w:r>
      <w:r w:rsidRPr="00667CD1">
        <w:rPr>
          <w:sz w:val="20"/>
          <w:szCs w:val="16"/>
        </w:rPr>
        <w:t xml:space="preserve"> </w:t>
      </w:r>
      <w:r w:rsidR="6AE32B15" w:rsidRPr="00667CD1">
        <w:rPr>
          <w:sz w:val="20"/>
          <w:szCs w:val="16"/>
        </w:rPr>
        <w:t>b</w:t>
      </w:r>
      <w:r w:rsidRPr="00667CD1">
        <w:rPr>
          <w:sz w:val="20"/>
          <w:szCs w:val="16"/>
        </w:rPr>
        <w:t xml:space="preserve">illion, </w:t>
      </w:r>
      <w:r w:rsidR="6AE32B15" w:rsidRPr="00667CD1">
        <w:rPr>
          <w:sz w:val="20"/>
          <w:szCs w:val="16"/>
        </w:rPr>
        <w:t xml:space="preserve">largely </w:t>
      </w:r>
      <w:r w:rsidRPr="00667CD1">
        <w:rPr>
          <w:sz w:val="20"/>
          <w:szCs w:val="16"/>
        </w:rPr>
        <w:t>reflecting</w:t>
      </w:r>
      <w:r w:rsidR="75AFADA5" w:rsidRPr="00667CD1">
        <w:rPr>
          <w:sz w:val="20"/>
          <w:szCs w:val="16"/>
        </w:rPr>
        <w:t xml:space="preserve"> lower</w:t>
      </w:r>
      <w:r w:rsidR="6AE32B15" w:rsidRPr="00667CD1">
        <w:rPr>
          <w:sz w:val="20"/>
          <w:szCs w:val="16"/>
        </w:rPr>
        <w:t xml:space="preserve"> </w:t>
      </w:r>
      <w:r w:rsidR="75AFADA5" w:rsidRPr="00667CD1">
        <w:rPr>
          <w:sz w:val="20"/>
          <w:szCs w:val="16"/>
        </w:rPr>
        <w:t>forecasts for</w:t>
      </w:r>
      <w:r w:rsidR="6AE32B15" w:rsidRPr="00667CD1">
        <w:rPr>
          <w:sz w:val="20"/>
          <w:szCs w:val="16"/>
        </w:rPr>
        <w:t xml:space="preserve"> average </w:t>
      </w:r>
      <w:r w:rsidRPr="00667CD1">
        <w:rPr>
          <w:sz w:val="20"/>
          <w:szCs w:val="16"/>
        </w:rPr>
        <w:t>land values</w:t>
      </w:r>
    </w:p>
    <w:p w14:paraId="6A847A15" w14:textId="67B47597" w:rsidR="00597573" w:rsidRPr="00667CD1" w:rsidRDefault="72D20E39" w:rsidP="00DC5EFC">
      <w:pPr>
        <w:pStyle w:val="Bullet1"/>
        <w:rPr>
          <w:rFonts w:eastAsiaTheme="minorEastAsia"/>
          <w:noProof/>
          <w:sz w:val="20"/>
          <w:szCs w:val="16"/>
        </w:rPr>
      </w:pPr>
      <w:r w:rsidRPr="00667CD1">
        <w:rPr>
          <w:rFonts w:eastAsiaTheme="minorEastAsia"/>
          <w:noProof/>
          <w:sz w:val="20"/>
          <w:szCs w:val="16"/>
        </w:rPr>
        <w:lastRenderedPageBreak/>
        <w:t>a reduction in</w:t>
      </w:r>
      <w:r w:rsidR="6AE32B15" w:rsidRPr="00667CD1">
        <w:rPr>
          <w:rFonts w:eastAsiaTheme="minorEastAsia"/>
          <w:noProof/>
          <w:sz w:val="20"/>
          <w:szCs w:val="16"/>
        </w:rPr>
        <w:t xml:space="preserve"> revenue from the sales of goods and services</w:t>
      </w:r>
      <w:r w:rsidRPr="00667CD1">
        <w:rPr>
          <w:rFonts w:eastAsiaTheme="minorEastAsia"/>
          <w:noProof/>
          <w:sz w:val="20"/>
          <w:szCs w:val="16"/>
        </w:rPr>
        <w:t xml:space="preserve"> of $</w:t>
      </w:r>
      <w:r w:rsidR="00F466D4" w:rsidRPr="00667CD1">
        <w:rPr>
          <w:rFonts w:eastAsiaTheme="minorEastAsia"/>
          <w:noProof/>
          <w:sz w:val="20"/>
          <w:szCs w:val="16"/>
        </w:rPr>
        <w:t>1.1</w:t>
      </w:r>
      <w:r w:rsidRPr="00667CD1">
        <w:rPr>
          <w:rFonts w:eastAsiaTheme="minorEastAsia"/>
          <w:noProof/>
          <w:sz w:val="20"/>
          <w:szCs w:val="16"/>
        </w:rPr>
        <w:t xml:space="preserve"> billion</w:t>
      </w:r>
      <w:r w:rsidR="0F688E75" w:rsidRPr="00667CD1">
        <w:rPr>
          <w:rFonts w:eastAsiaTheme="minorEastAsia"/>
          <w:noProof/>
          <w:sz w:val="20"/>
          <w:szCs w:val="16"/>
        </w:rPr>
        <w:t>, largely due to weaker transport revenue</w:t>
      </w:r>
      <w:r w:rsidR="00744B0B" w:rsidRPr="00667CD1">
        <w:rPr>
          <w:rFonts w:eastAsiaTheme="minorEastAsia"/>
          <w:noProof/>
          <w:sz w:val="20"/>
          <w:szCs w:val="16"/>
        </w:rPr>
        <w:t>.</w:t>
      </w:r>
    </w:p>
    <w:p w14:paraId="6D5B4387" w14:textId="4ADC34E5" w:rsidR="00394C8B" w:rsidRPr="00667CD1" w:rsidRDefault="00B070AE" w:rsidP="003B4998">
      <w:pPr>
        <w:pStyle w:val="Chart41"/>
        <w:ind w:left="1302" w:hanging="1302"/>
        <w:rPr>
          <w:sz w:val="18"/>
          <w:szCs w:val="16"/>
        </w:rPr>
      </w:pPr>
      <w:r w:rsidRPr="00667CD1">
        <w:rPr>
          <w:sz w:val="18"/>
          <w:szCs w:val="16"/>
        </w:rPr>
        <w:t>Deviations in</w:t>
      </w:r>
      <w:r w:rsidR="00394C8B" w:rsidRPr="00667CD1">
        <w:rPr>
          <w:sz w:val="18"/>
          <w:szCs w:val="16"/>
        </w:rPr>
        <w:t xml:space="preserve"> total revenue</w:t>
      </w:r>
      <w:r w:rsidRPr="00667CD1">
        <w:rPr>
          <w:sz w:val="18"/>
          <w:szCs w:val="16"/>
        </w:rPr>
        <w:t xml:space="preserve"> since 2019-20 Half-Yearly Review</w:t>
      </w:r>
    </w:p>
    <w:p w14:paraId="4C29ABC4" w14:textId="558A10A4" w:rsidR="00401809" w:rsidRPr="00667CD1" w:rsidRDefault="00782ED4" w:rsidP="00401809">
      <w:pPr>
        <w:jc w:val="center"/>
        <w:rPr>
          <w:sz w:val="16"/>
          <w:szCs w:val="16"/>
        </w:rPr>
      </w:pPr>
      <w:r>
        <w:rPr>
          <w:noProof/>
          <w:sz w:val="16"/>
          <w:szCs w:val="16"/>
        </w:rPr>
        <w:drawing>
          <wp:inline distT="0" distB="0" distL="0" distR="0" wp14:anchorId="213127E6" wp14:editId="047D49EF">
            <wp:extent cx="5974715" cy="3164205"/>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4715" cy="3164205"/>
                    </a:xfrm>
                    <a:prstGeom prst="rect">
                      <a:avLst/>
                    </a:prstGeom>
                    <a:noFill/>
                  </pic:spPr>
                </pic:pic>
              </a:graphicData>
            </a:graphic>
          </wp:inline>
        </w:drawing>
      </w:r>
    </w:p>
    <w:p w14:paraId="5BE8BDA0" w14:textId="3B57B4B5" w:rsidR="00516438" w:rsidRPr="00667CD1" w:rsidRDefault="00516438" w:rsidP="00401809">
      <w:pPr>
        <w:rPr>
          <w:sz w:val="16"/>
          <w:szCs w:val="16"/>
        </w:rPr>
      </w:pPr>
    </w:p>
    <w:tbl>
      <w:tblPr>
        <w:tblW w:w="9615" w:type="dxa"/>
        <w:jc w:val="right"/>
        <w:shd w:val="clear" w:color="auto" w:fill="F2F2F2" w:themeFill="background1" w:themeFillShade="F2"/>
        <w:tblLayout w:type="fixed"/>
        <w:tblLook w:val="04A0" w:firstRow="1" w:lastRow="0" w:firstColumn="1" w:lastColumn="0" w:noHBand="0" w:noVBand="1"/>
        <w:tblCaption w:val="Box 4.2:  GST revenues under pressure from the pandemic and spending trends"/>
        <w:tblDescription w:val="Box 4.2:  GST revenues under pressure from the pandemic and spending trends"/>
      </w:tblPr>
      <w:tblGrid>
        <w:gridCol w:w="9615"/>
      </w:tblGrid>
      <w:tr w:rsidR="002A190E" w:rsidRPr="00667CD1" w14:paraId="261A00CC" w14:textId="77777777" w:rsidTr="00A22E11">
        <w:trPr>
          <w:trHeight w:val="653"/>
          <w:jc w:val="right"/>
        </w:trPr>
        <w:tc>
          <w:tcPr>
            <w:tcW w:w="9615" w:type="dxa"/>
            <w:shd w:val="clear" w:color="auto" w:fill="F2F2F2" w:themeFill="background1" w:themeFillShade="F2"/>
          </w:tcPr>
          <w:p w14:paraId="2F802CDA" w14:textId="25C915F2" w:rsidR="002A190E" w:rsidRPr="00667CD1" w:rsidRDefault="002A190E" w:rsidP="009375D4">
            <w:pPr>
              <w:pStyle w:val="Box51BoxHeading"/>
              <w:rPr>
                <w:sz w:val="19"/>
                <w:szCs w:val="16"/>
              </w:rPr>
            </w:pPr>
            <w:r w:rsidRPr="00667CD1">
              <w:rPr>
                <w:sz w:val="19"/>
                <w:szCs w:val="16"/>
              </w:rPr>
              <w:t xml:space="preserve">Box 4.2: </w:t>
            </w:r>
            <w:r w:rsidR="00A60B7A" w:rsidRPr="00667CD1">
              <w:rPr>
                <w:sz w:val="19"/>
                <w:szCs w:val="16"/>
              </w:rPr>
              <w:tab/>
            </w:r>
            <w:r w:rsidRPr="00667CD1">
              <w:rPr>
                <w:sz w:val="19"/>
                <w:szCs w:val="16"/>
              </w:rPr>
              <w:t xml:space="preserve">GST </w:t>
            </w:r>
            <w:r w:rsidR="0037564B" w:rsidRPr="00667CD1">
              <w:rPr>
                <w:sz w:val="19"/>
                <w:szCs w:val="16"/>
              </w:rPr>
              <w:t xml:space="preserve">revenues </w:t>
            </w:r>
            <w:r w:rsidR="00925864" w:rsidRPr="00667CD1">
              <w:rPr>
                <w:sz w:val="19"/>
                <w:szCs w:val="16"/>
              </w:rPr>
              <w:t xml:space="preserve">under pressure from the </w:t>
            </w:r>
            <w:r w:rsidR="007610B1" w:rsidRPr="00667CD1">
              <w:rPr>
                <w:sz w:val="19"/>
                <w:szCs w:val="16"/>
              </w:rPr>
              <w:t xml:space="preserve">pandemic </w:t>
            </w:r>
            <w:r w:rsidR="00126753" w:rsidRPr="00667CD1">
              <w:rPr>
                <w:sz w:val="19"/>
                <w:szCs w:val="16"/>
              </w:rPr>
              <w:t xml:space="preserve">and </w:t>
            </w:r>
            <w:r w:rsidR="00383C92" w:rsidRPr="00667CD1">
              <w:rPr>
                <w:sz w:val="19"/>
                <w:szCs w:val="16"/>
              </w:rPr>
              <w:t>spending</w:t>
            </w:r>
            <w:r w:rsidR="00126753" w:rsidRPr="00667CD1">
              <w:rPr>
                <w:sz w:val="19"/>
                <w:szCs w:val="16"/>
              </w:rPr>
              <w:t xml:space="preserve"> trends</w:t>
            </w:r>
          </w:p>
          <w:p w14:paraId="3AE30ED2" w14:textId="5866B642" w:rsidR="0081698B" w:rsidRPr="00667CD1" w:rsidRDefault="0081698B" w:rsidP="00820C69">
            <w:pPr>
              <w:pStyle w:val="BodyTextBox"/>
              <w:rPr>
                <w:sz w:val="20"/>
                <w:szCs w:val="20"/>
              </w:rPr>
            </w:pPr>
            <w:r w:rsidRPr="00667CD1">
              <w:rPr>
                <w:sz w:val="20"/>
                <w:szCs w:val="20"/>
              </w:rPr>
              <w:t>GST revenue has come under pressure in recent years from weak consumption growth and shifting trends in household spending.</w:t>
            </w:r>
            <w:r w:rsidR="77D5D3F2" w:rsidRPr="00667CD1">
              <w:rPr>
                <w:sz w:val="20"/>
                <w:szCs w:val="20"/>
              </w:rPr>
              <w:t xml:space="preserve"> </w:t>
            </w:r>
            <w:r w:rsidRPr="00667CD1">
              <w:rPr>
                <w:sz w:val="20"/>
                <w:szCs w:val="20"/>
              </w:rPr>
              <w:t xml:space="preserve">These effects </w:t>
            </w:r>
            <w:r w:rsidR="00052FF7" w:rsidRPr="00667CD1">
              <w:rPr>
                <w:sz w:val="20"/>
                <w:szCs w:val="20"/>
              </w:rPr>
              <w:t>were</w:t>
            </w:r>
            <w:r w:rsidRPr="00667CD1">
              <w:rPr>
                <w:sz w:val="20"/>
                <w:szCs w:val="20"/>
              </w:rPr>
              <w:t xml:space="preserve"> compounded by the COVID-19 </w:t>
            </w:r>
            <w:r w:rsidR="00CB5456" w:rsidRPr="00667CD1">
              <w:rPr>
                <w:sz w:val="20"/>
                <w:szCs w:val="20"/>
              </w:rPr>
              <w:t>pandemic</w:t>
            </w:r>
            <w:r w:rsidRPr="00667CD1">
              <w:rPr>
                <w:sz w:val="20"/>
                <w:szCs w:val="20"/>
              </w:rPr>
              <w:t>, which</w:t>
            </w:r>
            <w:r w:rsidR="00F6485F" w:rsidRPr="00667CD1">
              <w:rPr>
                <w:sz w:val="20"/>
                <w:szCs w:val="20"/>
              </w:rPr>
              <w:t xml:space="preserve"> is expected to</w:t>
            </w:r>
            <w:r w:rsidR="0002140B" w:rsidRPr="00667CD1">
              <w:rPr>
                <w:sz w:val="20"/>
                <w:szCs w:val="20"/>
              </w:rPr>
              <w:t xml:space="preserve"> result in the GST pool </w:t>
            </w:r>
            <w:r w:rsidR="00373548" w:rsidRPr="00667CD1">
              <w:rPr>
                <w:sz w:val="20"/>
                <w:szCs w:val="20"/>
              </w:rPr>
              <w:t>remaining</w:t>
            </w:r>
            <w:r w:rsidR="00F6485F" w:rsidRPr="00667CD1" w:rsidDel="0002140B">
              <w:rPr>
                <w:sz w:val="20"/>
                <w:szCs w:val="20"/>
              </w:rPr>
              <w:t xml:space="preserve"> </w:t>
            </w:r>
            <w:r w:rsidR="00D00DEC" w:rsidRPr="00667CD1" w:rsidDel="0002140B">
              <w:rPr>
                <w:sz w:val="20"/>
                <w:szCs w:val="20"/>
              </w:rPr>
              <w:t>well</w:t>
            </w:r>
            <w:r w:rsidR="00F6485F" w:rsidRPr="00667CD1" w:rsidDel="0002140B">
              <w:rPr>
                <w:sz w:val="20"/>
                <w:szCs w:val="20"/>
              </w:rPr>
              <w:t xml:space="preserve"> below </w:t>
            </w:r>
            <w:r w:rsidR="0081537A" w:rsidRPr="00667CD1">
              <w:rPr>
                <w:sz w:val="20"/>
                <w:szCs w:val="20"/>
              </w:rPr>
              <w:t>what was forecast</w:t>
            </w:r>
            <w:r w:rsidR="00F6485F" w:rsidRPr="00667CD1">
              <w:rPr>
                <w:sz w:val="20"/>
                <w:szCs w:val="20"/>
              </w:rPr>
              <w:t xml:space="preserve"> at the 2019-20 </w:t>
            </w:r>
            <w:r w:rsidR="009F7B3E" w:rsidRPr="00667CD1">
              <w:rPr>
                <w:sz w:val="20"/>
                <w:szCs w:val="20"/>
              </w:rPr>
              <w:t>Half</w:t>
            </w:r>
            <w:r w:rsidR="002A2B0D" w:rsidRPr="00667CD1">
              <w:rPr>
                <w:sz w:val="20"/>
                <w:szCs w:val="20"/>
              </w:rPr>
              <w:t>-</w:t>
            </w:r>
            <w:r w:rsidR="009F7B3E" w:rsidRPr="00667CD1">
              <w:rPr>
                <w:sz w:val="20"/>
                <w:szCs w:val="20"/>
              </w:rPr>
              <w:t>Yearly</w:t>
            </w:r>
            <w:r w:rsidR="00F6485F" w:rsidRPr="00667CD1">
              <w:rPr>
                <w:sz w:val="20"/>
                <w:szCs w:val="20"/>
              </w:rPr>
              <w:t xml:space="preserve"> Review.</w:t>
            </w:r>
          </w:p>
          <w:p w14:paraId="064404AF" w14:textId="0AF40213" w:rsidR="00B67637" w:rsidRPr="00667CD1" w:rsidRDefault="00F6485F" w:rsidP="00820C69">
            <w:pPr>
              <w:pStyle w:val="BodyTextBox"/>
              <w:rPr>
                <w:sz w:val="20"/>
                <w:szCs w:val="20"/>
              </w:rPr>
            </w:pPr>
            <w:r w:rsidRPr="00667CD1">
              <w:rPr>
                <w:sz w:val="20"/>
                <w:szCs w:val="20"/>
              </w:rPr>
              <w:t>Th</w:t>
            </w:r>
            <w:r w:rsidR="0003334A" w:rsidRPr="00667CD1">
              <w:rPr>
                <w:sz w:val="20"/>
                <w:szCs w:val="20"/>
              </w:rPr>
              <w:t xml:space="preserve">e downgrade to the GST pool </w:t>
            </w:r>
            <w:r w:rsidR="00D00DEC" w:rsidRPr="00667CD1">
              <w:rPr>
                <w:sz w:val="20"/>
                <w:szCs w:val="20"/>
              </w:rPr>
              <w:t>is expected to</w:t>
            </w:r>
            <w:r w:rsidRPr="00667CD1">
              <w:rPr>
                <w:sz w:val="20"/>
                <w:szCs w:val="20"/>
              </w:rPr>
              <w:t xml:space="preserve"> result in a loss of revenue </w:t>
            </w:r>
            <w:r w:rsidR="00593773" w:rsidRPr="00667CD1">
              <w:rPr>
                <w:sz w:val="20"/>
                <w:szCs w:val="20"/>
              </w:rPr>
              <w:t xml:space="preserve">(including </w:t>
            </w:r>
            <w:r w:rsidR="00721169" w:rsidRPr="00667CD1">
              <w:rPr>
                <w:sz w:val="20"/>
                <w:szCs w:val="20"/>
              </w:rPr>
              <w:t>“</w:t>
            </w:r>
            <w:r w:rsidR="00593773" w:rsidRPr="00667CD1">
              <w:rPr>
                <w:sz w:val="20"/>
                <w:szCs w:val="20"/>
              </w:rPr>
              <w:t>no worse off</w:t>
            </w:r>
            <w:r w:rsidR="00721169" w:rsidRPr="00667CD1">
              <w:rPr>
                <w:sz w:val="20"/>
                <w:szCs w:val="20"/>
              </w:rPr>
              <w:t>”</w:t>
            </w:r>
            <w:r w:rsidR="00593773" w:rsidRPr="00667CD1">
              <w:rPr>
                <w:sz w:val="20"/>
                <w:szCs w:val="20"/>
              </w:rPr>
              <w:t xml:space="preserve"> payments)</w:t>
            </w:r>
            <w:r w:rsidRPr="00667CD1">
              <w:rPr>
                <w:sz w:val="20"/>
                <w:szCs w:val="20"/>
              </w:rPr>
              <w:t xml:space="preserve"> to N</w:t>
            </w:r>
            <w:r w:rsidR="00887EFC" w:rsidRPr="00667CD1">
              <w:rPr>
                <w:sz w:val="20"/>
                <w:szCs w:val="20"/>
              </w:rPr>
              <w:t xml:space="preserve">ew </w:t>
            </w:r>
            <w:r w:rsidRPr="00667CD1">
              <w:rPr>
                <w:sz w:val="20"/>
                <w:szCs w:val="20"/>
              </w:rPr>
              <w:t>S</w:t>
            </w:r>
            <w:r w:rsidR="00887EFC" w:rsidRPr="00667CD1">
              <w:rPr>
                <w:sz w:val="20"/>
                <w:szCs w:val="20"/>
              </w:rPr>
              <w:t xml:space="preserve">outh </w:t>
            </w:r>
            <w:r w:rsidRPr="00667CD1">
              <w:rPr>
                <w:sz w:val="20"/>
                <w:szCs w:val="20"/>
              </w:rPr>
              <w:t>W</w:t>
            </w:r>
            <w:r w:rsidR="00887EFC" w:rsidRPr="00667CD1">
              <w:rPr>
                <w:sz w:val="20"/>
                <w:szCs w:val="20"/>
              </w:rPr>
              <w:t>ales</w:t>
            </w:r>
            <w:r w:rsidRPr="00667CD1">
              <w:rPr>
                <w:sz w:val="20"/>
                <w:szCs w:val="20"/>
              </w:rPr>
              <w:t xml:space="preserve"> of </w:t>
            </w:r>
            <w:r w:rsidR="0003215A" w:rsidRPr="00667CD1">
              <w:rPr>
                <w:sz w:val="20"/>
                <w:szCs w:val="20"/>
              </w:rPr>
              <w:t xml:space="preserve">$3.2 billion in 2020-21 and </w:t>
            </w:r>
            <w:r w:rsidRPr="00667CD1">
              <w:rPr>
                <w:sz w:val="20"/>
                <w:szCs w:val="20"/>
              </w:rPr>
              <w:t>$</w:t>
            </w:r>
            <w:r w:rsidR="00CB5456" w:rsidRPr="00667CD1">
              <w:rPr>
                <w:sz w:val="20"/>
                <w:szCs w:val="20"/>
              </w:rPr>
              <w:t>8</w:t>
            </w:r>
            <w:r w:rsidRPr="00667CD1">
              <w:rPr>
                <w:sz w:val="20"/>
                <w:szCs w:val="20"/>
              </w:rPr>
              <w:t>.</w:t>
            </w:r>
            <w:r w:rsidR="009E7DFC" w:rsidRPr="00667CD1">
              <w:rPr>
                <w:sz w:val="20"/>
                <w:szCs w:val="20"/>
              </w:rPr>
              <w:t>7</w:t>
            </w:r>
            <w:r w:rsidRPr="00667CD1">
              <w:rPr>
                <w:sz w:val="20"/>
                <w:szCs w:val="20"/>
              </w:rPr>
              <w:t xml:space="preserve"> billion over the four years to 2023-24.</w:t>
            </w:r>
            <w:r w:rsidR="00D05FE5" w:rsidRPr="00667CD1">
              <w:rPr>
                <w:sz w:val="20"/>
                <w:szCs w:val="20"/>
              </w:rPr>
              <w:t xml:space="preserve"> This comes after a downgrade of $</w:t>
            </w:r>
            <w:r w:rsidR="3CC8439A" w:rsidRPr="00667CD1">
              <w:rPr>
                <w:sz w:val="20"/>
                <w:szCs w:val="20"/>
              </w:rPr>
              <w:t>922.8</w:t>
            </w:r>
            <w:r w:rsidR="00D05FE5" w:rsidRPr="00667CD1">
              <w:rPr>
                <w:sz w:val="20"/>
                <w:szCs w:val="20"/>
              </w:rPr>
              <w:t xml:space="preserve"> </w:t>
            </w:r>
            <w:r w:rsidR="4E96283A" w:rsidRPr="00667CD1">
              <w:rPr>
                <w:sz w:val="20"/>
                <w:szCs w:val="20"/>
              </w:rPr>
              <w:t>m</w:t>
            </w:r>
            <w:r w:rsidR="295BE835" w:rsidRPr="00667CD1">
              <w:rPr>
                <w:sz w:val="20"/>
                <w:szCs w:val="20"/>
              </w:rPr>
              <w:t>illion</w:t>
            </w:r>
            <w:r w:rsidR="00D05FE5" w:rsidRPr="00667CD1">
              <w:rPr>
                <w:sz w:val="20"/>
                <w:szCs w:val="20"/>
              </w:rPr>
              <w:t xml:space="preserve"> in GST revenue over the four years to 2022-23 from the 2019-20 Budget to the 2019-20 Half-Yearly Review.</w:t>
            </w:r>
          </w:p>
          <w:p w14:paraId="3B0B88F4" w14:textId="2D8127EF" w:rsidR="00006EF0" w:rsidRPr="00667CD1" w:rsidRDefault="00F6485F" w:rsidP="00820C69">
            <w:pPr>
              <w:pStyle w:val="BodyTextBox"/>
              <w:rPr>
                <w:sz w:val="20"/>
                <w:szCs w:val="20"/>
              </w:rPr>
            </w:pPr>
            <w:r w:rsidRPr="00667CD1">
              <w:rPr>
                <w:sz w:val="20"/>
                <w:szCs w:val="20"/>
              </w:rPr>
              <w:t xml:space="preserve">The </w:t>
            </w:r>
            <w:r w:rsidR="00161A43" w:rsidRPr="00667CD1">
              <w:rPr>
                <w:sz w:val="20"/>
                <w:szCs w:val="20"/>
              </w:rPr>
              <w:t xml:space="preserve">national </w:t>
            </w:r>
            <w:r w:rsidRPr="00667CD1">
              <w:rPr>
                <w:sz w:val="20"/>
                <w:szCs w:val="20"/>
              </w:rPr>
              <w:t>GST pool fell by 7.6 per cent in 2019-20, as</w:t>
            </w:r>
            <w:r w:rsidR="00006EF0" w:rsidRPr="00667CD1">
              <w:rPr>
                <w:sz w:val="20"/>
                <w:szCs w:val="20"/>
              </w:rPr>
              <w:t>:</w:t>
            </w:r>
          </w:p>
          <w:p w14:paraId="08E6597C" w14:textId="7E736CD6" w:rsidR="00006EF0" w:rsidRPr="00667CD1" w:rsidRDefault="00826CAF" w:rsidP="00DC5EFC">
            <w:pPr>
              <w:pStyle w:val="Bullet1inabox"/>
              <w:rPr>
                <w:sz w:val="20"/>
                <w:szCs w:val="18"/>
              </w:rPr>
            </w:pPr>
            <w:r w:rsidRPr="00667CD1">
              <w:rPr>
                <w:sz w:val="20"/>
                <w:szCs w:val="18"/>
              </w:rPr>
              <w:t xml:space="preserve">across Australia, </w:t>
            </w:r>
            <w:r w:rsidR="00F777CB" w:rsidRPr="00667CD1">
              <w:rPr>
                <w:sz w:val="20"/>
                <w:szCs w:val="18"/>
              </w:rPr>
              <w:t xml:space="preserve">people spent less during the </w:t>
            </w:r>
            <w:r w:rsidR="00CB41D7" w:rsidRPr="00667CD1">
              <w:rPr>
                <w:sz w:val="20"/>
                <w:szCs w:val="18"/>
              </w:rPr>
              <w:t>period from March to June 2020</w:t>
            </w:r>
            <w:r w:rsidR="00F6485F" w:rsidRPr="00667CD1">
              <w:rPr>
                <w:sz w:val="20"/>
                <w:szCs w:val="18"/>
              </w:rPr>
              <w:t xml:space="preserve"> </w:t>
            </w:r>
            <w:r w:rsidR="007A6500" w:rsidRPr="00667CD1">
              <w:rPr>
                <w:sz w:val="20"/>
                <w:szCs w:val="18"/>
              </w:rPr>
              <w:t>(</w:t>
            </w:r>
            <w:r w:rsidR="00006EF0" w:rsidRPr="00667CD1">
              <w:rPr>
                <w:sz w:val="20"/>
                <w:szCs w:val="18"/>
              </w:rPr>
              <w:t>nominal household consumption fell 13 per cent in the June quarter)</w:t>
            </w:r>
          </w:p>
          <w:p w14:paraId="26A15DC9" w14:textId="0E5003D4" w:rsidR="00B5543B" w:rsidRPr="00667CD1" w:rsidRDefault="007C0E32" w:rsidP="00DC5EFC">
            <w:pPr>
              <w:pStyle w:val="Bullet1inabox"/>
              <w:rPr>
                <w:sz w:val="20"/>
                <w:szCs w:val="18"/>
              </w:rPr>
            </w:pPr>
            <w:r w:rsidRPr="00667CD1">
              <w:rPr>
                <w:sz w:val="20"/>
                <w:szCs w:val="18"/>
              </w:rPr>
              <w:t>household spending</w:t>
            </w:r>
            <w:r w:rsidR="00F777CB" w:rsidRPr="00667CD1">
              <w:rPr>
                <w:sz w:val="20"/>
                <w:szCs w:val="18"/>
              </w:rPr>
              <w:t xml:space="preserve"> s</w:t>
            </w:r>
            <w:r w:rsidR="00CB5456" w:rsidRPr="00667CD1">
              <w:rPr>
                <w:sz w:val="20"/>
                <w:szCs w:val="18"/>
              </w:rPr>
              <w:t>hifted</w:t>
            </w:r>
            <w:r w:rsidR="00F777CB" w:rsidRPr="00667CD1">
              <w:rPr>
                <w:sz w:val="20"/>
                <w:szCs w:val="18"/>
              </w:rPr>
              <w:t xml:space="preserve"> towards items that do not attract GST</w:t>
            </w:r>
            <w:r w:rsidR="004213C7" w:rsidRPr="00667CD1">
              <w:rPr>
                <w:sz w:val="20"/>
                <w:szCs w:val="18"/>
              </w:rPr>
              <w:t xml:space="preserve"> (e.g. from entertainment and eating out to </w:t>
            </w:r>
            <w:r w:rsidR="000819A1" w:rsidRPr="00667CD1">
              <w:rPr>
                <w:sz w:val="20"/>
                <w:szCs w:val="18"/>
              </w:rPr>
              <w:t xml:space="preserve">goods such as </w:t>
            </w:r>
            <w:r w:rsidR="004213C7" w:rsidRPr="00667CD1">
              <w:rPr>
                <w:sz w:val="20"/>
                <w:szCs w:val="18"/>
              </w:rPr>
              <w:t>fresh food)</w:t>
            </w:r>
          </w:p>
          <w:p w14:paraId="7B8B326A" w14:textId="63B6F7F3" w:rsidR="002A190E" w:rsidRPr="00667CD1" w:rsidRDefault="00514EE2" w:rsidP="00820C69">
            <w:pPr>
              <w:pStyle w:val="Bullet1inabox"/>
              <w:rPr>
                <w:sz w:val="20"/>
                <w:szCs w:val="18"/>
              </w:rPr>
            </w:pPr>
            <w:r w:rsidRPr="00667CD1">
              <w:rPr>
                <w:sz w:val="20"/>
                <w:szCs w:val="18"/>
              </w:rPr>
              <w:t xml:space="preserve">the </w:t>
            </w:r>
            <w:r w:rsidR="00202133" w:rsidRPr="00667CD1">
              <w:rPr>
                <w:sz w:val="20"/>
                <w:szCs w:val="18"/>
              </w:rPr>
              <w:t>total</w:t>
            </w:r>
            <w:r w:rsidR="00562DDD" w:rsidRPr="00667CD1">
              <w:rPr>
                <w:sz w:val="20"/>
                <w:szCs w:val="18"/>
              </w:rPr>
              <w:t xml:space="preserve"> GST collected by businesses but not yet paid to the Australian Tax Office</w:t>
            </w:r>
            <w:r w:rsidR="00CF1877" w:rsidRPr="00667CD1">
              <w:rPr>
                <w:sz w:val="20"/>
                <w:szCs w:val="18"/>
              </w:rPr>
              <w:t xml:space="preserve"> </w:t>
            </w:r>
            <w:r w:rsidR="00150CE9" w:rsidRPr="00667CD1">
              <w:rPr>
                <w:sz w:val="20"/>
                <w:szCs w:val="18"/>
              </w:rPr>
              <w:t>increased</w:t>
            </w:r>
            <w:r w:rsidR="007315F8" w:rsidRPr="00667CD1">
              <w:rPr>
                <w:sz w:val="20"/>
                <w:szCs w:val="18"/>
              </w:rPr>
              <w:t>.</w:t>
            </w:r>
          </w:p>
        </w:tc>
      </w:tr>
    </w:tbl>
    <w:p w14:paraId="6E75B0BC" w14:textId="77777777" w:rsidR="003D7CB5" w:rsidRPr="00667CD1" w:rsidRDefault="003D7CB5">
      <w:pPr>
        <w:rPr>
          <w:sz w:val="16"/>
          <w:szCs w:val="16"/>
        </w:rPr>
      </w:pPr>
      <w:r w:rsidRPr="00667CD1">
        <w:rPr>
          <w:i/>
          <w:sz w:val="16"/>
          <w:szCs w:val="16"/>
        </w:rPr>
        <w:br w:type="page"/>
      </w:r>
    </w:p>
    <w:tbl>
      <w:tblPr>
        <w:tblW w:w="9615" w:type="dxa"/>
        <w:jc w:val="right"/>
        <w:shd w:val="clear" w:color="auto" w:fill="F2F2F2" w:themeFill="background1" w:themeFillShade="F2"/>
        <w:tblLayout w:type="fixed"/>
        <w:tblLook w:val="04A0" w:firstRow="1" w:lastRow="0" w:firstColumn="1" w:lastColumn="0" w:noHBand="0" w:noVBand="1"/>
      </w:tblPr>
      <w:tblGrid>
        <w:gridCol w:w="9615"/>
      </w:tblGrid>
      <w:tr w:rsidR="00C3345C" w:rsidRPr="00667CD1" w14:paraId="2A553E69" w14:textId="77777777" w:rsidTr="00A22E11">
        <w:trPr>
          <w:trHeight w:val="653"/>
          <w:jc w:val="right"/>
        </w:trPr>
        <w:tc>
          <w:tcPr>
            <w:tcW w:w="9615" w:type="dxa"/>
            <w:shd w:val="clear" w:color="auto" w:fill="F2F2F2" w:themeFill="background1" w:themeFillShade="F2"/>
          </w:tcPr>
          <w:p w14:paraId="58AE364D" w14:textId="65EA741F" w:rsidR="003D7CB5" w:rsidRPr="00667CD1" w:rsidRDefault="003D7CB5" w:rsidP="003D7CB5">
            <w:pPr>
              <w:pStyle w:val="Chart41"/>
              <w:ind w:left="1302" w:hanging="1302"/>
              <w:rPr>
                <w:sz w:val="18"/>
                <w:szCs w:val="16"/>
              </w:rPr>
            </w:pPr>
            <w:r w:rsidRPr="00667CD1">
              <w:rPr>
                <w:sz w:val="18"/>
                <w:szCs w:val="16"/>
              </w:rPr>
              <w:lastRenderedPageBreak/>
              <w:t xml:space="preserve">National GST pool ($ billions) </w:t>
            </w:r>
          </w:p>
          <w:p w14:paraId="2E6610E0" w14:textId="407EA226" w:rsidR="003D7CB5" w:rsidRPr="00667CD1" w:rsidRDefault="00782ED4" w:rsidP="003D7CB5">
            <w:pPr>
              <w:jc w:val="center"/>
              <w:rPr>
                <w:sz w:val="16"/>
                <w:szCs w:val="16"/>
              </w:rPr>
            </w:pPr>
            <w:r>
              <w:rPr>
                <w:noProof/>
                <w:sz w:val="16"/>
                <w:szCs w:val="16"/>
              </w:rPr>
              <w:drawing>
                <wp:inline distT="0" distB="0" distL="0" distR="0" wp14:anchorId="1068800E" wp14:editId="0093C87A">
                  <wp:extent cx="5779770" cy="27374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79770" cy="2737485"/>
                          </a:xfrm>
                          <a:prstGeom prst="rect">
                            <a:avLst/>
                          </a:prstGeom>
                          <a:noFill/>
                        </pic:spPr>
                      </pic:pic>
                    </a:graphicData>
                  </a:graphic>
                </wp:inline>
              </w:drawing>
            </w:r>
          </w:p>
          <w:p w14:paraId="1CA2203E" w14:textId="77777777" w:rsidR="003D7CB5" w:rsidRPr="00667CD1" w:rsidRDefault="003D7CB5" w:rsidP="003D7CB5">
            <w:pPr>
              <w:pStyle w:val="BodyTextBox"/>
              <w:rPr>
                <w:sz w:val="20"/>
                <w:szCs w:val="20"/>
              </w:rPr>
            </w:pPr>
            <w:r w:rsidRPr="00667CD1">
              <w:rPr>
                <w:sz w:val="20"/>
                <w:szCs w:val="20"/>
              </w:rPr>
              <w:t>The national GST pool is expected to:</w:t>
            </w:r>
          </w:p>
          <w:p w14:paraId="12BBAD36" w14:textId="77777777" w:rsidR="003D7CB5" w:rsidRPr="00667CD1" w:rsidRDefault="003D7CB5" w:rsidP="003D7CB5">
            <w:pPr>
              <w:pStyle w:val="Bullet1inabox"/>
              <w:rPr>
                <w:sz w:val="20"/>
                <w:szCs w:val="18"/>
              </w:rPr>
            </w:pPr>
            <w:r w:rsidRPr="00667CD1">
              <w:rPr>
                <w:sz w:val="20"/>
                <w:szCs w:val="18"/>
              </w:rPr>
              <w:t>remain broadly flat in 2020-21, with the negative impact of the ‘second wave’ of COVID</w:t>
            </w:r>
            <w:r w:rsidRPr="00667CD1">
              <w:rPr>
                <w:sz w:val="20"/>
                <w:szCs w:val="18"/>
              </w:rPr>
              <w:noBreakHyphen/>
              <w:t>19 in Victoria offset by a modest recovery in consumption elsewhere</w:t>
            </w:r>
          </w:p>
          <w:p w14:paraId="44F0BD6B" w14:textId="77777777" w:rsidR="003D7CB5" w:rsidRPr="00667CD1" w:rsidRDefault="003D7CB5" w:rsidP="003D7CB5">
            <w:pPr>
              <w:pStyle w:val="Bullet1inabox"/>
              <w:rPr>
                <w:sz w:val="20"/>
                <w:szCs w:val="18"/>
              </w:rPr>
            </w:pPr>
            <w:r w:rsidRPr="00667CD1">
              <w:rPr>
                <w:sz w:val="20"/>
                <w:szCs w:val="18"/>
              </w:rPr>
              <w:t>grow strongly in 2021-22 – off a national GST pool that is $8.0 billion lower than the 2019-20 Half-Yearly Review forecast for the same period – due to the progressive removal of COVID-related measures</w:t>
            </w:r>
          </w:p>
          <w:p w14:paraId="629F92AD" w14:textId="77777777" w:rsidR="003D7CB5" w:rsidRPr="00667CD1" w:rsidRDefault="003D7CB5" w:rsidP="003D7CB5">
            <w:pPr>
              <w:pStyle w:val="Bullet1inabox"/>
              <w:rPr>
                <w:sz w:val="20"/>
                <w:szCs w:val="18"/>
              </w:rPr>
            </w:pPr>
            <w:r w:rsidRPr="00667CD1">
              <w:rPr>
                <w:sz w:val="20"/>
                <w:szCs w:val="18"/>
              </w:rPr>
              <w:t>grow modestly by an average of 3.7 per cent in the following two years.</w:t>
            </w:r>
          </w:p>
          <w:p w14:paraId="1ECAEAC4" w14:textId="77777777" w:rsidR="003D7CB5" w:rsidRPr="00667CD1" w:rsidRDefault="003D7CB5" w:rsidP="003D7CB5">
            <w:pPr>
              <w:pStyle w:val="BodyTextBox"/>
              <w:rPr>
                <w:sz w:val="20"/>
                <w:szCs w:val="20"/>
              </w:rPr>
            </w:pPr>
            <w:r w:rsidRPr="00667CD1">
              <w:rPr>
                <w:sz w:val="20"/>
                <w:szCs w:val="20"/>
              </w:rPr>
              <w:t>On this trajectory the national GST pool will be $32.5 billion lower over the four years to 2023-24 in comparison to forecasts at the 2019-20 Half-Yearly Review. There are two factors driving this sustained deviation from 2019-20 Half-Yearly Review forecasts:</w:t>
            </w:r>
          </w:p>
          <w:p w14:paraId="699D149A" w14:textId="77777777" w:rsidR="003D7CB5" w:rsidRPr="00667CD1" w:rsidRDefault="003D7CB5" w:rsidP="003D7CB5">
            <w:pPr>
              <w:pStyle w:val="Bullet1inabox"/>
              <w:rPr>
                <w:sz w:val="20"/>
                <w:szCs w:val="18"/>
              </w:rPr>
            </w:pPr>
            <w:r w:rsidRPr="00667CD1">
              <w:rPr>
                <w:sz w:val="20"/>
                <w:szCs w:val="18"/>
              </w:rPr>
              <w:t>weaker population growth, largely due to the closure of international borders, flowing to lower consumption and dwelling investment</w:t>
            </w:r>
          </w:p>
          <w:p w14:paraId="4A2C4903" w14:textId="77777777" w:rsidR="003D7CB5" w:rsidRPr="00667CD1" w:rsidRDefault="003D7CB5" w:rsidP="003D7CB5">
            <w:pPr>
              <w:pStyle w:val="Bullet1inabox"/>
              <w:rPr>
                <w:sz w:val="20"/>
                <w:szCs w:val="18"/>
              </w:rPr>
            </w:pPr>
            <w:r w:rsidRPr="00667CD1">
              <w:rPr>
                <w:sz w:val="20"/>
                <w:szCs w:val="18"/>
              </w:rPr>
              <w:t>higher unemployment,</w:t>
            </w:r>
            <w:r w:rsidRPr="00667CD1">
              <w:rPr>
                <w:b/>
                <w:sz w:val="20"/>
                <w:szCs w:val="18"/>
              </w:rPr>
              <w:t xml:space="preserve"> </w:t>
            </w:r>
            <w:r w:rsidRPr="00667CD1">
              <w:rPr>
                <w:sz w:val="20"/>
                <w:szCs w:val="18"/>
              </w:rPr>
              <w:t>relative to earlier forecasts, flowing through to a sustained period of weaker wages growth and lower household spending capacity.</w:t>
            </w:r>
          </w:p>
          <w:p w14:paraId="368869F2" w14:textId="1FF9D59A" w:rsidR="00C3345C" w:rsidRPr="00667CD1" w:rsidRDefault="003D7CB5" w:rsidP="003D7CB5">
            <w:pPr>
              <w:pStyle w:val="BodyTextBox"/>
              <w:rPr>
                <w:sz w:val="20"/>
                <w:szCs w:val="20"/>
              </w:rPr>
            </w:pPr>
            <w:r w:rsidRPr="00667CD1">
              <w:rPr>
                <w:sz w:val="20"/>
                <w:szCs w:val="20"/>
              </w:rPr>
              <w:t xml:space="preserve">Looking ahead, the pace of future growth in the national GST pool (and New South Wales’ potential GST revenue) will be strongly influenced by </w:t>
            </w:r>
            <w:proofErr w:type="gramStart"/>
            <w:r w:rsidRPr="00667CD1">
              <w:rPr>
                <w:sz w:val="20"/>
                <w:szCs w:val="20"/>
              </w:rPr>
              <w:t>a number of</w:t>
            </w:r>
            <w:proofErr w:type="gramEnd"/>
            <w:r w:rsidRPr="00667CD1">
              <w:rPr>
                <w:sz w:val="20"/>
                <w:szCs w:val="20"/>
              </w:rPr>
              <w:t xml:space="preserve"> factors. These include management of further COVID-19 outbreaks (both domestically and globally), the responsiveness of the private sector to government stimulus, the distribution and effectiveness of vaccines against COVID-19 and the outlook for net overseas migration (which is heavily dependent on Commonwealth Government policy settings). Any adjustment to international border restrictions will impact population growth through changes to net overseas migration. See Appendix B for more information on these risks.</w:t>
            </w:r>
          </w:p>
        </w:tc>
      </w:tr>
    </w:tbl>
    <w:p w14:paraId="69FD76B9" w14:textId="3AE465D4" w:rsidR="00A929DB" w:rsidRPr="00667CD1" w:rsidRDefault="00A929DB">
      <w:pPr>
        <w:spacing w:after="200" w:line="276" w:lineRule="auto"/>
        <w:rPr>
          <w:rFonts w:ascii="Arial" w:hAnsi="Arial"/>
          <w:bCs/>
          <w:i/>
          <w:color w:val="4F4F4F"/>
          <w:kern w:val="28"/>
          <w:sz w:val="18"/>
          <w:szCs w:val="18"/>
        </w:rPr>
      </w:pPr>
    </w:p>
    <w:p w14:paraId="4EF61DFB" w14:textId="77777777" w:rsidR="00875A8A" w:rsidRPr="00667CD1" w:rsidRDefault="00875A8A">
      <w:pPr>
        <w:spacing w:after="200" w:line="276" w:lineRule="auto"/>
        <w:rPr>
          <w:rFonts w:ascii="Arial" w:hAnsi="Arial"/>
          <w:bCs/>
          <w:i/>
          <w:color w:val="4F4F4F"/>
          <w:kern w:val="28"/>
          <w:sz w:val="18"/>
          <w:szCs w:val="18"/>
        </w:rPr>
      </w:pPr>
      <w:r w:rsidRPr="00667CD1">
        <w:rPr>
          <w:sz w:val="16"/>
          <w:szCs w:val="16"/>
        </w:rPr>
        <w:br w:type="page"/>
      </w:r>
      <w:bookmarkStart w:id="5" w:name="_GoBack"/>
      <w:bookmarkEnd w:id="5"/>
    </w:p>
    <w:p w14:paraId="37E3A548" w14:textId="2082A4B9" w:rsidR="00DF6C66" w:rsidRPr="00667CD1" w:rsidRDefault="00DF6C66" w:rsidP="00216F72">
      <w:pPr>
        <w:pStyle w:val="Table4X"/>
        <w:tabs>
          <w:tab w:val="clear" w:pos="1134"/>
          <w:tab w:val="left" w:pos="1276"/>
        </w:tabs>
        <w:ind w:left="1276" w:hanging="1276"/>
        <w:rPr>
          <w:sz w:val="18"/>
          <w:szCs w:val="18"/>
        </w:rPr>
      </w:pPr>
      <w:r w:rsidRPr="00667CD1">
        <w:rPr>
          <w:sz w:val="18"/>
          <w:szCs w:val="18"/>
        </w:rPr>
        <w:lastRenderedPageBreak/>
        <w:t>Revenue reconciliation</w:t>
      </w:r>
    </w:p>
    <w:tbl>
      <w:tblPr>
        <w:tblW w:w="9806" w:type="dxa"/>
        <w:tblLook w:val="04A0" w:firstRow="1" w:lastRow="0" w:firstColumn="1" w:lastColumn="0" w:noHBand="0" w:noVBand="1"/>
        <w:tblCaption w:val="Table 4.4: Revenue reconciliation"/>
        <w:tblDescription w:val="Table 4.4: Revenue reconciliation"/>
      </w:tblPr>
      <w:tblGrid>
        <w:gridCol w:w="3402"/>
        <w:gridCol w:w="874"/>
        <w:gridCol w:w="1106"/>
        <w:gridCol w:w="1106"/>
        <w:gridCol w:w="1106"/>
        <w:gridCol w:w="1106"/>
        <w:gridCol w:w="1106"/>
      </w:tblGrid>
      <w:tr w:rsidR="00FE4026" w:rsidRPr="00667CD1" w14:paraId="4AACF28F" w14:textId="77777777" w:rsidTr="002364B3">
        <w:trPr>
          <w:trHeight w:val="283"/>
        </w:trPr>
        <w:tc>
          <w:tcPr>
            <w:tcW w:w="3402" w:type="dxa"/>
            <w:tcBorders>
              <w:top w:val="nil"/>
              <w:left w:val="nil"/>
              <w:bottom w:val="nil"/>
              <w:right w:val="nil"/>
            </w:tcBorders>
            <w:shd w:val="clear" w:color="auto" w:fill="008EBA"/>
            <w:vAlign w:val="center"/>
            <w:hideMark/>
          </w:tcPr>
          <w:p w14:paraId="31A6C758" w14:textId="77777777" w:rsidR="00F355B1" w:rsidRPr="00667CD1" w:rsidRDefault="00F355B1" w:rsidP="00F355B1">
            <w:pPr>
              <w:jc w:val="center"/>
              <w:rPr>
                <w:rFonts w:ascii="Arial" w:hAnsi="Arial" w:cs="Arial"/>
                <w:i/>
                <w:iCs/>
                <w:color w:val="FFFFFF"/>
                <w:sz w:val="12"/>
                <w:szCs w:val="12"/>
                <w:lang w:eastAsia="en-AU"/>
              </w:rPr>
            </w:pPr>
            <w:bookmarkStart w:id="6" w:name="RANGE!B3:H35"/>
            <w:r w:rsidRPr="00667CD1">
              <w:rPr>
                <w:rFonts w:ascii="Arial" w:hAnsi="Arial" w:cs="Arial"/>
                <w:i/>
                <w:iCs/>
                <w:color w:val="FFFFFF"/>
                <w:sz w:val="12"/>
                <w:szCs w:val="12"/>
                <w:lang w:eastAsia="en-AU"/>
              </w:rPr>
              <w:t> </w:t>
            </w:r>
            <w:bookmarkEnd w:id="6"/>
          </w:p>
        </w:tc>
        <w:tc>
          <w:tcPr>
            <w:tcW w:w="874" w:type="dxa"/>
            <w:tcBorders>
              <w:top w:val="nil"/>
              <w:left w:val="nil"/>
              <w:bottom w:val="nil"/>
              <w:right w:val="nil"/>
            </w:tcBorders>
            <w:shd w:val="clear" w:color="auto" w:fill="008EBA"/>
            <w:noWrap/>
            <w:vAlign w:val="bottom"/>
            <w:hideMark/>
          </w:tcPr>
          <w:p w14:paraId="663A4E10"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2019-20</w:t>
            </w:r>
          </w:p>
        </w:tc>
        <w:tc>
          <w:tcPr>
            <w:tcW w:w="1106" w:type="dxa"/>
            <w:tcBorders>
              <w:top w:val="nil"/>
              <w:left w:val="nil"/>
              <w:bottom w:val="nil"/>
              <w:right w:val="nil"/>
            </w:tcBorders>
            <w:shd w:val="clear" w:color="auto" w:fill="008EBA"/>
            <w:noWrap/>
            <w:vAlign w:val="bottom"/>
            <w:hideMark/>
          </w:tcPr>
          <w:p w14:paraId="65D1A682"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2020-21</w:t>
            </w:r>
          </w:p>
        </w:tc>
        <w:tc>
          <w:tcPr>
            <w:tcW w:w="1106" w:type="dxa"/>
            <w:tcBorders>
              <w:top w:val="nil"/>
              <w:left w:val="nil"/>
              <w:bottom w:val="nil"/>
              <w:right w:val="nil"/>
            </w:tcBorders>
            <w:shd w:val="clear" w:color="auto" w:fill="008EBA"/>
            <w:noWrap/>
            <w:vAlign w:val="bottom"/>
            <w:hideMark/>
          </w:tcPr>
          <w:p w14:paraId="36EDBC3E"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2021-22</w:t>
            </w:r>
          </w:p>
        </w:tc>
        <w:tc>
          <w:tcPr>
            <w:tcW w:w="1106" w:type="dxa"/>
            <w:tcBorders>
              <w:top w:val="nil"/>
              <w:left w:val="nil"/>
              <w:bottom w:val="nil"/>
              <w:right w:val="nil"/>
            </w:tcBorders>
            <w:shd w:val="clear" w:color="auto" w:fill="008EBA"/>
            <w:noWrap/>
            <w:vAlign w:val="bottom"/>
            <w:hideMark/>
          </w:tcPr>
          <w:p w14:paraId="595B6965"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2022-23</w:t>
            </w:r>
          </w:p>
        </w:tc>
        <w:tc>
          <w:tcPr>
            <w:tcW w:w="1106" w:type="dxa"/>
            <w:tcBorders>
              <w:top w:val="nil"/>
              <w:left w:val="nil"/>
              <w:bottom w:val="nil"/>
              <w:right w:val="nil"/>
            </w:tcBorders>
            <w:shd w:val="clear" w:color="auto" w:fill="008EBA"/>
            <w:noWrap/>
            <w:vAlign w:val="bottom"/>
            <w:hideMark/>
          </w:tcPr>
          <w:p w14:paraId="22E71D7D"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2023-24</w:t>
            </w:r>
          </w:p>
        </w:tc>
        <w:tc>
          <w:tcPr>
            <w:tcW w:w="1106" w:type="dxa"/>
            <w:tcBorders>
              <w:top w:val="nil"/>
              <w:left w:val="nil"/>
              <w:bottom w:val="nil"/>
              <w:right w:val="nil"/>
            </w:tcBorders>
            <w:shd w:val="clear" w:color="auto" w:fill="008EBA"/>
            <w:noWrap/>
            <w:vAlign w:val="bottom"/>
            <w:hideMark/>
          </w:tcPr>
          <w:p w14:paraId="1762F711"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Four years</w:t>
            </w:r>
          </w:p>
        </w:tc>
      </w:tr>
      <w:tr w:rsidR="001175FF" w:rsidRPr="00667CD1" w14:paraId="626401BE" w14:textId="77777777" w:rsidTr="002364B3">
        <w:trPr>
          <w:trHeight w:val="290"/>
        </w:trPr>
        <w:tc>
          <w:tcPr>
            <w:tcW w:w="3402" w:type="dxa"/>
            <w:tcBorders>
              <w:top w:val="nil"/>
              <w:left w:val="nil"/>
              <w:right w:val="nil"/>
            </w:tcBorders>
            <w:shd w:val="clear" w:color="auto" w:fill="008EBA"/>
            <w:vAlign w:val="bottom"/>
            <w:hideMark/>
          </w:tcPr>
          <w:p w14:paraId="67E2384E" w14:textId="77777777" w:rsidR="00F355B1" w:rsidRPr="00667CD1" w:rsidRDefault="00F355B1" w:rsidP="00F355B1">
            <w:pPr>
              <w:jc w:val="center"/>
              <w:rPr>
                <w:rFonts w:ascii="Arial" w:hAnsi="Arial" w:cs="Arial"/>
                <w:i/>
                <w:iCs/>
                <w:color w:val="FFFFFF"/>
                <w:sz w:val="12"/>
                <w:szCs w:val="12"/>
                <w:lang w:eastAsia="en-AU"/>
              </w:rPr>
            </w:pPr>
            <w:r w:rsidRPr="00667CD1">
              <w:rPr>
                <w:rFonts w:ascii="Arial" w:hAnsi="Arial" w:cs="Arial"/>
                <w:i/>
                <w:iCs/>
                <w:color w:val="FFFFFF"/>
                <w:sz w:val="12"/>
                <w:szCs w:val="12"/>
                <w:lang w:eastAsia="en-AU"/>
              </w:rPr>
              <w:t> </w:t>
            </w:r>
          </w:p>
        </w:tc>
        <w:tc>
          <w:tcPr>
            <w:tcW w:w="874" w:type="dxa"/>
            <w:tcBorders>
              <w:top w:val="nil"/>
              <w:left w:val="nil"/>
              <w:right w:val="nil"/>
            </w:tcBorders>
            <w:shd w:val="clear" w:color="auto" w:fill="008EBA"/>
            <w:vAlign w:val="center"/>
            <w:hideMark/>
          </w:tcPr>
          <w:p w14:paraId="6C96F8CD"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1106" w:type="dxa"/>
            <w:tcBorders>
              <w:top w:val="nil"/>
              <w:left w:val="nil"/>
              <w:right w:val="nil"/>
            </w:tcBorders>
            <w:shd w:val="clear" w:color="auto" w:fill="008EBA"/>
            <w:vAlign w:val="center"/>
            <w:hideMark/>
          </w:tcPr>
          <w:p w14:paraId="76D3C2F6"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Budget</w:t>
            </w:r>
          </w:p>
        </w:tc>
        <w:tc>
          <w:tcPr>
            <w:tcW w:w="3318" w:type="dxa"/>
            <w:gridSpan w:val="3"/>
            <w:tcBorders>
              <w:top w:val="nil"/>
              <w:left w:val="nil"/>
              <w:right w:val="nil"/>
            </w:tcBorders>
            <w:shd w:val="clear" w:color="auto" w:fill="008EBA"/>
            <w:noWrap/>
            <w:vAlign w:val="center"/>
            <w:hideMark/>
          </w:tcPr>
          <w:p w14:paraId="34EB4630"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Forward Estimates</w:t>
            </w:r>
          </w:p>
        </w:tc>
        <w:tc>
          <w:tcPr>
            <w:tcW w:w="1106" w:type="dxa"/>
            <w:tcBorders>
              <w:top w:val="nil"/>
              <w:left w:val="nil"/>
              <w:right w:val="nil"/>
            </w:tcBorders>
            <w:shd w:val="clear" w:color="auto" w:fill="008EBA"/>
            <w:vAlign w:val="center"/>
            <w:hideMark/>
          </w:tcPr>
          <w:p w14:paraId="40F06BCA" w14:textId="67C20639"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 xml:space="preserve">to </w:t>
            </w:r>
            <w:r w:rsidR="00907C81" w:rsidRPr="00667CD1">
              <w:rPr>
                <w:rFonts w:ascii="Arial" w:hAnsi="Arial" w:cs="Arial"/>
                <w:color w:val="FFFFFF"/>
                <w:sz w:val="12"/>
                <w:szCs w:val="12"/>
                <w:lang w:eastAsia="en-AU"/>
              </w:rPr>
              <w:br/>
            </w:r>
            <w:r w:rsidRPr="00667CD1">
              <w:rPr>
                <w:rFonts w:ascii="Arial" w:hAnsi="Arial" w:cs="Arial"/>
                <w:color w:val="FFFFFF"/>
                <w:sz w:val="12"/>
                <w:szCs w:val="12"/>
                <w:lang w:eastAsia="en-AU"/>
              </w:rPr>
              <w:t>2023-24</w:t>
            </w:r>
          </w:p>
        </w:tc>
      </w:tr>
      <w:tr w:rsidR="001175FF" w:rsidRPr="00667CD1" w14:paraId="75F0A602" w14:textId="77777777" w:rsidTr="00AA5678">
        <w:trPr>
          <w:trHeight w:val="290"/>
        </w:trPr>
        <w:tc>
          <w:tcPr>
            <w:tcW w:w="3402" w:type="dxa"/>
            <w:tcBorders>
              <w:top w:val="nil"/>
              <w:left w:val="nil"/>
              <w:right w:val="nil"/>
            </w:tcBorders>
            <w:shd w:val="clear" w:color="auto" w:fill="00426F"/>
            <w:hideMark/>
          </w:tcPr>
          <w:p w14:paraId="31A3BC4D"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874" w:type="dxa"/>
            <w:tcBorders>
              <w:top w:val="nil"/>
              <w:left w:val="nil"/>
              <w:right w:val="nil"/>
            </w:tcBorders>
            <w:shd w:val="clear" w:color="auto" w:fill="00426F"/>
            <w:vAlign w:val="center"/>
            <w:hideMark/>
          </w:tcPr>
          <w:p w14:paraId="717BAD7C"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1106" w:type="dxa"/>
            <w:tcBorders>
              <w:top w:val="nil"/>
              <w:left w:val="nil"/>
              <w:right w:val="nil"/>
            </w:tcBorders>
            <w:shd w:val="clear" w:color="auto" w:fill="00426F"/>
            <w:vAlign w:val="center"/>
            <w:hideMark/>
          </w:tcPr>
          <w:p w14:paraId="30BB743F"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1106" w:type="dxa"/>
            <w:tcBorders>
              <w:top w:val="nil"/>
              <w:left w:val="nil"/>
              <w:right w:val="nil"/>
            </w:tcBorders>
            <w:shd w:val="clear" w:color="auto" w:fill="00426F"/>
            <w:vAlign w:val="center"/>
            <w:hideMark/>
          </w:tcPr>
          <w:p w14:paraId="226754A7"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1106" w:type="dxa"/>
            <w:tcBorders>
              <w:top w:val="nil"/>
              <w:left w:val="nil"/>
              <w:right w:val="nil"/>
            </w:tcBorders>
            <w:shd w:val="clear" w:color="auto" w:fill="00426F"/>
            <w:vAlign w:val="center"/>
            <w:hideMark/>
          </w:tcPr>
          <w:p w14:paraId="7127543F"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1106" w:type="dxa"/>
            <w:tcBorders>
              <w:top w:val="nil"/>
              <w:left w:val="nil"/>
              <w:right w:val="nil"/>
            </w:tcBorders>
            <w:shd w:val="clear" w:color="auto" w:fill="00426F"/>
            <w:vAlign w:val="center"/>
            <w:hideMark/>
          </w:tcPr>
          <w:p w14:paraId="0CD7DCF7"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1106" w:type="dxa"/>
            <w:tcBorders>
              <w:top w:val="nil"/>
              <w:left w:val="nil"/>
              <w:right w:val="nil"/>
            </w:tcBorders>
            <w:shd w:val="clear" w:color="auto" w:fill="00426F"/>
            <w:vAlign w:val="center"/>
            <w:hideMark/>
          </w:tcPr>
          <w:p w14:paraId="5044AEBF" w14:textId="77777777" w:rsidR="00F355B1" w:rsidRPr="00667CD1" w:rsidRDefault="00F355B1" w:rsidP="00F355B1">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r>
      <w:tr w:rsidR="00BF063C" w:rsidRPr="00667CD1" w14:paraId="65DE3EEC" w14:textId="77777777" w:rsidTr="00AA5678">
        <w:trPr>
          <w:trHeight w:val="290"/>
        </w:trPr>
        <w:tc>
          <w:tcPr>
            <w:tcW w:w="3402" w:type="dxa"/>
            <w:tcBorders>
              <w:left w:val="nil"/>
              <w:bottom w:val="single" w:sz="4" w:space="0" w:color="auto"/>
              <w:right w:val="nil"/>
            </w:tcBorders>
            <w:shd w:val="clear" w:color="auto" w:fill="FFFFFF" w:themeFill="background1"/>
            <w:noWrap/>
            <w:vAlign w:val="center"/>
            <w:hideMark/>
          </w:tcPr>
          <w:p w14:paraId="2C1D85A7" w14:textId="77777777" w:rsidR="00F355B1" w:rsidRPr="00667CD1" w:rsidRDefault="00F355B1" w:rsidP="00F355B1">
            <w:pPr>
              <w:rPr>
                <w:rFonts w:ascii="Arial" w:hAnsi="Arial" w:cs="Arial"/>
                <w:b/>
                <w:bCs/>
                <w:color w:val="008EBA"/>
                <w:sz w:val="12"/>
                <w:szCs w:val="12"/>
                <w:lang w:eastAsia="en-AU"/>
              </w:rPr>
            </w:pPr>
            <w:r w:rsidRPr="00667CD1">
              <w:rPr>
                <w:rFonts w:ascii="Arial" w:hAnsi="Arial" w:cs="Arial"/>
                <w:b/>
                <w:bCs/>
                <w:color w:val="008EBA"/>
                <w:sz w:val="12"/>
                <w:szCs w:val="12"/>
                <w:lang w:eastAsia="en-AU"/>
              </w:rPr>
              <w:t>Revenue - 2019-20 Budget</w:t>
            </w:r>
          </w:p>
        </w:tc>
        <w:tc>
          <w:tcPr>
            <w:tcW w:w="874" w:type="dxa"/>
            <w:tcBorders>
              <w:left w:val="nil"/>
              <w:bottom w:val="single" w:sz="4" w:space="0" w:color="auto"/>
              <w:right w:val="nil"/>
            </w:tcBorders>
            <w:shd w:val="clear" w:color="auto" w:fill="FFFFFF" w:themeFill="background1"/>
            <w:noWrap/>
            <w:vAlign w:val="center"/>
            <w:hideMark/>
          </w:tcPr>
          <w:p w14:paraId="039D12F1" w14:textId="77777777" w:rsidR="00F355B1" w:rsidRPr="00667CD1" w:rsidRDefault="00F355B1" w:rsidP="00AA5678">
            <w:pPr>
              <w:ind w:firstLineChars="100" w:firstLine="120"/>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84,316</w:t>
            </w:r>
          </w:p>
        </w:tc>
        <w:tc>
          <w:tcPr>
            <w:tcW w:w="1106" w:type="dxa"/>
            <w:tcBorders>
              <w:left w:val="nil"/>
              <w:bottom w:val="single" w:sz="4" w:space="0" w:color="auto"/>
              <w:right w:val="nil"/>
            </w:tcBorders>
            <w:shd w:val="clear" w:color="auto" w:fill="F2F2F2" w:themeFill="background1" w:themeFillShade="F2"/>
            <w:noWrap/>
            <w:vAlign w:val="center"/>
            <w:hideMark/>
          </w:tcPr>
          <w:p w14:paraId="3BEC4EAA" w14:textId="77777777" w:rsidR="00F355B1" w:rsidRPr="00667CD1" w:rsidRDefault="00F355B1" w:rsidP="00AA5678">
            <w:pPr>
              <w:ind w:firstLineChars="100" w:firstLine="120"/>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87,632</w:t>
            </w:r>
          </w:p>
        </w:tc>
        <w:tc>
          <w:tcPr>
            <w:tcW w:w="1106" w:type="dxa"/>
            <w:tcBorders>
              <w:left w:val="nil"/>
              <w:bottom w:val="single" w:sz="4" w:space="0" w:color="auto"/>
              <w:right w:val="nil"/>
            </w:tcBorders>
            <w:shd w:val="clear" w:color="auto" w:fill="F2F2F2" w:themeFill="background1" w:themeFillShade="F2"/>
            <w:noWrap/>
            <w:vAlign w:val="center"/>
            <w:hideMark/>
          </w:tcPr>
          <w:p w14:paraId="7392A28D" w14:textId="77777777" w:rsidR="00F355B1" w:rsidRPr="00667CD1" w:rsidRDefault="00F355B1" w:rsidP="00AA5678">
            <w:pPr>
              <w:ind w:firstLineChars="100" w:firstLine="120"/>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90,018</w:t>
            </w:r>
          </w:p>
        </w:tc>
        <w:tc>
          <w:tcPr>
            <w:tcW w:w="1106" w:type="dxa"/>
            <w:tcBorders>
              <w:left w:val="nil"/>
              <w:bottom w:val="single" w:sz="4" w:space="0" w:color="auto"/>
              <w:right w:val="nil"/>
            </w:tcBorders>
            <w:shd w:val="clear" w:color="auto" w:fill="F2F2F2" w:themeFill="background1" w:themeFillShade="F2"/>
            <w:noWrap/>
            <w:vAlign w:val="center"/>
            <w:hideMark/>
          </w:tcPr>
          <w:p w14:paraId="5B72F069" w14:textId="77777777" w:rsidR="00F355B1" w:rsidRPr="00667CD1" w:rsidRDefault="00F355B1" w:rsidP="00AA5678">
            <w:pPr>
              <w:ind w:firstLineChars="100" w:firstLine="120"/>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92,009</w:t>
            </w:r>
          </w:p>
        </w:tc>
        <w:tc>
          <w:tcPr>
            <w:tcW w:w="1106" w:type="dxa"/>
            <w:tcBorders>
              <w:left w:val="nil"/>
              <w:bottom w:val="single" w:sz="4" w:space="0" w:color="auto"/>
              <w:right w:val="nil"/>
            </w:tcBorders>
            <w:shd w:val="clear" w:color="auto" w:fill="F2F2F2" w:themeFill="background1" w:themeFillShade="F2"/>
            <w:noWrap/>
            <w:vAlign w:val="center"/>
            <w:hideMark/>
          </w:tcPr>
          <w:p w14:paraId="637DC947" w14:textId="77777777" w:rsidR="00F355B1" w:rsidRPr="00667CD1" w:rsidRDefault="00F355B1" w:rsidP="00AA5678">
            <w:pPr>
              <w:ind w:firstLineChars="100" w:firstLine="120"/>
              <w:jc w:val="right"/>
              <w:rPr>
                <w:rFonts w:ascii="Arial" w:hAnsi="Arial" w:cs="Arial"/>
                <w:b/>
                <w:bCs/>
                <w:color w:val="008EBA"/>
                <w:sz w:val="12"/>
                <w:szCs w:val="12"/>
                <w:lang w:eastAsia="en-AU"/>
              </w:rPr>
            </w:pPr>
            <w:proofErr w:type="spellStart"/>
            <w:r w:rsidRPr="00667CD1">
              <w:rPr>
                <w:rFonts w:ascii="Arial" w:hAnsi="Arial" w:cs="Arial"/>
                <w:b/>
                <w:bCs/>
                <w:color w:val="008EBA"/>
                <w:sz w:val="12"/>
                <w:szCs w:val="12"/>
                <w:lang w:eastAsia="en-AU"/>
              </w:rPr>
              <w:t>n.a.</w:t>
            </w:r>
            <w:proofErr w:type="spellEnd"/>
          </w:p>
        </w:tc>
        <w:tc>
          <w:tcPr>
            <w:tcW w:w="1106" w:type="dxa"/>
            <w:tcBorders>
              <w:left w:val="nil"/>
              <w:bottom w:val="single" w:sz="4" w:space="0" w:color="auto"/>
              <w:right w:val="nil"/>
            </w:tcBorders>
            <w:shd w:val="clear" w:color="auto" w:fill="FFFFFF" w:themeFill="background1"/>
            <w:noWrap/>
            <w:vAlign w:val="center"/>
            <w:hideMark/>
          </w:tcPr>
          <w:p w14:paraId="6B9FA087" w14:textId="77777777" w:rsidR="00F355B1" w:rsidRPr="00667CD1" w:rsidRDefault="00F355B1" w:rsidP="00AA5678">
            <w:pPr>
              <w:ind w:firstLineChars="100" w:firstLine="120"/>
              <w:jc w:val="right"/>
              <w:rPr>
                <w:rFonts w:ascii="Arial" w:hAnsi="Arial" w:cs="Arial"/>
                <w:b/>
                <w:bCs/>
                <w:color w:val="008EBA"/>
                <w:sz w:val="12"/>
                <w:szCs w:val="12"/>
                <w:lang w:eastAsia="en-AU"/>
              </w:rPr>
            </w:pPr>
            <w:proofErr w:type="spellStart"/>
            <w:r w:rsidRPr="00667CD1">
              <w:rPr>
                <w:rFonts w:ascii="Arial" w:hAnsi="Arial" w:cs="Arial"/>
                <w:b/>
                <w:bCs/>
                <w:color w:val="008EBA"/>
                <w:sz w:val="12"/>
                <w:szCs w:val="12"/>
                <w:lang w:eastAsia="en-AU"/>
              </w:rPr>
              <w:t>n.a.</w:t>
            </w:r>
            <w:proofErr w:type="spellEnd"/>
          </w:p>
        </w:tc>
      </w:tr>
      <w:tr w:rsidR="00FE4026" w:rsidRPr="00667CD1" w14:paraId="4E4B83C2"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1A20C285" w14:textId="77777777" w:rsidR="00F355B1" w:rsidRPr="00667CD1" w:rsidRDefault="00F355B1" w:rsidP="00F355B1">
            <w:pPr>
              <w:rPr>
                <w:rFonts w:ascii="Arial" w:hAnsi="Arial" w:cs="Arial"/>
                <w:i/>
                <w:iCs/>
                <w:sz w:val="12"/>
                <w:szCs w:val="12"/>
                <w:lang w:eastAsia="en-AU"/>
              </w:rPr>
            </w:pPr>
            <w:r w:rsidRPr="00667CD1">
              <w:rPr>
                <w:rFonts w:ascii="Arial" w:hAnsi="Arial" w:cs="Arial"/>
                <w:i/>
                <w:iCs/>
                <w:sz w:val="12"/>
                <w:szCs w:val="12"/>
                <w:lang w:eastAsia="en-AU"/>
              </w:rPr>
              <w:t>Policy measures</w:t>
            </w:r>
          </w:p>
        </w:tc>
        <w:tc>
          <w:tcPr>
            <w:tcW w:w="874" w:type="dxa"/>
            <w:tcBorders>
              <w:top w:val="nil"/>
              <w:left w:val="nil"/>
              <w:bottom w:val="nil"/>
              <w:right w:val="nil"/>
            </w:tcBorders>
            <w:shd w:val="clear" w:color="auto" w:fill="FFFFFF" w:themeFill="background1"/>
            <w:noWrap/>
            <w:vAlign w:val="center"/>
            <w:hideMark/>
          </w:tcPr>
          <w:p w14:paraId="75D33989" w14:textId="77777777" w:rsidR="00F355B1" w:rsidRPr="00667CD1" w:rsidRDefault="00F355B1" w:rsidP="00AA5678">
            <w:pPr>
              <w:ind w:firstLineChars="100" w:firstLine="120"/>
              <w:jc w:val="right"/>
              <w:rPr>
                <w:rFonts w:ascii="Arial" w:hAnsi="Arial" w:cs="Arial"/>
                <w:sz w:val="12"/>
                <w:szCs w:val="12"/>
                <w:lang w:eastAsia="en-AU"/>
              </w:rPr>
            </w:pPr>
            <w:r w:rsidRPr="00667CD1">
              <w:rPr>
                <w:rFonts w:ascii="Arial" w:hAnsi="Arial" w:cs="Arial"/>
                <w:sz w:val="12"/>
                <w:szCs w:val="12"/>
                <w:lang w:eastAsia="en-AU"/>
              </w:rPr>
              <w:t>(296)</w:t>
            </w:r>
          </w:p>
        </w:tc>
        <w:tc>
          <w:tcPr>
            <w:tcW w:w="1106" w:type="dxa"/>
            <w:tcBorders>
              <w:top w:val="nil"/>
              <w:left w:val="nil"/>
              <w:bottom w:val="nil"/>
              <w:right w:val="nil"/>
            </w:tcBorders>
            <w:shd w:val="clear" w:color="auto" w:fill="F2F2F2" w:themeFill="background1" w:themeFillShade="F2"/>
            <w:noWrap/>
            <w:vAlign w:val="center"/>
            <w:hideMark/>
          </w:tcPr>
          <w:p w14:paraId="43533913" w14:textId="77777777" w:rsidR="00F355B1" w:rsidRPr="00667CD1" w:rsidRDefault="00F355B1" w:rsidP="00AA5678">
            <w:pPr>
              <w:ind w:firstLineChars="100" w:firstLine="120"/>
              <w:jc w:val="right"/>
              <w:rPr>
                <w:rFonts w:ascii="Arial" w:hAnsi="Arial" w:cs="Arial"/>
                <w:sz w:val="12"/>
                <w:szCs w:val="12"/>
                <w:lang w:eastAsia="en-AU"/>
              </w:rPr>
            </w:pPr>
            <w:r w:rsidRPr="00667CD1">
              <w:rPr>
                <w:rFonts w:ascii="Arial" w:hAnsi="Arial" w:cs="Arial"/>
                <w:sz w:val="12"/>
                <w:szCs w:val="12"/>
                <w:lang w:eastAsia="en-AU"/>
              </w:rPr>
              <w:t>(19)</w:t>
            </w:r>
          </w:p>
        </w:tc>
        <w:tc>
          <w:tcPr>
            <w:tcW w:w="1106" w:type="dxa"/>
            <w:tcBorders>
              <w:top w:val="nil"/>
              <w:left w:val="nil"/>
              <w:bottom w:val="nil"/>
              <w:right w:val="nil"/>
            </w:tcBorders>
            <w:shd w:val="clear" w:color="auto" w:fill="F2F2F2" w:themeFill="background1" w:themeFillShade="F2"/>
            <w:noWrap/>
            <w:vAlign w:val="center"/>
            <w:hideMark/>
          </w:tcPr>
          <w:p w14:paraId="6AC174ED" w14:textId="77777777" w:rsidR="00F355B1" w:rsidRPr="00667CD1" w:rsidRDefault="00F355B1" w:rsidP="00AA5678">
            <w:pPr>
              <w:ind w:firstLineChars="100" w:firstLine="120"/>
              <w:jc w:val="right"/>
              <w:rPr>
                <w:rFonts w:ascii="Arial" w:hAnsi="Arial" w:cs="Arial"/>
                <w:sz w:val="12"/>
                <w:szCs w:val="12"/>
                <w:lang w:eastAsia="en-AU"/>
              </w:rPr>
            </w:pPr>
            <w:r w:rsidRPr="00667CD1">
              <w:rPr>
                <w:rFonts w:ascii="Arial" w:hAnsi="Arial" w:cs="Arial"/>
                <w:sz w:val="12"/>
                <w:szCs w:val="12"/>
                <w:lang w:eastAsia="en-AU"/>
              </w:rPr>
              <w:t>(84)</w:t>
            </w:r>
          </w:p>
        </w:tc>
        <w:tc>
          <w:tcPr>
            <w:tcW w:w="1106" w:type="dxa"/>
            <w:tcBorders>
              <w:top w:val="nil"/>
              <w:left w:val="nil"/>
              <w:bottom w:val="nil"/>
              <w:right w:val="nil"/>
            </w:tcBorders>
            <w:shd w:val="clear" w:color="auto" w:fill="F2F2F2" w:themeFill="background1" w:themeFillShade="F2"/>
            <w:noWrap/>
            <w:vAlign w:val="center"/>
            <w:hideMark/>
          </w:tcPr>
          <w:p w14:paraId="1AAF9EF0" w14:textId="77777777" w:rsidR="00F355B1" w:rsidRPr="00667CD1" w:rsidRDefault="00F355B1" w:rsidP="00AA5678">
            <w:pPr>
              <w:ind w:firstLineChars="100" w:firstLine="120"/>
              <w:jc w:val="right"/>
              <w:rPr>
                <w:rFonts w:ascii="Arial" w:hAnsi="Arial" w:cs="Arial"/>
                <w:sz w:val="12"/>
                <w:szCs w:val="12"/>
                <w:lang w:eastAsia="en-AU"/>
              </w:rPr>
            </w:pPr>
            <w:r w:rsidRPr="00667CD1">
              <w:rPr>
                <w:rFonts w:ascii="Arial" w:hAnsi="Arial" w:cs="Arial"/>
                <w:sz w:val="12"/>
                <w:szCs w:val="12"/>
                <w:lang w:eastAsia="en-AU"/>
              </w:rPr>
              <w:t>76</w:t>
            </w:r>
          </w:p>
        </w:tc>
        <w:tc>
          <w:tcPr>
            <w:tcW w:w="1106" w:type="dxa"/>
            <w:tcBorders>
              <w:top w:val="nil"/>
              <w:left w:val="nil"/>
              <w:bottom w:val="nil"/>
              <w:right w:val="nil"/>
            </w:tcBorders>
            <w:shd w:val="clear" w:color="auto" w:fill="F2F2F2" w:themeFill="background1" w:themeFillShade="F2"/>
            <w:noWrap/>
            <w:vAlign w:val="center"/>
            <w:hideMark/>
          </w:tcPr>
          <w:p w14:paraId="5E7113CF" w14:textId="77777777" w:rsidR="00F355B1" w:rsidRPr="00667CD1" w:rsidRDefault="00F355B1" w:rsidP="00AA5678">
            <w:pPr>
              <w:ind w:firstLineChars="100" w:firstLine="120"/>
              <w:jc w:val="right"/>
              <w:rPr>
                <w:rFonts w:ascii="Arial" w:hAnsi="Arial" w:cs="Arial"/>
                <w:sz w:val="12"/>
                <w:szCs w:val="12"/>
                <w:lang w:eastAsia="en-AU"/>
              </w:rPr>
            </w:pPr>
            <w:proofErr w:type="spellStart"/>
            <w:r w:rsidRPr="00667CD1">
              <w:rPr>
                <w:rFonts w:ascii="Arial" w:hAnsi="Arial" w:cs="Arial"/>
                <w:sz w:val="12"/>
                <w:szCs w:val="12"/>
                <w:lang w:eastAsia="en-AU"/>
              </w:rPr>
              <w:t>n.a.</w:t>
            </w:r>
            <w:proofErr w:type="spellEnd"/>
          </w:p>
        </w:tc>
        <w:tc>
          <w:tcPr>
            <w:tcW w:w="1106" w:type="dxa"/>
            <w:tcBorders>
              <w:top w:val="nil"/>
              <w:left w:val="nil"/>
              <w:bottom w:val="nil"/>
              <w:right w:val="nil"/>
            </w:tcBorders>
            <w:shd w:val="clear" w:color="auto" w:fill="FFFFFF" w:themeFill="background1"/>
            <w:noWrap/>
            <w:vAlign w:val="center"/>
            <w:hideMark/>
          </w:tcPr>
          <w:p w14:paraId="3311D600" w14:textId="77777777" w:rsidR="00F355B1" w:rsidRPr="00667CD1" w:rsidRDefault="00F355B1" w:rsidP="00AA5678">
            <w:pPr>
              <w:ind w:firstLineChars="100" w:firstLine="120"/>
              <w:jc w:val="right"/>
              <w:rPr>
                <w:rFonts w:ascii="Arial" w:hAnsi="Arial" w:cs="Arial"/>
                <w:sz w:val="12"/>
                <w:szCs w:val="12"/>
                <w:lang w:eastAsia="en-AU"/>
              </w:rPr>
            </w:pPr>
            <w:proofErr w:type="spellStart"/>
            <w:r w:rsidRPr="00667CD1">
              <w:rPr>
                <w:rFonts w:ascii="Arial" w:hAnsi="Arial" w:cs="Arial"/>
                <w:sz w:val="12"/>
                <w:szCs w:val="12"/>
                <w:lang w:eastAsia="en-AU"/>
              </w:rPr>
              <w:t>n.a.</w:t>
            </w:r>
            <w:proofErr w:type="spellEnd"/>
          </w:p>
        </w:tc>
      </w:tr>
      <w:tr w:rsidR="00FE4026" w:rsidRPr="00667CD1" w14:paraId="453118D2"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420A8770" w14:textId="77777777" w:rsidR="00F355B1" w:rsidRPr="00667CD1" w:rsidRDefault="00F355B1" w:rsidP="00F355B1">
            <w:pPr>
              <w:rPr>
                <w:rFonts w:ascii="Arial" w:hAnsi="Arial" w:cs="Arial"/>
                <w:i/>
                <w:iCs/>
                <w:sz w:val="12"/>
                <w:szCs w:val="12"/>
                <w:lang w:eastAsia="en-AU"/>
              </w:rPr>
            </w:pPr>
            <w:r w:rsidRPr="00667CD1">
              <w:rPr>
                <w:rFonts w:ascii="Arial" w:hAnsi="Arial" w:cs="Arial"/>
                <w:i/>
                <w:iCs/>
                <w:sz w:val="12"/>
                <w:szCs w:val="12"/>
                <w:lang w:eastAsia="en-AU"/>
              </w:rPr>
              <w:t>Parameter and other variations</w:t>
            </w:r>
          </w:p>
        </w:tc>
        <w:tc>
          <w:tcPr>
            <w:tcW w:w="874" w:type="dxa"/>
            <w:tcBorders>
              <w:top w:val="nil"/>
              <w:left w:val="nil"/>
              <w:bottom w:val="nil"/>
              <w:right w:val="nil"/>
            </w:tcBorders>
            <w:shd w:val="clear" w:color="auto" w:fill="FFFFFF" w:themeFill="background1"/>
            <w:noWrap/>
            <w:vAlign w:val="center"/>
            <w:hideMark/>
          </w:tcPr>
          <w:p w14:paraId="28FAA4FD" w14:textId="77777777" w:rsidR="00F355B1" w:rsidRPr="00667CD1" w:rsidRDefault="00F355B1" w:rsidP="00AA5678">
            <w:pPr>
              <w:ind w:firstLineChars="100" w:firstLine="120"/>
              <w:jc w:val="right"/>
              <w:rPr>
                <w:rFonts w:ascii="Arial" w:hAnsi="Arial" w:cs="Arial"/>
                <w:sz w:val="12"/>
                <w:szCs w:val="12"/>
                <w:lang w:eastAsia="en-AU"/>
              </w:rPr>
            </w:pPr>
            <w:r w:rsidRPr="00667CD1">
              <w:rPr>
                <w:rFonts w:ascii="Arial" w:hAnsi="Arial" w:cs="Arial"/>
                <w:sz w:val="12"/>
                <w:szCs w:val="12"/>
                <w:lang w:eastAsia="en-AU"/>
              </w:rPr>
              <w:t>137</w:t>
            </w:r>
          </w:p>
        </w:tc>
        <w:tc>
          <w:tcPr>
            <w:tcW w:w="1106" w:type="dxa"/>
            <w:tcBorders>
              <w:top w:val="nil"/>
              <w:left w:val="nil"/>
              <w:bottom w:val="nil"/>
              <w:right w:val="nil"/>
            </w:tcBorders>
            <w:shd w:val="clear" w:color="auto" w:fill="F2F2F2" w:themeFill="background1" w:themeFillShade="F2"/>
            <w:noWrap/>
            <w:vAlign w:val="center"/>
            <w:hideMark/>
          </w:tcPr>
          <w:p w14:paraId="32983476" w14:textId="77777777" w:rsidR="00F355B1" w:rsidRPr="00667CD1" w:rsidRDefault="00F355B1" w:rsidP="00AA5678">
            <w:pPr>
              <w:ind w:firstLineChars="100" w:firstLine="120"/>
              <w:jc w:val="right"/>
              <w:rPr>
                <w:rFonts w:ascii="Arial" w:hAnsi="Arial" w:cs="Arial"/>
                <w:sz w:val="12"/>
                <w:szCs w:val="12"/>
                <w:lang w:eastAsia="en-AU"/>
              </w:rPr>
            </w:pPr>
            <w:r w:rsidRPr="00667CD1">
              <w:rPr>
                <w:rFonts w:ascii="Arial" w:hAnsi="Arial" w:cs="Arial"/>
                <w:sz w:val="12"/>
                <w:szCs w:val="12"/>
                <w:lang w:eastAsia="en-AU"/>
              </w:rPr>
              <w:t>658</w:t>
            </w:r>
          </w:p>
        </w:tc>
        <w:tc>
          <w:tcPr>
            <w:tcW w:w="1106" w:type="dxa"/>
            <w:tcBorders>
              <w:top w:val="nil"/>
              <w:left w:val="nil"/>
              <w:bottom w:val="nil"/>
              <w:right w:val="nil"/>
            </w:tcBorders>
            <w:shd w:val="clear" w:color="auto" w:fill="F2F2F2" w:themeFill="background1" w:themeFillShade="F2"/>
            <w:noWrap/>
            <w:vAlign w:val="center"/>
            <w:hideMark/>
          </w:tcPr>
          <w:p w14:paraId="14214F56" w14:textId="77777777" w:rsidR="00F355B1" w:rsidRPr="00667CD1" w:rsidRDefault="00F355B1" w:rsidP="00AA5678">
            <w:pPr>
              <w:ind w:firstLineChars="100" w:firstLine="120"/>
              <w:jc w:val="right"/>
              <w:rPr>
                <w:rFonts w:ascii="Arial" w:hAnsi="Arial" w:cs="Arial"/>
                <w:sz w:val="12"/>
                <w:szCs w:val="12"/>
                <w:lang w:eastAsia="en-AU"/>
              </w:rPr>
            </w:pPr>
            <w:r w:rsidRPr="00667CD1">
              <w:rPr>
                <w:rFonts w:ascii="Arial" w:hAnsi="Arial" w:cs="Arial"/>
                <w:sz w:val="12"/>
                <w:szCs w:val="12"/>
                <w:lang w:eastAsia="en-AU"/>
              </w:rPr>
              <w:t>744</w:t>
            </w:r>
          </w:p>
        </w:tc>
        <w:tc>
          <w:tcPr>
            <w:tcW w:w="1106" w:type="dxa"/>
            <w:tcBorders>
              <w:top w:val="nil"/>
              <w:left w:val="nil"/>
              <w:bottom w:val="nil"/>
              <w:right w:val="nil"/>
            </w:tcBorders>
            <w:shd w:val="clear" w:color="auto" w:fill="F2F2F2" w:themeFill="background1" w:themeFillShade="F2"/>
            <w:noWrap/>
            <w:vAlign w:val="center"/>
            <w:hideMark/>
          </w:tcPr>
          <w:p w14:paraId="5CED601F" w14:textId="77777777" w:rsidR="00F355B1" w:rsidRPr="00667CD1" w:rsidRDefault="00F355B1" w:rsidP="00AA5678">
            <w:pPr>
              <w:ind w:firstLineChars="100" w:firstLine="120"/>
              <w:jc w:val="right"/>
              <w:rPr>
                <w:rFonts w:ascii="Arial" w:hAnsi="Arial" w:cs="Arial"/>
                <w:sz w:val="12"/>
                <w:szCs w:val="12"/>
                <w:lang w:eastAsia="en-AU"/>
              </w:rPr>
            </w:pPr>
            <w:r w:rsidRPr="00667CD1">
              <w:rPr>
                <w:rFonts w:ascii="Arial" w:hAnsi="Arial" w:cs="Arial"/>
                <w:sz w:val="12"/>
                <w:szCs w:val="12"/>
                <w:lang w:eastAsia="en-AU"/>
              </w:rPr>
              <w:t>987</w:t>
            </w:r>
          </w:p>
        </w:tc>
        <w:tc>
          <w:tcPr>
            <w:tcW w:w="1106" w:type="dxa"/>
            <w:tcBorders>
              <w:top w:val="nil"/>
              <w:left w:val="nil"/>
              <w:bottom w:val="nil"/>
              <w:right w:val="nil"/>
            </w:tcBorders>
            <w:shd w:val="clear" w:color="auto" w:fill="F2F2F2" w:themeFill="background1" w:themeFillShade="F2"/>
            <w:noWrap/>
            <w:vAlign w:val="center"/>
            <w:hideMark/>
          </w:tcPr>
          <w:p w14:paraId="198D62DA" w14:textId="77777777" w:rsidR="00F355B1" w:rsidRPr="00667CD1" w:rsidRDefault="00F355B1" w:rsidP="00AA5678">
            <w:pPr>
              <w:ind w:firstLineChars="100" w:firstLine="120"/>
              <w:jc w:val="right"/>
              <w:rPr>
                <w:rFonts w:ascii="Arial" w:hAnsi="Arial" w:cs="Arial"/>
                <w:sz w:val="12"/>
                <w:szCs w:val="12"/>
                <w:lang w:eastAsia="en-AU"/>
              </w:rPr>
            </w:pPr>
            <w:proofErr w:type="spellStart"/>
            <w:r w:rsidRPr="00667CD1">
              <w:rPr>
                <w:rFonts w:ascii="Arial" w:hAnsi="Arial" w:cs="Arial"/>
                <w:sz w:val="12"/>
                <w:szCs w:val="12"/>
                <w:lang w:eastAsia="en-AU"/>
              </w:rPr>
              <w:t>n.a.</w:t>
            </w:r>
            <w:proofErr w:type="spellEnd"/>
          </w:p>
        </w:tc>
        <w:tc>
          <w:tcPr>
            <w:tcW w:w="1106" w:type="dxa"/>
            <w:tcBorders>
              <w:top w:val="nil"/>
              <w:left w:val="nil"/>
              <w:bottom w:val="nil"/>
              <w:right w:val="nil"/>
            </w:tcBorders>
            <w:shd w:val="clear" w:color="auto" w:fill="FFFFFF" w:themeFill="background1"/>
            <w:noWrap/>
            <w:vAlign w:val="center"/>
            <w:hideMark/>
          </w:tcPr>
          <w:p w14:paraId="6015F3A6" w14:textId="77777777" w:rsidR="00F355B1" w:rsidRPr="00667CD1" w:rsidRDefault="00F355B1" w:rsidP="00AA5678">
            <w:pPr>
              <w:ind w:firstLineChars="100" w:firstLine="120"/>
              <w:jc w:val="right"/>
              <w:rPr>
                <w:rFonts w:ascii="Arial" w:hAnsi="Arial" w:cs="Arial"/>
                <w:sz w:val="12"/>
                <w:szCs w:val="12"/>
                <w:lang w:eastAsia="en-AU"/>
              </w:rPr>
            </w:pPr>
            <w:proofErr w:type="spellStart"/>
            <w:r w:rsidRPr="00667CD1">
              <w:rPr>
                <w:rFonts w:ascii="Arial" w:hAnsi="Arial" w:cs="Arial"/>
                <w:sz w:val="12"/>
                <w:szCs w:val="12"/>
                <w:lang w:eastAsia="en-AU"/>
              </w:rPr>
              <w:t>n.a.</w:t>
            </w:r>
            <w:proofErr w:type="spellEnd"/>
          </w:p>
        </w:tc>
      </w:tr>
      <w:tr w:rsidR="00BF063C" w:rsidRPr="00667CD1" w14:paraId="3E5F3CAE" w14:textId="77777777" w:rsidTr="00EF6284">
        <w:trPr>
          <w:trHeight w:val="340"/>
        </w:trPr>
        <w:tc>
          <w:tcPr>
            <w:tcW w:w="3402" w:type="dxa"/>
            <w:tcBorders>
              <w:top w:val="single" w:sz="4" w:space="0" w:color="auto"/>
              <w:left w:val="nil"/>
              <w:bottom w:val="single" w:sz="4" w:space="0" w:color="auto"/>
              <w:right w:val="nil"/>
            </w:tcBorders>
            <w:shd w:val="clear" w:color="auto" w:fill="FFFFFF" w:themeFill="background1"/>
            <w:noWrap/>
            <w:vAlign w:val="center"/>
            <w:hideMark/>
          </w:tcPr>
          <w:p w14:paraId="07921140" w14:textId="77777777" w:rsidR="00F355B1" w:rsidRPr="00667CD1" w:rsidRDefault="00F355B1" w:rsidP="00F355B1">
            <w:pPr>
              <w:rPr>
                <w:rFonts w:ascii="Arial" w:hAnsi="Arial" w:cs="Arial"/>
                <w:b/>
                <w:bCs/>
                <w:color w:val="008EBA"/>
                <w:sz w:val="12"/>
                <w:szCs w:val="12"/>
                <w:lang w:eastAsia="en-AU"/>
              </w:rPr>
            </w:pPr>
            <w:r w:rsidRPr="00667CD1">
              <w:rPr>
                <w:rFonts w:ascii="Arial" w:hAnsi="Arial" w:cs="Arial"/>
                <w:b/>
                <w:bCs/>
                <w:color w:val="008EBA"/>
                <w:sz w:val="12"/>
                <w:szCs w:val="12"/>
                <w:lang w:eastAsia="en-AU"/>
              </w:rPr>
              <w:t>Revenue - 2019-20 Half-Yearly Review</w:t>
            </w:r>
          </w:p>
        </w:tc>
        <w:tc>
          <w:tcPr>
            <w:tcW w:w="874" w:type="dxa"/>
            <w:tcBorders>
              <w:top w:val="single" w:sz="4" w:space="0" w:color="auto"/>
              <w:left w:val="nil"/>
              <w:bottom w:val="single" w:sz="4" w:space="0" w:color="auto"/>
              <w:right w:val="nil"/>
            </w:tcBorders>
            <w:shd w:val="clear" w:color="auto" w:fill="FFFFFF" w:themeFill="background1"/>
            <w:noWrap/>
            <w:vAlign w:val="center"/>
            <w:hideMark/>
          </w:tcPr>
          <w:p w14:paraId="09AC7961" w14:textId="77777777" w:rsidR="00F355B1" w:rsidRPr="00667CD1" w:rsidRDefault="00F355B1" w:rsidP="00AA5678">
            <w:pPr>
              <w:ind w:firstLineChars="100" w:firstLine="120"/>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84,157</w:t>
            </w:r>
          </w:p>
        </w:tc>
        <w:tc>
          <w:tcPr>
            <w:tcW w:w="1106" w:type="dxa"/>
            <w:tcBorders>
              <w:top w:val="single" w:sz="4" w:space="0" w:color="auto"/>
              <w:left w:val="nil"/>
              <w:bottom w:val="single" w:sz="4" w:space="0" w:color="auto"/>
              <w:right w:val="nil"/>
            </w:tcBorders>
            <w:shd w:val="clear" w:color="auto" w:fill="F2F2F2" w:themeFill="background1" w:themeFillShade="F2"/>
            <w:noWrap/>
            <w:vAlign w:val="center"/>
            <w:hideMark/>
          </w:tcPr>
          <w:p w14:paraId="38B92966" w14:textId="77777777" w:rsidR="00F355B1" w:rsidRPr="00667CD1" w:rsidRDefault="00F355B1" w:rsidP="00AA5678">
            <w:pPr>
              <w:ind w:firstLineChars="100" w:firstLine="120"/>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88,270</w:t>
            </w:r>
          </w:p>
        </w:tc>
        <w:tc>
          <w:tcPr>
            <w:tcW w:w="1106" w:type="dxa"/>
            <w:tcBorders>
              <w:top w:val="single" w:sz="4" w:space="0" w:color="auto"/>
              <w:left w:val="nil"/>
              <w:bottom w:val="single" w:sz="4" w:space="0" w:color="auto"/>
              <w:right w:val="nil"/>
            </w:tcBorders>
            <w:shd w:val="clear" w:color="auto" w:fill="F2F2F2" w:themeFill="background1" w:themeFillShade="F2"/>
            <w:noWrap/>
            <w:vAlign w:val="center"/>
            <w:hideMark/>
          </w:tcPr>
          <w:p w14:paraId="3275F982" w14:textId="77777777" w:rsidR="00F355B1" w:rsidRPr="00667CD1" w:rsidRDefault="00F355B1" w:rsidP="00AA5678">
            <w:pPr>
              <w:ind w:firstLineChars="100" w:firstLine="120"/>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90,678</w:t>
            </w:r>
          </w:p>
        </w:tc>
        <w:tc>
          <w:tcPr>
            <w:tcW w:w="1106" w:type="dxa"/>
            <w:tcBorders>
              <w:top w:val="single" w:sz="4" w:space="0" w:color="auto"/>
              <w:left w:val="nil"/>
              <w:bottom w:val="single" w:sz="4" w:space="0" w:color="auto"/>
              <w:right w:val="nil"/>
            </w:tcBorders>
            <w:shd w:val="clear" w:color="auto" w:fill="F2F2F2" w:themeFill="background1" w:themeFillShade="F2"/>
            <w:noWrap/>
            <w:vAlign w:val="center"/>
            <w:hideMark/>
          </w:tcPr>
          <w:p w14:paraId="72F1C6B1" w14:textId="77777777" w:rsidR="00F355B1" w:rsidRPr="00667CD1" w:rsidRDefault="00F355B1" w:rsidP="00AA5678">
            <w:pPr>
              <w:ind w:firstLineChars="100" w:firstLine="120"/>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93,072</w:t>
            </w:r>
          </w:p>
        </w:tc>
        <w:tc>
          <w:tcPr>
            <w:tcW w:w="1106" w:type="dxa"/>
            <w:tcBorders>
              <w:top w:val="single" w:sz="4" w:space="0" w:color="auto"/>
              <w:left w:val="nil"/>
              <w:bottom w:val="single" w:sz="4" w:space="0" w:color="auto"/>
              <w:right w:val="nil"/>
            </w:tcBorders>
            <w:shd w:val="clear" w:color="auto" w:fill="F2F2F2" w:themeFill="background1" w:themeFillShade="F2"/>
            <w:noWrap/>
            <w:vAlign w:val="center"/>
            <w:hideMark/>
          </w:tcPr>
          <w:p w14:paraId="406065AB" w14:textId="77777777" w:rsidR="00F355B1" w:rsidRPr="00667CD1" w:rsidRDefault="00F355B1" w:rsidP="00AA5678">
            <w:pPr>
              <w:ind w:firstLineChars="100" w:firstLine="120"/>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96,135</w:t>
            </w:r>
          </w:p>
        </w:tc>
        <w:tc>
          <w:tcPr>
            <w:tcW w:w="1106" w:type="dxa"/>
            <w:tcBorders>
              <w:top w:val="single" w:sz="4" w:space="0" w:color="auto"/>
              <w:left w:val="nil"/>
              <w:bottom w:val="single" w:sz="4" w:space="0" w:color="auto"/>
              <w:right w:val="nil"/>
            </w:tcBorders>
            <w:shd w:val="clear" w:color="auto" w:fill="FFFFFF" w:themeFill="background1"/>
            <w:noWrap/>
            <w:vAlign w:val="center"/>
            <w:hideMark/>
          </w:tcPr>
          <w:p w14:paraId="4D292437" w14:textId="77777777" w:rsidR="00F355B1" w:rsidRPr="00667CD1" w:rsidRDefault="00F355B1" w:rsidP="00AA5678">
            <w:pPr>
              <w:ind w:firstLineChars="100" w:firstLine="120"/>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368,155</w:t>
            </w:r>
          </w:p>
        </w:tc>
      </w:tr>
      <w:tr w:rsidR="00FE4026" w:rsidRPr="00667CD1" w14:paraId="08867C02" w14:textId="77777777" w:rsidTr="002364B3">
        <w:trPr>
          <w:trHeight w:val="120"/>
        </w:trPr>
        <w:tc>
          <w:tcPr>
            <w:tcW w:w="3402" w:type="dxa"/>
            <w:tcBorders>
              <w:top w:val="nil"/>
              <w:left w:val="nil"/>
              <w:bottom w:val="nil"/>
              <w:right w:val="nil"/>
            </w:tcBorders>
            <w:shd w:val="clear" w:color="auto" w:fill="FFFFFF" w:themeFill="background1"/>
            <w:noWrap/>
            <w:vAlign w:val="center"/>
            <w:hideMark/>
          </w:tcPr>
          <w:p w14:paraId="66A7ABDC" w14:textId="77777777" w:rsidR="00F355B1" w:rsidRPr="00667CD1" w:rsidRDefault="00F355B1" w:rsidP="00F355B1">
            <w:pPr>
              <w:rPr>
                <w:rFonts w:ascii="Arial" w:hAnsi="Arial" w:cs="Arial"/>
                <w:b/>
                <w:bCs/>
                <w:color w:val="0579B9"/>
                <w:sz w:val="12"/>
                <w:szCs w:val="12"/>
                <w:lang w:eastAsia="en-AU"/>
              </w:rPr>
            </w:pPr>
            <w:r w:rsidRPr="00667CD1">
              <w:rPr>
                <w:rFonts w:ascii="Arial" w:hAnsi="Arial" w:cs="Arial"/>
                <w:b/>
                <w:bCs/>
                <w:color w:val="0579B9"/>
                <w:sz w:val="12"/>
                <w:szCs w:val="12"/>
                <w:lang w:eastAsia="en-AU"/>
              </w:rPr>
              <w:t> </w:t>
            </w:r>
          </w:p>
        </w:tc>
        <w:tc>
          <w:tcPr>
            <w:tcW w:w="874" w:type="dxa"/>
            <w:tcBorders>
              <w:top w:val="nil"/>
              <w:left w:val="nil"/>
              <w:bottom w:val="nil"/>
              <w:right w:val="nil"/>
            </w:tcBorders>
            <w:shd w:val="clear" w:color="auto" w:fill="FFFFFF" w:themeFill="background1"/>
            <w:noWrap/>
            <w:vAlign w:val="center"/>
            <w:hideMark/>
          </w:tcPr>
          <w:p w14:paraId="49791028" w14:textId="6A84A500"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446DA453" w14:textId="7DBAD986"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3D45DD2B" w14:textId="0437D26F"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3C428C5E" w14:textId="6C909D66"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600FD281" w14:textId="02F35149"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FFFFF" w:themeFill="background1"/>
            <w:noWrap/>
            <w:vAlign w:val="center"/>
            <w:hideMark/>
          </w:tcPr>
          <w:p w14:paraId="5A0B8F54" w14:textId="4B82217B" w:rsidR="00F355B1" w:rsidRPr="00667CD1" w:rsidRDefault="00F355B1" w:rsidP="00AA5678">
            <w:pPr>
              <w:ind w:firstLineChars="100" w:firstLine="120"/>
              <w:jc w:val="right"/>
              <w:rPr>
                <w:rFonts w:ascii="Arial" w:hAnsi="Arial" w:cs="Arial"/>
                <w:b/>
                <w:bCs/>
                <w:color w:val="0579B9"/>
                <w:sz w:val="12"/>
                <w:szCs w:val="12"/>
                <w:lang w:eastAsia="en-AU"/>
              </w:rPr>
            </w:pPr>
          </w:p>
        </w:tc>
      </w:tr>
      <w:tr w:rsidR="00FE4026" w:rsidRPr="00667CD1" w14:paraId="0D6A5C25"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2A50212F" w14:textId="77777777" w:rsidR="00F355B1" w:rsidRPr="00667CD1" w:rsidRDefault="00F355B1" w:rsidP="00234863">
            <w:pPr>
              <w:ind w:left="102" w:hanging="102"/>
              <w:rPr>
                <w:rFonts w:ascii="Arial" w:hAnsi="Arial" w:cs="Arial"/>
                <w:i/>
                <w:iCs/>
                <w:sz w:val="12"/>
                <w:szCs w:val="12"/>
                <w:lang w:eastAsia="en-AU"/>
              </w:rPr>
            </w:pPr>
            <w:r w:rsidRPr="00667CD1">
              <w:rPr>
                <w:rFonts w:ascii="Arial" w:hAnsi="Arial" w:cs="Arial"/>
                <w:i/>
                <w:iCs/>
                <w:sz w:val="12"/>
                <w:szCs w:val="12"/>
                <w:lang w:eastAsia="en-AU"/>
              </w:rPr>
              <w:t>Policy changes since 2019-20 Half-Yearly Review</w:t>
            </w:r>
          </w:p>
        </w:tc>
        <w:tc>
          <w:tcPr>
            <w:tcW w:w="874" w:type="dxa"/>
            <w:tcBorders>
              <w:top w:val="nil"/>
              <w:left w:val="nil"/>
              <w:bottom w:val="nil"/>
              <w:right w:val="nil"/>
            </w:tcBorders>
            <w:shd w:val="clear" w:color="auto" w:fill="FFFFFF" w:themeFill="background1"/>
            <w:noWrap/>
            <w:vAlign w:val="center"/>
            <w:hideMark/>
          </w:tcPr>
          <w:p w14:paraId="5F15D45A" w14:textId="5A4B3BDC"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63805716" w14:textId="13443F0A"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4D99D164" w14:textId="3C332D7D"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2102C079" w14:textId="1264D97F"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019E9EF4" w14:textId="41F8A2BF"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FFFFF" w:themeFill="background1"/>
            <w:noWrap/>
            <w:vAlign w:val="center"/>
            <w:hideMark/>
          </w:tcPr>
          <w:p w14:paraId="3D44A492" w14:textId="7A884968" w:rsidR="00F355B1" w:rsidRPr="00667CD1" w:rsidRDefault="00F355B1" w:rsidP="00AA5678">
            <w:pPr>
              <w:ind w:firstLineChars="100" w:firstLine="120"/>
              <w:jc w:val="right"/>
              <w:rPr>
                <w:rFonts w:ascii="Arial" w:hAnsi="Arial" w:cs="Arial"/>
                <w:b/>
                <w:bCs/>
                <w:color w:val="0579B9"/>
                <w:sz w:val="12"/>
                <w:szCs w:val="12"/>
                <w:lang w:eastAsia="en-AU"/>
              </w:rPr>
            </w:pPr>
          </w:p>
        </w:tc>
      </w:tr>
      <w:tr w:rsidR="00FE4026" w:rsidRPr="00667CD1" w14:paraId="70467361"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445DB3FC" w14:textId="77777777" w:rsidR="00F355B1" w:rsidRPr="00667CD1" w:rsidRDefault="00F355B1" w:rsidP="00F355B1">
            <w:pPr>
              <w:rPr>
                <w:rFonts w:ascii="Arial" w:hAnsi="Arial" w:cs="Arial"/>
                <w:b/>
                <w:bCs/>
                <w:sz w:val="12"/>
                <w:szCs w:val="12"/>
                <w:lang w:eastAsia="en-AU"/>
              </w:rPr>
            </w:pPr>
            <w:r w:rsidRPr="00667CD1">
              <w:rPr>
                <w:rFonts w:ascii="Arial" w:hAnsi="Arial" w:cs="Arial"/>
                <w:b/>
                <w:bCs/>
                <w:sz w:val="12"/>
                <w:szCs w:val="12"/>
                <w:lang w:eastAsia="en-AU"/>
              </w:rPr>
              <w:t>New policy measures</w:t>
            </w:r>
          </w:p>
        </w:tc>
        <w:tc>
          <w:tcPr>
            <w:tcW w:w="874" w:type="dxa"/>
            <w:tcBorders>
              <w:top w:val="nil"/>
              <w:left w:val="nil"/>
              <w:bottom w:val="nil"/>
              <w:right w:val="nil"/>
            </w:tcBorders>
            <w:shd w:val="clear" w:color="auto" w:fill="FFFFFF" w:themeFill="background1"/>
            <w:noWrap/>
            <w:vAlign w:val="center"/>
            <w:hideMark/>
          </w:tcPr>
          <w:p w14:paraId="59CE9B65" w14:textId="59751AAF"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662C4B27" w14:textId="7C8D87CF"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4C4C12B9" w14:textId="5CA0010A"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1D773134" w14:textId="0154CBC1"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00A7643F" w14:textId="2D196CE7" w:rsidR="00F355B1" w:rsidRPr="00667CD1" w:rsidRDefault="00F355B1" w:rsidP="00AA5678">
            <w:pPr>
              <w:ind w:firstLineChars="100" w:firstLine="120"/>
              <w:jc w:val="right"/>
              <w:rPr>
                <w:rFonts w:ascii="Arial" w:hAnsi="Arial" w:cs="Arial"/>
                <w:b/>
                <w:bCs/>
                <w:color w:val="0579B9"/>
                <w:sz w:val="12"/>
                <w:szCs w:val="12"/>
                <w:lang w:eastAsia="en-AU"/>
              </w:rPr>
            </w:pPr>
          </w:p>
        </w:tc>
        <w:tc>
          <w:tcPr>
            <w:tcW w:w="1106" w:type="dxa"/>
            <w:tcBorders>
              <w:top w:val="nil"/>
              <w:left w:val="nil"/>
              <w:bottom w:val="nil"/>
              <w:right w:val="nil"/>
            </w:tcBorders>
            <w:shd w:val="clear" w:color="auto" w:fill="FFFFFF" w:themeFill="background1"/>
            <w:noWrap/>
            <w:vAlign w:val="center"/>
            <w:hideMark/>
          </w:tcPr>
          <w:p w14:paraId="30BD7BE3" w14:textId="43739FD4" w:rsidR="00F355B1" w:rsidRPr="00667CD1" w:rsidRDefault="00F355B1" w:rsidP="00AA5678">
            <w:pPr>
              <w:ind w:firstLineChars="100" w:firstLine="120"/>
              <w:jc w:val="right"/>
              <w:rPr>
                <w:rFonts w:ascii="Arial" w:hAnsi="Arial" w:cs="Arial"/>
                <w:b/>
                <w:bCs/>
                <w:color w:val="0579B9"/>
                <w:sz w:val="12"/>
                <w:szCs w:val="12"/>
                <w:lang w:eastAsia="en-AU"/>
              </w:rPr>
            </w:pPr>
          </w:p>
        </w:tc>
      </w:tr>
      <w:tr w:rsidR="00FE4026" w:rsidRPr="00667CD1" w14:paraId="46316B38"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59C53341" w14:textId="77777777" w:rsidR="00F355B1" w:rsidRPr="00667CD1" w:rsidRDefault="00F355B1" w:rsidP="00F355B1">
            <w:pPr>
              <w:rPr>
                <w:rFonts w:ascii="Arial" w:hAnsi="Arial" w:cs="Arial"/>
                <w:sz w:val="12"/>
                <w:szCs w:val="12"/>
                <w:lang w:eastAsia="en-AU"/>
              </w:rPr>
            </w:pPr>
            <w:r w:rsidRPr="00667CD1">
              <w:rPr>
                <w:rFonts w:ascii="Arial" w:hAnsi="Arial" w:cs="Arial"/>
                <w:sz w:val="12"/>
                <w:szCs w:val="12"/>
                <w:lang w:eastAsia="en-AU"/>
              </w:rPr>
              <w:t>Taxation</w:t>
            </w:r>
          </w:p>
        </w:tc>
        <w:tc>
          <w:tcPr>
            <w:tcW w:w="874" w:type="dxa"/>
            <w:tcBorders>
              <w:top w:val="nil"/>
              <w:left w:val="nil"/>
              <w:bottom w:val="nil"/>
              <w:right w:val="nil"/>
            </w:tcBorders>
            <w:shd w:val="clear" w:color="auto" w:fill="FFFFFF" w:themeFill="background1"/>
            <w:noWrap/>
            <w:vAlign w:val="center"/>
            <w:hideMark/>
          </w:tcPr>
          <w:p w14:paraId="7D4C3321"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(598)</w:t>
            </w:r>
          </w:p>
        </w:tc>
        <w:tc>
          <w:tcPr>
            <w:tcW w:w="1106" w:type="dxa"/>
            <w:tcBorders>
              <w:top w:val="nil"/>
              <w:left w:val="nil"/>
              <w:bottom w:val="nil"/>
              <w:right w:val="nil"/>
            </w:tcBorders>
            <w:shd w:val="clear" w:color="auto" w:fill="F2F2F2" w:themeFill="background1" w:themeFillShade="F2"/>
            <w:noWrap/>
            <w:vAlign w:val="center"/>
            <w:hideMark/>
          </w:tcPr>
          <w:p w14:paraId="6F52761E"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(1,488)</w:t>
            </w:r>
          </w:p>
        </w:tc>
        <w:tc>
          <w:tcPr>
            <w:tcW w:w="1106" w:type="dxa"/>
            <w:tcBorders>
              <w:top w:val="nil"/>
              <w:left w:val="nil"/>
              <w:bottom w:val="nil"/>
              <w:right w:val="nil"/>
            </w:tcBorders>
            <w:shd w:val="clear" w:color="auto" w:fill="F2F2F2" w:themeFill="background1" w:themeFillShade="F2"/>
            <w:noWrap/>
            <w:vAlign w:val="center"/>
            <w:hideMark/>
          </w:tcPr>
          <w:p w14:paraId="498A43ED"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(1,250)</w:t>
            </w:r>
          </w:p>
        </w:tc>
        <w:tc>
          <w:tcPr>
            <w:tcW w:w="1106" w:type="dxa"/>
            <w:tcBorders>
              <w:top w:val="nil"/>
              <w:left w:val="nil"/>
              <w:bottom w:val="nil"/>
              <w:right w:val="nil"/>
            </w:tcBorders>
            <w:shd w:val="clear" w:color="auto" w:fill="F2F2F2" w:themeFill="background1" w:themeFillShade="F2"/>
            <w:noWrap/>
            <w:vAlign w:val="center"/>
            <w:hideMark/>
          </w:tcPr>
          <w:p w14:paraId="585CABA5"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(150)</w:t>
            </w:r>
          </w:p>
        </w:tc>
        <w:tc>
          <w:tcPr>
            <w:tcW w:w="1106" w:type="dxa"/>
            <w:tcBorders>
              <w:top w:val="nil"/>
              <w:left w:val="nil"/>
              <w:bottom w:val="nil"/>
              <w:right w:val="nil"/>
            </w:tcBorders>
            <w:shd w:val="clear" w:color="auto" w:fill="F2F2F2" w:themeFill="background1" w:themeFillShade="F2"/>
            <w:noWrap/>
            <w:vAlign w:val="center"/>
            <w:hideMark/>
          </w:tcPr>
          <w:p w14:paraId="7631BCE5"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(196)</w:t>
            </w:r>
          </w:p>
        </w:tc>
        <w:tc>
          <w:tcPr>
            <w:tcW w:w="1106" w:type="dxa"/>
            <w:tcBorders>
              <w:top w:val="nil"/>
              <w:left w:val="nil"/>
              <w:bottom w:val="nil"/>
              <w:right w:val="nil"/>
            </w:tcBorders>
            <w:shd w:val="clear" w:color="auto" w:fill="FFFFFF" w:themeFill="background1"/>
            <w:noWrap/>
            <w:vAlign w:val="center"/>
            <w:hideMark/>
          </w:tcPr>
          <w:p w14:paraId="6D2882DE"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(3,084)</w:t>
            </w:r>
          </w:p>
        </w:tc>
      </w:tr>
      <w:tr w:rsidR="00FE4026" w:rsidRPr="00667CD1" w14:paraId="31F9F96B"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70EB24D3" w14:textId="77777777" w:rsidR="00C33E0E" w:rsidRPr="00667CD1" w:rsidRDefault="00C33E0E" w:rsidP="00C33E0E">
            <w:pPr>
              <w:rPr>
                <w:rFonts w:ascii="Arial" w:hAnsi="Arial" w:cs="Arial"/>
                <w:sz w:val="12"/>
                <w:szCs w:val="12"/>
                <w:lang w:eastAsia="en-AU"/>
              </w:rPr>
            </w:pPr>
            <w:r w:rsidRPr="00667CD1">
              <w:rPr>
                <w:rFonts w:ascii="Arial" w:hAnsi="Arial" w:cs="Arial"/>
                <w:sz w:val="12"/>
                <w:szCs w:val="12"/>
                <w:lang w:eastAsia="en-AU"/>
              </w:rPr>
              <w:t>Other measures</w:t>
            </w:r>
          </w:p>
        </w:tc>
        <w:tc>
          <w:tcPr>
            <w:tcW w:w="874" w:type="dxa"/>
            <w:tcBorders>
              <w:top w:val="nil"/>
              <w:left w:val="nil"/>
              <w:bottom w:val="nil"/>
              <w:right w:val="nil"/>
            </w:tcBorders>
            <w:shd w:val="clear" w:color="auto" w:fill="FFFFFF" w:themeFill="background1"/>
            <w:noWrap/>
            <w:vAlign w:val="center"/>
          </w:tcPr>
          <w:p w14:paraId="07F0988F" w14:textId="00ABB988" w:rsidR="00C33E0E" w:rsidRPr="00667CD1" w:rsidRDefault="004D355D" w:rsidP="00AA5678">
            <w:pPr>
              <w:jc w:val="right"/>
              <w:rPr>
                <w:rFonts w:ascii="Arial" w:hAnsi="Arial" w:cs="Arial"/>
                <w:sz w:val="12"/>
                <w:szCs w:val="12"/>
                <w:lang w:eastAsia="en-AU"/>
              </w:rPr>
            </w:pPr>
            <w:r w:rsidRPr="00667CD1">
              <w:rPr>
                <w:rFonts w:ascii="Arial" w:hAnsi="Arial" w:cs="Arial"/>
                <w:sz w:val="12"/>
                <w:szCs w:val="12"/>
                <w:lang w:eastAsia="en-AU"/>
              </w:rPr>
              <w:t>(61)</w:t>
            </w:r>
          </w:p>
        </w:tc>
        <w:tc>
          <w:tcPr>
            <w:tcW w:w="1106" w:type="dxa"/>
            <w:tcBorders>
              <w:top w:val="nil"/>
              <w:left w:val="nil"/>
              <w:bottom w:val="nil"/>
              <w:right w:val="nil"/>
            </w:tcBorders>
            <w:shd w:val="clear" w:color="auto" w:fill="F2F2F2" w:themeFill="background1" w:themeFillShade="F2"/>
            <w:noWrap/>
            <w:vAlign w:val="center"/>
          </w:tcPr>
          <w:p w14:paraId="34195AA0" w14:textId="27C42D9F" w:rsidR="00C33E0E" w:rsidRPr="00667CD1" w:rsidRDefault="004D355D" w:rsidP="00AA5678">
            <w:pPr>
              <w:jc w:val="right"/>
              <w:rPr>
                <w:rFonts w:ascii="Arial" w:hAnsi="Arial" w:cs="Arial"/>
                <w:sz w:val="12"/>
                <w:szCs w:val="12"/>
                <w:lang w:eastAsia="en-AU"/>
              </w:rPr>
            </w:pPr>
            <w:r w:rsidRPr="00667CD1">
              <w:rPr>
                <w:rFonts w:ascii="Arial" w:hAnsi="Arial" w:cs="Arial"/>
                <w:sz w:val="12"/>
                <w:szCs w:val="12"/>
                <w:lang w:eastAsia="en-AU"/>
              </w:rPr>
              <w:t>106</w:t>
            </w:r>
          </w:p>
        </w:tc>
        <w:tc>
          <w:tcPr>
            <w:tcW w:w="1106" w:type="dxa"/>
            <w:tcBorders>
              <w:top w:val="nil"/>
              <w:left w:val="nil"/>
              <w:bottom w:val="nil"/>
              <w:right w:val="nil"/>
            </w:tcBorders>
            <w:shd w:val="clear" w:color="auto" w:fill="F2F2F2" w:themeFill="background1" w:themeFillShade="F2"/>
            <w:noWrap/>
            <w:vAlign w:val="center"/>
          </w:tcPr>
          <w:p w14:paraId="4BB67A33" w14:textId="6DECCF01" w:rsidR="00C33E0E" w:rsidRPr="00667CD1" w:rsidRDefault="00C33E0E" w:rsidP="00AA5678">
            <w:pPr>
              <w:jc w:val="right"/>
              <w:rPr>
                <w:rFonts w:ascii="Arial" w:hAnsi="Arial" w:cs="Arial"/>
                <w:sz w:val="12"/>
                <w:szCs w:val="12"/>
                <w:lang w:eastAsia="en-AU"/>
              </w:rPr>
            </w:pPr>
            <w:r w:rsidRPr="00667CD1">
              <w:rPr>
                <w:rFonts w:ascii="Arial" w:hAnsi="Arial" w:cs="Arial"/>
                <w:sz w:val="12"/>
                <w:szCs w:val="12"/>
                <w:lang w:eastAsia="en-AU"/>
              </w:rPr>
              <w:t>469</w:t>
            </w:r>
          </w:p>
        </w:tc>
        <w:tc>
          <w:tcPr>
            <w:tcW w:w="1106" w:type="dxa"/>
            <w:tcBorders>
              <w:top w:val="nil"/>
              <w:left w:val="nil"/>
              <w:bottom w:val="nil"/>
              <w:right w:val="nil"/>
            </w:tcBorders>
            <w:shd w:val="clear" w:color="auto" w:fill="F2F2F2" w:themeFill="background1" w:themeFillShade="F2"/>
            <w:noWrap/>
            <w:vAlign w:val="center"/>
          </w:tcPr>
          <w:p w14:paraId="327ADAB5" w14:textId="30CE426A" w:rsidR="00C33E0E" w:rsidRPr="00667CD1" w:rsidRDefault="00C33E0E" w:rsidP="00AA5678">
            <w:pPr>
              <w:jc w:val="right"/>
              <w:rPr>
                <w:rFonts w:ascii="Arial" w:hAnsi="Arial" w:cs="Arial"/>
                <w:sz w:val="12"/>
                <w:szCs w:val="12"/>
                <w:lang w:eastAsia="en-AU"/>
              </w:rPr>
            </w:pPr>
            <w:r w:rsidRPr="00667CD1">
              <w:rPr>
                <w:rFonts w:ascii="Arial" w:hAnsi="Arial" w:cs="Arial"/>
                <w:sz w:val="12"/>
                <w:szCs w:val="12"/>
                <w:lang w:eastAsia="en-AU"/>
              </w:rPr>
              <w:t>614</w:t>
            </w:r>
          </w:p>
        </w:tc>
        <w:tc>
          <w:tcPr>
            <w:tcW w:w="1106" w:type="dxa"/>
            <w:tcBorders>
              <w:top w:val="nil"/>
              <w:left w:val="nil"/>
              <w:bottom w:val="nil"/>
              <w:right w:val="nil"/>
            </w:tcBorders>
            <w:shd w:val="clear" w:color="auto" w:fill="F2F2F2" w:themeFill="background1" w:themeFillShade="F2"/>
            <w:noWrap/>
            <w:vAlign w:val="center"/>
          </w:tcPr>
          <w:p w14:paraId="2E2525FA" w14:textId="73D6A975" w:rsidR="00C33E0E" w:rsidRPr="00667CD1" w:rsidRDefault="00C33E0E" w:rsidP="00AA5678">
            <w:pPr>
              <w:jc w:val="right"/>
              <w:rPr>
                <w:rFonts w:ascii="Arial" w:hAnsi="Arial" w:cs="Arial"/>
                <w:sz w:val="12"/>
                <w:szCs w:val="12"/>
                <w:lang w:eastAsia="en-AU"/>
              </w:rPr>
            </w:pPr>
            <w:r w:rsidRPr="00667CD1">
              <w:rPr>
                <w:rFonts w:ascii="Arial" w:hAnsi="Arial" w:cs="Arial"/>
                <w:sz w:val="12"/>
                <w:szCs w:val="12"/>
                <w:lang w:eastAsia="en-AU"/>
              </w:rPr>
              <w:t>838</w:t>
            </w:r>
          </w:p>
        </w:tc>
        <w:tc>
          <w:tcPr>
            <w:tcW w:w="1106" w:type="dxa"/>
            <w:tcBorders>
              <w:top w:val="nil"/>
              <w:left w:val="nil"/>
              <w:bottom w:val="nil"/>
              <w:right w:val="nil"/>
            </w:tcBorders>
            <w:shd w:val="clear" w:color="auto" w:fill="FFFFFF" w:themeFill="background1"/>
            <w:noWrap/>
            <w:vAlign w:val="center"/>
          </w:tcPr>
          <w:p w14:paraId="622EA197" w14:textId="3406D36F" w:rsidR="00C33E0E" w:rsidRPr="00667CD1" w:rsidRDefault="00C33E0E" w:rsidP="00AA5678">
            <w:pPr>
              <w:jc w:val="right"/>
              <w:rPr>
                <w:rFonts w:ascii="Arial" w:hAnsi="Arial" w:cs="Arial"/>
                <w:sz w:val="12"/>
                <w:szCs w:val="12"/>
                <w:lang w:eastAsia="en-AU"/>
              </w:rPr>
            </w:pPr>
            <w:r w:rsidRPr="00667CD1">
              <w:rPr>
                <w:rFonts w:ascii="Arial" w:hAnsi="Arial" w:cs="Arial"/>
                <w:sz w:val="12"/>
                <w:szCs w:val="12"/>
                <w:lang w:eastAsia="en-AU"/>
              </w:rPr>
              <w:t>2,</w:t>
            </w:r>
            <w:r w:rsidR="004D355D" w:rsidRPr="00667CD1">
              <w:rPr>
                <w:rFonts w:ascii="Arial" w:hAnsi="Arial" w:cs="Arial"/>
                <w:sz w:val="12"/>
                <w:szCs w:val="12"/>
                <w:lang w:eastAsia="en-AU"/>
              </w:rPr>
              <w:t>027</w:t>
            </w:r>
          </w:p>
        </w:tc>
      </w:tr>
      <w:tr w:rsidR="00FE4026" w:rsidRPr="00667CD1" w14:paraId="207860B9" w14:textId="77777777" w:rsidTr="002364B3">
        <w:trPr>
          <w:trHeight w:val="120"/>
        </w:trPr>
        <w:tc>
          <w:tcPr>
            <w:tcW w:w="3402" w:type="dxa"/>
            <w:tcBorders>
              <w:top w:val="nil"/>
              <w:left w:val="nil"/>
              <w:bottom w:val="nil"/>
              <w:right w:val="nil"/>
            </w:tcBorders>
            <w:shd w:val="clear" w:color="auto" w:fill="FFFFFF" w:themeFill="background1"/>
            <w:noWrap/>
            <w:vAlign w:val="center"/>
            <w:hideMark/>
          </w:tcPr>
          <w:p w14:paraId="5DE2565C" w14:textId="77777777" w:rsidR="00F355B1" w:rsidRPr="00667CD1" w:rsidRDefault="00F355B1" w:rsidP="00F355B1">
            <w:pPr>
              <w:rPr>
                <w:rFonts w:ascii="Arial" w:hAnsi="Arial" w:cs="Arial"/>
                <w:b/>
                <w:bCs/>
                <w:sz w:val="12"/>
                <w:szCs w:val="12"/>
                <w:lang w:eastAsia="en-AU"/>
              </w:rPr>
            </w:pPr>
            <w:r w:rsidRPr="00667CD1">
              <w:rPr>
                <w:rFonts w:ascii="Arial" w:hAnsi="Arial" w:cs="Arial"/>
                <w:b/>
                <w:bCs/>
                <w:sz w:val="12"/>
                <w:szCs w:val="12"/>
                <w:lang w:eastAsia="en-AU"/>
              </w:rPr>
              <w:t> </w:t>
            </w:r>
          </w:p>
        </w:tc>
        <w:tc>
          <w:tcPr>
            <w:tcW w:w="874" w:type="dxa"/>
            <w:tcBorders>
              <w:top w:val="nil"/>
              <w:left w:val="nil"/>
              <w:bottom w:val="nil"/>
              <w:right w:val="nil"/>
            </w:tcBorders>
            <w:shd w:val="clear" w:color="auto" w:fill="FFFFFF" w:themeFill="background1"/>
            <w:noWrap/>
            <w:vAlign w:val="center"/>
            <w:hideMark/>
          </w:tcPr>
          <w:p w14:paraId="4F17F51E" w14:textId="45C7590D"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652356BD" w14:textId="0BB01F64"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17C37E82" w14:textId="7EB106BB"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41D8FFA4" w14:textId="685C381B"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3CD41C2E" w14:textId="34E14D89"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FFFFF" w:themeFill="background1"/>
            <w:noWrap/>
            <w:vAlign w:val="center"/>
            <w:hideMark/>
          </w:tcPr>
          <w:p w14:paraId="3049F63D" w14:textId="42683F8F" w:rsidR="00F355B1" w:rsidRPr="00667CD1" w:rsidRDefault="00F355B1" w:rsidP="00AA5678">
            <w:pPr>
              <w:jc w:val="right"/>
              <w:rPr>
                <w:rFonts w:ascii="Arial" w:hAnsi="Arial" w:cs="Arial"/>
                <w:sz w:val="12"/>
                <w:szCs w:val="12"/>
                <w:lang w:eastAsia="en-AU"/>
              </w:rPr>
            </w:pPr>
          </w:p>
        </w:tc>
      </w:tr>
      <w:tr w:rsidR="00FE4026" w:rsidRPr="00667CD1" w14:paraId="68DA050E"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45235586" w14:textId="77150380" w:rsidR="00F355B1" w:rsidRPr="00667CD1" w:rsidRDefault="00F355B1" w:rsidP="00234863">
            <w:pPr>
              <w:ind w:left="102" w:right="-110" w:hanging="102"/>
              <w:rPr>
                <w:rFonts w:ascii="Arial" w:hAnsi="Arial" w:cs="Arial"/>
                <w:i/>
                <w:iCs/>
                <w:sz w:val="12"/>
                <w:szCs w:val="12"/>
                <w:lang w:eastAsia="en-AU"/>
              </w:rPr>
            </w:pPr>
            <w:r w:rsidRPr="00667CD1">
              <w:rPr>
                <w:rFonts w:ascii="Arial" w:hAnsi="Arial" w:cs="Arial"/>
                <w:i/>
                <w:iCs/>
                <w:sz w:val="12"/>
                <w:szCs w:val="12"/>
                <w:lang w:eastAsia="en-AU"/>
              </w:rPr>
              <w:t>Parameter changes since 2019-20 Half</w:t>
            </w:r>
            <w:r w:rsidR="002364B3" w:rsidRPr="00667CD1">
              <w:rPr>
                <w:rFonts w:ascii="Arial" w:hAnsi="Arial" w:cs="Arial"/>
                <w:i/>
                <w:iCs/>
                <w:sz w:val="12"/>
                <w:szCs w:val="12"/>
                <w:lang w:eastAsia="en-AU"/>
              </w:rPr>
              <w:noBreakHyphen/>
            </w:r>
            <w:r w:rsidRPr="00667CD1">
              <w:rPr>
                <w:rFonts w:ascii="Arial" w:hAnsi="Arial" w:cs="Arial"/>
                <w:i/>
                <w:iCs/>
                <w:sz w:val="12"/>
                <w:szCs w:val="12"/>
                <w:lang w:eastAsia="en-AU"/>
              </w:rPr>
              <w:t>Yearly Review</w:t>
            </w:r>
          </w:p>
        </w:tc>
        <w:tc>
          <w:tcPr>
            <w:tcW w:w="874" w:type="dxa"/>
            <w:tcBorders>
              <w:top w:val="nil"/>
              <w:left w:val="nil"/>
              <w:bottom w:val="nil"/>
              <w:right w:val="nil"/>
            </w:tcBorders>
            <w:shd w:val="clear" w:color="auto" w:fill="FFFFFF" w:themeFill="background1"/>
            <w:noWrap/>
            <w:vAlign w:val="center"/>
            <w:hideMark/>
          </w:tcPr>
          <w:p w14:paraId="7794D7FC" w14:textId="345B3308" w:rsidR="00F355B1" w:rsidRPr="00667CD1" w:rsidRDefault="00F355B1" w:rsidP="00AA5678">
            <w:pPr>
              <w:jc w:val="right"/>
              <w:rPr>
                <w:rFonts w:ascii="Arial" w:hAnsi="Arial" w:cs="Arial"/>
                <w:b/>
                <w:bCs/>
                <w:color w:val="00ABE6"/>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242EC460" w14:textId="29C18AD5" w:rsidR="00F355B1" w:rsidRPr="00667CD1" w:rsidRDefault="00F355B1" w:rsidP="00AA5678">
            <w:pPr>
              <w:jc w:val="right"/>
              <w:rPr>
                <w:rFonts w:ascii="Arial" w:hAnsi="Arial" w:cs="Arial"/>
                <w:b/>
                <w:bCs/>
                <w:color w:val="00ABE6"/>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31306B05" w14:textId="00F7C774" w:rsidR="00F355B1" w:rsidRPr="00667CD1" w:rsidRDefault="00F355B1" w:rsidP="00AA5678">
            <w:pPr>
              <w:jc w:val="right"/>
              <w:rPr>
                <w:rFonts w:ascii="Arial" w:hAnsi="Arial" w:cs="Arial"/>
                <w:b/>
                <w:bCs/>
                <w:color w:val="00ABE6"/>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298677FC" w14:textId="3CAB57DA" w:rsidR="00F355B1" w:rsidRPr="00667CD1" w:rsidRDefault="00F355B1" w:rsidP="00AA5678">
            <w:pPr>
              <w:jc w:val="right"/>
              <w:rPr>
                <w:rFonts w:ascii="Arial" w:hAnsi="Arial" w:cs="Arial"/>
                <w:b/>
                <w:bCs/>
                <w:color w:val="00ABE6"/>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26B5B7DE" w14:textId="14560E35" w:rsidR="00F355B1" w:rsidRPr="00667CD1" w:rsidRDefault="00F355B1" w:rsidP="00AA5678">
            <w:pPr>
              <w:jc w:val="right"/>
              <w:rPr>
                <w:rFonts w:ascii="Arial" w:hAnsi="Arial" w:cs="Arial"/>
                <w:b/>
                <w:bCs/>
                <w:color w:val="00ABE6"/>
                <w:sz w:val="12"/>
                <w:szCs w:val="12"/>
                <w:lang w:eastAsia="en-AU"/>
              </w:rPr>
            </w:pPr>
          </w:p>
        </w:tc>
        <w:tc>
          <w:tcPr>
            <w:tcW w:w="1106" w:type="dxa"/>
            <w:tcBorders>
              <w:top w:val="nil"/>
              <w:left w:val="nil"/>
              <w:bottom w:val="nil"/>
              <w:right w:val="nil"/>
            </w:tcBorders>
            <w:shd w:val="clear" w:color="auto" w:fill="FFFFFF" w:themeFill="background1"/>
            <w:noWrap/>
            <w:vAlign w:val="center"/>
            <w:hideMark/>
          </w:tcPr>
          <w:p w14:paraId="245B97C4" w14:textId="446BB52F" w:rsidR="00F355B1" w:rsidRPr="00667CD1" w:rsidRDefault="00F355B1" w:rsidP="00AA5678">
            <w:pPr>
              <w:jc w:val="right"/>
              <w:rPr>
                <w:rFonts w:ascii="Arial" w:hAnsi="Arial" w:cs="Arial"/>
                <w:sz w:val="12"/>
                <w:szCs w:val="12"/>
                <w:lang w:eastAsia="en-AU"/>
              </w:rPr>
            </w:pPr>
          </w:p>
        </w:tc>
      </w:tr>
      <w:tr w:rsidR="00FE4026" w:rsidRPr="00667CD1" w14:paraId="245CFFA6"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0F00D589" w14:textId="77777777" w:rsidR="00F355B1" w:rsidRPr="00667CD1" w:rsidRDefault="00F355B1" w:rsidP="00F355B1">
            <w:pPr>
              <w:rPr>
                <w:rFonts w:ascii="Arial" w:hAnsi="Arial" w:cs="Arial"/>
                <w:b/>
                <w:bCs/>
                <w:sz w:val="12"/>
                <w:szCs w:val="12"/>
                <w:lang w:eastAsia="en-AU"/>
              </w:rPr>
            </w:pPr>
            <w:r w:rsidRPr="00667CD1">
              <w:rPr>
                <w:rFonts w:ascii="Arial" w:hAnsi="Arial" w:cs="Arial"/>
                <w:b/>
                <w:bCs/>
                <w:sz w:val="12"/>
                <w:szCs w:val="12"/>
                <w:lang w:eastAsia="en-AU"/>
              </w:rPr>
              <w:t>Taxation</w:t>
            </w:r>
          </w:p>
        </w:tc>
        <w:tc>
          <w:tcPr>
            <w:tcW w:w="874" w:type="dxa"/>
            <w:tcBorders>
              <w:top w:val="nil"/>
              <w:left w:val="nil"/>
              <w:bottom w:val="nil"/>
              <w:right w:val="nil"/>
            </w:tcBorders>
            <w:shd w:val="clear" w:color="auto" w:fill="FFFFFF" w:themeFill="background1"/>
            <w:noWrap/>
            <w:vAlign w:val="center"/>
            <w:hideMark/>
          </w:tcPr>
          <w:p w14:paraId="2E0CAE61" w14:textId="7312B32C" w:rsidR="00F355B1" w:rsidRPr="00667CD1" w:rsidRDefault="00F355B1" w:rsidP="00AA5678">
            <w:pPr>
              <w:jc w:val="right"/>
              <w:rPr>
                <w:rFonts w:ascii="Arial" w:hAnsi="Arial" w:cs="Arial"/>
                <w:b/>
                <w:bCs/>
                <w:color w:val="00ABE6"/>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378A8F43" w14:textId="2F709CCA" w:rsidR="00F355B1" w:rsidRPr="00667CD1" w:rsidRDefault="00F355B1" w:rsidP="00AA5678">
            <w:pPr>
              <w:jc w:val="right"/>
              <w:rPr>
                <w:rFonts w:ascii="Arial" w:hAnsi="Arial" w:cs="Arial"/>
                <w:b/>
                <w:bCs/>
                <w:color w:val="00ABE6"/>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59A6D6E1" w14:textId="0E3BCA53" w:rsidR="00F355B1" w:rsidRPr="00667CD1" w:rsidRDefault="00F355B1" w:rsidP="00AA5678">
            <w:pPr>
              <w:jc w:val="right"/>
              <w:rPr>
                <w:rFonts w:ascii="Arial" w:hAnsi="Arial" w:cs="Arial"/>
                <w:b/>
                <w:bCs/>
                <w:color w:val="00ABE6"/>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708E51E6" w14:textId="26CD9CEF" w:rsidR="00F355B1" w:rsidRPr="00667CD1" w:rsidRDefault="00F355B1" w:rsidP="00AA5678">
            <w:pPr>
              <w:jc w:val="right"/>
              <w:rPr>
                <w:rFonts w:ascii="Arial" w:hAnsi="Arial" w:cs="Arial"/>
                <w:b/>
                <w:bCs/>
                <w:color w:val="00ABE6"/>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1EE8CE6E" w14:textId="390A3AF1" w:rsidR="00F355B1" w:rsidRPr="00667CD1" w:rsidRDefault="00F355B1" w:rsidP="00AA5678">
            <w:pPr>
              <w:jc w:val="right"/>
              <w:rPr>
                <w:rFonts w:ascii="Arial" w:hAnsi="Arial" w:cs="Arial"/>
                <w:b/>
                <w:bCs/>
                <w:color w:val="00ABE6"/>
                <w:sz w:val="12"/>
                <w:szCs w:val="12"/>
                <w:lang w:eastAsia="en-AU"/>
              </w:rPr>
            </w:pPr>
          </w:p>
        </w:tc>
        <w:tc>
          <w:tcPr>
            <w:tcW w:w="1106" w:type="dxa"/>
            <w:tcBorders>
              <w:top w:val="nil"/>
              <w:left w:val="nil"/>
              <w:bottom w:val="nil"/>
              <w:right w:val="nil"/>
            </w:tcBorders>
            <w:shd w:val="clear" w:color="auto" w:fill="FFFFFF" w:themeFill="background1"/>
            <w:noWrap/>
            <w:vAlign w:val="center"/>
            <w:hideMark/>
          </w:tcPr>
          <w:p w14:paraId="64441EC3" w14:textId="5883F947" w:rsidR="00F355B1" w:rsidRPr="00667CD1" w:rsidRDefault="00F355B1" w:rsidP="00AA5678">
            <w:pPr>
              <w:jc w:val="right"/>
              <w:rPr>
                <w:rFonts w:ascii="Arial" w:hAnsi="Arial" w:cs="Arial"/>
                <w:sz w:val="12"/>
                <w:szCs w:val="12"/>
                <w:lang w:eastAsia="en-AU"/>
              </w:rPr>
            </w:pPr>
          </w:p>
        </w:tc>
      </w:tr>
      <w:tr w:rsidR="00FE4026" w:rsidRPr="00667CD1" w14:paraId="5362E00F"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1EC850DC" w14:textId="77777777" w:rsidR="00F355B1" w:rsidRPr="00667CD1" w:rsidRDefault="00F355B1" w:rsidP="00F355B1">
            <w:pPr>
              <w:rPr>
                <w:rFonts w:ascii="Arial" w:hAnsi="Arial" w:cs="Arial"/>
                <w:sz w:val="12"/>
                <w:szCs w:val="12"/>
                <w:lang w:eastAsia="en-AU"/>
              </w:rPr>
            </w:pPr>
            <w:r w:rsidRPr="00667CD1">
              <w:rPr>
                <w:rFonts w:ascii="Arial" w:hAnsi="Arial" w:cs="Arial"/>
                <w:sz w:val="12"/>
                <w:szCs w:val="12"/>
                <w:lang w:eastAsia="en-AU"/>
              </w:rPr>
              <w:t>Payroll tax</w:t>
            </w:r>
          </w:p>
        </w:tc>
        <w:tc>
          <w:tcPr>
            <w:tcW w:w="874" w:type="dxa"/>
            <w:tcBorders>
              <w:top w:val="nil"/>
              <w:left w:val="nil"/>
              <w:bottom w:val="nil"/>
              <w:right w:val="nil"/>
            </w:tcBorders>
            <w:shd w:val="clear" w:color="auto" w:fill="FFFFFF" w:themeFill="background1"/>
            <w:noWrap/>
            <w:vAlign w:val="center"/>
            <w:hideMark/>
          </w:tcPr>
          <w:p w14:paraId="05D2BB54"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(697)</w:t>
            </w:r>
          </w:p>
        </w:tc>
        <w:tc>
          <w:tcPr>
            <w:tcW w:w="1106" w:type="dxa"/>
            <w:tcBorders>
              <w:top w:val="nil"/>
              <w:left w:val="nil"/>
              <w:bottom w:val="nil"/>
              <w:right w:val="nil"/>
            </w:tcBorders>
            <w:shd w:val="clear" w:color="auto" w:fill="F2F2F2" w:themeFill="background1" w:themeFillShade="F2"/>
            <w:noWrap/>
            <w:vAlign w:val="center"/>
            <w:hideMark/>
          </w:tcPr>
          <w:p w14:paraId="006929DC"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(327)</w:t>
            </w:r>
          </w:p>
        </w:tc>
        <w:tc>
          <w:tcPr>
            <w:tcW w:w="1106" w:type="dxa"/>
            <w:tcBorders>
              <w:top w:val="nil"/>
              <w:left w:val="nil"/>
              <w:bottom w:val="nil"/>
              <w:right w:val="nil"/>
            </w:tcBorders>
            <w:shd w:val="clear" w:color="auto" w:fill="F2F2F2" w:themeFill="background1" w:themeFillShade="F2"/>
            <w:noWrap/>
            <w:vAlign w:val="center"/>
            <w:hideMark/>
          </w:tcPr>
          <w:p w14:paraId="5D779411"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(832)</w:t>
            </w:r>
          </w:p>
        </w:tc>
        <w:tc>
          <w:tcPr>
            <w:tcW w:w="1106" w:type="dxa"/>
            <w:tcBorders>
              <w:top w:val="nil"/>
              <w:left w:val="nil"/>
              <w:bottom w:val="nil"/>
              <w:right w:val="nil"/>
            </w:tcBorders>
            <w:shd w:val="clear" w:color="auto" w:fill="F2F2F2" w:themeFill="background1" w:themeFillShade="F2"/>
            <w:noWrap/>
            <w:vAlign w:val="center"/>
            <w:hideMark/>
          </w:tcPr>
          <w:p w14:paraId="4F784464"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(1,205)</w:t>
            </w:r>
          </w:p>
        </w:tc>
        <w:tc>
          <w:tcPr>
            <w:tcW w:w="1106" w:type="dxa"/>
            <w:tcBorders>
              <w:top w:val="nil"/>
              <w:left w:val="nil"/>
              <w:bottom w:val="nil"/>
              <w:right w:val="nil"/>
            </w:tcBorders>
            <w:shd w:val="clear" w:color="auto" w:fill="F2F2F2" w:themeFill="background1" w:themeFillShade="F2"/>
            <w:noWrap/>
            <w:vAlign w:val="center"/>
            <w:hideMark/>
          </w:tcPr>
          <w:p w14:paraId="53E48DFD"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(1,430)</w:t>
            </w:r>
          </w:p>
        </w:tc>
        <w:tc>
          <w:tcPr>
            <w:tcW w:w="1106" w:type="dxa"/>
            <w:tcBorders>
              <w:top w:val="nil"/>
              <w:left w:val="nil"/>
              <w:bottom w:val="nil"/>
              <w:right w:val="nil"/>
            </w:tcBorders>
            <w:shd w:val="clear" w:color="auto" w:fill="FFFFFF" w:themeFill="background1"/>
            <w:noWrap/>
            <w:vAlign w:val="center"/>
            <w:hideMark/>
          </w:tcPr>
          <w:p w14:paraId="0227FEB4"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(3,795)</w:t>
            </w:r>
          </w:p>
        </w:tc>
      </w:tr>
      <w:tr w:rsidR="00FE4026" w:rsidRPr="00667CD1" w14:paraId="642BF234"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133A80C9" w14:textId="77777777" w:rsidR="00F355B1" w:rsidRPr="00667CD1" w:rsidRDefault="00F355B1" w:rsidP="00F355B1">
            <w:pPr>
              <w:rPr>
                <w:rFonts w:ascii="Arial" w:hAnsi="Arial" w:cs="Arial"/>
                <w:sz w:val="12"/>
                <w:szCs w:val="12"/>
                <w:lang w:eastAsia="en-AU"/>
              </w:rPr>
            </w:pPr>
            <w:r w:rsidRPr="00667CD1">
              <w:rPr>
                <w:rFonts w:ascii="Arial" w:hAnsi="Arial" w:cs="Arial"/>
                <w:sz w:val="12"/>
                <w:szCs w:val="12"/>
                <w:lang w:eastAsia="en-AU"/>
              </w:rPr>
              <w:t>Transfer duty</w:t>
            </w:r>
          </w:p>
        </w:tc>
        <w:tc>
          <w:tcPr>
            <w:tcW w:w="874" w:type="dxa"/>
            <w:tcBorders>
              <w:top w:val="nil"/>
              <w:left w:val="nil"/>
              <w:bottom w:val="nil"/>
              <w:right w:val="nil"/>
            </w:tcBorders>
            <w:shd w:val="clear" w:color="auto" w:fill="FFFFFF" w:themeFill="background1"/>
            <w:noWrap/>
            <w:vAlign w:val="center"/>
            <w:hideMark/>
          </w:tcPr>
          <w:p w14:paraId="466B67A0"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(578)</w:t>
            </w:r>
          </w:p>
        </w:tc>
        <w:tc>
          <w:tcPr>
            <w:tcW w:w="1106" w:type="dxa"/>
            <w:tcBorders>
              <w:top w:val="nil"/>
              <w:left w:val="nil"/>
              <w:bottom w:val="nil"/>
              <w:right w:val="nil"/>
            </w:tcBorders>
            <w:shd w:val="clear" w:color="auto" w:fill="F2F2F2" w:themeFill="background1" w:themeFillShade="F2"/>
            <w:noWrap/>
            <w:vAlign w:val="center"/>
            <w:hideMark/>
          </w:tcPr>
          <w:p w14:paraId="21733F57"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(1,137)</w:t>
            </w:r>
          </w:p>
        </w:tc>
        <w:tc>
          <w:tcPr>
            <w:tcW w:w="1106" w:type="dxa"/>
            <w:tcBorders>
              <w:top w:val="nil"/>
              <w:left w:val="nil"/>
              <w:bottom w:val="nil"/>
              <w:right w:val="nil"/>
            </w:tcBorders>
            <w:shd w:val="clear" w:color="auto" w:fill="F2F2F2" w:themeFill="background1" w:themeFillShade="F2"/>
            <w:noWrap/>
            <w:vAlign w:val="center"/>
            <w:hideMark/>
          </w:tcPr>
          <w:p w14:paraId="5D51BAC1"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(900)</w:t>
            </w:r>
          </w:p>
        </w:tc>
        <w:tc>
          <w:tcPr>
            <w:tcW w:w="1106" w:type="dxa"/>
            <w:tcBorders>
              <w:top w:val="nil"/>
              <w:left w:val="nil"/>
              <w:bottom w:val="nil"/>
              <w:right w:val="nil"/>
            </w:tcBorders>
            <w:shd w:val="clear" w:color="auto" w:fill="F2F2F2" w:themeFill="background1" w:themeFillShade="F2"/>
            <w:noWrap/>
            <w:vAlign w:val="center"/>
            <w:hideMark/>
          </w:tcPr>
          <w:p w14:paraId="23766943"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(324)</w:t>
            </w:r>
          </w:p>
        </w:tc>
        <w:tc>
          <w:tcPr>
            <w:tcW w:w="1106" w:type="dxa"/>
            <w:tcBorders>
              <w:top w:val="nil"/>
              <w:left w:val="nil"/>
              <w:bottom w:val="nil"/>
              <w:right w:val="nil"/>
            </w:tcBorders>
            <w:shd w:val="clear" w:color="auto" w:fill="F2F2F2" w:themeFill="background1" w:themeFillShade="F2"/>
            <w:noWrap/>
            <w:vAlign w:val="center"/>
            <w:hideMark/>
          </w:tcPr>
          <w:p w14:paraId="10B0FF71"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174</w:t>
            </w:r>
          </w:p>
        </w:tc>
        <w:tc>
          <w:tcPr>
            <w:tcW w:w="1106" w:type="dxa"/>
            <w:tcBorders>
              <w:top w:val="nil"/>
              <w:left w:val="nil"/>
              <w:bottom w:val="nil"/>
              <w:right w:val="nil"/>
            </w:tcBorders>
            <w:shd w:val="clear" w:color="auto" w:fill="FFFFFF" w:themeFill="background1"/>
            <w:noWrap/>
            <w:vAlign w:val="center"/>
            <w:hideMark/>
          </w:tcPr>
          <w:p w14:paraId="71444C31"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(2,187)</w:t>
            </w:r>
          </w:p>
        </w:tc>
      </w:tr>
      <w:tr w:rsidR="00FE4026" w:rsidRPr="00667CD1" w14:paraId="794332E6"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04F79F38" w14:textId="77777777" w:rsidR="00F355B1" w:rsidRPr="00667CD1" w:rsidRDefault="00F355B1" w:rsidP="00F355B1">
            <w:pPr>
              <w:rPr>
                <w:rFonts w:ascii="Arial" w:hAnsi="Arial" w:cs="Arial"/>
                <w:sz w:val="12"/>
                <w:szCs w:val="12"/>
                <w:lang w:eastAsia="en-AU"/>
              </w:rPr>
            </w:pPr>
            <w:r w:rsidRPr="00667CD1">
              <w:rPr>
                <w:rFonts w:ascii="Arial" w:hAnsi="Arial" w:cs="Arial"/>
                <w:sz w:val="12"/>
                <w:szCs w:val="12"/>
                <w:lang w:eastAsia="en-AU"/>
              </w:rPr>
              <w:t>Other taxes</w:t>
            </w:r>
          </w:p>
        </w:tc>
        <w:tc>
          <w:tcPr>
            <w:tcW w:w="874" w:type="dxa"/>
            <w:tcBorders>
              <w:top w:val="nil"/>
              <w:left w:val="nil"/>
              <w:bottom w:val="nil"/>
              <w:right w:val="nil"/>
            </w:tcBorders>
            <w:shd w:val="clear" w:color="auto" w:fill="FFFFFF" w:themeFill="background1"/>
            <w:noWrap/>
            <w:vAlign w:val="center"/>
            <w:hideMark/>
          </w:tcPr>
          <w:p w14:paraId="2AA3D128"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(289)</w:t>
            </w:r>
          </w:p>
        </w:tc>
        <w:tc>
          <w:tcPr>
            <w:tcW w:w="1106" w:type="dxa"/>
            <w:tcBorders>
              <w:top w:val="nil"/>
              <w:left w:val="nil"/>
              <w:bottom w:val="nil"/>
              <w:right w:val="nil"/>
            </w:tcBorders>
            <w:shd w:val="clear" w:color="auto" w:fill="F2F2F2" w:themeFill="background1" w:themeFillShade="F2"/>
            <w:noWrap/>
            <w:vAlign w:val="center"/>
            <w:hideMark/>
          </w:tcPr>
          <w:p w14:paraId="699BACA4"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(358)</w:t>
            </w:r>
          </w:p>
        </w:tc>
        <w:tc>
          <w:tcPr>
            <w:tcW w:w="1106" w:type="dxa"/>
            <w:tcBorders>
              <w:top w:val="nil"/>
              <w:left w:val="nil"/>
              <w:bottom w:val="nil"/>
              <w:right w:val="nil"/>
            </w:tcBorders>
            <w:shd w:val="clear" w:color="auto" w:fill="F2F2F2" w:themeFill="background1" w:themeFillShade="F2"/>
            <w:noWrap/>
            <w:vAlign w:val="center"/>
            <w:hideMark/>
          </w:tcPr>
          <w:p w14:paraId="143B09DD"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(665)</w:t>
            </w:r>
          </w:p>
        </w:tc>
        <w:tc>
          <w:tcPr>
            <w:tcW w:w="1106" w:type="dxa"/>
            <w:tcBorders>
              <w:top w:val="nil"/>
              <w:left w:val="nil"/>
              <w:bottom w:val="nil"/>
              <w:right w:val="nil"/>
            </w:tcBorders>
            <w:shd w:val="clear" w:color="auto" w:fill="F2F2F2" w:themeFill="background1" w:themeFillShade="F2"/>
            <w:noWrap/>
            <w:vAlign w:val="center"/>
            <w:hideMark/>
          </w:tcPr>
          <w:p w14:paraId="37F6278C"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(806)</w:t>
            </w:r>
          </w:p>
        </w:tc>
        <w:tc>
          <w:tcPr>
            <w:tcW w:w="1106" w:type="dxa"/>
            <w:tcBorders>
              <w:top w:val="nil"/>
              <w:left w:val="nil"/>
              <w:bottom w:val="nil"/>
              <w:right w:val="nil"/>
            </w:tcBorders>
            <w:shd w:val="clear" w:color="auto" w:fill="F2F2F2" w:themeFill="background1" w:themeFillShade="F2"/>
            <w:noWrap/>
            <w:vAlign w:val="center"/>
            <w:hideMark/>
          </w:tcPr>
          <w:p w14:paraId="7957EB8A"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(900)</w:t>
            </w:r>
          </w:p>
        </w:tc>
        <w:tc>
          <w:tcPr>
            <w:tcW w:w="1106" w:type="dxa"/>
            <w:tcBorders>
              <w:top w:val="nil"/>
              <w:left w:val="nil"/>
              <w:bottom w:val="nil"/>
              <w:right w:val="nil"/>
            </w:tcBorders>
            <w:shd w:val="clear" w:color="auto" w:fill="FFFFFF" w:themeFill="background1"/>
            <w:noWrap/>
            <w:vAlign w:val="center"/>
            <w:hideMark/>
          </w:tcPr>
          <w:p w14:paraId="3CF40A7D" w14:textId="77777777" w:rsidR="00F355B1" w:rsidRPr="00667CD1" w:rsidRDefault="00F355B1" w:rsidP="00AA5678">
            <w:pPr>
              <w:jc w:val="right"/>
              <w:rPr>
                <w:rFonts w:ascii="Arial" w:hAnsi="Arial" w:cs="Arial"/>
                <w:sz w:val="12"/>
                <w:szCs w:val="12"/>
                <w:lang w:eastAsia="en-AU"/>
              </w:rPr>
            </w:pPr>
            <w:r w:rsidRPr="00667CD1">
              <w:rPr>
                <w:rFonts w:ascii="Arial" w:hAnsi="Arial" w:cs="Arial"/>
                <w:sz w:val="12"/>
                <w:szCs w:val="12"/>
                <w:lang w:eastAsia="en-AU"/>
              </w:rPr>
              <w:t>(2,729)</w:t>
            </w:r>
          </w:p>
        </w:tc>
      </w:tr>
      <w:tr w:rsidR="00FE4026" w:rsidRPr="00667CD1" w14:paraId="16936FE9" w14:textId="77777777" w:rsidTr="002364B3">
        <w:trPr>
          <w:trHeight w:val="100"/>
        </w:trPr>
        <w:tc>
          <w:tcPr>
            <w:tcW w:w="3402" w:type="dxa"/>
            <w:tcBorders>
              <w:top w:val="nil"/>
              <w:left w:val="nil"/>
              <w:bottom w:val="nil"/>
              <w:right w:val="nil"/>
            </w:tcBorders>
            <w:shd w:val="clear" w:color="auto" w:fill="FFFFFF" w:themeFill="background1"/>
            <w:noWrap/>
            <w:vAlign w:val="center"/>
            <w:hideMark/>
          </w:tcPr>
          <w:p w14:paraId="2204AB6D" w14:textId="77777777" w:rsidR="00F355B1" w:rsidRPr="00667CD1" w:rsidRDefault="00F355B1" w:rsidP="00F355B1">
            <w:pPr>
              <w:rPr>
                <w:rFonts w:ascii="Arial" w:hAnsi="Arial" w:cs="Arial"/>
                <w:sz w:val="12"/>
                <w:szCs w:val="12"/>
                <w:lang w:eastAsia="en-AU"/>
              </w:rPr>
            </w:pPr>
            <w:r w:rsidRPr="00667CD1">
              <w:rPr>
                <w:rFonts w:ascii="Arial" w:hAnsi="Arial" w:cs="Arial"/>
                <w:sz w:val="12"/>
                <w:szCs w:val="12"/>
                <w:lang w:eastAsia="en-AU"/>
              </w:rPr>
              <w:t> </w:t>
            </w:r>
          </w:p>
        </w:tc>
        <w:tc>
          <w:tcPr>
            <w:tcW w:w="874" w:type="dxa"/>
            <w:tcBorders>
              <w:top w:val="nil"/>
              <w:left w:val="nil"/>
              <w:bottom w:val="nil"/>
              <w:right w:val="nil"/>
            </w:tcBorders>
            <w:shd w:val="clear" w:color="auto" w:fill="FFFFFF" w:themeFill="background1"/>
            <w:noWrap/>
            <w:vAlign w:val="center"/>
            <w:hideMark/>
          </w:tcPr>
          <w:p w14:paraId="28313078" w14:textId="59FF0ECE"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021D2418" w14:textId="28E7D1E6"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32FE5E8C" w14:textId="606C2EF5"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637DF2AE" w14:textId="31525501"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71D3FB8A" w14:textId="3E93E5B3"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FFFFF" w:themeFill="background1"/>
            <w:noWrap/>
            <w:vAlign w:val="center"/>
            <w:hideMark/>
          </w:tcPr>
          <w:p w14:paraId="6C65C069" w14:textId="4ADFD1CD" w:rsidR="00F355B1" w:rsidRPr="00667CD1" w:rsidRDefault="00F355B1" w:rsidP="00AA5678">
            <w:pPr>
              <w:jc w:val="right"/>
              <w:rPr>
                <w:rFonts w:ascii="Arial" w:hAnsi="Arial" w:cs="Arial"/>
                <w:sz w:val="12"/>
                <w:szCs w:val="12"/>
                <w:lang w:eastAsia="en-AU"/>
              </w:rPr>
            </w:pPr>
          </w:p>
        </w:tc>
      </w:tr>
      <w:tr w:rsidR="00FE4026" w:rsidRPr="00667CD1" w14:paraId="1C67E274"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3139098C" w14:textId="77777777" w:rsidR="00F355B1" w:rsidRPr="00667CD1" w:rsidRDefault="00F355B1" w:rsidP="00F355B1">
            <w:pPr>
              <w:rPr>
                <w:rFonts w:ascii="Arial" w:hAnsi="Arial" w:cs="Arial"/>
                <w:b/>
                <w:bCs/>
                <w:sz w:val="12"/>
                <w:szCs w:val="12"/>
                <w:lang w:eastAsia="en-AU"/>
              </w:rPr>
            </w:pPr>
            <w:r w:rsidRPr="00667CD1">
              <w:rPr>
                <w:rFonts w:ascii="Arial" w:hAnsi="Arial" w:cs="Arial"/>
                <w:b/>
                <w:bCs/>
                <w:sz w:val="12"/>
                <w:szCs w:val="12"/>
                <w:lang w:eastAsia="en-AU"/>
              </w:rPr>
              <w:t>Grant revenue</w:t>
            </w:r>
          </w:p>
        </w:tc>
        <w:tc>
          <w:tcPr>
            <w:tcW w:w="874" w:type="dxa"/>
            <w:tcBorders>
              <w:top w:val="nil"/>
              <w:left w:val="nil"/>
              <w:bottom w:val="nil"/>
              <w:right w:val="nil"/>
            </w:tcBorders>
            <w:shd w:val="clear" w:color="auto" w:fill="FFFFFF" w:themeFill="background1"/>
            <w:noWrap/>
            <w:vAlign w:val="center"/>
            <w:hideMark/>
          </w:tcPr>
          <w:p w14:paraId="743019C5" w14:textId="07809425"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74599991" w14:textId="6AC00DC8"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2C654B62" w14:textId="64DD904A"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4509C43F" w14:textId="22F55089"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22BA6FF8" w14:textId="381F4F98"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FFFFF" w:themeFill="background1"/>
            <w:noWrap/>
            <w:vAlign w:val="center"/>
            <w:hideMark/>
          </w:tcPr>
          <w:p w14:paraId="656630B8" w14:textId="243D3A0F" w:rsidR="00F355B1" w:rsidRPr="00667CD1" w:rsidRDefault="00F355B1" w:rsidP="00AA5678">
            <w:pPr>
              <w:jc w:val="right"/>
              <w:rPr>
                <w:rFonts w:ascii="Arial" w:hAnsi="Arial" w:cs="Arial"/>
                <w:sz w:val="12"/>
                <w:szCs w:val="12"/>
                <w:lang w:eastAsia="en-AU"/>
              </w:rPr>
            </w:pPr>
          </w:p>
        </w:tc>
      </w:tr>
      <w:tr w:rsidR="00FE4026" w:rsidRPr="00667CD1" w14:paraId="199EBEF5"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58674D49" w14:textId="77777777" w:rsidR="00433D25" w:rsidRPr="00667CD1" w:rsidRDefault="00433D25" w:rsidP="00433D25">
            <w:pPr>
              <w:rPr>
                <w:rFonts w:ascii="Arial" w:hAnsi="Arial" w:cs="Arial"/>
                <w:sz w:val="12"/>
                <w:szCs w:val="12"/>
                <w:lang w:eastAsia="en-AU"/>
              </w:rPr>
            </w:pPr>
            <w:r w:rsidRPr="00667CD1">
              <w:rPr>
                <w:rFonts w:ascii="Arial" w:hAnsi="Arial" w:cs="Arial"/>
                <w:sz w:val="12"/>
                <w:szCs w:val="12"/>
                <w:lang w:eastAsia="en-AU"/>
              </w:rPr>
              <w:t>GST</w:t>
            </w:r>
          </w:p>
        </w:tc>
        <w:tc>
          <w:tcPr>
            <w:tcW w:w="874" w:type="dxa"/>
            <w:tcBorders>
              <w:top w:val="nil"/>
              <w:left w:val="nil"/>
              <w:bottom w:val="nil"/>
              <w:right w:val="nil"/>
            </w:tcBorders>
            <w:shd w:val="clear" w:color="auto" w:fill="FFFFFF" w:themeFill="background1"/>
            <w:noWrap/>
            <w:vAlign w:val="center"/>
            <w:hideMark/>
          </w:tcPr>
          <w:p w14:paraId="0E0CDEDC" w14:textId="47BF1361" w:rsidR="00433D25" w:rsidRPr="00667CD1" w:rsidRDefault="00433D25" w:rsidP="00AA5678">
            <w:pPr>
              <w:jc w:val="right"/>
              <w:rPr>
                <w:rFonts w:ascii="Arial" w:hAnsi="Arial" w:cs="Arial"/>
                <w:sz w:val="12"/>
                <w:szCs w:val="12"/>
                <w:lang w:eastAsia="en-AU"/>
              </w:rPr>
            </w:pPr>
            <w:r w:rsidRPr="00667CD1">
              <w:rPr>
                <w:rFonts w:ascii="Arial" w:hAnsi="Arial" w:cs="Arial"/>
                <w:sz w:val="12"/>
                <w:szCs w:val="12"/>
                <w:lang w:eastAsia="en-AU"/>
              </w:rPr>
              <w:t>(264)</w:t>
            </w:r>
          </w:p>
        </w:tc>
        <w:tc>
          <w:tcPr>
            <w:tcW w:w="1106" w:type="dxa"/>
            <w:tcBorders>
              <w:top w:val="nil"/>
              <w:left w:val="nil"/>
              <w:bottom w:val="nil"/>
              <w:right w:val="nil"/>
            </w:tcBorders>
            <w:shd w:val="clear" w:color="auto" w:fill="F2F2F2" w:themeFill="background1" w:themeFillShade="F2"/>
            <w:noWrap/>
            <w:vAlign w:val="center"/>
            <w:hideMark/>
          </w:tcPr>
          <w:p w14:paraId="1ECE62A2" w14:textId="08575120" w:rsidR="00433D25" w:rsidRPr="00667CD1" w:rsidRDefault="00433D25" w:rsidP="00AA5678">
            <w:pPr>
              <w:jc w:val="right"/>
              <w:rPr>
                <w:rFonts w:ascii="Arial" w:hAnsi="Arial" w:cs="Arial"/>
                <w:sz w:val="12"/>
                <w:szCs w:val="12"/>
                <w:lang w:eastAsia="en-AU"/>
              </w:rPr>
            </w:pPr>
            <w:r w:rsidRPr="00667CD1">
              <w:rPr>
                <w:rFonts w:ascii="Arial" w:hAnsi="Arial" w:cs="Arial"/>
                <w:sz w:val="12"/>
                <w:szCs w:val="12"/>
                <w:lang w:eastAsia="en-AU"/>
              </w:rPr>
              <w:t>(3,164)</w:t>
            </w:r>
          </w:p>
        </w:tc>
        <w:tc>
          <w:tcPr>
            <w:tcW w:w="1106" w:type="dxa"/>
            <w:tcBorders>
              <w:top w:val="nil"/>
              <w:left w:val="nil"/>
              <w:bottom w:val="nil"/>
              <w:right w:val="nil"/>
            </w:tcBorders>
            <w:shd w:val="clear" w:color="auto" w:fill="F2F2F2" w:themeFill="background1" w:themeFillShade="F2"/>
            <w:noWrap/>
            <w:vAlign w:val="center"/>
            <w:hideMark/>
          </w:tcPr>
          <w:p w14:paraId="6EAAA9FB" w14:textId="18CFE6C9" w:rsidR="00433D25" w:rsidRPr="00667CD1" w:rsidRDefault="00433D25" w:rsidP="00AA5678">
            <w:pPr>
              <w:jc w:val="right"/>
              <w:rPr>
                <w:rFonts w:ascii="Arial" w:hAnsi="Arial" w:cs="Arial"/>
                <w:sz w:val="12"/>
                <w:szCs w:val="12"/>
                <w:lang w:eastAsia="en-AU"/>
              </w:rPr>
            </w:pPr>
            <w:r w:rsidRPr="00667CD1">
              <w:rPr>
                <w:rFonts w:ascii="Arial" w:hAnsi="Arial" w:cs="Arial"/>
                <w:sz w:val="12"/>
                <w:szCs w:val="12"/>
                <w:lang w:eastAsia="en-AU"/>
              </w:rPr>
              <w:t>(1,298)</w:t>
            </w:r>
          </w:p>
        </w:tc>
        <w:tc>
          <w:tcPr>
            <w:tcW w:w="1106" w:type="dxa"/>
            <w:tcBorders>
              <w:top w:val="nil"/>
              <w:left w:val="nil"/>
              <w:bottom w:val="nil"/>
              <w:right w:val="nil"/>
            </w:tcBorders>
            <w:shd w:val="clear" w:color="auto" w:fill="F2F2F2" w:themeFill="background1" w:themeFillShade="F2"/>
            <w:noWrap/>
            <w:vAlign w:val="center"/>
            <w:hideMark/>
          </w:tcPr>
          <w:p w14:paraId="2447E6D0" w14:textId="7AD55C4C" w:rsidR="00433D25" w:rsidRPr="00667CD1" w:rsidRDefault="00433D25" w:rsidP="00AA5678">
            <w:pPr>
              <w:jc w:val="right"/>
              <w:rPr>
                <w:rFonts w:ascii="Arial" w:hAnsi="Arial" w:cs="Arial"/>
                <w:sz w:val="12"/>
                <w:szCs w:val="12"/>
                <w:lang w:eastAsia="en-AU"/>
              </w:rPr>
            </w:pPr>
            <w:r w:rsidRPr="00667CD1">
              <w:rPr>
                <w:rFonts w:ascii="Arial" w:hAnsi="Arial" w:cs="Arial"/>
                <w:sz w:val="12"/>
                <w:szCs w:val="12"/>
                <w:lang w:eastAsia="en-AU"/>
              </w:rPr>
              <w:t>(1,857)</w:t>
            </w:r>
          </w:p>
        </w:tc>
        <w:tc>
          <w:tcPr>
            <w:tcW w:w="1106" w:type="dxa"/>
            <w:tcBorders>
              <w:top w:val="nil"/>
              <w:left w:val="nil"/>
              <w:bottom w:val="nil"/>
              <w:right w:val="nil"/>
            </w:tcBorders>
            <w:shd w:val="clear" w:color="auto" w:fill="F2F2F2" w:themeFill="background1" w:themeFillShade="F2"/>
            <w:noWrap/>
            <w:vAlign w:val="center"/>
            <w:hideMark/>
          </w:tcPr>
          <w:p w14:paraId="756E914D" w14:textId="6642C10C" w:rsidR="00433D25" w:rsidRPr="00667CD1" w:rsidRDefault="00433D25" w:rsidP="00AA5678">
            <w:pPr>
              <w:jc w:val="right"/>
              <w:rPr>
                <w:rFonts w:ascii="Arial" w:hAnsi="Arial" w:cs="Arial"/>
                <w:sz w:val="12"/>
                <w:szCs w:val="12"/>
                <w:lang w:eastAsia="en-AU"/>
              </w:rPr>
            </w:pPr>
            <w:r w:rsidRPr="00667CD1">
              <w:rPr>
                <w:rFonts w:ascii="Arial" w:hAnsi="Arial" w:cs="Arial"/>
                <w:sz w:val="12"/>
                <w:szCs w:val="12"/>
                <w:lang w:eastAsia="en-AU"/>
              </w:rPr>
              <w:t>(2,313)</w:t>
            </w:r>
          </w:p>
        </w:tc>
        <w:tc>
          <w:tcPr>
            <w:tcW w:w="1106" w:type="dxa"/>
            <w:tcBorders>
              <w:top w:val="nil"/>
              <w:left w:val="nil"/>
              <w:bottom w:val="nil"/>
              <w:right w:val="nil"/>
            </w:tcBorders>
            <w:shd w:val="clear" w:color="auto" w:fill="FFFFFF" w:themeFill="background1"/>
            <w:noWrap/>
            <w:vAlign w:val="center"/>
            <w:hideMark/>
          </w:tcPr>
          <w:p w14:paraId="2DC92BB6" w14:textId="29F4E9DD" w:rsidR="00433D25" w:rsidRPr="00667CD1" w:rsidRDefault="00433D25" w:rsidP="00AA5678">
            <w:pPr>
              <w:jc w:val="right"/>
              <w:rPr>
                <w:rFonts w:ascii="Arial" w:hAnsi="Arial" w:cs="Arial"/>
                <w:sz w:val="12"/>
                <w:szCs w:val="12"/>
                <w:lang w:eastAsia="en-AU"/>
              </w:rPr>
            </w:pPr>
            <w:r w:rsidRPr="00667CD1">
              <w:rPr>
                <w:rFonts w:ascii="Arial" w:hAnsi="Arial" w:cs="Arial"/>
                <w:sz w:val="12"/>
                <w:szCs w:val="12"/>
                <w:lang w:eastAsia="en-AU"/>
              </w:rPr>
              <w:t>(8,633)</w:t>
            </w:r>
          </w:p>
        </w:tc>
      </w:tr>
      <w:tr w:rsidR="00070FE4" w:rsidRPr="00667CD1" w14:paraId="5292D769"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7A108EAC" w14:textId="77777777" w:rsidR="00070FE4" w:rsidRPr="00667CD1" w:rsidRDefault="00070FE4" w:rsidP="00070FE4">
            <w:pPr>
              <w:rPr>
                <w:rFonts w:ascii="Arial" w:hAnsi="Arial" w:cs="Arial"/>
                <w:sz w:val="12"/>
                <w:szCs w:val="12"/>
                <w:lang w:eastAsia="en-AU"/>
              </w:rPr>
            </w:pPr>
            <w:r w:rsidRPr="00667CD1">
              <w:rPr>
                <w:rFonts w:ascii="Arial" w:hAnsi="Arial" w:cs="Arial"/>
                <w:sz w:val="12"/>
                <w:szCs w:val="12"/>
                <w:lang w:eastAsia="en-AU"/>
              </w:rPr>
              <w:t>National Agreement payments</w:t>
            </w:r>
          </w:p>
        </w:tc>
        <w:tc>
          <w:tcPr>
            <w:tcW w:w="874" w:type="dxa"/>
            <w:tcBorders>
              <w:top w:val="nil"/>
              <w:left w:val="nil"/>
              <w:bottom w:val="nil"/>
              <w:right w:val="nil"/>
            </w:tcBorders>
            <w:shd w:val="clear" w:color="auto" w:fill="FFFFFF" w:themeFill="background1"/>
            <w:noWrap/>
            <w:vAlign w:val="center"/>
            <w:hideMark/>
          </w:tcPr>
          <w:p w14:paraId="683E5C3C" w14:textId="7D003920" w:rsidR="00070FE4" w:rsidRPr="00667CD1" w:rsidRDefault="00070FE4" w:rsidP="00AA5678">
            <w:pPr>
              <w:jc w:val="right"/>
              <w:rPr>
                <w:rFonts w:ascii="Arial" w:hAnsi="Arial" w:cs="Arial"/>
                <w:sz w:val="12"/>
                <w:szCs w:val="12"/>
                <w:lang w:eastAsia="en-AU"/>
              </w:rPr>
            </w:pPr>
            <w:r w:rsidRPr="00667CD1">
              <w:rPr>
                <w:rFonts w:ascii="Arial" w:hAnsi="Arial" w:cs="Arial"/>
                <w:sz w:val="12"/>
                <w:szCs w:val="12"/>
                <w:lang w:eastAsia="en-AU"/>
              </w:rPr>
              <w:t>847</w:t>
            </w:r>
          </w:p>
        </w:tc>
        <w:tc>
          <w:tcPr>
            <w:tcW w:w="1106" w:type="dxa"/>
            <w:tcBorders>
              <w:top w:val="nil"/>
              <w:left w:val="nil"/>
              <w:bottom w:val="nil"/>
              <w:right w:val="nil"/>
            </w:tcBorders>
            <w:shd w:val="clear" w:color="auto" w:fill="F2F2F2" w:themeFill="background1" w:themeFillShade="F2"/>
            <w:noWrap/>
            <w:vAlign w:val="center"/>
            <w:hideMark/>
          </w:tcPr>
          <w:p w14:paraId="3B655E76" w14:textId="6C0136F9" w:rsidR="00070FE4" w:rsidRPr="00667CD1" w:rsidRDefault="00070FE4" w:rsidP="00AA5678">
            <w:pPr>
              <w:jc w:val="right"/>
              <w:rPr>
                <w:rFonts w:ascii="Arial" w:hAnsi="Arial" w:cs="Arial"/>
                <w:sz w:val="12"/>
                <w:szCs w:val="12"/>
                <w:lang w:eastAsia="en-AU"/>
              </w:rPr>
            </w:pPr>
            <w:r w:rsidRPr="00667CD1">
              <w:rPr>
                <w:rFonts w:ascii="Arial" w:hAnsi="Arial" w:cs="Arial"/>
                <w:sz w:val="12"/>
                <w:szCs w:val="12"/>
                <w:lang w:eastAsia="en-AU"/>
              </w:rPr>
              <w:t>656</w:t>
            </w:r>
          </w:p>
        </w:tc>
        <w:tc>
          <w:tcPr>
            <w:tcW w:w="1106" w:type="dxa"/>
            <w:tcBorders>
              <w:top w:val="nil"/>
              <w:left w:val="nil"/>
              <w:bottom w:val="nil"/>
              <w:right w:val="nil"/>
            </w:tcBorders>
            <w:shd w:val="clear" w:color="auto" w:fill="F2F2F2" w:themeFill="background1" w:themeFillShade="F2"/>
            <w:noWrap/>
            <w:vAlign w:val="center"/>
            <w:hideMark/>
          </w:tcPr>
          <w:p w14:paraId="3AE5A797" w14:textId="4D4F8C39" w:rsidR="00070FE4" w:rsidRPr="00667CD1" w:rsidRDefault="00070FE4" w:rsidP="00AA5678">
            <w:pPr>
              <w:jc w:val="right"/>
              <w:rPr>
                <w:rFonts w:ascii="Arial" w:hAnsi="Arial" w:cs="Arial"/>
                <w:sz w:val="12"/>
                <w:szCs w:val="12"/>
                <w:lang w:eastAsia="en-AU"/>
              </w:rPr>
            </w:pPr>
            <w:r w:rsidRPr="00667CD1">
              <w:rPr>
                <w:rFonts w:ascii="Arial" w:hAnsi="Arial" w:cs="Arial"/>
                <w:sz w:val="12"/>
                <w:szCs w:val="12"/>
                <w:lang w:eastAsia="en-AU"/>
              </w:rPr>
              <w:t>42</w:t>
            </w:r>
          </w:p>
        </w:tc>
        <w:tc>
          <w:tcPr>
            <w:tcW w:w="1106" w:type="dxa"/>
            <w:tcBorders>
              <w:top w:val="nil"/>
              <w:left w:val="nil"/>
              <w:bottom w:val="nil"/>
              <w:right w:val="nil"/>
            </w:tcBorders>
            <w:shd w:val="clear" w:color="auto" w:fill="F2F2F2" w:themeFill="background1" w:themeFillShade="F2"/>
            <w:noWrap/>
            <w:vAlign w:val="center"/>
            <w:hideMark/>
          </w:tcPr>
          <w:p w14:paraId="175B13B7" w14:textId="7FC34ABC" w:rsidR="00070FE4" w:rsidRPr="00667CD1" w:rsidRDefault="00070FE4" w:rsidP="00AA5678">
            <w:pPr>
              <w:jc w:val="right"/>
              <w:rPr>
                <w:rFonts w:ascii="Arial" w:hAnsi="Arial" w:cs="Arial"/>
                <w:sz w:val="12"/>
                <w:szCs w:val="12"/>
                <w:lang w:eastAsia="en-AU"/>
              </w:rPr>
            </w:pPr>
            <w:r w:rsidRPr="00667CD1">
              <w:rPr>
                <w:rFonts w:ascii="Arial" w:hAnsi="Arial" w:cs="Arial"/>
                <w:sz w:val="12"/>
                <w:szCs w:val="12"/>
                <w:lang w:eastAsia="en-AU"/>
              </w:rPr>
              <w:t>25</w:t>
            </w:r>
          </w:p>
        </w:tc>
        <w:tc>
          <w:tcPr>
            <w:tcW w:w="1106" w:type="dxa"/>
            <w:tcBorders>
              <w:top w:val="nil"/>
              <w:left w:val="nil"/>
              <w:bottom w:val="nil"/>
              <w:right w:val="nil"/>
            </w:tcBorders>
            <w:shd w:val="clear" w:color="auto" w:fill="F2F2F2" w:themeFill="background1" w:themeFillShade="F2"/>
            <w:noWrap/>
            <w:vAlign w:val="center"/>
            <w:hideMark/>
          </w:tcPr>
          <w:p w14:paraId="1C100E60" w14:textId="0216FAF2" w:rsidR="00070FE4" w:rsidRPr="00667CD1" w:rsidRDefault="00070FE4" w:rsidP="00AA5678">
            <w:pPr>
              <w:jc w:val="right"/>
              <w:rPr>
                <w:rFonts w:ascii="Arial" w:hAnsi="Arial" w:cs="Arial"/>
                <w:sz w:val="12"/>
                <w:szCs w:val="12"/>
                <w:lang w:eastAsia="en-AU"/>
              </w:rPr>
            </w:pPr>
            <w:r w:rsidRPr="00667CD1">
              <w:rPr>
                <w:rFonts w:ascii="Arial" w:hAnsi="Arial" w:cs="Arial"/>
                <w:sz w:val="12"/>
                <w:szCs w:val="12"/>
                <w:lang w:eastAsia="en-AU"/>
              </w:rPr>
              <w:t>203</w:t>
            </w:r>
          </w:p>
        </w:tc>
        <w:tc>
          <w:tcPr>
            <w:tcW w:w="1106" w:type="dxa"/>
            <w:tcBorders>
              <w:top w:val="nil"/>
              <w:left w:val="nil"/>
              <w:bottom w:val="nil"/>
              <w:right w:val="nil"/>
            </w:tcBorders>
            <w:shd w:val="clear" w:color="auto" w:fill="FFFFFF" w:themeFill="background1"/>
            <w:noWrap/>
            <w:vAlign w:val="center"/>
            <w:hideMark/>
          </w:tcPr>
          <w:p w14:paraId="2F0449E0" w14:textId="7A230577" w:rsidR="00070FE4" w:rsidRPr="00667CD1" w:rsidRDefault="00070FE4" w:rsidP="00AA5678">
            <w:pPr>
              <w:jc w:val="right"/>
              <w:rPr>
                <w:rFonts w:ascii="Arial" w:hAnsi="Arial" w:cs="Arial"/>
                <w:sz w:val="12"/>
                <w:szCs w:val="12"/>
                <w:lang w:eastAsia="en-AU"/>
              </w:rPr>
            </w:pPr>
            <w:r w:rsidRPr="00667CD1">
              <w:rPr>
                <w:rFonts w:ascii="Arial" w:hAnsi="Arial" w:cs="Arial"/>
                <w:sz w:val="12"/>
                <w:szCs w:val="12"/>
                <w:lang w:eastAsia="en-AU"/>
              </w:rPr>
              <w:t>926</w:t>
            </w:r>
          </w:p>
        </w:tc>
      </w:tr>
      <w:tr w:rsidR="00070FE4" w:rsidRPr="00667CD1" w14:paraId="03241FF0"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665ECA75" w14:textId="77777777" w:rsidR="00070FE4" w:rsidRPr="00667CD1" w:rsidRDefault="00070FE4" w:rsidP="00070FE4">
            <w:pPr>
              <w:rPr>
                <w:rFonts w:ascii="Arial" w:hAnsi="Arial" w:cs="Arial"/>
                <w:sz w:val="12"/>
                <w:szCs w:val="12"/>
                <w:lang w:eastAsia="en-AU"/>
              </w:rPr>
            </w:pPr>
            <w:r w:rsidRPr="00667CD1">
              <w:rPr>
                <w:rFonts w:ascii="Arial" w:hAnsi="Arial" w:cs="Arial"/>
                <w:sz w:val="12"/>
                <w:szCs w:val="12"/>
                <w:lang w:eastAsia="en-AU"/>
              </w:rPr>
              <w:t>National Partnership payments</w:t>
            </w:r>
          </w:p>
        </w:tc>
        <w:tc>
          <w:tcPr>
            <w:tcW w:w="874" w:type="dxa"/>
            <w:tcBorders>
              <w:top w:val="nil"/>
              <w:left w:val="nil"/>
              <w:bottom w:val="nil"/>
              <w:right w:val="nil"/>
            </w:tcBorders>
            <w:shd w:val="clear" w:color="auto" w:fill="FFFFFF" w:themeFill="background1"/>
            <w:noWrap/>
            <w:vAlign w:val="center"/>
            <w:hideMark/>
          </w:tcPr>
          <w:p w14:paraId="5D89D93F" w14:textId="01899FD2" w:rsidR="00070FE4" w:rsidRPr="00667CD1" w:rsidRDefault="00070FE4" w:rsidP="00AA5678">
            <w:pPr>
              <w:jc w:val="right"/>
              <w:rPr>
                <w:rFonts w:ascii="Arial" w:hAnsi="Arial" w:cs="Arial"/>
                <w:sz w:val="12"/>
                <w:szCs w:val="12"/>
                <w:lang w:eastAsia="en-AU"/>
              </w:rPr>
            </w:pPr>
            <w:r w:rsidRPr="00667CD1">
              <w:rPr>
                <w:rFonts w:ascii="Arial" w:hAnsi="Arial" w:cs="Arial"/>
                <w:sz w:val="12"/>
                <w:szCs w:val="12"/>
                <w:lang w:eastAsia="en-AU"/>
              </w:rPr>
              <w:t>990</w:t>
            </w:r>
          </w:p>
        </w:tc>
        <w:tc>
          <w:tcPr>
            <w:tcW w:w="1106" w:type="dxa"/>
            <w:tcBorders>
              <w:top w:val="nil"/>
              <w:left w:val="nil"/>
              <w:bottom w:val="nil"/>
              <w:right w:val="nil"/>
            </w:tcBorders>
            <w:shd w:val="clear" w:color="auto" w:fill="F2F2F2" w:themeFill="background1" w:themeFillShade="F2"/>
            <w:noWrap/>
            <w:vAlign w:val="center"/>
            <w:hideMark/>
          </w:tcPr>
          <w:p w14:paraId="0C603190" w14:textId="78538F05" w:rsidR="00070FE4" w:rsidRPr="00667CD1" w:rsidRDefault="00070FE4" w:rsidP="00AA5678">
            <w:pPr>
              <w:jc w:val="right"/>
              <w:rPr>
                <w:rFonts w:ascii="Arial" w:hAnsi="Arial" w:cs="Arial"/>
                <w:sz w:val="12"/>
                <w:szCs w:val="12"/>
                <w:lang w:eastAsia="en-AU"/>
              </w:rPr>
            </w:pPr>
            <w:r w:rsidRPr="00667CD1">
              <w:rPr>
                <w:rFonts w:ascii="Arial" w:hAnsi="Arial" w:cs="Arial"/>
                <w:sz w:val="12"/>
                <w:szCs w:val="12"/>
                <w:lang w:eastAsia="en-AU"/>
              </w:rPr>
              <w:t>1,343</w:t>
            </w:r>
          </w:p>
        </w:tc>
        <w:tc>
          <w:tcPr>
            <w:tcW w:w="1106" w:type="dxa"/>
            <w:tcBorders>
              <w:top w:val="nil"/>
              <w:left w:val="nil"/>
              <w:bottom w:val="nil"/>
              <w:right w:val="nil"/>
            </w:tcBorders>
            <w:shd w:val="clear" w:color="auto" w:fill="F2F2F2" w:themeFill="background1" w:themeFillShade="F2"/>
            <w:noWrap/>
            <w:vAlign w:val="center"/>
            <w:hideMark/>
          </w:tcPr>
          <w:p w14:paraId="615A1576" w14:textId="7DAB2814" w:rsidR="00070FE4" w:rsidRPr="00667CD1" w:rsidRDefault="00070FE4" w:rsidP="00AA5678">
            <w:pPr>
              <w:jc w:val="right"/>
              <w:rPr>
                <w:rFonts w:ascii="Arial" w:hAnsi="Arial" w:cs="Arial"/>
                <w:sz w:val="12"/>
                <w:szCs w:val="12"/>
                <w:lang w:eastAsia="en-AU"/>
              </w:rPr>
            </w:pPr>
            <w:r w:rsidRPr="00667CD1">
              <w:rPr>
                <w:rFonts w:ascii="Arial" w:hAnsi="Arial" w:cs="Arial"/>
                <w:sz w:val="12"/>
                <w:szCs w:val="12"/>
                <w:lang w:eastAsia="en-AU"/>
              </w:rPr>
              <w:t>1,901</w:t>
            </w:r>
          </w:p>
        </w:tc>
        <w:tc>
          <w:tcPr>
            <w:tcW w:w="1106" w:type="dxa"/>
            <w:tcBorders>
              <w:top w:val="nil"/>
              <w:left w:val="nil"/>
              <w:bottom w:val="nil"/>
              <w:right w:val="nil"/>
            </w:tcBorders>
            <w:shd w:val="clear" w:color="auto" w:fill="F2F2F2" w:themeFill="background1" w:themeFillShade="F2"/>
            <w:noWrap/>
            <w:vAlign w:val="center"/>
            <w:hideMark/>
          </w:tcPr>
          <w:p w14:paraId="57F639E4" w14:textId="2A2D7437" w:rsidR="00070FE4" w:rsidRPr="00667CD1" w:rsidRDefault="00070FE4" w:rsidP="00AA5678">
            <w:pPr>
              <w:jc w:val="right"/>
              <w:rPr>
                <w:rFonts w:ascii="Arial" w:hAnsi="Arial" w:cs="Arial"/>
                <w:sz w:val="12"/>
                <w:szCs w:val="12"/>
                <w:lang w:eastAsia="en-AU"/>
              </w:rPr>
            </w:pPr>
            <w:r w:rsidRPr="00667CD1">
              <w:rPr>
                <w:rFonts w:ascii="Arial" w:hAnsi="Arial" w:cs="Arial"/>
                <w:sz w:val="12"/>
                <w:szCs w:val="12"/>
                <w:lang w:eastAsia="en-AU"/>
              </w:rPr>
              <w:t>1,747</w:t>
            </w:r>
          </w:p>
        </w:tc>
        <w:tc>
          <w:tcPr>
            <w:tcW w:w="1106" w:type="dxa"/>
            <w:tcBorders>
              <w:top w:val="nil"/>
              <w:left w:val="nil"/>
              <w:bottom w:val="nil"/>
              <w:right w:val="nil"/>
            </w:tcBorders>
            <w:shd w:val="clear" w:color="auto" w:fill="F2F2F2" w:themeFill="background1" w:themeFillShade="F2"/>
            <w:noWrap/>
            <w:vAlign w:val="center"/>
            <w:hideMark/>
          </w:tcPr>
          <w:p w14:paraId="1C17BA7E" w14:textId="2CD019A7" w:rsidR="00070FE4" w:rsidRPr="00667CD1" w:rsidRDefault="00070FE4" w:rsidP="00AA5678">
            <w:pPr>
              <w:jc w:val="right"/>
              <w:rPr>
                <w:rFonts w:ascii="Arial" w:hAnsi="Arial" w:cs="Arial"/>
                <w:sz w:val="12"/>
                <w:szCs w:val="12"/>
                <w:lang w:eastAsia="en-AU"/>
              </w:rPr>
            </w:pPr>
            <w:r w:rsidRPr="00667CD1">
              <w:rPr>
                <w:rFonts w:ascii="Arial" w:hAnsi="Arial" w:cs="Arial"/>
                <w:sz w:val="12"/>
                <w:szCs w:val="12"/>
                <w:lang w:eastAsia="en-AU"/>
              </w:rPr>
              <w:t>1,392</w:t>
            </w:r>
          </w:p>
        </w:tc>
        <w:tc>
          <w:tcPr>
            <w:tcW w:w="1106" w:type="dxa"/>
            <w:tcBorders>
              <w:top w:val="nil"/>
              <w:left w:val="nil"/>
              <w:bottom w:val="nil"/>
              <w:right w:val="nil"/>
            </w:tcBorders>
            <w:shd w:val="clear" w:color="auto" w:fill="FFFFFF" w:themeFill="background1"/>
            <w:noWrap/>
            <w:vAlign w:val="center"/>
            <w:hideMark/>
          </w:tcPr>
          <w:p w14:paraId="555A455F" w14:textId="4674F3EF" w:rsidR="00070FE4" w:rsidRPr="00667CD1" w:rsidRDefault="00070FE4" w:rsidP="00AA5678">
            <w:pPr>
              <w:jc w:val="right"/>
              <w:rPr>
                <w:rFonts w:ascii="Arial" w:hAnsi="Arial" w:cs="Arial"/>
                <w:sz w:val="12"/>
                <w:szCs w:val="12"/>
                <w:lang w:eastAsia="en-AU"/>
              </w:rPr>
            </w:pPr>
            <w:r w:rsidRPr="00667CD1">
              <w:rPr>
                <w:rFonts w:ascii="Arial" w:hAnsi="Arial" w:cs="Arial"/>
                <w:sz w:val="12"/>
                <w:szCs w:val="12"/>
                <w:lang w:eastAsia="en-AU"/>
              </w:rPr>
              <w:t>6,383</w:t>
            </w:r>
          </w:p>
        </w:tc>
      </w:tr>
      <w:tr w:rsidR="00FE4026" w:rsidRPr="00667CD1" w14:paraId="63FAD251"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1BE9E62C" w14:textId="77777777" w:rsidR="00433D25" w:rsidRPr="00667CD1" w:rsidRDefault="00433D25" w:rsidP="00433D25">
            <w:pPr>
              <w:rPr>
                <w:rFonts w:ascii="Arial" w:hAnsi="Arial" w:cs="Arial"/>
                <w:sz w:val="12"/>
                <w:szCs w:val="12"/>
                <w:lang w:eastAsia="en-AU"/>
              </w:rPr>
            </w:pPr>
            <w:proofErr w:type="gramStart"/>
            <w:r w:rsidRPr="00667CD1">
              <w:rPr>
                <w:rFonts w:ascii="Arial" w:hAnsi="Arial" w:cs="Arial"/>
                <w:sz w:val="12"/>
                <w:szCs w:val="12"/>
                <w:lang w:eastAsia="en-AU"/>
              </w:rPr>
              <w:t>Other</w:t>
            </w:r>
            <w:proofErr w:type="gramEnd"/>
            <w:r w:rsidRPr="00667CD1">
              <w:rPr>
                <w:rFonts w:ascii="Arial" w:hAnsi="Arial" w:cs="Arial"/>
                <w:sz w:val="12"/>
                <w:szCs w:val="12"/>
                <w:lang w:eastAsia="en-AU"/>
              </w:rPr>
              <w:t xml:space="preserve"> grant revenue</w:t>
            </w:r>
          </w:p>
        </w:tc>
        <w:tc>
          <w:tcPr>
            <w:tcW w:w="874" w:type="dxa"/>
            <w:tcBorders>
              <w:top w:val="nil"/>
              <w:left w:val="nil"/>
              <w:bottom w:val="nil"/>
              <w:right w:val="nil"/>
            </w:tcBorders>
            <w:shd w:val="clear" w:color="auto" w:fill="FFFFFF" w:themeFill="background1"/>
            <w:noWrap/>
            <w:vAlign w:val="center"/>
          </w:tcPr>
          <w:p w14:paraId="772FF15D" w14:textId="0FBEF09E" w:rsidR="00433D25" w:rsidRPr="00667CD1" w:rsidRDefault="00433D25" w:rsidP="00AA5678">
            <w:pPr>
              <w:jc w:val="right"/>
              <w:rPr>
                <w:rFonts w:ascii="Arial" w:hAnsi="Arial" w:cs="Arial"/>
                <w:sz w:val="12"/>
                <w:szCs w:val="12"/>
                <w:lang w:eastAsia="en-AU"/>
              </w:rPr>
            </w:pPr>
            <w:r w:rsidRPr="00667CD1">
              <w:rPr>
                <w:rFonts w:ascii="Arial" w:hAnsi="Arial" w:cs="Arial"/>
                <w:sz w:val="12"/>
                <w:szCs w:val="12"/>
                <w:lang w:eastAsia="en-AU"/>
              </w:rPr>
              <w:t>65</w:t>
            </w:r>
          </w:p>
        </w:tc>
        <w:tc>
          <w:tcPr>
            <w:tcW w:w="1106" w:type="dxa"/>
            <w:tcBorders>
              <w:top w:val="nil"/>
              <w:left w:val="nil"/>
              <w:bottom w:val="nil"/>
              <w:right w:val="nil"/>
            </w:tcBorders>
            <w:shd w:val="clear" w:color="auto" w:fill="F2F2F2" w:themeFill="background1" w:themeFillShade="F2"/>
            <w:noWrap/>
            <w:vAlign w:val="center"/>
          </w:tcPr>
          <w:p w14:paraId="054B634A" w14:textId="2B219A3E" w:rsidR="00433D25" w:rsidRPr="00667CD1" w:rsidRDefault="00433D25" w:rsidP="00AA5678">
            <w:pPr>
              <w:jc w:val="right"/>
              <w:rPr>
                <w:rFonts w:ascii="Arial" w:hAnsi="Arial" w:cs="Arial"/>
                <w:sz w:val="12"/>
                <w:szCs w:val="12"/>
                <w:lang w:eastAsia="en-AU"/>
              </w:rPr>
            </w:pPr>
            <w:r w:rsidRPr="00667CD1">
              <w:rPr>
                <w:rFonts w:ascii="Arial" w:hAnsi="Arial" w:cs="Arial"/>
                <w:sz w:val="12"/>
                <w:szCs w:val="12"/>
                <w:lang w:eastAsia="en-AU"/>
              </w:rPr>
              <w:t>226</w:t>
            </w:r>
          </w:p>
        </w:tc>
        <w:tc>
          <w:tcPr>
            <w:tcW w:w="1106" w:type="dxa"/>
            <w:tcBorders>
              <w:top w:val="nil"/>
              <w:left w:val="nil"/>
              <w:bottom w:val="nil"/>
              <w:right w:val="nil"/>
            </w:tcBorders>
            <w:shd w:val="clear" w:color="auto" w:fill="F2F2F2" w:themeFill="background1" w:themeFillShade="F2"/>
            <w:noWrap/>
            <w:vAlign w:val="center"/>
          </w:tcPr>
          <w:p w14:paraId="382CD3F1" w14:textId="5C89F3C6" w:rsidR="00433D25" w:rsidRPr="00667CD1" w:rsidRDefault="00433D25" w:rsidP="00AA5678">
            <w:pPr>
              <w:jc w:val="right"/>
              <w:rPr>
                <w:rFonts w:ascii="Arial" w:hAnsi="Arial" w:cs="Arial"/>
                <w:sz w:val="12"/>
                <w:szCs w:val="12"/>
                <w:lang w:eastAsia="en-AU"/>
              </w:rPr>
            </w:pPr>
            <w:r w:rsidRPr="00667CD1">
              <w:rPr>
                <w:rFonts w:ascii="Arial" w:hAnsi="Arial" w:cs="Arial"/>
                <w:sz w:val="12"/>
                <w:szCs w:val="12"/>
                <w:lang w:eastAsia="en-AU"/>
              </w:rPr>
              <w:t>253</w:t>
            </w:r>
          </w:p>
        </w:tc>
        <w:tc>
          <w:tcPr>
            <w:tcW w:w="1106" w:type="dxa"/>
            <w:tcBorders>
              <w:top w:val="nil"/>
              <w:left w:val="nil"/>
              <w:bottom w:val="nil"/>
              <w:right w:val="nil"/>
            </w:tcBorders>
            <w:shd w:val="clear" w:color="auto" w:fill="F2F2F2" w:themeFill="background1" w:themeFillShade="F2"/>
            <w:noWrap/>
            <w:vAlign w:val="center"/>
          </w:tcPr>
          <w:p w14:paraId="2ACB9806" w14:textId="3359D9A8" w:rsidR="00433D25" w:rsidRPr="00667CD1" w:rsidRDefault="00433D25" w:rsidP="00AA5678">
            <w:pPr>
              <w:jc w:val="right"/>
              <w:rPr>
                <w:rFonts w:ascii="Arial" w:hAnsi="Arial" w:cs="Arial"/>
                <w:sz w:val="12"/>
                <w:szCs w:val="12"/>
                <w:lang w:eastAsia="en-AU"/>
              </w:rPr>
            </w:pPr>
            <w:r w:rsidRPr="00667CD1">
              <w:rPr>
                <w:rFonts w:ascii="Arial" w:hAnsi="Arial" w:cs="Arial"/>
                <w:sz w:val="12"/>
                <w:szCs w:val="12"/>
                <w:lang w:eastAsia="en-AU"/>
              </w:rPr>
              <w:t>79</w:t>
            </w:r>
          </w:p>
        </w:tc>
        <w:tc>
          <w:tcPr>
            <w:tcW w:w="1106" w:type="dxa"/>
            <w:tcBorders>
              <w:top w:val="nil"/>
              <w:left w:val="nil"/>
              <w:bottom w:val="nil"/>
              <w:right w:val="nil"/>
            </w:tcBorders>
            <w:shd w:val="clear" w:color="auto" w:fill="F2F2F2" w:themeFill="background1" w:themeFillShade="F2"/>
            <w:noWrap/>
            <w:vAlign w:val="center"/>
          </w:tcPr>
          <w:p w14:paraId="5F93DEFE" w14:textId="18FFDCFF" w:rsidR="00433D25" w:rsidRPr="00667CD1" w:rsidRDefault="00433D25" w:rsidP="00AA5678">
            <w:pPr>
              <w:jc w:val="right"/>
              <w:rPr>
                <w:rFonts w:ascii="Arial" w:hAnsi="Arial" w:cs="Arial"/>
                <w:sz w:val="12"/>
                <w:szCs w:val="12"/>
                <w:lang w:eastAsia="en-AU"/>
              </w:rPr>
            </w:pPr>
            <w:r w:rsidRPr="00667CD1">
              <w:rPr>
                <w:rFonts w:ascii="Arial" w:hAnsi="Arial" w:cs="Arial"/>
                <w:sz w:val="12"/>
                <w:szCs w:val="12"/>
                <w:lang w:eastAsia="en-AU"/>
              </w:rPr>
              <w:t>(69)</w:t>
            </w:r>
          </w:p>
        </w:tc>
        <w:tc>
          <w:tcPr>
            <w:tcW w:w="1106" w:type="dxa"/>
            <w:tcBorders>
              <w:top w:val="nil"/>
              <w:left w:val="nil"/>
              <w:bottom w:val="nil"/>
              <w:right w:val="nil"/>
            </w:tcBorders>
            <w:shd w:val="clear" w:color="auto" w:fill="FFFFFF" w:themeFill="background1"/>
            <w:noWrap/>
            <w:vAlign w:val="center"/>
          </w:tcPr>
          <w:p w14:paraId="46DE94AF" w14:textId="6F58E6E7" w:rsidR="00433D25" w:rsidRPr="00667CD1" w:rsidRDefault="00433D25" w:rsidP="00AA5678">
            <w:pPr>
              <w:jc w:val="right"/>
              <w:rPr>
                <w:rFonts w:ascii="Arial" w:hAnsi="Arial" w:cs="Arial"/>
                <w:sz w:val="12"/>
                <w:szCs w:val="12"/>
                <w:lang w:eastAsia="en-AU"/>
              </w:rPr>
            </w:pPr>
            <w:r w:rsidRPr="00667CD1">
              <w:rPr>
                <w:rFonts w:ascii="Arial" w:hAnsi="Arial" w:cs="Arial"/>
                <w:sz w:val="12"/>
                <w:szCs w:val="12"/>
                <w:lang w:eastAsia="en-AU"/>
              </w:rPr>
              <w:t>488</w:t>
            </w:r>
          </w:p>
        </w:tc>
      </w:tr>
      <w:tr w:rsidR="00FE4026" w:rsidRPr="00667CD1" w14:paraId="124777C5" w14:textId="77777777" w:rsidTr="002364B3">
        <w:trPr>
          <w:trHeight w:val="150"/>
        </w:trPr>
        <w:tc>
          <w:tcPr>
            <w:tcW w:w="3402" w:type="dxa"/>
            <w:tcBorders>
              <w:top w:val="nil"/>
              <w:left w:val="nil"/>
              <w:bottom w:val="nil"/>
              <w:right w:val="nil"/>
            </w:tcBorders>
            <w:shd w:val="clear" w:color="auto" w:fill="FFFFFF" w:themeFill="background1"/>
            <w:noWrap/>
            <w:vAlign w:val="center"/>
            <w:hideMark/>
          </w:tcPr>
          <w:p w14:paraId="286357FA" w14:textId="77777777" w:rsidR="00F355B1" w:rsidRPr="00667CD1" w:rsidRDefault="00F355B1" w:rsidP="00F355B1">
            <w:pPr>
              <w:rPr>
                <w:rFonts w:ascii="Arial" w:hAnsi="Arial" w:cs="Arial"/>
                <w:sz w:val="12"/>
                <w:szCs w:val="12"/>
                <w:lang w:eastAsia="en-AU"/>
              </w:rPr>
            </w:pPr>
            <w:r w:rsidRPr="00667CD1">
              <w:rPr>
                <w:rFonts w:ascii="Arial" w:hAnsi="Arial" w:cs="Arial"/>
                <w:sz w:val="12"/>
                <w:szCs w:val="12"/>
                <w:lang w:eastAsia="en-AU"/>
              </w:rPr>
              <w:t> </w:t>
            </w:r>
          </w:p>
        </w:tc>
        <w:tc>
          <w:tcPr>
            <w:tcW w:w="874" w:type="dxa"/>
            <w:tcBorders>
              <w:top w:val="nil"/>
              <w:left w:val="nil"/>
              <w:bottom w:val="nil"/>
              <w:right w:val="nil"/>
            </w:tcBorders>
            <w:shd w:val="clear" w:color="auto" w:fill="FFFFFF" w:themeFill="background1"/>
            <w:noWrap/>
            <w:vAlign w:val="center"/>
            <w:hideMark/>
          </w:tcPr>
          <w:p w14:paraId="0632D08A" w14:textId="5BE921FF"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6676F2E1" w14:textId="19CA1798"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7C509D24" w14:textId="78F7E188"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3BA97480" w14:textId="58940AE7"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2F2F2" w:themeFill="background1" w:themeFillShade="F2"/>
            <w:noWrap/>
            <w:vAlign w:val="center"/>
            <w:hideMark/>
          </w:tcPr>
          <w:p w14:paraId="6EE7273E" w14:textId="42731A5B" w:rsidR="00F355B1" w:rsidRPr="00667CD1" w:rsidRDefault="00F355B1" w:rsidP="00AA5678">
            <w:pPr>
              <w:jc w:val="right"/>
              <w:rPr>
                <w:rFonts w:ascii="Arial" w:hAnsi="Arial" w:cs="Arial"/>
                <w:sz w:val="12"/>
                <w:szCs w:val="12"/>
                <w:lang w:eastAsia="en-AU"/>
              </w:rPr>
            </w:pPr>
          </w:p>
        </w:tc>
        <w:tc>
          <w:tcPr>
            <w:tcW w:w="1106" w:type="dxa"/>
            <w:tcBorders>
              <w:top w:val="nil"/>
              <w:left w:val="nil"/>
              <w:bottom w:val="nil"/>
              <w:right w:val="nil"/>
            </w:tcBorders>
            <w:shd w:val="clear" w:color="auto" w:fill="FFFFFF" w:themeFill="background1"/>
            <w:noWrap/>
            <w:vAlign w:val="center"/>
            <w:hideMark/>
          </w:tcPr>
          <w:p w14:paraId="34D96013" w14:textId="54C6F81D" w:rsidR="00F355B1" w:rsidRPr="00667CD1" w:rsidRDefault="00F355B1" w:rsidP="00AA5678">
            <w:pPr>
              <w:jc w:val="right"/>
              <w:rPr>
                <w:rFonts w:ascii="Arial" w:hAnsi="Arial" w:cs="Arial"/>
                <w:sz w:val="12"/>
                <w:szCs w:val="12"/>
                <w:lang w:eastAsia="en-AU"/>
              </w:rPr>
            </w:pPr>
          </w:p>
        </w:tc>
      </w:tr>
      <w:tr w:rsidR="00FE4026" w:rsidRPr="00667CD1" w14:paraId="144936B3"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5ACA8340" w14:textId="77777777" w:rsidR="001175FF" w:rsidRPr="00667CD1" w:rsidRDefault="001175FF" w:rsidP="001175FF">
            <w:pPr>
              <w:rPr>
                <w:rFonts w:ascii="Arial" w:hAnsi="Arial" w:cs="Arial"/>
                <w:b/>
                <w:bCs/>
                <w:sz w:val="12"/>
                <w:szCs w:val="12"/>
                <w:lang w:eastAsia="en-AU"/>
              </w:rPr>
            </w:pPr>
            <w:r w:rsidRPr="00667CD1">
              <w:rPr>
                <w:rFonts w:ascii="Arial" w:hAnsi="Arial" w:cs="Arial"/>
                <w:b/>
                <w:bCs/>
                <w:sz w:val="12"/>
                <w:szCs w:val="12"/>
                <w:lang w:eastAsia="en-AU"/>
              </w:rPr>
              <w:t>Sale of goods and services</w:t>
            </w:r>
          </w:p>
        </w:tc>
        <w:tc>
          <w:tcPr>
            <w:tcW w:w="874" w:type="dxa"/>
            <w:tcBorders>
              <w:top w:val="nil"/>
              <w:left w:val="nil"/>
              <w:bottom w:val="nil"/>
              <w:right w:val="nil"/>
            </w:tcBorders>
            <w:shd w:val="clear" w:color="auto" w:fill="FFFFFF" w:themeFill="background1"/>
            <w:noWrap/>
            <w:vAlign w:val="center"/>
          </w:tcPr>
          <w:p w14:paraId="261A216B" w14:textId="409F1E42"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(1,233)</w:t>
            </w:r>
          </w:p>
        </w:tc>
        <w:tc>
          <w:tcPr>
            <w:tcW w:w="1106" w:type="dxa"/>
            <w:tcBorders>
              <w:top w:val="nil"/>
              <w:left w:val="nil"/>
              <w:bottom w:val="nil"/>
              <w:right w:val="nil"/>
            </w:tcBorders>
            <w:shd w:val="clear" w:color="auto" w:fill="F2F2F2" w:themeFill="background1" w:themeFillShade="F2"/>
            <w:noWrap/>
            <w:vAlign w:val="center"/>
          </w:tcPr>
          <w:p w14:paraId="5380C050" w14:textId="4FA71517"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(1,1</w:t>
            </w:r>
            <w:r w:rsidR="00070FE4" w:rsidRPr="00667CD1">
              <w:rPr>
                <w:rFonts w:ascii="Arial" w:hAnsi="Arial" w:cs="Arial"/>
                <w:sz w:val="12"/>
                <w:szCs w:val="12"/>
                <w:lang w:eastAsia="en-AU"/>
              </w:rPr>
              <w:t>32</w:t>
            </w:r>
            <w:r w:rsidRPr="00667CD1">
              <w:rPr>
                <w:rFonts w:ascii="Arial" w:hAnsi="Arial" w:cs="Arial"/>
                <w:sz w:val="12"/>
                <w:szCs w:val="12"/>
                <w:lang w:eastAsia="en-AU"/>
              </w:rPr>
              <w:t>)</w:t>
            </w:r>
          </w:p>
        </w:tc>
        <w:tc>
          <w:tcPr>
            <w:tcW w:w="1106" w:type="dxa"/>
            <w:tcBorders>
              <w:top w:val="nil"/>
              <w:left w:val="nil"/>
              <w:bottom w:val="nil"/>
              <w:right w:val="nil"/>
            </w:tcBorders>
            <w:shd w:val="clear" w:color="auto" w:fill="F2F2F2" w:themeFill="background1" w:themeFillShade="F2"/>
            <w:noWrap/>
            <w:vAlign w:val="center"/>
          </w:tcPr>
          <w:p w14:paraId="0D5EB0FB" w14:textId="46E2C5FF"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419</w:t>
            </w:r>
          </w:p>
        </w:tc>
        <w:tc>
          <w:tcPr>
            <w:tcW w:w="1106" w:type="dxa"/>
            <w:tcBorders>
              <w:top w:val="nil"/>
              <w:left w:val="nil"/>
              <w:bottom w:val="nil"/>
              <w:right w:val="nil"/>
            </w:tcBorders>
            <w:shd w:val="clear" w:color="auto" w:fill="F2F2F2" w:themeFill="background1" w:themeFillShade="F2"/>
            <w:noWrap/>
            <w:vAlign w:val="center"/>
          </w:tcPr>
          <w:p w14:paraId="04B84097" w14:textId="20A0DEAF"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192</w:t>
            </w:r>
          </w:p>
        </w:tc>
        <w:tc>
          <w:tcPr>
            <w:tcW w:w="1106" w:type="dxa"/>
            <w:tcBorders>
              <w:top w:val="nil"/>
              <w:left w:val="nil"/>
              <w:bottom w:val="nil"/>
              <w:right w:val="nil"/>
            </w:tcBorders>
            <w:shd w:val="clear" w:color="auto" w:fill="F2F2F2" w:themeFill="background1" w:themeFillShade="F2"/>
            <w:noWrap/>
            <w:vAlign w:val="center"/>
          </w:tcPr>
          <w:p w14:paraId="2B928533" w14:textId="568BA2A2"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(591)</w:t>
            </w:r>
          </w:p>
        </w:tc>
        <w:tc>
          <w:tcPr>
            <w:tcW w:w="1106" w:type="dxa"/>
            <w:tcBorders>
              <w:top w:val="nil"/>
              <w:left w:val="nil"/>
              <w:bottom w:val="nil"/>
              <w:right w:val="nil"/>
            </w:tcBorders>
            <w:shd w:val="clear" w:color="auto" w:fill="FFFFFF" w:themeFill="background1"/>
            <w:noWrap/>
            <w:vAlign w:val="center"/>
          </w:tcPr>
          <w:p w14:paraId="2F0CACAD" w14:textId="47EB1FE7"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(1,1</w:t>
            </w:r>
            <w:r w:rsidR="00070FE4" w:rsidRPr="00667CD1">
              <w:rPr>
                <w:rFonts w:ascii="Arial" w:hAnsi="Arial" w:cs="Arial"/>
                <w:sz w:val="12"/>
                <w:szCs w:val="12"/>
                <w:lang w:eastAsia="en-AU"/>
              </w:rPr>
              <w:t>12</w:t>
            </w:r>
            <w:r w:rsidRPr="00667CD1">
              <w:rPr>
                <w:rFonts w:ascii="Arial" w:hAnsi="Arial" w:cs="Arial"/>
                <w:sz w:val="12"/>
                <w:szCs w:val="12"/>
                <w:lang w:eastAsia="en-AU"/>
              </w:rPr>
              <w:t>)</w:t>
            </w:r>
          </w:p>
        </w:tc>
      </w:tr>
      <w:tr w:rsidR="00FE4026" w:rsidRPr="00667CD1" w14:paraId="45829576"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57C4404D" w14:textId="77777777" w:rsidR="001175FF" w:rsidRPr="00667CD1" w:rsidRDefault="001175FF" w:rsidP="001175FF">
            <w:pPr>
              <w:rPr>
                <w:rFonts w:ascii="Arial" w:hAnsi="Arial" w:cs="Arial"/>
                <w:b/>
                <w:bCs/>
                <w:sz w:val="12"/>
                <w:szCs w:val="12"/>
                <w:lang w:eastAsia="en-AU"/>
              </w:rPr>
            </w:pPr>
            <w:r w:rsidRPr="00667CD1">
              <w:rPr>
                <w:rFonts w:ascii="Arial" w:hAnsi="Arial" w:cs="Arial"/>
                <w:b/>
                <w:bCs/>
                <w:sz w:val="12"/>
                <w:szCs w:val="12"/>
                <w:lang w:eastAsia="en-AU"/>
              </w:rPr>
              <w:t>Interest income</w:t>
            </w:r>
          </w:p>
        </w:tc>
        <w:tc>
          <w:tcPr>
            <w:tcW w:w="874" w:type="dxa"/>
            <w:tcBorders>
              <w:top w:val="nil"/>
              <w:left w:val="nil"/>
              <w:bottom w:val="nil"/>
              <w:right w:val="nil"/>
            </w:tcBorders>
            <w:shd w:val="clear" w:color="auto" w:fill="FFFFFF" w:themeFill="background1"/>
            <w:noWrap/>
            <w:vAlign w:val="center"/>
          </w:tcPr>
          <w:p w14:paraId="1EE3AA8F" w14:textId="0B16E3B1"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(3)</w:t>
            </w:r>
          </w:p>
        </w:tc>
        <w:tc>
          <w:tcPr>
            <w:tcW w:w="1106" w:type="dxa"/>
            <w:tcBorders>
              <w:top w:val="nil"/>
              <w:left w:val="nil"/>
              <w:bottom w:val="nil"/>
              <w:right w:val="nil"/>
            </w:tcBorders>
            <w:shd w:val="clear" w:color="auto" w:fill="F2F2F2" w:themeFill="background1" w:themeFillShade="F2"/>
            <w:noWrap/>
            <w:vAlign w:val="center"/>
          </w:tcPr>
          <w:p w14:paraId="1F12E899" w14:textId="0829B739"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(142)</w:t>
            </w:r>
          </w:p>
        </w:tc>
        <w:tc>
          <w:tcPr>
            <w:tcW w:w="1106" w:type="dxa"/>
            <w:tcBorders>
              <w:top w:val="nil"/>
              <w:left w:val="nil"/>
              <w:bottom w:val="nil"/>
              <w:right w:val="nil"/>
            </w:tcBorders>
            <w:shd w:val="clear" w:color="auto" w:fill="F2F2F2" w:themeFill="background1" w:themeFillShade="F2"/>
            <w:noWrap/>
            <w:vAlign w:val="center"/>
          </w:tcPr>
          <w:p w14:paraId="3371F559" w14:textId="4366C8D8"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(126)</w:t>
            </w:r>
          </w:p>
        </w:tc>
        <w:tc>
          <w:tcPr>
            <w:tcW w:w="1106" w:type="dxa"/>
            <w:tcBorders>
              <w:top w:val="nil"/>
              <w:left w:val="nil"/>
              <w:bottom w:val="nil"/>
              <w:right w:val="nil"/>
            </w:tcBorders>
            <w:shd w:val="clear" w:color="auto" w:fill="F2F2F2" w:themeFill="background1" w:themeFillShade="F2"/>
            <w:noWrap/>
            <w:vAlign w:val="center"/>
          </w:tcPr>
          <w:p w14:paraId="35DE20EA" w14:textId="5933D6B7"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(96)</w:t>
            </w:r>
          </w:p>
        </w:tc>
        <w:tc>
          <w:tcPr>
            <w:tcW w:w="1106" w:type="dxa"/>
            <w:tcBorders>
              <w:top w:val="nil"/>
              <w:left w:val="nil"/>
              <w:bottom w:val="nil"/>
              <w:right w:val="nil"/>
            </w:tcBorders>
            <w:shd w:val="clear" w:color="auto" w:fill="F2F2F2" w:themeFill="background1" w:themeFillShade="F2"/>
            <w:noWrap/>
            <w:vAlign w:val="center"/>
          </w:tcPr>
          <w:p w14:paraId="25A172B9" w14:textId="180F09DF"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(55)</w:t>
            </w:r>
          </w:p>
        </w:tc>
        <w:tc>
          <w:tcPr>
            <w:tcW w:w="1106" w:type="dxa"/>
            <w:tcBorders>
              <w:top w:val="nil"/>
              <w:left w:val="nil"/>
              <w:bottom w:val="nil"/>
              <w:right w:val="nil"/>
            </w:tcBorders>
            <w:shd w:val="clear" w:color="auto" w:fill="FFFFFF" w:themeFill="background1"/>
            <w:noWrap/>
            <w:vAlign w:val="center"/>
          </w:tcPr>
          <w:p w14:paraId="3DBAE226" w14:textId="560622A4"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(419)</w:t>
            </w:r>
          </w:p>
        </w:tc>
      </w:tr>
      <w:tr w:rsidR="00FE4026" w:rsidRPr="00667CD1" w14:paraId="63F344DC"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3DAC988C" w14:textId="77777777" w:rsidR="001175FF" w:rsidRPr="00667CD1" w:rsidRDefault="001175FF" w:rsidP="001175FF">
            <w:pPr>
              <w:rPr>
                <w:rFonts w:ascii="Arial" w:hAnsi="Arial" w:cs="Arial"/>
                <w:b/>
                <w:bCs/>
                <w:sz w:val="12"/>
                <w:szCs w:val="12"/>
                <w:lang w:eastAsia="en-AU"/>
              </w:rPr>
            </w:pPr>
            <w:r w:rsidRPr="00667CD1">
              <w:rPr>
                <w:rFonts w:ascii="Arial" w:hAnsi="Arial" w:cs="Arial"/>
                <w:b/>
                <w:bCs/>
                <w:sz w:val="12"/>
                <w:szCs w:val="12"/>
                <w:lang w:eastAsia="en-AU"/>
              </w:rPr>
              <w:t>Dividends and income tax equivalents</w:t>
            </w:r>
          </w:p>
        </w:tc>
        <w:tc>
          <w:tcPr>
            <w:tcW w:w="874" w:type="dxa"/>
            <w:tcBorders>
              <w:top w:val="nil"/>
              <w:left w:val="nil"/>
              <w:bottom w:val="nil"/>
              <w:right w:val="nil"/>
            </w:tcBorders>
            <w:shd w:val="clear" w:color="auto" w:fill="FFFFFF" w:themeFill="background1"/>
            <w:noWrap/>
            <w:vAlign w:val="center"/>
            <w:hideMark/>
          </w:tcPr>
          <w:p w14:paraId="2165140B" w14:textId="183708E0"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(516)</w:t>
            </w:r>
          </w:p>
        </w:tc>
        <w:tc>
          <w:tcPr>
            <w:tcW w:w="1106" w:type="dxa"/>
            <w:tcBorders>
              <w:top w:val="nil"/>
              <w:left w:val="nil"/>
              <w:bottom w:val="nil"/>
              <w:right w:val="nil"/>
            </w:tcBorders>
            <w:shd w:val="clear" w:color="auto" w:fill="F2F2F2" w:themeFill="background1" w:themeFillShade="F2"/>
            <w:noWrap/>
            <w:vAlign w:val="center"/>
            <w:hideMark/>
          </w:tcPr>
          <w:p w14:paraId="3DBEB407" w14:textId="1CEE0E42"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(259)</w:t>
            </w:r>
          </w:p>
        </w:tc>
        <w:tc>
          <w:tcPr>
            <w:tcW w:w="1106" w:type="dxa"/>
            <w:tcBorders>
              <w:top w:val="nil"/>
              <w:left w:val="nil"/>
              <w:bottom w:val="nil"/>
              <w:right w:val="nil"/>
            </w:tcBorders>
            <w:shd w:val="clear" w:color="auto" w:fill="F2F2F2" w:themeFill="background1" w:themeFillShade="F2"/>
            <w:noWrap/>
            <w:vAlign w:val="center"/>
            <w:hideMark/>
          </w:tcPr>
          <w:p w14:paraId="580D35B3" w14:textId="73A5A967"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(45)</w:t>
            </w:r>
          </w:p>
        </w:tc>
        <w:tc>
          <w:tcPr>
            <w:tcW w:w="1106" w:type="dxa"/>
            <w:tcBorders>
              <w:top w:val="nil"/>
              <w:left w:val="nil"/>
              <w:bottom w:val="nil"/>
              <w:right w:val="nil"/>
            </w:tcBorders>
            <w:shd w:val="clear" w:color="auto" w:fill="F2F2F2" w:themeFill="background1" w:themeFillShade="F2"/>
            <w:noWrap/>
            <w:vAlign w:val="center"/>
            <w:hideMark/>
          </w:tcPr>
          <w:p w14:paraId="0DD206F9" w14:textId="675F9905"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116</w:t>
            </w:r>
          </w:p>
        </w:tc>
        <w:tc>
          <w:tcPr>
            <w:tcW w:w="1106" w:type="dxa"/>
            <w:tcBorders>
              <w:top w:val="nil"/>
              <w:left w:val="nil"/>
              <w:bottom w:val="nil"/>
              <w:right w:val="nil"/>
            </w:tcBorders>
            <w:shd w:val="clear" w:color="auto" w:fill="F2F2F2" w:themeFill="background1" w:themeFillShade="F2"/>
            <w:noWrap/>
            <w:vAlign w:val="center"/>
            <w:hideMark/>
          </w:tcPr>
          <w:p w14:paraId="4D6223FF" w14:textId="646E3813"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196</w:t>
            </w:r>
          </w:p>
        </w:tc>
        <w:tc>
          <w:tcPr>
            <w:tcW w:w="1106" w:type="dxa"/>
            <w:tcBorders>
              <w:top w:val="nil"/>
              <w:left w:val="nil"/>
              <w:bottom w:val="nil"/>
              <w:right w:val="nil"/>
            </w:tcBorders>
            <w:shd w:val="clear" w:color="auto" w:fill="FFFFFF" w:themeFill="background1"/>
            <w:noWrap/>
            <w:vAlign w:val="center"/>
            <w:hideMark/>
          </w:tcPr>
          <w:p w14:paraId="490BC78D" w14:textId="736A1827"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8</w:t>
            </w:r>
          </w:p>
        </w:tc>
      </w:tr>
      <w:tr w:rsidR="00FE4026" w:rsidRPr="00667CD1" w14:paraId="2F75CB81"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06A5A78F" w14:textId="77777777" w:rsidR="001175FF" w:rsidRPr="00667CD1" w:rsidRDefault="001175FF" w:rsidP="001175FF">
            <w:pPr>
              <w:rPr>
                <w:rFonts w:ascii="Arial" w:hAnsi="Arial" w:cs="Arial"/>
                <w:b/>
                <w:bCs/>
                <w:sz w:val="12"/>
                <w:szCs w:val="12"/>
                <w:lang w:eastAsia="en-AU"/>
              </w:rPr>
            </w:pPr>
            <w:r w:rsidRPr="00667CD1">
              <w:rPr>
                <w:rFonts w:ascii="Arial" w:hAnsi="Arial" w:cs="Arial"/>
                <w:b/>
                <w:bCs/>
                <w:sz w:val="12"/>
                <w:szCs w:val="12"/>
                <w:lang w:eastAsia="en-AU"/>
              </w:rPr>
              <w:t>Other dividends and distributions</w:t>
            </w:r>
          </w:p>
        </w:tc>
        <w:tc>
          <w:tcPr>
            <w:tcW w:w="874" w:type="dxa"/>
            <w:tcBorders>
              <w:top w:val="nil"/>
              <w:left w:val="nil"/>
              <w:bottom w:val="nil"/>
              <w:right w:val="nil"/>
            </w:tcBorders>
            <w:shd w:val="clear" w:color="auto" w:fill="FFFFFF" w:themeFill="background1"/>
            <w:noWrap/>
            <w:vAlign w:val="center"/>
            <w:hideMark/>
          </w:tcPr>
          <w:p w14:paraId="1C19C130" w14:textId="482D758C"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402</w:t>
            </w:r>
          </w:p>
        </w:tc>
        <w:tc>
          <w:tcPr>
            <w:tcW w:w="1106" w:type="dxa"/>
            <w:tcBorders>
              <w:top w:val="nil"/>
              <w:left w:val="nil"/>
              <w:bottom w:val="nil"/>
              <w:right w:val="nil"/>
            </w:tcBorders>
            <w:shd w:val="clear" w:color="auto" w:fill="F2F2F2" w:themeFill="background1" w:themeFillShade="F2"/>
            <w:noWrap/>
            <w:vAlign w:val="center"/>
            <w:hideMark/>
          </w:tcPr>
          <w:p w14:paraId="231516AC" w14:textId="4AB8EC28"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(80)</w:t>
            </w:r>
          </w:p>
        </w:tc>
        <w:tc>
          <w:tcPr>
            <w:tcW w:w="1106" w:type="dxa"/>
            <w:tcBorders>
              <w:top w:val="nil"/>
              <w:left w:val="nil"/>
              <w:bottom w:val="nil"/>
              <w:right w:val="nil"/>
            </w:tcBorders>
            <w:shd w:val="clear" w:color="auto" w:fill="F2F2F2" w:themeFill="background1" w:themeFillShade="F2"/>
            <w:noWrap/>
            <w:vAlign w:val="center"/>
            <w:hideMark/>
          </w:tcPr>
          <w:p w14:paraId="7B137BDA" w14:textId="0E1C74E2"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(264)</w:t>
            </w:r>
          </w:p>
        </w:tc>
        <w:tc>
          <w:tcPr>
            <w:tcW w:w="1106" w:type="dxa"/>
            <w:tcBorders>
              <w:top w:val="nil"/>
              <w:left w:val="nil"/>
              <w:bottom w:val="nil"/>
              <w:right w:val="nil"/>
            </w:tcBorders>
            <w:shd w:val="clear" w:color="auto" w:fill="F2F2F2" w:themeFill="background1" w:themeFillShade="F2"/>
            <w:noWrap/>
            <w:vAlign w:val="center"/>
            <w:hideMark/>
          </w:tcPr>
          <w:p w14:paraId="35836351" w14:textId="52D11E29"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(158)</w:t>
            </w:r>
          </w:p>
        </w:tc>
        <w:tc>
          <w:tcPr>
            <w:tcW w:w="1106" w:type="dxa"/>
            <w:tcBorders>
              <w:top w:val="nil"/>
              <w:left w:val="nil"/>
              <w:bottom w:val="nil"/>
              <w:right w:val="nil"/>
            </w:tcBorders>
            <w:shd w:val="clear" w:color="auto" w:fill="F2F2F2" w:themeFill="background1" w:themeFillShade="F2"/>
            <w:noWrap/>
            <w:vAlign w:val="center"/>
            <w:hideMark/>
          </w:tcPr>
          <w:p w14:paraId="0C85DD7D" w14:textId="3B7EFF09"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(216)</w:t>
            </w:r>
          </w:p>
        </w:tc>
        <w:tc>
          <w:tcPr>
            <w:tcW w:w="1106" w:type="dxa"/>
            <w:tcBorders>
              <w:top w:val="nil"/>
              <w:left w:val="nil"/>
              <w:bottom w:val="nil"/>
              <w:right w:val="nil"/>
            </w:tcBorders>
            <w:shd w:val="clear" w:color="auto" w:fill="FFFFFF" w:themeFill="background1"/>
            <w:noWrap/>
            <w:vAlign w:val="center"/>
            <w:hideMark/>
          </w:tcPr>
          <w:p w14:paraId="068ECDB2" w14:textId="7DCB295D"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(718)</w:t>
            </w:r>
          </w:p>
        </w:tc>
      </w:tr>
      <w:tr w:rsidR="00FE4026" w:rsidRPr="00667CD1" w14:paraId="3DD754DC"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550CE349" w14:textId="77777777" w:rsidR="001175FF" w:rsidRPr="00667CD1" w:rsidRDefault="001175FF" w:rsidP="001175FF">
            <w:pPr>
              <w:rPr>
                <w:rFonts w:ascii="Arial" w:hAnsi="Arial" w:cs="Arial"/>
                <w:b/>
                <w:bCs/>
                <w:sz w:val="12"/>
                <w:szCs w:val="12"/>
                <w:lang w:eastAsia="en-AU"/>
              </w:rPr>
            </w:pPr>
            <w:r w:rsidRPr="00667CD1">
              <w:rPr>
                <w:rFonts w:ascii="Arial" w:hAnsi="Arial" w:cs="Arial"/>
                <w:b/>
                <w:bCs/>
                <w:sz w:val="12"/>
                <w:szCs w:val="12"/>
                <w:lang w:eastAsia="en-AU"/>
              </w:rPr>
              <w:t>Royalties</w:t>
            </w:r>
          </w:p>
        </w:tc>
        <w:tc>
          <w:tcPr>
            <w:tcW w:w="874" w:type="dxa"/>
            <w:tcBorders>
              <w:top w:val="nil"/>
              <w:left w:val="nil"/>
              <w:bottom w:val="nil"/>
              <w:right w:val="nil"/>
            </w:tcBorders>
            <w:shd w:val="clear" w:color="auto" w:fill="FFFFFF" w:themeFill="background1"/>
            <w:noWrap/>
            <w:vAlign w:val="center"/>
            <w:hideMark/>
          </w:tcPr>
          <w:p w14:paraId="6A785609" w14:textId="5F51268C"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(120)</w:t>
            </w:r>
          </w:p>
        </w:tc>
        <w:tc>
          <w:tcPr>
            <w:tcW w:w="1106" w:type="dxa"/>
            <w:tcBorders>
              <w:top w:val="nil"/>
              <w:left w:val="nil"/>
              <w:bottom w:val="nil"/>
              <w:right w:val="nil"/>
            </w:tcBorders>
            <w:shd w:val="clear" w:color="auto" w:fill="F2F2F2" w:themeFill="background1" w:themeFillShade="F2"/>
            <w:noWrap/>
            <w:vAlign w:val="center"/>
            <w:hideMark/>
          </w:tcPr>
          <w:p w14:paraId="25899467" w14:textId="2C6D949B"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(349)</w:t>
            </w:r>
          </w:p>
        </w:tc>
        <w:tc>
          <w:tcPr>
            <w:tcW w:w="1106" w:type="dxa"/>
            <w:tcBorders>
              <w:top w:val="nil"/>
              <w:left w:val="nil"/>
              <w:bottom w:val="nil"/>
              <w:right w:val="nil"/>
            </w:tcBorders>
            <w:shd w:val="clear" w:color="auto" w:fill="F2F2F2" w:themeFill="background1" w:themeFillShade="F2"/>
            <w:noWrap/>
            <w:vAlign w:val="center"/>
            <w:hideMark/>
          </w:tcPr>
          <w:p w14:paraId="2A0EF3EF" w14:textId="6245BF5A"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(356)</w:t>
            </w:r>
          </w:p>
        </w:tc>
        <w:tc>
          <w:tcPr>
            <w:tcW w:w="1106" w:type="dxa"/>
            <w:tcBorders>
              <w:top w:val="nil"/>
              <w:left w:val="nil"/>
              <w:bottom w:val="nil"/>
              <w:right w:val="nil"/>
            </w:tcBorders>
            <w:shd w:val="clear" w:color="auto" w:fill="F2F2F2" w:themeFill="background1" w:themeFillShade="F2"/>
            <w:noWrap/>
            <w:vAlign w:val="center"/>
            <w:hideMark/>
          </w:tcPr>
          <w:p w14:paraId="1AB0DA5D" w14:textId="27EBD492"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(383)</w:t>
            </w:r>
          </w:p>
        </w:tc>
        <w:tc>
          <w:tcPr>
            <w:tcW w:w="1106" w:type="dxa"/>
            <w:tcBorders>
              <w:top w:val="nil"/>
              <w:left w:val="nil"/>
              <w:bottom w:val="nil"/>
              <w:right w:val="nil"/>
            </w:tcBorders>
            <w:shd w:val="clear" w:color="auto" w:fill="F2F2F2" w:themeFill="background1" w:themeFillShade="F2"/>
            <w:noWrap/>
            <w:vAlign w:val="center"/>
            <w:hideMark/>
          </w:tcPr>
          <w:p w14:paraId="0DB5E0A7" w14:textId="287164B6"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(320)</w:t>
            </w:r>
          </w:p>
        </w:tc>
        <w:tc>
          <w:tcPr>
            <w:tcW w:w="1106" w:type="dxa"/>
            <w:tcBorders>
              <w:top w:val="nil"/>
              <w:left w:val="nil"/>
              <w:bottom w:val="nil"/>
              <w:right w:val="nil"/>
            </w:tcBorders>
            <w:shd w:val="clear" w:color="auto" w:fill="FFFFFF" w:themeFill="background1"/>
            <w:noWrap/>
            <w:vAlign w:val="center"/>
            <w:hideMark/>
          </w:tcPr>
          <w:p w14:paraId="1578295B" w14:textId="20EA5456"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(1,407)</w:t>
            </w:r>
          </w:p>
        </w:tc>
      </w:tr>
      <w:tr w:rsidR="00FE4026" w:rsidRPr="00667CD1" w14:paraId="6E2CE3FC" w14:textId="77777777" w:rsidTr="002364B3">
        <w:trPr>
          <w:trHeight w:val="290"/>
        </w:trPr>
        <w:tc>
          <w:tcPr>
            <w:tcW w:w="3402" w:type="dxa"/>
            <w:tcBorders>
              <w:top w:val="nil"/>
              <w:left w:val="nil"/>
              <w:bottom w:val="nil"/>
              <w:right w:val="nil"/>
            </w:tcBorders>
            <w:shd w:val="clear" w:color="auto" w:fill="FFFFFF" w:themeFill="background1"/>
            <w:noWrap/>
            <w:vAlign w:val="center"/>
            <w:hideMark/>
          </w:tcPr>
          <w:p w14:paraId="08DF5CBC" w14:textId="77777777" w:rsidR="001175FF" w:rsidRPr="00667CD1" w:rsidRDefault="001175FF" w:rsidP="002364B3">
            <w:pPr>
              <w:ind w:right="-273"/>
              <w:rPr>
                <w:rFonts w:ascii="Arial" w:hAnsi="Arial" w:cs="Arial"/>
                <w:b/>
                <w:bCs/>
                <w:sz w:val="12"/>
                <w:szCs w:val="12"/>
                <w:lang w:eastAsia="en-AU"/>
              </w:rPr>
            </w:pPr>
            <w:r w:rsidRPr="00667CD1">
              <w:rPr>
                <w:rFonts w:ascii="Arial" w:hAnsi="Arial" w:cs="Arial"/>
                <w:b/>
                <w:bCs/>
                <w:sz w:val="12"/>
                <w:szCs w:val="12"/>
                <w:lang w:eastAsia="en-AU"/>
              </w:rPr>
              <w:t>Fines, regulatory fees and other revenues</w:t>
            </w:r>
          </w:p>
        </w:tc>
        <w:tc>
          <w:tcPr>
            <w:tcW w:w="874" w:type="dxa"/>
            <w:tcBorders>
              <w:top w:val="nil"/>
              <w:left w:val="nil"/>
              <w:bottom w:val="nil"/>
              <w:right w:val="nil"/>
            </w:tcBorders>
            <w:shd w:val="clear" w:color="auto" w:fill="FFFFFF" w:themeFill="background1"/>
            <w:noWrap/>
            <w:vAlign w:val="center"/>
          </w:tcPr>
          <w:p w14:paraId="7BF53F7B" w14:textId="3C82E126"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(736)</w:t>
            </w:r>
          </w:p>
        </w:tc>
        <w:tc>
          <w:tcPr>
            <w:tcW w:w="1106" w:type="dxa"/>
            <w:tcBorders>
              <w:top w:val="nil"/>
              <w:left w:val="nil"/>
              <w:bottom w:val="nil"/>
              <w:right w:val="nil"/>
            </w:tcBorders>
            <w:shd w:val="clear" w:color="auto" w:fill="F2F2F2" w:themeFill="background1" w:themeFillShade="F2"/>
            <w:noWrap/>
            <w:vAlign w:val="center"/>
          </w:tcPr>
          <w:p w14:paraId="0A9151D1" w14:textId="1FFEF1B0"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(16)</w:t>
            </w:r>
          </w:p>
        </w:tc>
        <w:tc>
          <w:tcPr>
            <w:tcW w:w="1106" w:type="dxa"/>
            <w:tcBorders>
              <w:top w:val="nil"/>
              <w:left w:val="nil"/>
              <w:bottom w:val="nil"/>
              <w:right w:val="nil"/>
            </w:tcBorders>
            <w:shd w:val="clear" w:color="auto" w:fill="F2F2F2" w:themeFill="background1" w:themeFillShade="F2"/>
            <w:noWrap/>
            <w:vAlign w:val="center"/>
          </w:tcPr>
          <w:p w14:paraId="03FC636B" w14:textId="42CA6C92"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(337)</w:t>
            </w:r>
          </w:p>
        </w:tc>
        <w:tc>
          <w:tcPr>
            <w:tcW w:w="1106" w:type="dxa"/>
            <w:tcBorders>
              <w:top w:val="nil"/>
              <w:left w:val="nil"/>
              <w:bottom w:val="nil"/>
              <w:right w:val="nil"/>
            </w:tcBorders>
            <w:shd w:val="clear" w:color="auto" w:fill="F2F2F2" w:themeFill="background1" w:themeFillShade="F2"/>
            <w:noWrap/>
            <w:vAlign w:val="center"/>
          </w:tcPr>
          <w:p w14:paraId="047EC4F5" w14:textId="00631AD5"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(264)</w:t>
            </w:r>
          </w:p>
        </w:tc>
        <w:tc>
          <w:tcPr>
            <w:tcW w:w="1106" w:type="dxa"/>
            <w:tcBorders>
              <w:top w:val="nil"/>
              <w:left w:val="nil"/>
              <w:bottom w:val="nil"/>
              <w:right w:val="nil"/>
            </w:tcBorders>
            <w:shd w:val="clear" w:color="auto" w:fill="F2F2F2" w:themeFill="background1" w:themeFillShade="F2"/>
            <w:noWrap/>
            <w:vAlign w:val="center"/>
          </w:tcPr>
          <w:p w14:paraId="0E56B09E" w14:textId="49C497DA"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84</w:t>
            </w:r>
          </w:p>
        </w:tc>
        <w:tc>
          <w:tcPr>
            <w:tcW w:w="1106" w:type="dxa"/>
            <w:tcBorders>
              <w:top w:val="nil"/>
              <w:left w:val="nil"/>
              <w:bottom w:val="nil"/>
              <w:right w:val="nil"/>
            </w:tcBorders>
            <w:shd w:val="clear" w:color="auto" w:fill="FFFFFF" w:themeFill="background1"/>
            <w:noWrap/>
            <w:vAlign w:val="center"/>
          </w:tcPr>
          <w:p w14:paraId="2EC2470F" w14:textId="776B669B" w:rsidR="001175FF" w:rsidRPr="00667CD1" w:rsidRDefault="001175FF" w:rsidP="00AA5678">
            <w:pPr>
              <w:jc w:val="right"/>
              <w:rPr>
                <w:rFonts w:ascii="Arial" w:hAnsi="Arial" w:cs="Arial"/>
                <w:sz w:val="12"/>
                <w:szCs w:val="12"/>
                <w:lang w:eastAsia="en-AU"/>
              </w:rPr>
            </w:pPr>
            <w:r w:rsidRPr="00667CD1">
              <w:rPr>
                <w:rFonts w:ascii="Arial" w:hAnsi="Arial" w:cs="Arial"/>
                <w:sz w:val="12"/>
                <w:szCs w:val="12"/>
                <w:lang w:eastAsia="en-AU"/>
              </w:rPr>
              <w:t>(533)</w:t>
            </w:r>
          </w:p>
        </w:tc>
      </w:tr>
      <w:tr w:rsidR="00E26D63" w:rsidRPr="00667CD1" w14:paraId="04C72862" w14:textId="77777777" w:rsidTr="00EF6284">
        <w:trPr>
          <w:trHeight w:val="397"/>
        </w:trPr>
        <w:tc>
          <w:tcPr>
            <w:tcW w:w="3402" w:type="dxa"/>
            <w:tcBorders>
              <w:top w:val="single" w:sz="4" w:space="0" w:color="auto"/>
              <w:left w:val="nil"/>
              <w:bottom w:val="nil"/>
              <w:right w:val="nil"/>
            </w:tcBorders>
            <w:shd w:val="clear" w:color="auto" w:fill="FFFFFF" w:themeFill="background1"/>
            <w:noWrap/>
            <w:vAlign w:val="bottom"/>
            <w:hideMark/>
          </w:tcPr>
          <w:p w14:paraId="4B333D12" w14:textId="77777777" w:rsidR="00F355B1" w:rsidRPr="00667CD1" w:rsidRDefault="00F355B1" w:rsidP="00EF6284">
            <w:pPr>
              <w:ind w:left="102" w:right="-132" w:hanging="102"/>
              <w:rPr>
                <w:rFonts w:ascii="Arial" w:hAnsi="Arial" w:cs="Arial"/>
                <w:b/>
                <w:bCs/>
                <w:color w:val="008EBA"/>
                <w:sz w:val="12"/>
                <w:szCs w:val="12"/>
                <w:lang w:eastAsia="en-AU"/>
              </w:rPr>
            </w:pPr>
            <w:r w:rsidRPr="00667CD1">
              <w:rPr>
                <w:rFonts w:ascii="Arial" w:hAnsi="Arial" w:cs="Arial"/>
                <w:b/>
                <w:bCs/>
                <w:color w:val="008EBA"/>
                <w:sz w:val="12"/>
                <w:szCs w:val="12"/>
                <w:lang w:eastAsia="en-AU"/>
              </w:rPr>
              <w:t>Total changes since 2019-20 Half-Yearly Review</w:t>
            </w:r>
          </w:p>
        </w:tc>
        <w:tc>
          <w:tcPr>
            <w:tcW w:w="874" w:type="dxa"/>
            <w:tcBorders>
              <w:top w:val="single" w:sz="4" w:space="0" w:color="auto"/>
              <w:left w:val="nil"/>
              <w:bottom w:val="nil"/>
              <w:right w:val="nil"/>
            </w:tcBorders>
            <w:shd w:val="clear" w:color="auto" w:fill="FFFFFF" w:themeFill="background1"/>
            <w:noWrap/>
            <w:vAlign w:val="bottom"/>
            <w:hideMark/>
          </w:tcPr>
          <w:p w14:paraId="07BAC591" w14:textId="77777777" w:rsidR="00F355B1" w:rsidRPr="00667CD1" w:rsidRDefault="00F355B1" w:rsidP="002348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(2,791)</w:t>
            </w:r>
          </w:p>
        </w:tc>
        <w:tc>
          <w:tcPr>
            <w:tcW w:w="1106" w:type="dxa"/>
            <w:tcBorders>
              <w:top w:val="single" w:sz="4" w:space="0" w:color="auto"/>
              <w:left w:val="nil"/>
              <w:bottom w:val="nil"/>
              <w:right w:val="nil"/>
            </w:tcBorders>
            <w:shd w:val="clear" w:color="auto" w:fill="FFFFFF" w:themeFill="background1"/>
            <w:noWrap/>
            <w:vAlign w:val="bottom"/>
            <w:hideMark/>
          </w:tcPr>
          <w:p w14:paraId="2339FFFA" w14:textId="77777777" w:rsidR="00F355B1" w:rsidRPr="00667CD1" w:rsidRDefault="00F355B1" w:rsidP="002348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(6,121)</w:t>
            </w:r>
          </w:p>
        </w:tc>
        <w:tc>
          <w:tcPr>
            <w:tcW w:w="1106" w:type="dxa"/>
            <w:tcBorders>
              <w:top w:val="single" w:sz="4" w:space="0" w:color="auto"/>
              <w:left w:val="nil"/>
              <w:bottom w:val="nil"/>
              <w:right w:val="nil"/>
            </w:tcBorders>
            <w:shd w:val="clear" w:color="auto" w:fill="FFFFFF" w:themeFill="background1"/>
            <w:noWrap/>
            <w:vAlign w:val="bottom"/>
            <w:hideMark/>
          </w:tcPr>
          <w:p w14:paraId="031DEB6C" w14:textId="77777777" w:rsidR="00F355B1" w:rsidRPr="00667CD1" w:rsidRDefault="00F355B1" w:rsidP="002348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(2,988)</w:t>
            </w:r>
          </w:p>
        </w:tc>
        <w:tc>
          <w:tcPr>
            <w:tcW w:w="1106" w:type="dxa"/>
            <w:tcBorders>
              <w:top w:val="single" w:sz="4" w:space="0" w:color="auto"/>
              <w:left w:val="nil"/>
              <w:bottom w:val="nil"/>
              <w:right w:val="nil"/>
            </w:tcBorders>
            <w:shd w:val="clear" w:color="auto" w:fill="FFFFFF" w:themeFill="background1"/>
            <w:noWrap/>
            <w:vAlign w:val="bottom"/>
            <w:hideMark/>
          </w:tcPr>
          <w:p w14:paraId="2DDD3A4B" w14:textId="77777777" w:rsidR="00F355B1" w:rsidRPr="00667CD1" w:rsidRDefault="00F355B1" w:rsidP="002348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(2,470)</w:t>
            </w:r>
          </w:p>
        </w:tc>
        <w:tc>
          <w:tcPr>
            <w:tcW w:w="1106" w:type="dxa"/>
            <w:tcBorders>
              <w:top w:val="single" w:sz="4" w:space="0" w:color="auto"/>
              <w:left w:val="nil"/>
              <w:bottom w:val="nil"/>
              <w:right w:val="nil"/>
            </w:tcBorders>
            <w:shd w:val="clear" w:color="auto" w:fill="FFFFFF" w:themeFill="background1"/>
            <w:noWrap/>
            <w:vAlign w:val="bottom"/>
            <w:hideMark/>
          </w:tcPr>
          <w:p w14:paraId="1B122199" w14:textId="77777777" w:rsidR="00F355B1" w:rsidRPr="00667CD1" w:rsidRDefault="00F355B1" w:rsidP="002348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(3,205)</w:t>
            </w:r>
          </w:p>
        </w:tc>
        <w:tc>
          <w:tcPr>
            <w:tcW w:w="1106" w:type="dxa"/>
            <w:tcBorders>
              <w:top w:val="single" w:sz="4" w:space="0" w:color="auto"/>
              <w:left w:val="nil"/>
              <w:bottom w:val="nil"/>
              <w:right w:val="nil"/>
            </w:tcBorders>
            <w:shd w:val="clear" w:color="auto" w:fill="FFFFFF" w:themeFill="background1"/>
            <w:noWrap/>
            <w:vAlign w:val="bottom"/>
            <w:hideMark/>
          </w:tcPr>
          <w:p w14:paraId="219FA69A" w14:textId="77777777" w:rsidR="00F355B1" w:rsidRPr="00667CD1" w:rsidRDefault="00F355B1" w:rsidP="002348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(14,785)</w:t>
            </w:r>
          </w:p>
        </w:tc>
      </w:tr>
      <w:tr w:rsidR="00E26D63" w:rsidRPr="00667CD1" w14:paraId="03AD7833" w14:textId="77777777" w:rsidTr="00EF6284">
        <w:trPr>
          <w:trHeight w:val="340"/>
        </w:trPr>
        <w:tc>
          <w:tcPr>
            <w:tcW w:w="3402" w:type="dxa"/>
            <w:tcBorders>
              <w:top w:val="single" w:sz="4" w:space="0" w:color="auto"/>
              <w:left w:val="nil"/>
              <w:bottom w:val="single" w:sz="4" w:space="0" w:color="auto"/>
              <w:right w:val="nil"/>
            </w:tcBorders>
            <w:shd w:val="clear" w:color="auto" w:fill="FFFFFF" w:themeFill="background1"/>
            <w:noWrap/>
            <w:vAlign w:val="center"/>
            <w:hideMark/>
          </w:tcPr>
          <w:p w14:paraId="6764E12F" w14:textId="77777777" w:rsidR="00F355B1" w:rsidRPr="00667CD1" w:rsidRDefault="00F355B1" w:rsidP="00F355B1">
            <w:pPr>
              <w:rPr>
                <w:rFonts w:ascii="Arial" w:hAnsi="Arial" w:cs="Arial"/>
                <w:b/>
                <w:bCs/>
                <w:color w:val="008EBA"/>
                <w:sz w:val="12"/>
                <w:szCs w:val="12"/>
                <w:lang w:eastAsia="en-AU"/>
              </w:rPr>
            </w:pPr>
            <w:r w:rsidRPr="00667CD1">
              <w:rPr>
                <w:rFonts w:ascii="Arial" w:hAnsi="Arial" w:cs="Arial"/>
                <w:b/>
                <w:bCs/>
                <w:color w:val="008EBA"/>
                <w:sz w:val="12"/>
                <w:szCs w:val="12"/>
                <w:lang w:eastAsia="en-AU"/>
              </w:rPr>
              <w:t>Revenue - 2020-21 Budget</w:t>
            </w:r>
          </w:p>
        </w:tc>
        <w:tc>
          <w:tcPr>
            <w:tcW w:w="874" w:type="dxa"/>
            <w:tcBorders>
              <w:top w:val="single" w:sz="4" w:space="0" w:color="auto"/>
              <w:left w:val="nil"/>
              <w:bottom w:val="single" w:sz="4" w:space="0" w:color="auto"/>
              <w:right w:val="nil"/>
            </w:tcBorders>
            <w:shd w:val="clear" w:color="auto" w:fill="FFFFFF" w:themeFill="background1"/>
            <w:noWrap/>
            <w:vAlign w:val="center"/>
            <w:hideMark/>
          </w:tcPr>
          <w:p w14:paraId="241FC103" w14:textId="77777777" w:rsidR="00F355B1" w:rsidRPr="00667CD1" w:rsidRDefault="00F355B1" w:rsidP="00AA5678">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81,367</w:t>
            </w:r>
          </w:p>
        </w:tc>
        <w:tc>
          <w:tcPr>
            <w:tcW w:w="1106" w:type="dxa"/>
            <w:tcBorders>
              <w:top w:val="single" w:sz="4" w:space="0" w:color="auto"/>
              <w:left w:val="nil"/>
              <w:bottom w:val="single" w:sz="4" w:space="0" w:color="auto"/>
              <w:right w:val="nil"/>
            </w:tcBorders>
            <w:shd w:val="clear" w:color="auto" w:fill="F2F2F2" w:themeFill="background1" w:themeFillShade="F2"/>
            <w:noWrap/>
            <w:vAlign w:val="center"/>
            <w:hideMark/>
          </w:tcPr>
          <w:p w14:paraId="713C4A02" w14:textId="77777777" w:rsidR="00F355B1" w:rsidRPr="00667CD1" w:rsidRDefault="00F355B1" w:rsidP="00AA5678">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82,149</w:t>
            </w:r>
          </w:p>
        </w:tc>
        <w:tc>
          <w:tcPr>
            <w:tcW w:w="1106" w:type="dxa"/>
            <w:tcBorders>
              <w:top w:val="single" w:sz="4" w:space="0" w:color="auto"/>
              <w:left w:val="nil"/>
              <w:bottom w:val="single" w:sz="4" w:space="0" w:color="auto"/>
              <w:right w:val="nil"/>
            </w:tcBorders>
            <w:shd w:val="clear" w:color="auto" w:fill="F2F2F2" w:themeFill="background1" w:themeFillShade="F2"/>
            <w:noWrap/>
            <w:vAlign w:val="center"/>
            <w:hideMark/>
          </w:tcPr>
          <w:p w14:paraId="30F0183A" w14:textId="77777777" w:rsidR="00F355B1" w:rsidRPr="00667CD1" w:rsidRDefault="00F355B1" w:rsidP="00AA5678">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87,689</w:t>
            </w:r>
          </w:p>
        </w:tc>
        <w:tc>
          <w:tcPr>
            <w:tcW w:w="1106" w:type="dxa"/>
            <w:tcBorders>
              <w:top w:val="single" w:sz="4" w:space="0" w:color="auto"/>
              <w:left w:val="nil"/>
              <w:bottom w:val="single" w:sz="4" w:space="0" w:color="auto"/>
              <w:right w:val="nil"/>
            </w:tcBorders>
            <w:shd w:val="clear" w:color="auto" w:fill="F2F2F2" w:themeFill="background1" w:themeFillShade="F2"/>
            <w:noWrap/>
            <w:vAlign w:val="center"/>
            <w:hideMark/>
          </w:tcPr>
          <w:p w14:paraId="05DE3953" w14:textId="77777777" w:rsidR="00F355B1" w:rsidRPr="00667CD1" w:rsidRDefault="00F355B1" w:rsidP="00AA5678">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90,601</w:t>
            </w:r>
          </w:p>
        </w:tc>
        <w:tc>
          <w:tcPr>
            <w:tcW w:w="1106" w:type="dxa"/>
            <w:tcBorders>
              <w:top w:val="single" w:sz="4" w:space="0" w:color="auto"/>
              <w:left w:val="nil"/>
              <w:bottom w:val="single" w:sz="4" w:space="0" w:color="auto"/>
              <w:right w:val="nil"/>
            </w:tcBorders>
            <w:shd w:val="clear" w:color="auto" w:fill="F2F2F2" w:themeFill="background1" w:themeFillShade="F2"/>
            <w:noWrap/>
            <w:vAlign w:val="center"/>
            <w:hideMark/>
          </w:tcPr>
          <w:p w14:paraId="3949C6DF" w14:textId="77777777" w:rsidR="00F355B1" w:rsidRPr="00667CD1" w:rsidRDefault="00F355B1" w:rsidP="00AA5678">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92,930</w:t>
            </w:r>
          </w:p>
        </w:tc>
        <w:tc>
          <w:tcPr>
            <w:tcW w:w="1106" w:type="dxa"/>
            <w:tcBorders>
              <w:top w:val="single" w:sz="4" w:space="0" w:color="auto"/>
              <w:left w:val="nil"/>
              <w:bottom w:val="single" w:sz="4" w:space="0" w:color="auto"/>
              <w:right w:val="nil"/>
            </w:tcBorders>
            <w:shd w:val="clear" w:color="auto" w:fill="FFFFFF" w:themeFill="background1"/>
            <w:noWrap/>
            <w:vAlign w:val="center"/>
            <w:hideMark/>
          </w:tcPr>
          <w:p w14:paraId="5E5F28CF" w14:textId="77777777" w:rsidR="00F355B1" w:rsidRPr="00667CD1" w:rsidRDefault="00F355B1" w:rsidP="00AA5678">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353,370</w:t>
            </w:r>
          </w:p>
        </w:tc>
      </w:tr>
    </w:tbl>
    <w:p w14:paraId="3728F5DF" w14:textId="59D2B25A" w:rsidR="00A929DB" w:rsidRPr="00667CD1" w:rsidRDefault="00A929DB" w:rsidP="00F64728">
      <w:pPr>
        <w:rPr>
          <w:sz w:val="16"/>
          <w:szCs w:val="16"/>
        </w:rPr>
      </w:pPr>
    </w:p>
    <w:p w14:paraId="031101AA" w14:textId="77777777" w:rsidR="00A929DB" w:rsidRPr="00667CD1" w:rsidRDefault="00A929DB">
      <w:pPr>
        <w:spacing w:after="200" w:line="276" w:lineRule="auto"/>
        <w:rPr>
          <w:sz w:val="16"/>
          <w:szCs w:val="16"/>
        </w:rPr>
      </w:pPr>
      <w:r w:rsidRPr="00667CD1">
        <w:rPr>
          <w:sz w:val="16"/>
          <w:szCs w:val="16"/>
        </w:rPr>
        <w:br w:type="page"/>
      </w:r>
    </w:p>
    <w:p w14:paraId="28DD7871" w14:textId="654D80D1" w:rsidR="004171EC" w:rsidRPr="00667CD1" w:rsidRDefault="00140E0C" w:rsidP="00E10959">
      <w:pPr>
        <w:pStyle w:val="Heading2"/>
        <w:ind w:left="170" w:hanging="170"/>
        <w:rPr>
          <w:sz w:val="24"/>
          <w:szCs w:val="28"/>
        </w:rPr>
      </w:pPr>
      <w:r w:rsidRPr="00667CD1">
        <w:rPr>
          <w:sz w:val="24"/>
          <w:szCs w:val="28"/>
        </w:rPr>
        <w:lastRenderedPageBreak/>
        <w:t xml:space="preserve">Taxation </w:t>
      </w:r>
      <w:r w:rsidR="00524454" w:rsidRPr="00667CD1">
        <w:rPr>
          <w:sz w:val="24"/>
          <w:szCs w:val="28"/>
        </w:rPr>
        <w:t>revenue</w:t>
      </w:r>
    </w:p>
    <w:p w14:paraId="6E75D249" w14:textId="0D981CA9" w:rsidR="00894437" w:rsidRPr="00667CD1" w:rsidRDefault="000F0573" w:rsidP="00DC5EFC">
      <w:pPr>
        <w:pStyle w:val="BodyText"/>
        <w:rPr>
          <w:sz w:val="20"/>
          <w:szCs w:val="16"/>
        </w:rPr>
      </w:pPr>
      <w:bookmarkStart w:id="7" w:name="_Hlk516069312"/>
      <w:r w:rsidRPr="00667CD1">
        <w:rPr>
          <w:sz w:val="20"/>
          <w:szCs w:val="16"/>
        </w:rPr>
        <w:t>State taxation revenue is expected to be $3</w:t>
      </w:r>
      <w:r w:rsidR="00DF4B79" w:rsidRPr="00667CD1">
        <w:rPr>
          <w:sz w:val="20"/>
          <w:szCs w:val="16"/>
        </w:rPr>
        <w:t>1.</w:t>
      </w:r>
      <w:r w:rsidR="529A2994" w:rsidRPr="00667CD1">
        <w:rPr>
          <w:sz w:val="20"/>
          <w:szCs w:val="16"/>
        </w:rPr>
        <w:t>7</w:t>
      </w:r>
      <w:r w:rsidRPr="00667CD1">
        <w:rPr>
          <w:sz w:val="20"/>
          <w:szCs w:val="16"/>
        </w:rPr>
        <w:t xml:space="preserve"> billion in 2020-21 (see Table </w:t>
      </w:r>
      <w:r w:rsidR="0098216A" w:rsidRPr="00667CD1">
        <w:rPr>
          <w:sz w:val="20"/>
          <w:szCs w:val="16"/>
        </w:rPr>
        <w:t>4.</w:t>
      </w:r>
      <w:r w:rsidR="00DF4B79" w:rsidRPr="00667CD1">
        <w:rPr>
          <w:sz w:val="20"/>
          <w:szCs w:val="16"/>
        </w:rPr>
        <w:t>5</w:t>
      </w:r>
      <w:r w:rsidRPr="00667CD1">
        <w:rPr>
          <w:sz w:val="20"/>
          <w:szCs w:val="16"/>
        </w:rPr>
        <w:t>), $</w:t>
      </w:r>
      <w:r w:rsidR="002B7A86" w:rsidRPr="00667CD1">
        <w:rPr>
          <w:sz w:val="20"/>
          <w:szCs w:val="16"/>
        </w:rPr>
        <w:t>3.</w:t>
      </w:r>
      <w:r w:rsidR="3F4916F7" w:rsidRPr="00667CD1">
        <w:rPr>
          <w:sz w:val="20"/>
          <w:szCs w:val="16"/>
        </w:rPr>
        <w:t>3</w:t>
      </w:r>
      <w:r w:rsidR="00564255" w:rsidRPr="00667CD1">
        <w:rPr>
          <w:sz w:val="20"/>
          <w:szCs w:val="16"/>
        </w:rPr>
        <w:t xml:space="preserve"> </w:t>
      </w:r>
      <w:r w:rsidRPr="00667CD1">
        <w:rPr>
          <w:sz w:val="20"/>
          <w:szCs w:val="16"/>
        </w:rPr>
        <w:t>billion lower than forecast at the 2019-20 Half</w:t>
      </w:r>
      <w:r w:rsidR="00E54310" w:rsidRPr="00667CD1">
        <w:rPr>
          <w:sz w:val="20"/>
          <w:szCs w:val="16"/>
        </w:rPr>
        <w:t>-</w:t>
      </w:r>
      <w:r w:rsidRPr="00667CD1">
        <w:rPr>
          <w:sz w:val="20"/>
          <w:szCs w:val="16"/>
        </w:rPr>
        <w:t>Year</w:t>
      </w:r>
      <w:r w:rsidR="00624559" w:rsidRPr="00667CD1">
        <w:rPr>
          <w:sz w:val="20"/>
          <w:szCs w:val="16"/>
        </w:rPr>
        <w:t>ly</w:t>
      </w:r>
      <w:r w:rsidRPr="00667CD1">
        <w:rPr>
          <w:sz w:val="20"/>
          <w:szCs w:val="16"/>
        </w:rPr>
        <w:t xml:space="preserve"> Review.</w:t>
      </w:r>
    </w:p>
    <w:p w14:paraId="492A8FCE" w14:textId="4A570D82" w:rsidR="00DF6C66" w:rsidRPr="00667CD1" w:rsidRDefault="000F0573" w:rsidP="00DC5EFC">
      <w:pPr>
        <w:pStyle w:val="BodyText"/>
        <w:rPr>
          <w:sz w:val="20"/>
          <w:szCs w:val="16"/>
        </w:rPr>
      </w:pPr>
      <w:r w:rsidRPr="00667CD1">
        <w:rPr>
          <w:sz w:val="20"/>
          <w:szCs w:val="16"/>
        </w:rPr>
        <w:t xml:space="preserve">Payroll tax </w:t>
      </w:r>
      <w:r w:rsidR="006121C1" w:rsidRPr="00667CD1">
        <w:rPr>
          <w:sz w:val="20"/>
          <w:szCs w:val="16"/>
        </w:rPr>
        <w:t xml:space="preserve">remains </w:t>
      </w:r>
      <w:r w:rsidRPr="00667CD1">
        <w:rPr>
          <w:sz w:val="20"/>
          <w:szCs w:val="16"/>
        </w:rPr>
        <w:t xml:space="preserve">the largest single source of taxation revenue, accounting for </w:t>
      </w:r>
      <w:r w:rsidR="002B7A86" w:rsidRPr="00667CD1">
        <w:rPr>
          <w:sz w:val="20"/>
          <w:szCs w:val="16"/>
        </w:rPr>
        <w:t>2</w:t>
      </w:r>
      <w:r w:rsidR="143EE86F" w:rsidRPr="00667CD1">
        <w:rPr>
          <w:sz w:val="20"/>
          <w:szCs w:val="16"/>
        </w:rPr>
        <w:t>6.9</w:t>
      </w:r>
      <w:r w:rsidRPr="00667CD1">
        <w:rPr>
          <w:sz w:val="20"/>
          <w:szCs w:val="16"/>
        </w:rPr>
        <w:t xml:space="preserve"> per cent in 2020</w:t>
      </w:r>
      <w:r w:rsidR="000C3192" w:rsidRPr="00667CD1">
        <w:rPr>
          <w:sz w:val="20"/>
          <w:szCs w:val="16"/>
        </w:rPr>
        <w:t>-</w:t>
      </w:r>
      <w:r w:rsidRPr="00667CD1">
        <w:rPr>
          <w:sz w:val="20"/>
          <w:szCs w:val="16"/>
        </w:rPr>
        <w:t>21 (see Chart 4.</w:t>
      </w:r>
      <w:r w:rsidR="006B0DA4" w:rsidRPr="00667CD1">
        <w:rPr>
          <w:sz w:val="20"/>
          <w:szCs w:val="16"/>
        </w:rPr>
        <w:t>4</w:t>
      </w:r>
      <w:r w:rsidRPr="00667CD1">
        <w:rPr>
          <w:sz w:val="20"/>
          <w:szCs w:val="16"/>
        </w:rPr>
        <w:t>), followed by transfer duty, which is forecast to account for 2</w:t>
      </w:r>
      <w:r w:rsidR="00D43278" w:rsidRPr="00667CD1">
        <w:rPr>
          <w:sz w:val="20"/>
          <w:szCs w:val="16"/>
        </w:rPr>
        <w:t>5.0</w:t>
      </w:r>
      <w:r w:rsidRPr="00667CD1">
        <w:rPr>
          <w:sz w:val="20"/>
          <w:szCs w:val="16"/>
        </w:rPr>
        <w:t xml:space="preserve"> per cent. Taxation revenue is expected to grow by </w:t>
      </w:r>
      <w:r w:rsidR="006A2C0D" w:rsidRPr="00667CD1">
        <w:rPr>
          <w:sz w:val="20"/>
          <w:szCs w:val="16"/>
        </w:rPr>
        <w:t>5.</w:t>
      </w:r>
      <w:r w:rsidR="00106038" w:rsidRPr="00667CD1">
        <w:rPr>
          <w:sz w:val="20"/>
          <w:szCs w:val="16"/>
        </w:rPr>
        <w:t>4</w:t>
      </w:r>
      <w:r w:rsidRPr="00667CD1">
        <w:rPr>
          <w:sz w:val="20"/>
          <w:szCs w:val="16"/>
        </w:rPr>
        <w:t xml:space="preserve"> per cent per annum, on average, over the four years to 2023-24.</w:t>
      </w:r>
    </w:p>
    <w:p w14:paraId="324D829D" w14:textId="539ADDEF" w:rsidR="00DD4064" w:rsidRPr="00667CD1" w:rsidRDefault="00DD4064" w:rsidP="00216F72">
      <w:pPr>
        <w:pStyle w:val="Table4X"/>
        <w:tabs>
          <w:tab w:val="clear" w:pos="1134"/>
          <w:tab w:val="left" w:pos="1276"/>
        </w:tabs>
        <w:ind w:left="1276" w:hanging="1276"/>
        <w:rPr>
          <w:sz w:val="18"/>
          <w:szCs w:val="18"/>
        </w:rPr>
      </w:pPr>
      <w:r w:rsidRPr="00667CD1">
        <w:rPr>
          <w:sz w:val="18"/>
          <w:szCs w:val="18"/>
        </w:rPr>
        <w:t xml:space="preserve">General government sector – summary of taxation revenue </w:t>
      </w:r>
    </w:p>
    <w:tbl>
      <w:tblPr>
        <w:tblW w:w="9374" w:type="dxa"/>
        <w:tblLook w:val="04A0" w:firstRow="1" w:lastRow="0" w:firstColumn="1" w:lastColumn="0" w:noHBand="0" w:noVBand="1"/>
        <w:tblCaption w:val="Table 4.5: General government sector – summary of taxation revenue "/>
        <w:tblDescription w:val="Table 4.5: General government sector – summary of taxation revenue "/>
      </w:tblPr>
      <w:tblGrid>
        <w:gridCol w:w="3186"/>
        <w:gridCol w:w="936"/>
        <w:gridCol w:w="850"/>
        <w:gridCol w:w="836"/>
        <w:gridCol w:w="836"/>
        <w:gridCol w:w="836"/>
        <w:gridCol w:w="836"/>
        <w:gridCol w:w="1058"/>
      </w:tblGrid>
      <w:tr w:rsidR="00855662" w:rsidRPr="00667CD1" w14:paraId="2DA63681" w14:textId="77777777" w:rsidTr="003F0557">
        <w:trPr>
          <w:trHeight w:val="283"/>
        </w:trPr>
        <w:tc>
          <w:tcPr>
            <w:tcW w:w="3186" w:type="dxa"/>
            <w:tcBorders>
              <w:top w:val="nil"/>
              <w:left w:val="nil"/>
              <w:bottom w:val="nil"/>
              <w:right w:val="nil"/>
            </w:tcBorders>
            <w:shd w:val="clear" w:color="auto" w:fill="008EBA"/>
            <w:vAlign w:val="center"/>
            <w:hideMark/>
          </w:tcPr>
          <w:p w14:paraId="2704F811" w14:textId="77777777" w:rsidR="00855662" w:rsidRPr="00667CD1" w:rsidRDefault="00855662" w:rsidP="00855662">
            <w:pPr>
              <w:jc w:val="center"/>
              <w:rPr>
                <w:rFonts w:ascii="Arial" w:hAnsi="Arial" w:cs="Arial"/>
                <w:i/>
                <w:iCs/>
                <w:color w:val="FFFFFF"/>
                <w:sz w:val="12"/>
                <w:szCs w:val="12"/>
                <w:lang w:eastAsia="en-AU"/>
              </w:rPr>
            </w:pPr>
            <w:bookmarkStart w:id="8" w:name="RANGE!C20:J71"/>
            <w:r w:rsidRPr="00667CD1">
              <w:rPr>
                <w:rFonts w:ascii="Arial" w:hAnsi="Arial" w:cs="Arial"/>
                <w:i/>
                <w:iCs/>
                <w:color w:val="FFFFFF"/>
                <w:sz w:val="12"/>
                <w:szCs w:val="12"/>
                <w:lang w:eastAsia="en-AU"/>
              </w:rPr>
              <w:t> </w:t>
            </w:r>
            <w:bookmarkEnd w:id="8"/>
          </w:p>
        </w:tc>
        <w:tc>
          <w:tcPr>
            <w:tcW w:w="936" w:type="dxa"/>
            <w:tcBorders>
              <w:top w:val="nil"/>
              <w:left w:val="nil"/>
              <w:bottom w:val="nil"/>
              <w:right w:val="nil"/>
            </w:tcBorders>
            <w:shd w:val="clear" w:color="auto" w:fill="008EBA"/>
            <w:noWrap/>
            <w:vAlign w:val="bottom"/>
            <w:hideMark/>
          </w:tcPr>
          <w:p w14:paraId="04AD7C4C"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2018-19</w:t>
            </w:r>
          </w:p>
        </w:tc>
        <w:tc>
          <w:tcPr>
            <w:tcW w:w="850" w:type="dxa"/>
            <w:tcBorders>
              <w:top w:val="nil"/>
              <w:left w:val="nil"/>
              <w:bottom w:val="nil"/>
              <w:right w:val="nil"/>
            </w:tcBorders>
            <w:shd w:val="clear" w:color="auto" w:fill="008EBA"/>
            <w:noWrap/>
            <w:vAlign w:val="bottom"/>
            <w:hideMark/>
          </w:tcPr>
          <w:p w14:paraId="0E86141A"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2019-20</w:t>
            </w:r>
          </w:p>
        </w:tc>
        <w:tc>
          <w:tcPr>
            <w:tcW w:w="836" w:type="dxa"/>
            <w:tcBorders>
              <w:top w:val="nil"/>
              <w:left w:val="nil"/>
              <w:bottom w:val="nil"/>
              <w:right w:val="nil"/>
            </w:tcBorders>
            <w:shd w:val="clear" w:color="auto" w:fill="008EBA"/>
            <w:noWrap/>
            <w:vAlign w:val="bottom"/>
            <w:hideMark/>
          </w:tcPr>
          <w:p w14:paraId="48BDEE87"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2020-21</w:t>
            </w:r>
          </w:p>
        </w:tc>
        <w:tc>
          <w:tcPr>
            <w:tcW w:w="836" w:type="dxa"/>
            <w:tcBorders>
              <w:top w:val="nil"/>
              <w:left w:val="nil"/>
              <w:bottom w:val="nil"/>
              <w:right w:val="nil"/>
            </w:tcBorders>
            <w:shd w:val="clear" w:color="auto" w:fill="008EBA"/>
            <w:noWrap/>
            <w:vAlign w:val="bottom"/>
            <w:hideMark/>
          </w:tcPr>
          <w:p w14:paraId="39749D04"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2021-22</w:t>
            </w:r>
          </w:p>
        </w:tc>
        <w:tc>
          <w:tcPr>
            <w:tcW w:w="836" w:type="dxa"/>
            <w:tcBorders>
              <w:top w:val="nil"/>
              <w:left w:val="nil"/>
              <w:bottom w:val="nil"/>
              <w:right w:val="nil"/>
            </w:tcBorders>
            <w:shd w:val="clear" w:color="auto" w:fill="008EBA"/>
            <w:noWrap/>
            <w:vAlign w:val="bottom"/>
            <w:hideMark/>
          </w:tcPr>
          <w:p w14:paraId="49B8727A"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2022-23</w:t>
            </w:r>
          </w:p>
        </w:tc>
        <w:tc>
          <w:tcPr>
            <w:tcW w:w="836" w:type="dxa"/>
            <w:tcBorders>
              <w:top w:val="nil"/>
              <w:left w:val="nil"/>
              <w:bottom w:val="nil"/>
              <w:right w:val="nil"/>
            </w:tcBorders>
            <w:shd w:val="clear" w:color="auto" w:fill="008EBA"/>
            <w:noWrap/>
            <w:vAlign w:val="bottom"/>
            <w:hideMark/>
          </w:tcPr>
          <w:p w14:paraId="440C8BDC"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2023-24</w:t>
            </w:r>
          </w:p>
        </w:tc>
        <w:tc>
          <w:tcPr>
            <w:tcW w:w="1058" w:type="dxa"/>
            <w:vMerge w:val="restart"/>
            <w:tcBorders>
              <w:top w:val="nil"/>
              <w:left w:val="nil"/>
              <w:bottom w:val="nil"/>
              <w:right w:val="nil"/>
            </w:tcBorders>
            <w:shd w:val="clear" w:color="auto" w:fill="4F4F4F"/>
            <w:vAlign w:val="center"/>
            <w:hideMark/>
          </w:tcPr>
          <w:p w14:paraId="305E5316"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 Average growth p.a. 2019-20 to 2023-24</w:t>
            </w:r>
          </w:p>
        </w:tc>
      </w:tr>
      <w:tr w:rsidR="00855662" w:rsidRPr="00667CD1" w14:paraId="118AEACC" w14:textId="77777777" w:rsidTr="003F0557">
        <w:trPr>
          <w:trHeight w:val="315"/>
        </w:trPr>
        <w:tc>
          <w:tcPr>
            <w:tcW w:w="3186" w:type="dxa"/>
            <w:tcBorders>
              <w:top w:val="nil"/>
              <w:left w:val="nil"/>
              <w:right w:val="nil"/>
            </w:tcBorders>
            <w:shd w:val="clear" w:color="auto" w:fill="008EBA"/>
            <w:vAlign w:val="bottom"/>
            <w:hideMark/>
          </w:tcPr>
          <w:p w14:paraId="5C85BF97" w14:textId="77777777" w:rsidR="00855662" w:rsidRPr="00667CD1" w:rsidRDefault="00855662" w:rsidP="00855662">
            <w:pPr>
              <w:jc w:val="center"/>
              <w:rPr>
                <w:rFonts w:ascii="Arial" w:hAnsi="Arial" w:cs="Arial"/>
                <w:i/>
                <w:iCs/>
                <w:color w:val="FFFFFF"/>
                <w:sz w:val="12"/>
                <w:szCs w:val="12"/>
                <w:lang w:eastAsia="en-AU"/>
              </w:rPr>
            </w:pPr>
            <w:r w:rsidRPr="00667CD1">
              <w:rPr>
                <w:rFonts w:ascii="Arial" w:hAnsi="Arial" w:cs="Arial"/>
                <w:i/>
                <w:iCs/>
                <w:color w:val="FFFFFF"/>
                <w:sz w:val="12"/>
                <w:szCs w:val="12"/>
                <w:lang w:eastAsia="en-AU"/>
              </w:rPr>
              <w:t> </w:t>
            </w:r>
          </w:p>
        </w:tc>
        <w:tc>
          <w:tcPr>
            <w:tcW w:w="936" w:type="dxa"/>
            <w:tcBorders>
              <w:top w:val="nil"/>
              <w:left w:val="nil"/>
              <w:right w:val="nil"/>
            </w:tcBorders>
            <w:shd w:val="clear" w:color="auto" w:fill="008EBA"/>
            <w:noWrap/>
            <w:vAlign w:val="center"/>
            <w:hideMark/>
          </w:tcPr>
          <w:p w14:paraId="1213DDB3"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850" w:type="dxa"/>
            <w:tcBorders>
              <w:top w:val="nil"/>
              <w:left w:val="nil"/>
              <w:right w:val="nil"/>
            </w:tcBorders>
            <w:shd w:val="clear" w:color="auto" w:fill="008EBA"/>
            <w:vAlign w:val="center"/>
            <w:hideMark/>
          </w:tcPr>
          <w:p w14:paraId="1F2CC757"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836" w:type="dxa"/>
            <w:tcBorders>
              <w:top w:val="nil"/>
              <w:left w:val="nil"/>
              <w:right w:val="nil"/>
            </w:tcBorders>
            <w:shd w:val="clear" w:color="auto" w:fill="008EBA"/>
            <w:vAlign w:val="center"/>
            <w:hideMark/>
          </w:tcPr>
          <w:p w14:paraId="13E807A2"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Budget</w:t>
            </w:r>
          </w:p>
        </w:tc>
        <w:tc>
          <w:tcPr>
            <w:tcW w:w="2508" w:type="dxa"/>
            <w:gridSpan w:val="3"/>
            <w:tcBorders>
              <w:top w:val="nil"/>
              <w:left w:val="nil"/>
              <w:right w:val="nil"/>
            </w:tcBorders>
            <w:shd w:val="clear" w:color="auto" w:fill="008EBA"/>
            <w:vAlign w:val="center"/>
            <w:hideMark/>
          </w:tcPr>
          <w:p w14:paraId="4779A014"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Forward Estimates</w:t>
            </w:r>
          </w:p>
        </w:tc>
        <w:tc>
          <w:tcPr>
            <w:tcW w:w="1058" w:type="dxa"/>
            <w:vMerge/>
            <w:vAlign w:val="center"/>
            <w:hideMark/>
          </w:tcPr>
          <w:p w14:paraId="1FFEEB05" w14:textId="77777777" w:rsidR="00855662" w:rsidRPr="00667CD1" w:rsidRDefault="00855662" w:rsidP="00855662">
            <w:pPr>
              <w:rPr>
                <w:rFonts w:ascii="Arial" w:hAnsi="Arial" w:cs="Arial"/>
                <w:color w:val="FFFFFF"/>
                <w:sz w:val="12"/>
                <w:szCs w:val="12"/>
                <w:lang w:eastAsia="en-AU"/>
              </w:rPr>
            </w:pPr>
          </w:p>
        </w:tc>
      </w:tr>
      <w:tr w:rsidR="00855662" w:rsidRPr="00667CD1" w14:paraId="7171330D" w14:textId="77777777" w:rsidTr="003F0557">
        <w:trPr>
          <w:trHeight w:val="323"/>
        </w:trPr>
        <w:tc>
          <w:tcPr>
            <w:tcW w:w="3186" w:type="dxa"/>
            <w:tcBorders>
              <w:top w:val="nil"/>
              <w:left w:val="nil"/>
              <w:bottom w:val="nil"/>
              <w:right w:val="nil"/>
            </w:tcBorders>
            <w:shd w:val="clear" w:color="auto" w:fill="00426F"/>
            <w:hideMark/>
          </w:tcPr>
          <w:p w14:paraId="195E4EA2"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936" w:type="dxa"/>
            <w:tcBorders>
              <w:top w:val="nil"/>
              <w:left w:val="nil"/>
              <w:bottom w:val="nil"/>
              <w:right w:val="nil"/>
            </w:tcBorders>
            <w:shd w:val="clear" w:color="auto" w:fill="00426F"/>
            <w:noWrap/>
            <w:hideMark/>
          </w:tcPr>
          <w:p w14:paraId="51FB4B02" w14:textId="0099A29F"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themeColor="background1"/>
                <w:sz w:val="12"/>
                <w:szCs w:val="12"/>
                <w:lang w:eastAsia="en-AU"/>
              </w:rPr>
              <w:t>$m</w:t>
            </w:r>
          </w:p>
        </w:tc>
        <w:tc>
          <w:tcPr>
            <w:tcW w:w="850" w:type="dxa"/>
            <w:tcBorders>
              <w:top w:val="nil"/>
              <w:left w:val="nil"/>
              <w:bottom w:val="nil"/>
              <w:right w:val="nil"/>
            </w:tcBorders>
            <w:shd w:val="clear" w:color="auto" w:fill="00426F"/>
            <w:noWrap/>
            <w:hideMark/>
          </w:tcPr>
          <w:p w14:paraId="3079615F"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36" w:type="dxa"/>
            <w:tcBorders>
              <w:top w:val="nil"/>
              <w:left w:val="nil"/>
              <w:bottom w:val="nil"/>
              <w:right w:val="nil"/>
            </w:tcBorders>
            <w:shd w:val="clear" w:color="auto" w:fill="00426F"/>
            <w:noWrap/>
            <w:hideMark/>
          </w:tcPr>
          <w:p w14:paraId="3B994497"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36" w:type="dxa"/>
            <w:tcBorders>
              <w:top w:val="nil"/>
              <w:left w:val="nil"/>
              <w:bottom w:val="nil"/>
              <w:right w:val="nil"/>
            </w:tcBorders>
            <w:shd w:val="clear" w:color="auto" w:fill="00426F"/>
            <w:noWrap/>
            <w:hideMark/>
          </w:tcPr>
          <w:p w14:paraId="01E92ED9"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36" w:type="dxa"/>
            <w:tcBorders>
              <w:top w:val="nil"/>
              <w:left w:val="nil"/>
              <w:bottom w:val="nil"/>
              <w:right w:val="nil"/>
            </w:tcBorders>
            <w:shd w:val="clear" w:color="auto" w:fill="00426F"/>
            <w:noWrap/>
            <w:hideMark/>
          </w:tcPr>
          <w:p w14:paraId="69B6F413"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36" w:type="dxa"/>
            <w:tcBorders>
              <w:top w:val="nil"/>
              <w:left w:val="nil"/>
              <w:bottom w:val="nil"/>
              <w:right w:val="nil"/>
            </w:tcBorders>
            <w:shd w:val="clear" w:color="auto" w:fill="00426F"/>
            <w:noWrap/>
            <w:hideMark/>
          </w:tcPr>
          <w:p w14:paraId="2ABE746B" w14:textId="77777777" w:rsidR="00855662" w:rsidRPr="00667CD1" w:rsidRDefault="00855662" w:rsidP="00855662">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1058" w:type="dxa"/>
            <w:vMerge/>
            <w:vAlign w:val="center"/>
            <w:hideMark/>
          </w:tcPr>
          <w:p w14:paraId="6784EC7C" w14:textId="77777777" w:rsidR="00855662" w:rsidRPr="00667CD1" w:rsidRDefault="00855662" w:rsidP="00855662">
            <w:pPr>
              <w:rPr>
                <w:rFonts w:ascii="Arial" w:hAnsi="Arial" w:cs="Arial"/>
                <w:color w:val="FFFFFF"/>
                <w:sz w:val="12"/>
                <w:szCs w:val="12"/>
                <w:lang w:eastAsia="en-AU"/>
              </w:rPr>
            </w:pPr>
          </w:p>
        </w:tc>
      </w:tr>
      <w:tr w:rsidR="00855662" w:rsidRPr="00667CD1" w14:paraId="607DCA42" w14:textId="77777777" w:rsidTr="003F0557">
        <w:trPr>
          <w:trHeight w:val="225"/>
        </w:trPr>
        <w:tc>
          <w:tcPr>
            <w:tcW w:w="3186" w:type="dxa"/>
            <w:tcBorders>
              <w:top w:val="nil"/>
              <w:left w:val="nil"/>
              <w:bottom w:val="nil"/>
              <w:right w:val="nil"/>
            </w:tcBorders>
            <w:shd w:val="clear" w:color="auto" w:fill="FFFFFF" w:themeFill="background1"/>
            <w:vAlign w:val="bottom"/>
            <w:hideMark/>
          </w:tcPr>
          <w:p w14:paraId="1EC06A0B" w14:textId="77777777" w:rsidR="00855662" w:rsidRPr="00667CD1" w:rsidRDefault="00855662" w:rsidP="00855662">
            <w:pPr>
              <w:rPr>
                <w:rFonts w:ascii="Arial" w:hAnsi="Arial" w:cs="Arial"/>
                <w:b/>
                <w:bCs/>
                <w:sz w:val="12"/>
                <w:szCs w:val="12"/>
                <w:lang w:eastAsia="en-AU"/>
              </w:rPr>
            </w:pPr>
            <w:r w:rsidRPr="00667CD1">
              <w:rPr>
                <w:rFonts w:ascii="Arial" w:hAnsi="Arial" w:cs="Arial"/>
                <w:b/>
                <w:bCs/>
                <w:sz w:val="12"/>
                <w:szCs w:val="12"/>
                <w:lang w:eastAsia="en-AU"/>
              </w:rPr>
              <w:t xml:space="preserve">Stamp duties </w:t>
            </w:r>
          </w:p>
        </w:tc>
        <w:tc>
          <w:tcPr>
            <w:tcW w:w="936" w:type="dxa"/>
            <w:tcBorders>
              <w:top w:val="nil"/>
              <w:left w:val="nil"/>
              <w:bottom w:val="nil"/>
              <w:right w:val="nil"/>
            </w:tcBorders>
            <w:shd w:val="clear" w:color="auto" w:fill="FFFFFF" w:themeFill="background1"/>
            <w:noWrap/>
            <w:hideMark/>
          </w:tcPr>
          <w:p w14:paraId="56B0E643" w14:textId="77777777"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w:t>
            </w:r>
          </w:p>
        </w:tc>
        <w:tc>
          <w:tcPr>
            <w:tcW w:w="850" w:type="dxa"/>
            <w:tcBorders>
              <w:top w:val="nil"/>
              <w:left w:val="nil"/>
              <w:bottom w:val="nil"/>
              <w:right w:val="nil"/>
            </w:tcBorders>
            <w:shd w:val="clear" w:color="auto" w:fill="FFFFFF" w:themeFill="background1"/>
            <w:noWrap/>
            <w:hideMark/>
          </w:tcPr>
          <w:p w14:paraId="5B7E7001" w14:textId="77777777"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hideMark/>
          </w:tcPr>
          <w:p w14:paraId="1C9BC423" w14:textId="77777777"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hideMark/>
          </w:tcPr>
          <w:p w14:paraId="1EC02A2A" w14:textId="77777777"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hideMark/>
          </w:tcPr>
          <w:p w14:paraId="4D1E509E" w14:textId="77777777"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hideMark/>
          </w:tcPr>
          <w:p w14:paraId="1F07A28E" w14:textId="77777777"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w:t>
            </w:r>
          </w:p>
        </w:tc>
        <w:tc>
          <w:tcPr>
            <w:tcW w:w="1058" w:type="dxa"/>
            <w:tcBorders>
              <w:top w:val="nil"/>
              <w:left w:val="nil"/>
              <w:bottom w:val="nil"/>
              <w:right w:val="nil"/>
            </w:tcBorders>
            <w:shd w:val="clear" w:color="auto" w:fill="FFFFFF" w:themeFill="background1"/>
            <w:noWrap/>
            <w:hideMark/>
          </w:tcPr>
          <w:p w14:paraId="02F3DD4F" w14:textId="77777777"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w:t>
            </w:r>
          </w:p>
        </w:tc>
      </w:tr>
      <w:tr w:rsidR="00855662" w:rsidRPr="00667CD1" w14:paraId="53407C77" w14:textId="77777777" w:rsidTr="003F0557">
        <w:trPr>
          <w:trHeight w:val="225"/>
        </w:trPr>
        <w:tc>
          <w:tcPr>
            <w:tcW w:w="3186" w:type="dxa"/>
            <w:tcBorders>
              <w:top w:val="nil"/>
              <w:left w:val="nil"/>
              <w:bottom w:val="nil"/>
              <w:right w:val="nil"/>
            </w:tcBorders>
            <w:shd w:val="clear" w:color="auto" w:fill="auto"/>
            <w:noWrap/>
            <w:vAlign w:val="center"/>
            <w:hideMark/>
          </w:tcPr>
          <w:p w14:paraId="54C52669"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Transfer duty</w:t>
            </w:r>
          </w:p>
        </w:tc>
        <w:tc>
          <w:tcPr>
            <w:tcW w:w="936" w:type="dxa"/>
            <w:tcBorders>
              <w:top w:val="nil"/>
              <w:left w:val="nil"/>
              <w:bottom w:val="nil"/>
              <w:right w:val="nil"/>
            </w:tcBorders>
            <w:shd w:val="clear" w:color="auto" w:fill="FFFFFF" w:themeFill="background1"/>
            <w:noWrap/>
            <w:vAlign w:val="center"/>
            <w:hideMark/>
          </w:tcPr>
          <w:p w14:paraId="2A5F7239"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7,430</w:t>
            </w:r>
          </w:p>
        </w:tc>
        <w:tc>
          <w:tcPr>
            <w:tcW w:w="850" w:type="dxa"/>
            <w:tcBorders>
              <w:top w:val="nil"/>
              <w:left w:val="nil"/>
              <w:bottom w:val="nil"/>
              <w:right w:val="nil"/>
            </w:tcBorders>
            <w:shd w:val="clear" w:color="auto" w:fill="FFFFFF" w:themeFill="background1"/>
            <w:noWrap/>
            <w:vAlign w:val="center"/>
            <w:hideMark/>
          </w:tcPr>
          <w:p w14:paraId="2AADB3A6"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6,955</w:t>
            </w:r>
          </w:p>
        </w:tc>
        <w:tc>
          <w:tcPr>
            <w:tcW w:w="836" w:type="dxa"/>
            <w:tcBorders>
              <w:top w:val="nil"/>
              <w:left w:val="nil"/>
              <w:bottom w:val="nil"/>
              <w:right w:val="nil"/>
            </w:tcBorders>
            <w:shd w:val="clear" w:color="auto" w:fill="F2F2F2" w:themeFill="background1" w:themeFillShade="F2"/>
            <w:noWrap/>
            <w:vAlign w:val="center"/>
            <w:hideMark/>
          </w:tcPr>
          <w:p w14:paraId="64D1B0F5"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7,926</w:t>
            </w:r>
          </w:p>
        </w:tc>
        <w:tc>
          <w:tcPr>
            <w:tcW w:w="836" w:type="dxa"/>
            <w:tcBorders>
              <w:top w:val="nil"/>
              <w:left w:val="nil"/>
              <w:bottom w:val="nil"/>
              <w:right w:val="nil"/>
            </w:tcBorders>
            <w:shd w:val="clear" w:color="auto" w:fill="F2F2F2" w:themeFill="background1" w:themeFillShade="F2"/>
            <w:noWrap/>
            <w:vAlign w:val="center"/>
            <w:hideMark/>
          </w:tcPr>
          <w:p w14:paraId="5B7E960C"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8,642</w:t>
            </w:r>
          </w:p>
        </w:tc>
        <w:tc>
          <w:tcPr>
            <w:tcW w:w="836" w:type="dxa"/>
            <w:tcBorders>
              <w:top w:val="nil"/>
              <w:left w:val="nil"/>
              <w:bottom w:val="nil"/>
              <w:right w:val="nil"/>
            </w:tcBorders>
            <w:shd w:val="clear" w:color="auto" w:fill="F2F2F2" w:themeFill="background1" w:themeFillShade="F2"/>
            <w:noWrap/>
            <w:vAlign w:val="center"/>
            <w:hideMark/>
          </w:tcPr>
          <w:p w14:paraId="224F2B8B"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9,659</w:t>
            </w:r>
          </w:p>
        </w:tc>
        <w:tc>
          <w:tcPr>
            <w:tcW w:w="836" w:type="dxa"/>
            <w:tcBorders>
              <w:top w:val="nil"/>
              <w:left w:val="nil"/>
              <w:bottom w:val="nil"/>
              <w:right w:val="nil"/>
            </w:tcBorders>
            <w:shd w:val="clear" w:color="auto" w:fill="F2F2F2" w:themeFill="background1" w:themeFillShade="F2"/>
            <w:noWrap/>
            <w:vAlign w:val="center"/>
            <w:hideMark/>
          </w:tcPr>
          <w:p w14:paraId="52463D86"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10,542</w:t>
            </w:r>
          </w:p>
        </w:tc>
        <w:tc>
          <w:tcPr>
            <w:tcW w:w="1058" w:type="dxa"/>
            <w:tcBorders>
              <w:top w:val="nil"/>
              <w:left w:val="nil"/>
              <w:bottom w:val="nil"/>
              <w:right w:val="nil"/>
            </w:tcBorders>
            <w:shd w:val="clear" w:color="auto" w:fill="auto"/>
            <w:noWrap/>
            <w:vAlign w:val="center"/>
            <w:hideMark/>
          </w:tcPr>
          <w:p w14:paraId="6BB32933" w14:textId="3667EA35"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11.0 </w:t>
            </w:r>
          </w:p>
        </w:tc>
      </w:tr>
      <w:tr w:rsidR="00855662" w:rsidRPr="00667CD1" w14:paraId="5C9C88BD" w14:textId="77777777" w:rsidTr="003F0557">
        <w:trPr>
          <w:trHeight w:val="225"/>
        </w:trPr>
        <w:tc>
          <w:tcPr>
            <w:tcW w:w="3186" w:type="dxa"/>
            <w:tcBorders>
              <w:top w:val="nil"/>
              <w:left w:val="nil"/>
              <w:bottom w:val="nil"/>
              <w:right w:val="nil"/>
            </w:tcBorders>
            <w:shd w:val="clear" w:color="auto" w:fill="auto"/>
            <w:noWrap/>
            <w:vAlign w:val="center"/>
            <w:hideMark/>
          </w:tcPr>
          <w:p w14:paraId="6BF3D3A5"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Insurance</w:t>
            </w:r>
          </w:p>
        </w:tc>
        <w:tc>
          <w:tcPr>
            <w:tcW w:w="936" w:type="dxa"/>
            <w:tcBorders>
              <w:top w:val="nil"/>
              <w:left w:val="nil"/>
              <w:bottom w:val="nil"/>
              <w:right w:val="nil"/>
            </w:tcBorders>
            <w:shd w:val="clear" w:color="auto" w:fill="FFFFFF" w:themeFill="background1"/>
            <w:noWrap/>
            <w:vAlign w:val="center"/>
            <w:hideMark/>
          </w:tcPr>
          <w:p w14:paraId="040B48CC"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1,022</w:t>
            </w:r>
          </w:p>
        </w:tc>
        <w:tc>
          <w:tcPr>
            <w:tcW w:w="850" w:type="dxa"/>
            <w:tcBorders>
              <w:top w:val="nil"/>
              <w:left w:val="nil"/>
              <w:bottom w:val="nil"/>
              <w:right w:val="nil"/>
            </w:tcBorders>
            <w:shd w:val="clear" w:color="auto" w:fill="FFFFFF" w:themeFill="background1"/>
            <w:noWrap/>
            <w:vAlign w:val="center"/>
            <w:hideMark/>
          </w:tcPr>
          <w:p w14:paraId="3FF4644B"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1,091</w:t>
            </w:r>
          </w:p>
        </w:tc>
        <w:tc>
          <w:tcPr>
            <w:tcW w:w="836" w:type="dxa"/>
            <w:tcBorders>
              <w:top w:val="nil"/>
              <w:left w:val="nil"/>
              <w:bottom w:val="nil"/>
              <w:right w:val="nil"/>
            </w:tcBorders>
            <w:shd w:val="clear" w:color="auto" w:fill="F2F2F2" w:themeFill="background1" w:themeFillShade="F2"/>
            <w:noWrap/>
            <w:vAlign w:val="center"/>
            <w:hideMark/>
          </w:tcPr>
          <w:p w14:paraId="1DB8753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1,127</w:t>
            </w:r>
          </w:p>
        </w:tc>
        <w:tc>
          <w:tcPr>
            <w:tcW w:w="836" w:type="dxa"/>
            <w:tcBorders>
              <w:top w:val="nil"/>
              <w:left w:val="nil"/>
              <w:bottom w:val="nil"/>
              <w:right w:val="nil"/>
            </w:tcBorders>
            <w:shd w:val="clear" w:color="auto" w:fill="F2F2F2" w:themeFill="background1" w:themeFillShade="F2"/>
            <w:noWrap/>
            <w:vAlign w:val="center"/>
            <w:hideMark/>
          </w:tcPr>
          <w:p w14:paraId="48750B3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1,206</w:t>
            </w:r>
          </w:p>
        </w:tc>
        <w:tc>
          <w:tcPr>
            <w:tcW w:w="836" w:type="dxa"/>
            <w:tcBorders>
              <w:top w:val="nil"/>
              <w:left w:val="nil"/>
              <w:bottom w:val="nil"/>
              <w:right w:val="nil"/>
            </w:tcBorders>
            <w:shd w:val="clear" w:color="auto" w:fill="F2F2F2" w:themeFill="background1" w:themeFillShade="F2"/>
            <w:noWrap/>
            <w:vAlign w:val="center"/>
            <w:hideMark/>
          </w:tcPr>
          <w:p w14:paraId="4D3BB663"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1,261</w:t>
            </w:r>
          </w:p>
        </w:tc>
        <w:tc>
          <w:tcPr>
            <w:tcW w:w="836" w:type="dxa"/>
            <w:tcBorders>
              <w:top w:val="nil"/>
              <w:left w:val="nil"/>
              <w:bottom w:val="nil"/>
              <w:right w:val="nil"/>
            </w:tcBorders>
            <w:shd w:val="clear" w:color="auto" w:fill="F2F2F2" w:themeFill="background1" w:themeFillShade="F2"/>
            <w:noWrap/>
            <w:vAlign w:val="center"/>
            <w:hideMark/>
          </w:tcPr>
          <w:p w14:paraId="06D0CE68"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1,318</w:t>
            </w:r>
          </w:p>
        </w:tc>
        <w:tc>
          <w:tcPr>
            <w:tcW w:w="1058" w:type="dxa"/>
            <w:tcBorders>
              <w:top w:val="nil"/>
              <w:left w:val="nil"/>
              <w:bottom w:val="nil"/>
              <w:right w:val="nil"/>
            </w:tcBorders>
            <w:shd w:val="clear" w:color="auto" w:fill="auto"/>
            <w:noWrap/>
            <w:vAlign w:val="center"/>
            <w:hideMark/>
          </w:tcPr>
          <w:p w14:paraId="138B287A" w14:textId="4B90BC29"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4.8 </w:t>
            </w:r>
          </w:p>
        </w:tc>
      </w:tr>
      <w:tr w:rsidR="00855662" w:rsidRPr="00667CD1" w14:paraId="0A90F58F" w14:textId="77777777" w:rsidTr="003F0557">
        <w:trPr>
          <w:trHeight w:val="225"/>
        </w:trPr>
        <w:tc>
          <w:tcPr>
            <w:tcW w:w="3186" w:type="dxa"/>
            <w:tcBorders>
              <w:top w:val="nil"/>
              <w:left w:val="nil"/>
              <w:bottom w:val="nil"/>
              <w:right w:val="nil"/>
            </w:tcBorders>
            <w:shd w:val="clear" w:color="auto" w:fill="auto"/>
            <w:noWrap/>
            <w:vAlign w:val="center"/>
            <w:hideMark/>
          </w:tcPr>
          <w:p w14:paraId="7C36B23E" w14:textId="7BF32511"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 xml:space="preserve">Motor vehicles </w:t>
            </w:r>
          </w:p>
        </w:tc>
        <w:tc>
          <w:tcPr>
            <w:tcW w:w="936" w:type="dxa"/>
            <w:tcBorders>
              <w:top w:val="nil"/>
              <w:left w:val="nil"/>
              <w:bottom w:val="nil"/>
              <w:right w:val="nil"/>
            </w:tcBorders>
            <w:shd w:val="clear" w:color="auto" w:fill="FFFFFF" w:themeFill="background1"/>
            <w:noWrap/>
            <w:vAlign w:val="center"/>
            <w:hideMark/>
          </w:tcPr>
          <w:p w14:paraId="5960F0D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792</w:t>
            </w:r>
          </w:p>
        </w:tc>
        <w:tc>
          <w:tcPr>
            <w:tcW w:w="850" w:type="dxa"/>
            <w:tcBorders>
              <w:top w:val="nil"/>
              <w:left w:val="nil"/>
              <w:bottom w:val="nil"/>
              <w:right w:val="nil"/>
            </w:tcBorders>
            <w:shd w:val="clear" w:color="auto" w:fill="FFFFFF" w:themeFill="background1"/>
            <w:noWrap/>
            <w:vAlign w:val="center"/>
            <w:hideMark/>
          </w:tcPr>
          <w:p w14:paraId="7703DC0A"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768</w:t>
            </w:r>
          </w:p>
        </w:tc>
        <w:tc>
          <w:tcPr>
            <w:tcW w:w="836" w:type="dxa"/>
            <w:tcBorders>
              <w:top w:val="nil"/>
              <w:left w:val="nil"/>
              <w:bottom w:val="nil"/>
              <w:right w:val="nil"/>
            </w:tcBorders>
            <w:shd w:val="clear" w:color="auto" w:fill="F2F2F2" w:themeFill="background1" w:themeFillShade="F2"/>
            <w:noWrap/>
            <w:vAlign w:val="center"/>
            <w:hideMark/>
          </w:tcPr>
          <w:p w14:paraId="6A1D6278"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852</w:t>
            </w:r>
          </w:p>
        </w:tc>
        <w:tc>
          <w:tcPr>
            <w:tcW w:w="836" w:type="dxa"/>
            <w:tcBorders>
              <w:top w:val="nil"/>
              <w:left w:val="nil"/>
              <w:bottom w:val="nil"/>
              <w:right w:val="nil"/>
            </w:tcBorders>
            <w:shd w:val="clear" w:color="auto" w:fill="F2F2F2" w:themeFill="background1" w:themeFillShade="F2"/>
            <w:noWrap/>
            <w:vAlign w:val="center"/>
            <w:hideMark/>
          </w:tcPr>
          <w:p w14:paraId="045772BC"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842</w:t>
            </w:r>
          </w:p>
        </w:tc>
        <w:tc>
          <w:tcPr>
            <w:tcW w:w="836" w:type="dxa"/>
            <w:tcBorders>
              <w:top w:val="nil"/>
              <w:left w:val="nil"/>
              <w:bottom w:val="nil"/>
              <w:right w:val="nil"/>
            </w:tcBorders>
            <w:shd w:val="clear" w:color="auto" w:fill="F2F2F2" w:themeFill="background1" w:themeFillShade="F2"/>
            <w:noWrap/>
            <w:vAlign w:val="center"/>
            <w:hideMark/>
          </w:tcPr>
          <w:p w14:paraId="29D9414F"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876</w:t>
            </w:r>
          </w:p>
        </w:tc>
        <w:tc>
          <w:tcPr>
            <w:tcW w:w="836" w:type="dxa"/>
            <w:tcBorders>
              <w:top w:val="nil"/>
              <w:left w:val="nil"/>
              <w:bottom w:val="nil"/>
              <w:right w:val="nil"/>
            </w:tcBorders>
            <w:shd w:val="clear" w:color="auto" w:fill="F2F2F2" w:themeFill="background1" w:themeFillShade="F2"/>
            <w:noWrap/>
            <w:vAlign w:val="center"/>
            <w:hideMark/>
          </w:tcPr>
          <w:p w14:paraId="0EAB3138"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909</w:t>
            </w:r>
          </w:p>
        </w:tc>
        <w:tc>
          <w:tcPr>
            <w:tcW w:w="1058" w:type="dxa"/>
            <w:tcBorders>
              <w:top w:val="nil"/>
              <w:left w:val="nil"/>
              <w:bottom w:val="nil"/>
              <w:right w:val="nil"/>
            </w:tcBorders>
            <w:shd w:val="clear" w:color="auto" w:fill="auto"/>
            <w:noWrap/>
            <w:vAlign w:val="center"/>
            <w:hideMark/>
          </w:tcPr>
          <w:p w14:paraId="588BE9B0" w14:textId="39E1E95F"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4.3 </w:t>
            </w:r>
          </w:p>
        </w:tc>
      </w:tr>
      <w:tr w:rsidR="00855662" w:rsidRPr="00667CD1" w14:paraId="6205D485" w14:textId="77777777" w:rsidTr="003F0557">
        <w:trPr>
          <w:trHeight w:val="225"/>
        </w:trPr>
        <w:tc>
          <w:tcPr>
            <w:tcW w:w="3186" w:type="dxa"/>
            <w:tcBorders>
              <w:top w:val="nil"/>
              <w:left w:val="nil"/>
              <w:bottom w:val="nil"/>
              <w:right w:val="nil"/>
            </w:tcBorders>
            <w:shd w:val="clear" w:color="auto" w:fill="auto"/>
            <w:noWrap/>
            <w:vAlign w:val="center"/>
            <w:hideMark/>
          </w:tcPr>
          <w:p w14:paraId="762922A6"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Other</w:t>
            </w:r>
          </w:p>
        </w:tc>
        <w:tc>
          <w:tcPr>
            <w:tcW w:w="936" w:type="dxa"/>
            <w:tcBorders>
              <w:top w:val="nil"/>
              <w:left w:val="nil"/>
              <w:bottom w:val="nil"/>
              <w:right w:val="nil"/>
            </w:tcBorders>
            <w:shd w:val="clear" w:color="auto" w:fill="FFFFFF" w:themeFill="background1"/>
            <w:noWrap/>
            <w:vAlign w:val="center"/>
            <w:hideMark/>
          </w:tcPr>
          <w:p w14:paraId="232320E2"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w:t>
            </w:r>
          </w:p>
        </w:tc>
        <w:tc>
          <w:tcPr>
            <w:tcW w:w="850" w:type="dxa"/>
            <w:tcBorders>
              <w:top w:val="nil"/>
              <w:left w:val="nil"/>
              <w:bottom w:val="nil"/>
              <w:right w:val="nil"/>
            </w:tcBorders>
            <w:shd w:val="clear" w:color="auto" w:fill="FFFFFF" w:themeFill="background1"/>
            <w:noWrap/>
            <w:vAlign w:val="center"/>
            <w:hideMark/>
          </w:tcPr>
          <w:p w14:paraId="15B14B35"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w:t>
            </w:r>
          </w:p>
        </w:tc>
        <w:tc>
          <w:tcPr>
            <w:tcW w:w="836" w:type="dxa"/>
            <w:tcBorders>
              <w:top w:val="nil"/>
              <w:left w:val="nil"/>
              <w:bottom w:val="nil"/>
              <w:right w:val="nil"/>
            </w:tcBorders>
            <w:shd w:val="clear" w:color="auto" w:fill="F2F2F2" w:themeFill="background1" w:themeFillShade="F2"/>
            <w:noWrap/>
            <w:vAlign w:val="center"/>
            <w:hideMark/>
          </w:tcPr>
          <w:p w14:paraId="4D9EE035"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0</w:t>
            </w:r>
          </w:p>
        </w:tc>
        <w:tc>
          <w:tcPr>
            <w:tcW w:w="836" w:type="dxa"/>
            <w:tcBorders>
              <w:top w:val="nil"/>
              <w:left w:val="nil"/>
              <w:bottom w:val="nil"/>
              <w:right w:val="nil"/>
            </w:tcBorders>
            <w:shd w:val="clear" w:color="auto" w:fill="F2F2F2" w:themeFill="background1" w:themeFillShade="F2"/>
            <w:noWrap/>
            <w:vAlign w:val="center"/>
            <w:hideMark/>
          </w:tcPr>
          <w:p w14:paraId="630C34AF"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0</w:t>
            </w:r>
          </w:p>
        </w:tc>
        <w:tc>
          <w:tcPr>
            <w:tcW w:w="836" w:type="dxa"/>
            <w:tcBorders>
              <w:top w:val="nil"/>
              <w:left w:val="nil"/>
              <w:bottom w:val="nil"/>
              <w:right w:val="nil"/>
            </w:tcBorders>
            <w:shd w:val="clear" w:color="auto" w:fill="F2F2F2" w:themeFill="background1" w:themeFillShade="F2"/>
            <w:noWrap/>
            <w:vAlign w:val="center"/>
            <w:hideMark/>
          </w:tcPr>
          <w:p w14:paraId="664DF8D6"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0</w:t>
            </w:r>
          </w:p>
        </w:tc>
        <w:tc>
          <w:tcPr>
            <w:tcW w:w="836" w:type="dxa"/>
            <w:tcBorders>
              <w:top w:val="nil"/>
              <w:left w:val="nil"/>
              <w:bottom w:val="nil"/>
              <w:right w:val="nil"/>
            </w:tcBorders>
            <w:shd w:val="clear" w:color="auto" w:fill="F2F2F2" w:themeFill="background1" w:themeFillShade="F2"/>
            <w:noWrap/>
            <w:vAlign w:val="center"/>
            <w:hideMark/>
          </w:tcPr>
          <w:p w14:paraId="58500CB9"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0</w:t>
            </w:r>
          </w:p>
        </w:tc>
        <w:tc>
          <w:tcPr>
            <w:tcW w:w="1058" w:type="dxa"/>
            <w:tcBorders>
              <w:top w:val="nil"/>
              <w:left w:val="nil"/>
              <w:bottom w:val="nil"/>
              <w:right w:val="nil"/>
            </w:tcBorders>
            <w:shd w:val="clear" w:color="auto" w:fill="auto"/>
            <w:noWrap/>
            <w:vAlign w:val="center"/>
            <w:hideMark/>
          </w:tcPr>
          <w:p w14:paraId="1204ED07" w14:textId="0D43AA3B"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w:t>
            </w:r>
          </w:p>
        </w:tc>
      </w:tr>
      <w:tr w:rsidR="00E26D63" w:rsidRPr="00667CD1" w14:paraId="50475798" w14:textId="77777777" w:rsidTr="003F0557">
        <w:trPr>
          <w:trHeight w:val="340"/>
        </w:trPr>
        <w:tc>
          <w:tcPr>
            <w:tcW w:w="3186" w:type="dxa"/>
            <w:tcBorders>
              <w:top w:val="nil"/>
              <w:left w:val="nil"/>
              <w:bottom w:val="nil"/>
              <w:right w:val="nil"/>
            </w:tcBorders>
            <w:shd w:val="clear" w:color="auto" w:fill="auto"/>
            <w:noWrap/>
            <w:vAlign w:val="center"/>
            <w:hideMark/>
          </w:tcPr>
          <w:p w14:paraId="14B6EE40" w14:textId="77777777" w:rsidR="00855662" w:rsidRPr="00667CD1" w:rsidRDefault="00855662" w:rsidP="00855662">
            <w:pPr>
              <w:jc w:val="center"/>
              <w:rPr>
                <w:rFonts w:ascii="Arial" w:hAnsi="Arial" w:cs="Arial"/>
                <w:color w:val="008EBA"/>
                <w:sz w:val="12"/>
                <w:szCs w:val="12"/>
                <w:lang w:eastAsia="en-AU"/>
              </w:rPr>
            </w:pPr>
          </w:p>
        </w:tc>
        <w:tc>
          <w:tcPr>
            <w:tcW w:w="936" w:type="dxa"/>
            <w:tcBorders>
              <w:top w:val="single" w:sz="4" w:space="0" w:color="auto"/>
              <w:left w:val="nil"/>
              <w:bottom w:val="single" w:sz="4" w:space="0" w:color="auto"/>
              <w:right w:val="nil"/>
            </w:tcBorders>
            <w:shd w:val="clear" w:color="auto" w:fill="auto"/>
            <w:noWrap/>
            <w:vAlign w:val="center"/>
            <w:hideMark/>
          </w:tcPr>
          <w:p w14:paraId="48DED15C"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9,245</w:t>
            </w:r>
          </w:p>
        </w:tc>
        <w:tc>
          <w:tcPr>
            <w:tcW w:w="850" w:type="dxa"/>
            <w:tcBorders>
              <w:top w:val="single" w:sz="4" w:space="0" w:color="auto"/>
              <w:left w:val="nil"/>
              <w:bottom w:val="single" w:sz="4" w:space="0" w:color="auto"/>
              <w:right w:val="nil"/>
            </w:tcBorders>
            <w:shd w:val="clear" w:color="auto" w:fill="auto"/>
            <w:noWrap/>
            <w:vAlign w:val="center"/>
            <w:hideMark/>
          </w:tcPr>
          <w:p w14:paraId="27129489"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8,815</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0ED904A5"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9,905</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3693DC3F"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10,690</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61754077"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11,796</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6A36FE6D"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12,769</w:t>
            </w:r>
          </w:p>
        </w:tc>
        <w:tc>
          <w:tcPr>
            <w:tcW w:w="1058" w:type="dxa"/>
            <w:tcBorders>
              <w:top w:val="single" w:sz="4" w:space="0" w:color="auto"/>
              <w:left w:val="nil"/>
              <w:bottom w:val="single" w:sz="4" w:space="0" w:color="auto"/>
              <w:right w:val="nil"/>
            </w:tcBorders>
            <w:shd w:val="clear" w:color="auto" w:fill="auto"/>
            <w:noWrap/>
            <w:vAlign w:val="center"/>
            <w:hideMark/>
          </w:tcPr>
          <w:p w14:paraId="5ACB9CB3" w14:textId="77E6505A" w:rsidR="00855662" w:rsidRPr="00667CD1" w:rsidRDefault="00855662" w:rsidP="00855662">
            <w:pPr>
              <w:jc w:val="center"/>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9.7 </w:t>
            </w:r>
          </w:p>
        </w:tc>
      </w:tr>
      <w:tr w:rsidR="00855662" w:rsidRPr="00667CD1" w14:paraId="4229F524" w14:textId="77777777" w:rsidTr="003F0557">
        <w:trPr>
          <w:trHeight w:val="57"/>
        </w:trPr>
        <w:tc>
          <w:tcPr>
            <w:tcW w:w="3186" w:type="dxa"/>
            <w:tcBorders>
              <w:top w:val="nil"/>
              <w:left w:val="nil"/>
              <w:bottom w:val="nil"/>
              <w:right w:val="nil"/>
            </w:tcBorders>
            <w:shd w:val="clear" w:color="auto" w:fill="auto"/>
            <w:noWrap/>
            <w:vAlign w:val="bottom"/>
            <w:hideMark/>
          </w:tcPr>
          <w:p w14:paraId="5BF83084" w14:textId="77777777" w:rsidR="00855662" w:rsidRPr="00667CD1" w:rsidRDefault="00855662" w:rsidP="00855662">
            <w:pPr>
              <w:jc w:val="center"/>
              <w:rPr>
                <w:rFonts w:ascii="Arial" w:hAnsi="Arial" w:cs="Arial"/>
                <w:b/>
                <w:bCs/>
                <w:color w:val="00ABE6"/>
                <w:sz w:val="12"/>
                <w:szCs w:val="12"/>
                <w:lang w:eastAsia="en-AU"/>
              </w:rPr>
            </w:pPr>
          </w:p>
        </w:tc>
        <w:tc>
          <w:tcPr>
            <w:tcW w:w="936" w:type="dxa"/>
            <w:tcBorders>
              <w:top w:val="nil"/>
              <w:left w:val="nil"/>
              <w:bottom w:val="nil"/>
              <w:right w:val="nil"/>
            </w:tcBorders>
            <w:shd w:val="clear" w:color="auto" w:fill="auto"/>
            <w:noWrap/>
            <w:vAlign w:val="center"/>
            <w:hideMark/>
          </w:tcPr>
          <w:p w14:paraId="5B6A3109" w14:textId="77777777" w:rsidR="00855662" w:rsidRPr="00667CD1" w:rsidRDefault="00855662" w:rsidP="003F0557">
            <w:pPr>
              <w:jc w:val="right"/>
              <w:rPr>
                <w:sz w:val="16"/>
                <w:szCs w:val="16"/>
                <w:lang w:eastAsia="en-AU"/>
              </w:rPr>
            </w:pPr>
          </w:p>
        </w:tc>
        <w:tc>
          <w:tcPr>
            <w:tcW w:w="850" w:type="dxa"/>
            <w:tcBorders>
              <w:top w:val="nil"/>
              <w:left w:val="nil"/>
              <w:bottom w:val="nil"/>
              <w:right w:val="nil"/>
            </w:tcBorders>
            <w:shd w:val="clear" w:color="auto" w:fill="auto"/>
            <w:noWrap/>
            <w:vAlign w:val="center"/>
            <w:hideMark/>
          </w:tcPr>
          <w:p w14:paraId="13E8147E" w14:textId="77777777" w:rsidR="00855662" w:rsidRPr="00667CD1" w:rsidRDefault="00855662" w:rsidP="003F0557">
            <w:pPr>
              <w:jc w:val="right"/>
              <w:rPr>
                <w:sz w:val="16"/>
                <w:szCs w:val="16"/>
                <w:lang w:eastAsia="en-AU"/>
              </w:rPr>
            </w:pPr>
          </w:p>
        </w:tc>
        <w:tc>
          <w:tcPr>
            <w:tcW w:w="836" w:type="dxa"/>
            <w:tcBorders>
              <w:top w:val="nil"/>
              <w:left w:val="nil"/>
              <w:bottom w:val="nil"/>
              <w:right w:val="nil"/>
            </w:tcBorders>
            <w:shd w:val="clear" w:color="auto" w:fill="F2F2F2" w:themeFill="background1" w:themeFillShade="F2"/>
            <w:noWrap/>
            <w:vAlign w:val="center"/>
            <w:hideMark/>
          </w:tcPr>
          <w:p w14:paraId="4966E0AB"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0AC5D11F"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61F4534C"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752C7DEC"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1058" w:type="dxa"/>
            <w:tcBorders>
              <w:top w:val="nil"/>
              <w:left w:val="nil"/>
              <w:bottom w:val="nil"/>
              <w:right w:val="nil"/>
            </w:tcBorders>
            <w:shd w:val="clear" w:color="auto" w:fill="auto"/>
            <w:noWrap/>
            <w:vAlign w:val="center"/>
            <w:hideMark/>
          </w:tcPr>
          <w:p w14:paraId="46E7B57A" w14:textId="77777777" w:rsidR="00855662" w:rsidRPr="00667CD1" w:rsidRDefault="00855662" w:rsidP="00855662">
            <w:pPr>
              <w:jc w:val="center"/>
              <w:rPr>
                <w:rFonts w:ascii="Arial" w:hAnsi="Arial" w:cs="Arial"/>
                <w:sz w:val="12"/>
                <w:szCs w:val="12"/>
                <w:lang w:eastAsia="en-AU"/>
              </w:rPr>
            </w:pPr>
          </w:p>
        </w:tc>
      </w:tr>
      <w:tr w:rsidR="00855662" w:rsidRPr="00667CD1" w14:paraId="3C0549CB" w14:textId="77777777" w:rsidTr="003F0557">
        <w:trPr>
          <w:trHeight w:val="250"/>
        </w:trPr>
        <w:tc>
          <w:tcPr>
            <w:tcW w:w="3186" w:type="dxa"/>
            <w:tcBorders>
              <w:top w:val="nil"/>
              <w:left w:val="nil"/>
              <w:bottom w:val="nil"/>
              <w:right w:val="nil"/>
            </w:tcBorders>
            <w:shd w:val="clear" w:color="auto" w:fill="auto"/>
            <w:noWrap/>
            <w:vAlign w:val="bottom"/>
            <w:hideMark/>
          </w:tcPr>
          <w:p w14:paraId="5EAE4E87" w14:textId="77777777" w:rsidR="00855662" w:rsidRPr="00667CD1" w:rsidRDefault="00855662" w:rsidP="00855662">
            <w:pPr>
              <w:rPr>
                <w:rFonts w:ascii="Arial" w:hAnsi="Arial" w:cs="Arial"/>
                <w:b/>
                <w:bCs/>
                <w:sz w:val="12"/>
                <w:szCs w:val="12"/>
                <w:lang w:eastAsia="en-AU"/>
              </w:rPr>
            </w:pPr>
            <w:r w:rsidRPr="00667CD1">
              <w:rPr>
                <w:rFonts w:ascii="Arial" w:hAnsi="Arial" w:cs="Arial"/>
                <w:b/>
                <w:bCs/>
                <w:sz w:val="12"/>
                <w:szCs w:val="12"/>
                <w:lang w:eastAsia="en-AU"/>
              </w:rPr>
              <w:t xml:space="preserve">Payroll tax </w:t>
            </w:r>
            <w:r w:rsidRPr="00667CD1">
              <w:rPr>
                <w:rFonts w:ascii="Arial" w:hAnsi="Arial" w:cs="Arial"/>
                <w:b/>
                <w:bCs/>
                <w:sz w:val="12"/>
                <w:szCs w:val="12"/>
                <w:vertAlign w:val="superscript"/>
                <w:lang w:eastAsia="en-AU"/>
              </w:rPr>
              <w:t>(a)</w:t>
            </w:r>
          </w:p>
        </w:tc>
        <w:tc>
          <w:tcPr>
            <w:tcW w:w="936" w:type="dxa"/>
            <w:tcBorders>
              <w:top w:val="nil"/>
              <w:left w:val="nil"/>
              <w:bottom w:val="nil"/>
              <w:right w:val="nil"/>
            </w:tcBorders>
            <w:shd w:val="clear" w:color="auto" w:fill="auto"/>
            <w:noWrap/>
            <w:vAlign w:val="center"/>
            <w:hideMark/>
          </w:tcPr>
          <w:p w14:paraId="600772D3"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9,357</w:t>
            </w:r>
          </w:p>
        </w:tc>
        <w:tc>
          <w:tcPr>
            <w:tcW w:w="850" w:type="dxa"/>
            <w:tcBorders>
              <w:top w:val="nil"/>
              <w:left w:val="nil"/>
              <w:bottom w:val="nil"/>
              <w:right w:val="nil"/>
            </w:tcBorders>
            <w:shd w:val="clear" w:color="auto" w:fill="auto"/>
            <w:noWrap/>
            <w:vAlign w:val="center"/>
            <w:hideMark/>
          </w:tcPr>
          <w:p w14:paraId="18CCE411"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8,508</w:t>
            </w:r>
          </w:p>
        </w:tc>
        <w:tc>
          <w:tcPr>
            <w:tcW w:w="836" w:type="dxa"/>
            <w:tcBorders>
              <w:top w:val="nil"/>
              <w:left w:val="nil"/>
              <w:bottom w:val="nil"/>
              <w:right w:val="nil"/>
            </w:tcBorders>
            <w:shd w:val="clear" w:color="auto" w:fill="F2F2F2" w:themeFill="background1" w:themeFillShade="F2"/>
            <w:noWrap/>
            <w:vAlign w:val="center"/>
            <w:hideMark/>
          </w:tcPr>
          <w:p w14:paraId="07562ABC"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8,526</w:t>
            </w:r>
          </w:p>
        </w:tc>
        <w:tc>
          <w:tcPr>
            <w:tcW w:w="836" w:type="dxa"/>
            <w:tcBorders>
              <w:top w:val="nil"/>
              <w:left w:val="nil"/>
              <w:bottom w:val="nil"/>
              <w:right w:val="nil"/>
            </w:tcBorders>
            <w:shd w:val="clear" w:color="auto" w:fill="F2F2F2" w:themeFill="background1" w:themeFillShade="F2"/>
            <w:noWrap/>
            <w:vAlign w:val="center"/>
            <w:hideMark/>
          </w:tcPr>
          <w:p w14:paraId="0FB21783"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8,579</w:t>
            </w:r>
          </w:p>
        </w:tc>
        <w:tc>
          <w:tcPr>
            <w:tcW w:w="836" w:type="dxa"/>
            <w:tcBorders>
              <w:top w:val="nil"/>
              <w:left w:val="nil"/>
              <w:bottom w:val="nil"/>
              <w:right w:val="nil"/>
            </w:tcBorders>
            <w:shd w:val="clear" w:color="auto" w:fill="F2F2F2" w:themeFill="background1" w:themeFillShade="F2"/>
            <w:noWrap/>
            <w:vAlign w:val="center"/>
            <w:hideMark/>
          </w:tcPr>
          <w:p w14:paraId="3E3CAC52"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9,790</w:t>
            </w:r>
          </w:p>
        </w:tc>
        <w:tc>
          <w:tcPr>
            <w:tcW w:w="836" w:type="dxa"/>
            <w:tcBorders>
              <w:top w:val="nil"/>
              <w:left w:val="nil"/>
              <w:bottom w:val="nil"/>
              <w:right w:val="nil"/>
            </w:tcBorders>
            <w:shd w:val="clear" w:color="auto" w:fill="F2F2F2" w:themeFill="background1" w:themeFillShade="F2"/>
            <w:noWrap/>
            <w:vAlign w:val="center"/>
            <w:hideMark/>
          </w:tcPr>
          <w:p w14:paraId="38AB9451"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10,112</w:t>
            </w:r>
          </w:p>
        </w:tc>
        <w:tc>
          <w:tcPr>
            <w:tcW w:w="1058" w:type="dxa"/>
            <w:tcBorders>
              <w:top w:val="nil"/>
              <w:left w:val="nil"/>
              <w:bottom w:val="nil"/>
              <w:right w:val="nil"/>
            </w:tcBorders>
            <w:shd w:val="clear" w:color="auto" w:fill="auto"/>
            <w:noWrap/>
            <w:vAlign w:val="center"/>
            <w:hideMark/>
          </w:tcPr>
          <w:p w14:paraId="2965A8B1" w14:textId="59A5925E"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4.4 </w:t>
            </w:r>
          </w:p>
        </w:tc>
      </w:tr>
      <w:tr w:rsidR="00855662" w:rsidRPr="00667CD1" w14:paraId="106BF196" w14:textId="77777777" w:rsidTr="003F0557">
        <w:trPr>
          <w:trHeight w:val="57"/>
        </w:trPr>
        <w:tc>
          <w:tcPr>
            <w:tcW w:w="3186" w:type="dxa"/>
            <w:tcBorders>
              <w:top w:val="nil"/>
              <w:left w:val="nil"/>
              <w:bottom w:val="nil"/>
              <w:right w:val="nil"/>
            </w:tcBorders>
            <w:shd w:val="clear" w:color="auto" w:fill="auto"/>
            <w:noWrap/>
            <w:vAlign w:val="bottom"/>
            <w:hideMark/>
          </w:tcPr>
          <w:p w14:paraId="31ECD321" w14:textId="77777777" w:rsidR="00855662" w:rsidRPr="00667CD1" w:rsidRDefault="00855662" w:rsidP="00855662">
            <w:pPr>
              <w:jc w:val="center"/>
              <w:rPr>
                <w:rFonts w:ascii="Arial" w:hAnsi="Arial" w:cs="Arial"/>
                <w:sz w:val="12"/>
                <w:szCs w:val="12"/>
                <w:lang w:eastAsia="en-AU"/>
              </w:rPr>
            </w:pPr>
          </w:p>
        </w:tc>
        <w:tc>
          <w:tcPr>
            <w:tcW w:w="936" w:type="dxa"/>
            <w:tcBorders>
              <w:top w:val="nil"/>
              <w:left w:val="nil"/>
              <w:bottom w:val="nil"/>
              <w:right w:val="nil"/>
            </w:tcBorders>
            <w:shd w:val="clear" w:color="auto" w:fill="auto"/>
            <w:noWrap/>
            <w:vAlign w:val="center"/>
            <w:hideMark/>
          </w:tcPr>
          <w:p w14:paraId="656C5F6B" w14:textId="77777777" w:rsidR="00855662" w:rsidRPr="00667CD1" w:rsidRDefault="00855662" w:rsidP="003F0557">
            <w:pPr>
              <w:jc w:val="right"/>
              <w:rPr>
                <w:sz w:val="16"/>
                <w:szCs w:val="16"/>
                <w:lang w:eastAsia="en-AU"/>
              </w:rPr>
            </w:pPr>
          </w:p>
        </w:tc>
        <w:tc>
          <w:tcPr>
            <w:tcW w:w="850" w:type="dxa"/>
            <w:tcBorders>
              <w:top w:val="nil"/>
              <w:left w:val="nil"/>
              <w:bottom w:val="nil"/>
              <w:right w:val="nil"/>
            </w:tcBorders>
            <w:shd w:val="clear" w:color="auto" w:fill="auto"/>
            <w:noWrap/>
            <w:vAlign w:val="center"/>
            <w:hideMark/>
          </w:tcPr>
          <w:p w14:paraId="09958230" w14:textId="77777777" w:rsidR="00855662" w:rsidRPr="00667CD1" w:rsidRDefault="00855662" w:rsidP="003F0557">
            <w:pPr>
              <w:jc w:val="right"/>
              <w:rPr>
                <w:sz w:val="16"/>
                <w:szCs w:val="16"/>
                <w:lang w:eastAsia="en-AU"/>
              </w:rPr>
            </w:pPr>
          </w:p>
        </w:tc>
        <w:tc>
          <w:tcPr>
            <w:tcW w:w="836" w:type="dxa"/>
            <w:tcBorders>
              <w:top w:val="nil"/>
              <w:left w:val="nil"/>
              <w:bottom w:val="nil"/>
              <w:right w:val="nil"/>
            </w:tcBorders>
            <w:shd w:val="clear" w:color="auto" w:fill="F2F2F2" w:themeFill="background1" w:themeFillShade="F2"/>
            <w:noWrap/>
            <w:vAlign w:val="center"/>
            <w:hideMark/>
          </w:tcPr>
          <w:p w14:paraId="47B017A5"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4987F539"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7FD7753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07B84282"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1058" w:type="dxa"/>
            <w:tcBorders>
              <w:top w:val="nil"/>
              <w:left w:val="nil"/>
              <w:bottom w:val="nil"/>
              <w:right w:val="nil"/>
            </w:tcBorders>
            <w:shd w:val="clear" w:color="auto" w:fill="auto"/>
            <w:noWrap/>
            <w:vAlign w:val="center"/>
            <w:hideMark/>
          </w:tcPr>
          <w:p w14:paraId="42DC1705" w14:textId="77777777" w:rsidR="00855662" w:rsidRPr="00667CD1" w:rsidRDefault="00855662" w:rsidP="00855662">
            <w:pPr>
              <w:jc w:val="center"/>
              <w:rPr>
                <w:rFonts w:ascii="Arial" w:hAnsi="Arial" w:cs="Arial"/>
                <w:sz w:val="12"/>
                <w:szCs w:val="12"/>
                <w:lang w:eastAsia="en-AU"/>
              </w:rPr>
            </w:pPr>
          </w:p>
        </w:tc>
      </w:tr>
      <w:tr w:rsidR="00855662" w:rsidRPr="00667CD1" w14:paraId="045E79F5" w14:textId="77777777" w:rsidTr="003F0557">
        <w:trPr>
          <w:trHeight w:val="250"/>
        </w:trPr>
        <w:tc>
          <w:tcPr>
            <w:tcW w:w="3186" w:type="dxa"/>
            <w:tcBorders>
              <w:top w:val="nil"/>
              <w:left w:val="nil"/>
              <w:bottom w:val="nil"/>
              <w:right w:val="nil"/>
            </w:tcBorders>
            <w:shd w:val="clear" w:color="auto" w:fill="auto"/>
            <w:noWrap/>
            <w:vAlign w:val="center"/>
            <w:hideMark/>
          </w:tcPr>
          <w:p w14:paraId="181FC802" w14:textId="77777777" w:rsidR="00855662" w:rsidRPr="00667CD1" w:rsidRDefault="00855662" w:rsidP="00855662">
            <w:pPr>
              <w:rPr>
                <w:rFonts w:ascii="Arial" w:hAnsi="Arial" w:cs="Arial"/>
                <w:b/>
                <w:bCs/>
                <w:sz w:val="12"/>
                <w:szCs w:val="12"/>
                <w:lang w:eastAsia="en-AU"/>
              </w:rPr>
            </w:pPr>
            <w:r w:rsidRPr="00667CD1">
              <w:rPr>
                <w:rFonts w:ascii="Arial" w:hAnsi="Arial" w:cs="Arial"/>
                <w:b/>
                <w:bCs/>
                <w:sz w:val="12"/>
                <w:szCs w:val="12"/>
                <w:lang w:eastAsia="en-AU"/>
              </w:rPr>
              <w:t>Land tax</w:t>
            </w:r>
          </w:p>
        </w:tc>
        <w:tc>
          <w:tcPr>
            <w:tcW w:w="936" w:type="dxa"/>
            <w:tcBorders>
              <w:top w:val="nil"/>
              <w:left w:val="nil"/>
              <w:bottom w:val="nil"/>
              <w:right w:val="nil"/>
            </w:tcBorders>
            <w:shd w:val="clear" w:color="auto" w:fill="auto"/>
            <w:noWrap/>
            <w:vAlign w:val="center"/>
            <w:hideMark/>
          </w:tcPr>
          <w:p w14:paraId="1648B74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4,216</w:t>
            </w:r>
          </w:p>
        </w:tc>
        <w:tc>
          <w:tcPr>
            <w:tcW w:w="850" w:type="dxa"/>
            <w:tcBorders>
              <w:top w:val="nil"/>
              <w:left w:val="nil"/>
              <w:bottom w:val="nil"/>
              <w:right w:val="nil"/>
            </w:tcBorders>
            <w:shd w:val="clear" w:color="auto" w:fill="auto"/>
            <w:noWrap/>
            <w:vAlign w:val="center"/>
            <w:hideMark/>
          </w:tcPr>
          <w:p w14:paraId="7EAB6A91"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4,477</w:t>
            </w:r>
          </w:p>
        </w:tc>
        <w:tc>
          <w:tcPr>
            <w:tcW w:w="836" w:type="dxa"/>
            <w:tcBorders>
              <w:top w:val="nil"/>
              <w:left w:val="nil"/>
              <w:bottom w:val="nil"/>
              <w:right w:val="nil"/>
            </w:tcBorders>
            <w:shd w:val="clear" w:color="auto" w:fill="F2F2F2" w:themeFill="background1" w:themeFillShade="F2"/>
            <w:noWrap/>
            <w:vAlign w:val="center"/>
            <w:hideMark/>
          </w:tcPr>
          <w:p w14:paraId="112425BA"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4,639</w:t>
            </w:r>
          </w:p>
        </w:tc>
        <w:tc>
          <w:tcPr>
            <w:tcW w:w="836" w:type="dxa"/>
            <w:tcBorders>
              <w:top w:val="nil"/>
              <w:left w:val="nil"/>
              <w:bottom w:val="nil"/>
              <w:right w:val="nil"/>
            </w:tcBorders>
            <w:shd w:val="clear" w:color="auto" w:fill="F2F2F2" w:themeFill="background1" w:themeFillShade="F2"/>
            <w:noWrap/>
            <w:vAlign w:val="center"/>
            <w:hideMark/>
          </w:tcPr>
          <w:p w14:paraId="32C81D86"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4,547</w:t>
            </w:r>
          </w:p>
        </w:tc>
        <w:tc>
          <w:tcPr>
            <w:tcW w:w="836" w:type="dxa"/>
            <w:tcBorders>
              <w:top w:val="nil"/>
              <w:left w:val="nil"/>
              <w:bottom w:val="nil"/>
              <w:right w:val="nil"/>
            </w:tcBorders>
            <w:shd w:val="clear" w:color="auto" w:fill="F2F2F2" w:themeFill="background1" w:themeFillShade="F2"/>
            <w:noWrap/>
            <w:vAlign w:val="center"/>
            <w:hideMark/>
          </w:tcPr>
          <w:p w14:paraId="42216610"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4,574</w:t>
            </w:r>
          </w:p>
        </w:tc>
        <w:tc>
          <w:tcPr>
            <w:tcW w:w="836" w:type="dxa"/>
            <w:tcBorders>
              <w:top w:val="nil"/>
              <w:left w:val="nil"/>
              <w:bottom w:val="nil"/>
              <w:right w:val="nil"/>
            </w:tcBorders>
            <w:shd w:val="clear" w:color="auto" w:fill="F2F2F2" w:themeFill="background1" w:themeFillShade="F2"/>
            <w:noWrap/>
            <w:vAlign w:val="center"/>
            <w:hideMark/>
          </w:tcPr>
          <w:p w14:paraId="16553920"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4,646</w:t>
            </w:r>
          </w:p>
        </w:tc>
        <w:tc>
          <w:tcPr>
            <w:tcW w:w="1058" w:type="dxa"/>
            <w:tcBorders>
              <w:top w:val="nil"/>
              <w:left w:val="nil"/>
              <w:bottom w:val="nil"/>
              <w:right w:val="nil"/>
            </w:tcBorders>
            <w:shd w:val="clear" w:color="auto" w:fill="auto"/>
            <w:noWrap/>
            <w:vAlign w:val="center"/>
            <w:hideMark/>
          </w:tcPr>
          <w:p w14:paraId="5E7D34C6" w14:textId="3FECFBC9"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0.9 </w:t>
            </w:r>
          </w:p>
        </w:tc>
      </w:tr>
      <w:tr w:rsidR="00855662" w:rsidRPr="00667CD1" w14:paraId="5CB0788E" w14:textId="77777777" w:rsidTr="003F0557">
        <w:trPr>
          <w:trHeight w:val="57"/>
        </w:trPr>
        <w:tc>
          <w:tcPr>
            <w:tcW w:w="3186" w:type="dxa"/>
            <w:tcBorders>
              <w:top w:val="nil"/>
              <w:left w:val="nil"/>
              <w:bottom w:val="nil"/>
              <w:right w:val="nil"/>
            </w:tcBorders>
            <w:shd w:val="clear" w:color="auto" w:fill="auto"/>
            <w:noWrap/>
            <w:vAlign w:val="center"/>
            <w:hideMark/>
          </w:tcPr>
          <w:p w14:paraId="3779604E" w14:textId="77777777" w:rsidR="00855662" w:rsidRPr="00667CD1" w:rsidRDefault="00855662" w:rsidP="00855662">
            <w:pPr>
              <w:jc w:val="center"/>
              <w:rPr>
                <w:rFonts w:ascii="Arial" w:hAnsi="Arial" w:cs="Arial"/>
                <w:sz w:val="12"/>
                <w:szCs w:val="12"/>
                <w:lang w:eastAsia="en-AU"/>
              </w:rPr>
            </w:pPr>
          </w:p>
        </w:tc>
        <w:tc>
          <w:tcPr>
            <w:tcW w:w="936" w:type="dxa"/>
            <w:tcBorders>
              <w:top w:val="nil"/>
              <w:left w:val="nil"/>
              <w:bottom w:val="nil"/>
              <w:right w:val="nil"/>
            </w:tcBorders>
            <w:shd w:val="clear" w:color="auto" w:fill="auto"/>
            <w:noWrap/>
            <w:vAlign w:val="center"/>
            <w:hideMark/>
          </w:tcPr>
          <w:p w14:paraId="467061EF" w14:textId="77777777" w:rsidR="00855662" w:rsidRPr="00667CD1" w:rsidRDefault="00855662" w:rsidP="003F0557">
            <w:pPr>
              <w:jc w:val="right"/>
              <w:rPr>
                <w:sz w:val="16"/>
                <w:szCs w:val="16"/>
                <w:lang w:eastAsia="en-AU"/>
              </w:rPr>
            </w:pPr>
          </w:p>
        </w:tc>
        <w:tc>
          <w:tcPr>
            <w:tcW w:w="850" w:type="dxa"/>
            <w:tcBorders>
              <w:top w:val="nil"/>
              <w:left w:val="nil"/>
              <w:bottom w:val="nil"/>
              <w:right w:val="nil"/>
            </w:tcBorders>
            <w:shd w:val="clear" w:color="auto" w:fill="auto"/>
            <w:noWrap/>
            <w:vAlign w:val="center"/>
            <w:hideMark/>
          </w:tcPr>
          <w:p w14:paraId="6069E03E" w14:textId="77777777" w:rsidR="00855662" w:rsidRPr="00667CD1" w:rsidRDefault="00855662" w:rsidP="003F0557">
            <w:pPr>
              <w:jc w:val="right"/>
              <w:rPr>
                <w:sz w:val="16"/>
                <w:szCs w:val="16"/>
                <w:lang w:eastAsia="en-AU"/>
              </w:rPr>
            </w:pPr>
          </w:p>
        </w:tc>
        <w:tc>
          <w:tcPr>
            <w:tcW w:w="836" w:type="dxa"/>
            <w:tcBorders>
              <w:top w:val="nil"/>
              <w:left w:val="nil"/>
              <w:bottom w:val="nil"/>
              <w:right w:val="nil"/>
            </w:tcBorders>
            <w:shd w:val="clear" w:color="auto" w:fill="F2F2F2" w:themeFill="background1" w:themeFillShade="F2"/>
            <w:noWrap/>
            <w:vAlign w:val="center"/>
            <w:hideMark/>
          </w:tcPr>
          <w:p w14:paraId="58CCA33B" w14:textId="77777777" w:rsidR="00855662" w:rsidRPr="00667CD1" w:rsidRDefault="00855662" w:rsidP="003F0557">
            <w:pPr>
              <w:jc w:val="right"/>
              <w:rPr>
                <w:rFonts w:ascii="Arial" w:hAnsi="Arial" w:cs="Arial"/>
                <w:b/>
                <w:bCs/>
                <w:sz w:val="12"/>
                <w:szCs w:val="12"/>
                <w:lang w:eastAsia="en-AU"/>
              </w:rPr>
            </w:pPr>
            <w:r w:rsidRPr="00667CD1">
              <w:rPr>
                <w:rFonts w:ascii="Arial" w:hAnsi="Arial" w:cs="Arial"/>
                <w:b/>
                <w:bCs/>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3D9F002D" w14:textId="77777777" w:rsidR="00855662" w:rsidRPr="00667CD1" w:rsidRDefault="00855662" w:rsidP="003F0557">
            <w:pPr>
              <w:jc w:val="right"/>
              <w:rPr>
                <w:rFonts w:ascii="Arial" w:hAnsi="Arial" w:cs="Arial"/>
                <w:b/>
                <w:bCs/>
                <w:sz w:val="12"/>
                <w:szCs w:val="12"/>
                <w:lang w:eastAsia="en-AU"/>
              </w:rPr>
            </w:pPr>
            <w:r w:rsidRPr="00667CD1">
              <w:rPr>
                <w:rFonts w:ascii="Arial" w:hAnsi="Arial" w:cs="Arial"/>
                <w:b/>
                <w:bCs/>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17D68DD9" w14:textId="77777777" w:rsidR="00855662" w:rsidRPr="00667CD1" w:rsidRDefault="00855662" w:rsidP="003F0557">
            <w:pPr>
              <w:jc w:val="right"/>
              <w:rPr>
                <w:rFonts w:ascii="Arial" w:hAnsi="Arial" w:cs="Arial"/>
                <w:b/>
                <w:bCs/>
                <w:sz w:val="12"/>
                <w:szCs w:val="12"/>
                <w:lang w:eastAsia="en-AU"/>
              </w:rPr>
            </w:pPr>
            <w:r w:rsidRPr="00667CD1">
              <w:rPr>
                <w:rFonts w:ascii="Arial" w:hAnsi="Arial" w:cs="Arial"/>
                <w:b/>
                <w:bCs/>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1D0C8CF5" w14:textId="77777777" w:rsidR="00855662" w:rsidRPr="00667CD1" w:rsidRDefault="00855662" w:rsidP="003F0557">
            <w:pPr>
              <w:jc w:val="right"/>
              <w:rPr>
                <w:rFonts w:ascii="Arial" w:hAnsi="Arial" w:cs="Arial"/>
                <w:b/>
                <w:bCs/>
                <w:sz w:val="12"/>
                <w:szCs w:val="12"/>
                <w:lang w:eastAsia="en-AU"/>
              </w:rPr>
            </w:pPr>
            <w:r w:rsidRPr="00667CD1">
              <w:rPr>
                <w:rFonts w:ascii="Arial" w:hAnsi="Arial" w:cs="Arial"/>
                <w:b/>
                <w:bCs/>
                <w:sz w:val="12"/>
                <w:szCs w:val="12"/>
                <w:lang w:eastAsia="en-AU"/>
              </w:rPr>
              <w:t> </w:t>
            </w:r>
          </w:p>
        </w:tc>
        <w:tc>
          <w:tcPr>
            <w:tcW w:w="1058" w:type="dxa"/>
            <w:tcBorders>
              <w:top w:val="nil"/>
              <w:left w:val="nil"/>
              <w:bottom w:val="nil"/>
              <w:right w:val="nil"/>
            </w:tcBorders>
            <w:shd w:val="clear" w:color="auto" w:fill="auto"/>
            <w:noWrap/>
            <w:vAlign w:val="center"/>
            <w:hideMark/>
          </w:tcPr>
          <w:p w14:paraId="058865A7" w14:textId="77777777" w:rsidR="00855662" w:rsidRPr="00667CD1" w:rsidRDefault="00855662" w:rsidP="00855662">
            <w:pPr>
              <w:jc w:val="center"/>
              <w:rPr>
                <w:rFonts w:ascii="Arial" w:hAnsi="Arial" w:cs="Arial"/>
                <w:b/>
                <w:bCs/>
                <w:sz w:val="12"/>
                <w:szCs w:val="12"/>
                <w:lang w:eastAsia="en-AU"/>
              </w:rPr>
            </w:pPr>
          </w:p>
        </w:tc>
      </w:tr>
      <w:tr w:rsidR="00855662" w:rsidRPr="00667CD1" w14:paraId="75E796D6" w14:textId="77777777" w:rsidTr="003F0557">
        <w:trPr>
          <w:trHeight w:val="193"/>
        </w:trPr>
        <w:tc>
          <w:tcPr>
            <w:tcW w:w="3186" w:type="dxa"/>
            <w:tcBorders>
              <w:top w:val="nil"/>
              <w:left w:val="nil"/>
              <w:bottom w:val="nil"/>
              <w:right w:val="nil"/>
            </w:tcBorders>
            <w:shd w:val="clear" w:color="auto" w:fill="auto"/>
            <w:vAlign w:val="center"/>
            <w:hideMark/>
          </w:tcPr>
          <w:p w14:paraId="790DC4F6" w14:textId="77777777" w:rsidR="00855662" w:rsidRPr="00667CD1" w:rsidRDefault="00855662" w:rsidP="00855662">
            <w:pPr>
              <w:rPr>
                <w:rFonts w:ascii="Arial" w:hAnsi="Arial" w:cs="Arial"/>
                <w:b/>
                <w:bCs/>
                <w:sz w:val="12"/>
                <w:szCs w:val="12"/>
                <w:lang w:eastAsia="en-AU"/>
              </w:rPr>
            </w:pPr>
            <w:r w:rsidRPr="00667CD1">
              <w:rPr>
                <w:rFonts w:ascii="Arial" w:hAnsi="Arial" w:cs="Arial"/>
                <w:b/>
                <w:bCs/>
                <w:sz w:val="12"/>
                <w:szCs w:val="12"/>
                <w:lang w:eastAsia="en-AU"/>
              </w:rPr>
              <w:t>Taxes on motor vehicle</w:t>
            </w:r>
          </w:p>
        </w:tc>
        <w:tc>
          <w:tcPr>
            <w:tcW w:w="936" w:type="dxa"/>
            <w:tcBorders>
              <w:top w:val="nil"/>
              <w:left w:val="nil"/>
              <w:bottom w:val="nil"/>
              <w:right w:val="nil"/>
            </w:tcBorders>
            <w:shd w:val="clear" w:color="auto" w:fill="auto"/>
            <w:noWrap/>
            <w:vAlign w:val="center"/>
            <w:hideMark/>
          </w:tcPr>
          <w:p w14:paraId="204A085B" w14:textId="77777777" w:rsidR="00855662" w:rsidRPr="00667CD1" w:rsidRDefault="00855662" w:rsidP="003F0557">
            <w:pPr>
              <w:jc w:val="right"/>
              <w:rPr>
                <w:rFonts w:ascii="Arial" w:hAnsi="Arial" w:cs="Arial"/>
                <w:b/>
                <w:bCs/>
                <w:sz w:val="12"/>
                <w:szCs w:val="12"/>
                <w:lang w:eastAsia="en-AU"/>
              </w:rPr>
            </w:pPr>
          </w:p>
        </w:tc>
        <w:tc>
          <w:tcPr>
            <w:tcW w:w="850" w:type="dxa"/>
            <w:tcBorders>
              <w:top w:val="nil"/>
              <w:left w:val="nil"/>
              <w:bottom w:val="nil"/>
              <w:right w:val="nil"/>
            </w:tcBorders>
            <w:shd w:val="clear" w:color="auto" w:fill="auto"/>
            <w:noWrap/>
            <w:vAlign w:val="center"/>
            <w:hideMark/>
          </w:tcPr>
          <w:p w14:paraId="532F4F9E" w14:textId="77777777" w:rsidR="00855662" w:rsidRPr="00667CD1" w:rsidRDefault="00855662" w:rsidP="003F0557">
            <w:pPr>
              <w:jc w:val="right"/>
              <w:rPr>
                <w:sz w:val="16"/>
                <w:szCs w:val="16"/>
                <w:lang w:eastAsia="en-AU"/>
              </w:rPr>
            </w:pPr>
          </w:p>
        </w:tc>
        <w:tc>
          <w:tcPr>
            <w:tcW w:w="836" w:type="dxa"/>
            <w:tcBorders>
              <w:top w:val="nil"/>
              <w:left w:val="nil"/>
              <w:bottom w:val="nil"/>
              <w:right w:val="nil"/>
            </w:tcBorders>
            <w:shd w:val="clear" w:color="auto" w:fill="F2F2F2" w:themeFill="background1" w:themeFillShade="F2"/>
            <w:noWrap/>
            <w:vAlign w:val="center"/>
            <w:hideMark/>
          </w:tcPr>
          <w:p w14:paraId="590E41F4" w14:textId="77777777" w:rsidR="00855662" w:rsidRPr="00667CD1" w:rsidRDefault="00855662" w:rsidP="003F0557">
            <w:pPr>
              <w:jc w:val="right"/>
              <w:rPr>
                <w:rFonts w:ascii="Arial" w:hAnsi="Arial" w:cs="Arial"/>
                <w:b/>
                <w:bCs/>
                <w:sz w:val="12"/>
                <w:szCs w:val="12"/>
                <w:lang w:eastAsia="en-AU"/>
              </w:rPr>
            </w:pPr>
            <w:r w:rsidRPr="00667CD1">
              <w:rPr>
                <w:rFonts w:ascii="Arial" w:hAnsi="Arial" w:cs="Arial"/>
                <w:b/>
                <w:bCs/>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13051A84" w14:textId="77777777" w:rsidR="00855662" w:rsidRPr="00667CD1" w:rsidRDefault="00855662" w:rsidP="003F0557">
            <w:pPr>
              <w:jc w:val="right"/>
              <w:rPr>
                <w:rFonts w:ascii="Arial" w:hAnsi="Arial" w:cs="Arial"/>
                <w:b/>
                <w:bCs/>
                <w:sz w:val="12"/>
                <w:szCs w:val="12"/>
                <w:lang w:eastAsia="en-AU"/>
              </w:rPr>
            </w:pPr>
            <w:r w:rsidRPr="00667CD1">
              <w:rPr>
                <w:rFonts w:ascii="Arial" w:hAnsi="Arial" w:cs="Arial"/>
                <w:b/>
                <w:bCs/>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45D6EA82" w14:textId="77777777" w:rsidR="00855662" w:rsidRPr="00667CD1" w:rsidRDefault="00855662" w:rsidP="003F0557">
            <w:pPr>
              <w:jc w:val="right"/>
              <w:rPr>
                <w:rFonts w:ascii="Arial" w:hAnsi="Arial" w:cs="Arial"/>
                <w:b/>
                <w:bCs/>
                <w:sz w:val="12"/>
                <w:szCs w:val="12"/>
                <w:lang w:eastAsia="en-AU"/>
              </w:rPr>
            </w:pPr>
            <w:r w:rsidRPr="00667CD1">
              <w:rPr>
                <w:rFonts w:ascii="Arial" w:hAnsi="Arial" w:cs="Arial"/>
                <w:b/>
                <w:bCs/>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60EF4BAD" w14:textId="77777777" w:rsidR="00855662" w:rsidRPr="00667CD1" w:rsidRDefault="00855662" w:rsidP="003F0557">
            <w:pPr>
              <w:jc w:val="right"/>
              <w:rPr>
                <w:rFonts w:ascii="Arial" w:hAnsi="Arial" w:cs="Arial"/>
                <w:b/>
                <w:bCs/>
                <w:sz w:val="12"/>
                <w:szCs w:val="12"/>
                <w:lang w:eastAsia="en-AU"/>
              </w:rPr>
            </w:pPr>
            <w:r w:rsidRPr="00667CD1">
              <w:rPr>
                <w:rFonts w:ascii="Arial" w:hAnsi="Arial" w:cs="Arial"/>
                <w:b/>
                <w:bCs/>
                <w:sz w:val="12"/>
                <w:szCs w:val="12"/>
                <w:lang w:eastAsia="en-AU"/>
              </w:rPr>
              <w:t> </w:t>
            </w:r>
          </w:p>
        </w:tc>
        <w:tc>
          <w:tcPr>
            <w:tcW w:w="1058" w:type="dxa"/>
            <w:tcBorders>
              <w:top w:val="nil"/>
              <w:left w:val="nil"/>
              <w:bottom w:val="nil"/>
              <w:right w:val="nil"/>
            </w:tcBorders>
            <w:shd w:val="clear" w:color="auto" w:fill="auto"/>
            <w:noWrap/>
            <w:vAlign w:val="center"/>
            <w:hideMark/>
          </w:tcPr>
          <w:p w14:paraId="57370C81" w14:textId="77777777" w:rsidR="00855662" w:rsidRPr="00667CD1" w:rsidRDefault="00855662" w:rsidP="00855662">
            <w:pPr>
              <w:jc w:val="center"/>
              <w:rPr>
                <w:rFonts w:ascii="Arial" w:hAnsi="Arial" w:cs="Arial"/>
                <w:b/>
                <w:bCs/>
                <w:sz w:val="12"/>
                <w:szCs w:val="12"/>
                <w:lang w:eastAsia="en-AU"/>
              </w:rPr>
            </w:pPr>
          </w:p>
        </w:tc>
      </w:tr>
      <w:tr w:rsidR="00855662" w:rsidRPr="00667CD1" w14:paraId="7C5B5394" w14:textId="77777777" w:rsidTr="003F0557">
        <w:trPr>
          <w:trHeight w:val="250"/>
        </w:trPr>
        <w:tc>
          <w:tcPr>
            <w:tcW w:w="3186" w:type="dxa"/>
            <w:tcBorders>
              <w:top w:val="nil"/>
              <w:left w:val="nil"/>
              <w:bottom w:val="nil"/>
              <w:right w:val="nil"/>
            </w:tcBorders>
            <w:shd w:val="clear" w:color="auto" w:fill="auto"/>
            <w:vAlign w:val="center"/>
            <w:hideMark/>
          </w:tcPr>
          <w:p w14:paraId="5092981C" w14:textId="77777777" w:rsidR="00855662" w:rsidRPr="00667CD1" w:rsidRDefault="00855662" w:rsidP="00855662">
            <w:pPr>
              <w:rPr>
                <w:rFonts w:ascii="Arial" w:hAnsi="Arial" w:cs="Arial"/>
                <w:b/>
                <w:bCs/>
                <w:sz w:val="12"/>
                <w:szCs w:val="12"/>
                <w:lang w:eastAsia="en-AU"/>
              </w:rPr>
            </w:pPr>
            <w:r w:rsidRPr="00667CD1">
              <w:rPr>
                <w:rFonts w:ascii="Arial" w:hAnsi="Arial" w:cs="Arial"/>
                <w:b/>
                <w:bCs/>
                <w:sz w:val="12"/>
                <w:szCs w:val="12"/>
                <w:lang w:eastAsia="en-AU"/>
              </w:rPr>
              <w:t>ownership and operation</w:t>
            </w:r>
          </w:p>
        </w:tc>
        <w:tc>
          <w:tcPr>
            <w:tcW w:w="936" w:type="dxa"/>
            <w:tcBorders>
              <w:top w:val="nil"/>
              <w:left w:val="nil"/>
              <w:bottom w:val="nil"/>
              <w:right w:val="nil"/>
            </w:tcBorders>
            <w:shd w:val="clear" w:color="auto" w:fill="auto"/>
            <w:noWrap/>
            <w:vAlign w:val="center"/>
            <w:hideMark/>
          </w:tcPr>
          <w:p w14:paraId="22E25A7E" w14:textId="77777777" w:rsidR="00855662" w:rsidRPr="00667CD1" w:rsidRDefault="00855662" w:rsidP="003F0557">
            <w:pPr>
              <w:jc w:val="right"/>
              <w:rPr>
                <w:rFonts w:ascii="Arial" w:hAnsi="Arial" w:cs="Arial"/>
                <w:b/>
                <w:bCs/>
                <w:sz w:val="12"/>
                <w:szCs w:val="12"/>
                <w:lang w:eastAsia="en-AU"/>
              </w:rPr>
            </w:pPr>
          </w:p>
        </w:tc>
        <w:tc>
          <w:tcPr>
            <w:tcW w:w="850" w:type="dxa"/>
            <w:tcBorders>
              <w:top w:val="nil"/>
              <w:left w:val="nil"/>
              <w:bottom w:val="nil"/>
              <w:right w:val="nil"/>
            </w:tcBorders>
            <w:shd w:val="clear" w:color="auto" w:fill="auto"/>
            <w:noWrap/>
            <w:vAlign w:val="center"/>
            <w:hideMark/>
          </w:tcPr>
          <w:p w14:paraId="60B651F6" w14:textId="77777777" w:rsidR="00855662" w:rsidRPr="00667CD1" w:rsidRDefault="00855662" w:rsidP="003F0557">
            <w:pPr>
              <w:jc w:val="right"/>
              <w:rPr>
                <w:sz w:val="16"/>
                <w:szCs w:val="16"/>
                <w:lang w:eastAsia="en-AU"/>
              </w:rPr>
            </w:pPr>
          </w:p>
        </w:tc>
        <w:tc>
          <w:tcPr>
            <w:tcW w:w="836" w:type="dxa"/>
            <w:tcBorders>
              <w:top w:val="nil"/>
              <w:left w:val="nil"/>
              <w:bottom w:val="nil"/>
              <w:right w:val="nil"/>
            </w:tcBorders>
            <w:shd w:val="clear" w:color="auto" w:fill="F2F2F2" w:themeFill="background1" w:themeFillShade="F2"/>
            <w:noWrap/>
            <w:vAlign w:val="center"/>
            <w:hideMark/>
          </w:tcPr>
          <w:p w14:paraId="4D73416E"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59A1E47D"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32C76CD9"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27A787B7"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1058" w:type="dxa"/>
            <w:tcBorders>
              <w:top w:val="nil"/>
              <w:left w:val="nil"/>
              <w:bottom w:val="nil"/>
              <w:right w:val="nil"/>
            </w:tcBorders>
            <w:shd w:val="clear" w:color="auto" w:fill="auto"/>
            <w:noWrap/>
            <w:vAlign w:val="center"/>
            <w:hideMark/>
          </w:tcPr>
          <w:p w14:paraId="610E4AE0" w14:textId="77777777" w:rsidR="00855662" w:rsidRPr="00667CD1" w:rsidRDefault="00855662" w:rsidP="00855662">
            <w:pPr>
              <w:jc w:val="center"/>
              <w:rPr>
                <w:rFonts w:ascii="Arial" w:hAnsi="Arial" w:cs="Arial"/>
                <w:sz w:val="12"/>
                <w:szCs w:val="12"/>
                <w:lang w:eastAsia="en-AU"/>
              </w:rPr>
            </w:pPr>
          </w:p>
        </w:tc>
      </w:tr>
      <w:tr w:rsidR="00855662" w:rsidRPr="00667CD1" w14:paraId="493341DD" w14:textId="77777777" w:rsidTr="003F0557">
        <w:trPr>
          <w:trHeight w:val="250"/>
        </w:trPr>
        <w:tc>
          <w:tcPr>
            <w:tcW w:w="3186" w:type="dxa"/>
            <w:tcBorders>
              <w:top w:val="nil"/>
              <w:left w:val="nil"/>
              <w:bottom w:val="nil"/>
              <w:right w:val="nil"/>
            </w:tcBorders>
            <w:shd w:val="clear" w:color="auto" w:fill="auto"/>
            <w:noWrap/>
            <w:vAlign w:val="center"/>
            <w:hideMark/>
          </w:tcPr>
          <w:p w14:paraId="56A25DA9"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Weight tax</w:t>
            </w:r>
          </w:p>
        </w:tc>
        <w:tc>
          <w:tcPr>
            <w:tcW w:w="936" w:type="dxa"/>
            <w:tcBorders>
              <w:top w:val="nil"/>
              <w:left w:val="nil"/>
              <w:bottom w:val="nil"/>
              <w:right w:val="nil"/>
            </w:tcBorders>
            <w:shd w:val="clear" w:color="auto" w:fill="FFFFFF" w:themeFill="background1"/>
            <w:noWrap/>
            <w:vAlign w:val="center"/>
            <w:hideMark/>
          </w:tcPr>
          <w:p w14:paraId="2DEFF0D7"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2,210</w:t>
            </w:r>
          </w:p>
        </w:tc>
        <w:tc>
          <w:tcPr>
            <w:tcW w:w="850" w:type="dxa"/>
            <w:tcBorders>
              <w:top w:val="nil"/>
              <w:left w:val="nil"/>
              <w:bottom w:val="nil"/>
              <w:right w:val="nil"/>
            </w:tcBorders>
            <w:shd w:val="clear" w:color="auto" w:fill="FFFFFF" w:themeFill="background1"/>
            <w:noWrap/>
            <w:vAlign w:val="center"/>
            <w:hideMark/>
          </w:tcPr>
          <w:p w14:paraId="68F736C7"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2,256</w:t>
            </w:r>
          </w:p>
        </w:tc>
        <w:tc>
          <w:tcPr>
            <w:tcW w:w="836" w:type="dxa"/>
            <w:tcBorders>
              <w:top w:val="nil"/>
              <w:left w:val="nil"/>
              <w:bottom w:val="nil"/>
              <w:right w:val="nil"/>
            </w:tcBorders>
            <w:shd w:val="clear" w:color="auto" w:fill="F2F2F2" w:themeFill="background1" w:themeFillShade="F2"/>
            <w:noWrap/>
            <w:vAlign w:val="center"/>
            <w:hideMark/>
          </w:tcPr>
          <w:p w14:paraId="6EFD65DA"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2,288</w:t>
            </w:r>
          </w:p>
        </w:tc>
        <w:tc>
          <w:tcPr>
            <w:tcW w:w="836" w:type="dxa"/>
            <w:tcBorders>
              <w:top w:val="nil"/>
              <w:left w:val="nil"/>
              <w:bottom w:val="nil"/>
              <w:right w:val="nil"/>
            </w:tcBorders>
            <w:shd w:val="clear" w:color="auto" w:fill="F2F2F2" w:themeFill="background1" w:themeFillShade="F2"/>
            <w:noWrap/>
            <w:vAlign w:val="center"/>
            <w:hideMark/>
          </w:tcPr>
          <w:p w14:paraId="0A395C2D"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2,331</w:t>
            </w:r>
          </w:p>
        </w:tc>
        <w:tc>
          <w:tcPr>
            <w:tcW w:w="836" w:type="dxa"/>
            <w:tcBorders>
              <w:top w:val="nil"/>
              <w:left w:val="nil"/>
              <w:bottom w:val="nil"/>
              <w:right w:val="nil"/>
            </w:tcBorders>
            <w:shd w:val="clear" w:color="auto" w:fill="F2F2F2" w:themeFill="background1" w:themeFillShade="F2"/>
            <w:noWrap/>
            <w:vAlign w:val="center"/>
            <w:hideMark/>
          </w:tcPr>
          <w:p w14:paraId="5591E71D"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2,410</w:t>
            </w:r>
          </w:p>
        </w:tc>
        <w:tc>
          <w:tcPr>
            <w:tcW w:w="836" w:type="dxa"/>
            <w:tcBorders>
              <w:top w:val="nil"/>
              <w:left w:val="nil"/>
              <w:bottom w:val="nil"/>
              <w:right w:val="nil"/>
            </w:tcBorders>
            <w:shd w:val="clear" w:color="auto" w:fill="F2F2F2" w:themeFill="background1" w:themeFillShade="F2"/>
            <w:noWrap/>
            <w:vAlign w:val="center"/>
            <w:hideMark/>
          </w:tcPr>
          <w:p w14:paraId="595C2949"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2,497</w:t>
            </w:r>
          </w:p>
        </w:tc>
        <w:tc>
          <w:tcPr>
            <w:tcW w:w="1058" w:type="dxa"/>
            <w:tcBorders>
              <w:top w:val="nil"/>
              <w:left w:val="nil"/>
              <w:bottom w:val="nil"/>
              <w:right w:val="nil"/>
            </w:tcBorders>
            <w:shd w:val="clear" w:color="auto" w:fill="auto"/>
            <w:noWrap/>
            <w:vAlign w:val="center"/>
            <w:hideMark/>
          </w:tcPr>
          <w:p w14:paraId="3FA8C8FC" w14:textId="01842D7B"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2.6 </w:t>
            </w:r>
          </w:p>
        </w:tc>
      </w:tr>
      <w:tr w:rsidR="00855662" w:rsidRPr="00667CD1" w14:paraId="5BCCC3F3" w14:textId="77777777" w:rsidTr="003F0557">
        <w:trPr>
          <w:trHeight w:val="225"/>
        </w:trPr>
        <w:tc>
          <w:tcPr>
            <w:tcW w:w="3186" w:type="dxa"/>
            <w:tcBorders>
              <w:top w:val="nil"/>
              <w:left w:val="nil"/>
              <w:bottom w:val="nil"/>
              <w:right w:val="nil"/>
            </w:tcBorders>
            <w:shd w:val="clear" w:color="auto" w:fill="auto"/>
            <w:noWrap/>
            <w:vAlign w:val="center"/>
            <w:hideMark/>
          </w:tcPr>
          <w:p w14:paraId="4E729EB7"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 xml:space="preserve">Vehicle transfer fees </w:t>
            </w:r>
            <w:r w:rsidRPr="00667CD1">
              <w:rPr>
                <w:rFonts w:ascii="Arial" w:hAnsi="Arial" w:cs="Arial"/>
                <w:sz w:val="12"/>
                <w:szCs w:val="12"/>
                <w:vertAlign w:val="superscript"/>
                <w:lang w:eastAsia="en-AU"/>
              </w:rPr>
              <w:t>(b)</w:t>
            </w:r>
          </w:p>
        </w:tc>
        <w:tc>
          <w:tcPr>
            <w:tcW w:w="936" w:type="dxa"/>
            <w:tcBorders>
              <w:top w:val="nil"/>
              <w:left w:val="nil"/>
              <w:bottom w:val="nil"/>
              <w:right w:val="nil"/>
            </w:tcBorders>
            <w:shd w:val="clear" w:color="auto" w:fill="FFFFFF" w:themeFill="background1"/>
            <w:noWrap/>
            <w:vAlign w:val="center"/>
            <w:hideMark/>
          </w:tcPr>
          <w:p w14:paraId="1E3FADBF"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52</w:t>
            </w:r>
          </w:p>
        </w:tc>
        <w:tc>
          <w:tcPr>
            <w:tcW w:w="850" w:type="dxa"/>
            <w:tcBorders>
              <w:top w:val="nil"/>
              <w:left w:val="nil"/>
              <w:bottom w:val="nil"/>
              <w:right w:val="nil"/>
            </w:tcBorders>
            <w:shd w:val="clear" w:color="auto" w:fill="FFFFFF" w:themeFill="background1"/>
            <w:noWrap/>
            <w:vAlign w:val="center"/>
            <w:hideMark/>
          </w:tcPr>
          <w:p w14:paraId="0BF93502"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53</w:t>
            </w:r>
          </w:p>
        </w:tc>
        <w:tc>
          <w:tcPr>
            <w:tcW w:w="836" w:type="dxa"/>
            <w:tcBorders>
              <w:top w:val="nil"/>
              <w:left w:val="nil"/>
              <w:bottom w:val="nil"/>
              <w:right w:val="nil"/>
            </w:tcBorders>
            <w:shd w:val="clear" w:color="auto" w:fill="F2F2F2" w:themeFill="background1" w:themeFillShade="F2"/>
            <w:noWrap/>
            <w:vAlign w:val="center"/>
            <w:hideMark/>
          </w:tcPr>
          <w:p w14:paraId="72733F2D"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57</w:t>
            </w:r>
          </w:p>
        </w:tc>
        <w:tc>
          <w:tcPr>
            <w:tcW w:w="836" w:type="dxa"/>
            <w:tcBorders>
              <w:top w:val="nil"/>
              <w:left w:val="nil"/>
              <w:bottom w:val="nil"/>
              <w:right w:val="nil"/>
            </w:tcBorders>
            <w:shd w:val="clear" w:color="auto" w:fill="F2F2F2" w:themeFill="background1" w:themeFillShade="F2"/>
            <w:noWrap/>
            <w:vAlign w:val="center"/>
            <w:hideMark/>
          </w:tcPr>
          <w:p w14:paraId="4A4B9D0E"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58</w:t>
            </w:r>
          </w:p>
        </w:tc>
        <w:tc>
          <w:tcPr>
            <w:tcW w:w="836" w:type="dxa"/>
            <w:tcBorders>
              <w:top w:val="nil"/>
              <w:left w:val="nil"/>
              <w:bottom w:val="nil"/>
              <w:right w:val="nil"/>
            </w:tcBorders>
            <w:shd w:val="clear" w:color="auto" w:fill="F2F2F2" w:themeFill="background1" w:themeFillShade="F2"/>
            <w:noWrap/>
            <w:vAlign w:val="center"/>
            <w:hideMark/>
          </w:tcPr>
          <w:p w14:paraId="51D4F7BA"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61</w:t>
            </w:r>
          </w:p>
        </w:tc>
        <w:tc>
          <w:tcPr>
            <w:tcW w:w="836" w:type="dxa"/>
            <w:tcBorders>
              <w:top w:val="nil"/>
              <w:left w:val="nil"/>
              <w:bottom w:val="nil"/>
              <w:right w:val="nil"/>
            </w:tcBorders>
            <w:shd w:val="clear" w:color="auto" w:fill="F2F2F2" w:themeFill="background1" w:themeFillShade="F2"/>
            <w:noWrap/>
            <w:vAlign w:val="center"/>
            <w:hideMark/>
          </w:tcPr>
          <w:p w14:paraId="72308C02"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62</w:t>
            </w:r>
          </w:p>
        </w:tc>
        <w:tc>
          <w:tcPr>
            <w:tcW w:w="1058" w:type="dxa"/>
            <w:tcBorders>
              <w:top w:val="nil"/>
              <w:left w:val="nil"/>
              <w:bottom w:val="nil"/>
              <w:right w:val="nil"/>
            </w:tcBorders>
            <w:shd w:val="clear" w:color="auto" w:fill="auto"/>
            <w:noWrap/>
            <w:vAlign w:val="center"/>
            <w:hideMark/>
          </w:tcPr>
          <w:p w14:paraId="4B782914" w14:textId="46D18AE5"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4.2 </w:t>
            </w:r>
          </w:p>
        </w:tc>
      </w:tr>
      <w:tr w:rsidR="00855662" w:rsidRPr="00667CD1" w14:paraId="41587CF1" w14:textId="77777777" w:rsidTr="003F0557">
        <w:trPr>
          <w:trHeight w:val="57"/>
        </w:trPr>
        <w:tc>
          <w:tcPr>
            <w:tcW w:w="3186" w:type="dxa"/>
            <w:tcBorders>
              <w:top w:val="nil"/>
              <w:left w:val="nil"/>
              <w:bottom w:val="nil"/>
              <w:right w:val="nil"/>
            </w:tcBorders>
            <w:shd w:val="clear" w:color="auto" w:fill="auto"/>
            <w:vAlign w:val="center"/>
            <w:hideMark/>
          </w:tcPr>
          <w:p w14:paraId="59861964" w14:textId="77777777" w:rsidR="00855662" w:rsidRPr="00667CD1" w:rsidRDefault="00855662" w:rsidP="00855662">
            <w:pPr>
              <w:jc w:val="center"/>
              <w:rPr>
                <w:rFonts w:ascii="Arial" w:hAnsi="Arial" w:cs="Arial"/>
                <w:sz w:val="12"/>
                <w:szCs w:val="12"/>
                <w:lang w:eastAsia="en-AU"/>
              </w:rPr>
            </w:pPr>
          </w:p>
        </w:tc>
        <w:tc>
          <w:tcPr>
            <w:tcW w:w="936" w:type="dxa"/>
            <w:tcBorders>
              <w:top w:val="nil"/>
              <w:left w:val="nil"/>
              <w:bottom w:val="nil"/>
              <w:right w:val="nil"/>
            </w:tcBorders>
            <w:shd w:val="clear" w:color="auto" w:fill="auto"/>
            <w:noWrap/>
            <w:vAlign w:val="center"/>
            <w:hideMark/>
          </w:tcPr>
          <w:p w14:paraId="0889028C" w14:textId="77777777" w:rsidR="00855662" w:rsidRPr="00667CD1" w:rsidRDefault="00855662" w:rsidP="003F0557">
            <w:pPr>
              <w:jc w:val="right"/>
              <w:rPr>
                <w:sz w:val="16"/>
                <w:szCs w:val="16"/>
                <w:lang w:eastAsia="en-AU"/>
              </w:rPr>
            </w:pPr>
          </w:p>
        </w:tc>
        <w:tc>
          <w:tcPr>
            <w:tcW w:w="850" w:type="dxa"/>
            <w:tcBorders>
              <w:top w:val="nil"/>
              <w:left w:val="nil"/>
              <w:bottom w:val="nil"/>
              <w:right w:val="nil"/>
            </w:tcBorders>
            <w:shd w:val="clear" w:color="auto" w:fill="FFFFFF" w:themeFill="background1"/>
            <w:noWrap/>
            <w:vAlign w:val="center"/>
            <w:hideMark/>
          </w:tcPr>
          <w:p w14:paraId="0B3379F2"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50D9FE86"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56062AB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45A114EE"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4FACCA9F"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1058" w:type="dxa"/>
            <w:tcBorders>
              <w:top w:val="nil"/>
              <w:left w:val="nil"/>
              <w:bottom w:val="nil"/>
              <w:right w:val="nil"/>
            </w:tcBorders>
            <w:shd w:val="clear" w:color="auto" w:fill="auto"/>
            <w:noWrap/>
            <w:vAlign w:val="center"/>
            <w:hideMark/>
          </w:tcPr>
          <w:p w14:paraId="32E61FA3" w14:textId="77777777" w:rsidR="00855662" w:rsidRPr="00667CD1" w:rsidRDefault="00855662" w:rsidP="00855662">
            <w:pPr>
              <w:jc w:val="center"/>
              <w:rPr>
                <w:rFonts w:ascii="Arial" w:hAnsi="Arial" w:cs="Arial"/>
                <w:sz w:val="12"/>
                <w:szCs w:val="12"/>
                <w:lang w:eastAsia="en-AU"/>
              </w:rPr>
            </w:pPr>
          </w:p>
        </w:tc>
      </w:tr>
      <w:tr w:rsidR="00855662" w:rsidRPr="00667CD1" w14:paraId="3F96755D" w14:textId="77777777" w:rsidTr="003F0557">
        <w:trPr>
          <w:trHeight w:val="225"/>
        </w:trPr>
        <w:tc>
          <w:tcPr>
            <w:tcW w:w="3186" w:type="dxa"/>
            <w:tcBorders>
              <w:top w:val="nil"/>
              <w:left w:val="nil"/>
              <w:bottom w:val="nil"/>
              <w:right w:val="nil"/>
            </w:tcBorders>
            <w:shd w:val="clear" w:color="auto" w:fill="auto"/>
            <w:noWrap/>
            <w:vAlign w:val="center"/>
            <w:hideMark/>
          </w:tcPr>
          <w:p w14:paraId="7ABE0363"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Other motor vehicle taxes</w:t>
            </w:r>
          </w:p>
        </w:tc>
        <w:tc>
          <w:tcPr>
            <w:tcW w:w="936" w:type="dxa"/>
            <w:tcBorders>
              <w:top w:val="nil"/>
              <w:left w:val="nil"/>
              <w:bottom w:val="nil"/>
              <w:right w:val="nil"/>
            </w:tcBorders>
            <w:shd w:val="clear" w:color="auto" w:fill="FFFFFF" w:themeFill="background1"/>
            <w:noWrap/>
            <w:vAlign w:val="center"/>
            <w:hideMark/>
          </w:tcPr>
          <w:p w14:paraId="6694E4FF"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40</w:t>
            </w:r>
          </w:p>
        </w:tc>
        <w:tc>
          <w:tcPr>
            <w:tcW w:w="850" w:type="dxa"/>
            <w:tcBorders>
              <w:top w:val="nil"/>
              <w:left w:val="nil"/>
              <w:bottom w:val="nil"/>
              <w:right w:val="nil"/>
            </w:tcBorders>
            <w:shd w:val="clear" w:color="auto" w:fill="FFFFFF" w:themeFill="background1"/>
            <w:noWrap/>
            <w:vAlign w:val="center"/>
            <w:hideMark/>
          </w:tcPr>
          <w:p w14:paraId="79220A89"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35</w:t>
            </w:r>
          </w:p>
        </w:tc>
        <w:tc>
          <w:tcPr>
            <w:tcW w:w="836" w:type="dxa"/>
            <w:tcBorders>
              <w:top w:val="nil"/>
              <w:left w:val="nil"/>
              <w:bottom w:val="nil"/>
              <w:right w:val="nil"/>
            </w:tcBorders>
            <w:shd w:val="clear" w:color="auto" w:fill="F2F2F2" w:themeFill="background1" w:themeFillShade="F2"/>
            <w:noWrap/>
            <w:vAlign w:val="center"/>
            <w:hideMark/>
          </w:tcPr>
          <w:p w14:paraId="29FB2C4C"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36</w:t>
            </w:r>
          </w:p>
        </w:tc>
        <w:tc>
          <w:tcPr>
            <w:tcW w:w="836" w:type="dxa"/>
            <w:tcBorders>
              <w:top w:val="nil"/>
              <w:left w:val="nil"/>
              <w:bottom w:val="nil"/>
              <w:right w:val="nil"/>
            </w:tcBorders>
            <w:shd w:val="clear" w:color="auto" w:fill="F2F2F2" w:themeFill="background1" w:themeFillShade="F2"/>
            <w:noWrap/>
            <w:vAlign w:val="center"/>
            <w:hideMark/>
          </w:tcPr>
          <w:p w14:paraId="23DF2346"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37</w:t>
            </w:r>
          </w:p>
        </w:tc>
        <w:tc>
          <w:tcPr>
            <w:tcW w:w="836" w:type="dxa"/>
            <w:tcBorders>
              <w:top w:val="nil"/>
              <w:left w:val="nil"/>
              <w:bottom w:val="nil"/>
              <w:right w:val="nil"/>
            </w:tcBorders>
            <w:shd w:val="clear" w:color="auto" w:fill="F2F2F2" w:themeFill="background1" w:themeFillShade="F2"/>
            <w:noWrap/>
            <w:vAlign w:val="center"/>
            <w:hideMark/>
          </w:tcPr>
          <w:p w14:paraId="4258E8BB"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38</w:t>
            </w:r>
          </w:p>
        </w:tc>
        <w:tc>
          <w:tcPr>
            <w:tcW w:w="836" w:type="dxa"/>
            <w:tcBorders>
              <w:top w:val="nil"/>
              <w:left w:val="nil"/>
              <w:bottom w:val="nil"/>
              <w:right w:val="nil"/>
            </w:tcBorders>
            <w:shd w:val="clear" w:color="auto" w:fill="F2F2F2" w:themeFill="background1" w:themeFillShade="F2"/>
            <w:noWrap/>
            <w:vAlign w:val="center"/>
            <w:hideMark/>
          </w:tcPr>
          <w:p w14:paraId="67E51F87"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39</w:t>
            </w:r>
          </w:p>
        </w:tc>
        <w:tc>
          <w:tcPr>
            <w:tcW w:w="1058" w:type="dxa"/>
            <w:tcBorders>
              <w:top w:val="nil"/>
              <w:left w:val="nil"/>
              <w:bottom w:val="nil"/>
              <w:right w:val="nil"/>
            </w:tcBorders>
            <w:shd w:val="clear" w:color="auto" w:fill="auto"/>
            <w:noWrap/>
            <w:vAlign w:val="center"/>
            <w:hideMark/>
          </w:tcPr>
          <w:p w14:paraId="5BF776D3" w14:textId="6FCA4A68"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2.3 </w:t>
            </w:r>
          </w:p>
        </w:tc>
      </w:tr>
      <w:tr w:rsidR="00E26D63" w:rsidRPr="00667CD1" w14:paraId="45D1BDD4" w14:textId="77777777" w:rsidTr="003F0557">
        <w:trPr>
          <w:trHeight w:val="330"/>
        </w:trPr>
        <w:tc>
          <w:tcPr>
            <w:tcW w:w="3186" w:type="dxa"/>
            <w:tcBorders>
              <w:top w:val="nil"/>
              <w:left w:val="nil"/>
              <w:bottom w:val="nil"/>
              <w:right w:val="nil"/>
            </w:tcBorders>
            <w:shd w:val="clear" w:color="auto" w:fill="auto"/>
            <w:noWrap/>
            <w:vAlign w:val="center"/>
            <w:hideMark/>
          </w:tcPr>
          <w:p w14:paraId="0A213C2B" w14:textId="77777777" w:rsidR="00855662" w:rsidRPr="00667CD1" w:rsidRDefault="00855662" w:rsidP="00855662">
            <w:pPr>
              <w:jc w:val="center"/>
              <w:rPr>
                <w:rFonts w:ascii="Arial" w:hAnsi="Arial" w:cs="Arial"/>
                <w:color w:val="008EBA"/>
                <w:sz w:val="12"/>
                <w:szCs w:val="12"/>
                <w:lang w:eastAsia="en-AU"/>
              </w:rPr>
            </w:pPr>
          </w:p>
        </w:tc>
        <w:tc>
          <w:tcPr>
            <w:tcW w:w="936" w:type="dxa"/>
            <w:tcBorders>
              <w:top w:val="single" w:sz="4" w:space="0" w:color="auto"/>
              <w:left w:val="nil"/>
              <w:bottom w:val="single" w:sz="4" w:space="0" w:color="auto"/>
              <w:right w:val="nil"/>
            </w:tcBorders>
            <w:shd w:val="clear" w:color="auto" w:fill="auto"/>
            <w:noWrap/>
            <w:vAlign w:val="center"/>
            <w:hideMark/>
          </w:tcPr>
          <w:p w14:paraId="380DE6C2"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2,302</w:t>
            </w:r>
          </w:p>
        </w:tc>
        <w:tc>
          <w:tcPr>
            <w:tcW w:w="850" w:type="dxa"/>
            <w:tcBorders>
              <w:top w:val="single" w:sz="4" w:space="0" w:color="auto"/>
              <w:left w:val="nil"/>
              <w:bottom w:val="single" w:sz="4" w:space="0" w:color="auto"/>
              <w:right w:val="nil"/>
            </w:tcBorders>
            <w:shd w:val="clear" w:color="auto" w:fill="auto"/>
            <w:noWrap/>
            <w:vAlign w:val="center"/>
            <w:hideMark/>
          </w:tcPr>
          <w:p w14:paraId="085A6F9B"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2,344</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10783998"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2,381</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6F463D1B"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2,426</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74A31A2F"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2,509</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30307423"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2,598</w:t>
            </w:r>
          </w:p>
        </w:tc>
        <w:tc>
          <w:tcPr>
            <w:tcW w:w="1058" w:type="dxa"/>
            <w:tcBorders>
              <w:top w:val="single" w:sz="4" w:space="0" w:color="auto"/>
              <w:left w:val="nil"/>
              <w:bottom w:val="single" w:sz="4" w:space="0" w:color="auto"/>
              <w:right w:val="nil"/>
            </w:tcBorders>
            <w:shd w:val="clear" w:color="auto" w:fill="auto"/>
            <w:noWrap/>
            <w:vAlign w:val="center"/>
            <w:hideMark/>
          </w:tcPr>
          <w:p w14:paraId="4DE42E51" w14:textId="3E956D92" w:rsidR="00855662" w:rsidRPr="00667CD1" w:rsidRDefault="00855662" w:rsidP="00855662">
            <w:pPr>
              <w:jc w:val="center"/>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2.6 </w:t>
            </w:r>
          </w:p>
        </w:tc>
      </w:tr>
      <w:tr w:rsidR="00855662" w:rsidRPr="00667CD1" w14:paraId="2F7E8F91" w14:textId="77777777" w:rsidTr="003F0557">
        <w:trPr>
          <w:trHeight w:val="57"/>
        </w:trPr>
        <w:tc>
          <w:tcPr>
            <w:tcW w:w="3186" w:type="dxa"/>
            <w:tcBorders>
              <w:top w:val="nil"/>
              <w:left w:val="nil"/>
              <w:bottom w:val="nil"/>
              <w:right w:val="nil"/>
            </w:tcBorders>
            <w:shd w:val="clear" w:color="auto" w:fill="auto"/>
            <w:noWrap/>
            <w:vAlign w:val="bottom"/>
            <w:hideMark/>
          </w:tcPr>
          <w:p w14:paraId="1A6C5725" w14:textId="77777777" w:rsidR="00855662" w:rsidRPr="00667CD1" w:rsidRDefault="00855662" w:rsidP="00855662">
            <w:pPr>
              <w:jc w:val="center"/>
              <w:rPr>
                <w:rFonts w:ascii="Arial" w:hAnsi="Arial" w:cs="Arial"/>
                <w:b/>
                <w:bCs/>
                <w:color w:val="00ABE6"/>
                <w:sz w:val="12"/>
                <w:szCs w:val="12"/>
                <w:lang w:eastAsia="en-AU"/>
              </w:rPr>
            </w:pPr>
          </w:p>
        </w:tc>
        <w:tc>
          <w:tcPr>
            <w:tcW w:w="936" w:type="dxa"/>
            <w:tcBorders>
              <w:top w:val="nil"/>
              <w:left w:val="nil"/>
              <w:bottom w:val="nil"/>
              <w:right w:val="nil"/>
            </w:tcBorders>
            <w:shd w:val="clear" w:color="auto" w:fill="auto"/>
            <w:noWrap/>
            <w:vAlign w:val="center"/>
            <w:hideMark/>
          </w:tcPr>
          <w:p w14:paraId="4957D3D9" w14:textId="77777777" w:rsidR="00855662" w:rsidRPr="00667CD1" w:rsidRDefault="00855662" w:rsidP="003F0557">
            <w:pPr>
              <w:jc w:val="right"/>
              <w:rPr>
                <w:sz w:val="16"/>
                <w:szCs w:val="16"/>
                <w:lang w:eastAsia="en-AU"/>
              </w:rPr>
            </w:pPr>
          </w:p>
        </w:tc>
        <w:tc>
          <w:tcPr>
            <w:tcW w:w="850" w:type="dxa"/>
            <w:tcBorders>
              <w:top w:val="nil"/>
              <w:left w:val="nil"/>
              <w:bottom w:val="nil"/>
              <w:right w:val="nil"/>
            </w:tcBorders>
            <w:shd w:val="clear" w:color="auto" w:fill="auto"/>
            <w:noWrap/>
            <w:vAlign w:val="center"/>
            <w:hideMark/>
          </w:tcPr>
          <w:p w14:paraId="49670885" w14:textId="77777777" w:rsidR="00855662" w:rsidRPr="00667CD1" w:rsidRDefault="00855662" w:rsidP="003F0557">
            <w:pPr>
              <w:jc w:val="right"/>
              <w:rPr>
                <w:sz w:val="16"/>
                <w:szCs w:val="16"/>
                <w:lang w:eastAsia="en-AU"/>
              </w:rPr>
            </w:pPr>
          </w:p>
        </w:tc>
        <w:tc>
          <w:tcPr>
            <w:tcW w:w="836" w:type="dxa"/>
            <w:tcBorders>
              <w:top w:val="nil"/>
              <w:left w:val="nil"/>
              <w:bottom w:val="nil"/>
              <w:right w:val="nil"/>
            </w:tcBorders>
            <w:shd w:val="clear" w:color="auto" w:fill="F2F2F2" w:themeFill="background1" w:themeFillShade="F2"/>
            <w:noWrap/>
            <w:vAlign w:val="center"/>
            <w:hideMark/>
          </w:tcPr>
          <w:p w14:paraId="10BEA43F"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7CAFB4C3"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7BB69FA9"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28181C4B"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1058" w:type="dxa"/>
            <w:tcBorders>
              <w:top w:val="nil"/>
              <w:left w:val="nil"/>
              <w:bottom w:val="nil"/>
              <w:right w:val="nil"/>
            </w:tcBorders>
            <w:shd w:val="clear" w:color="auto" w:fill="auto"/>
            <w:noWrap/>
            <w:vAlign w:val="bottom"/>
            <w:hideMark/>
          </w:tcPr>
          <w:p w14:paraId="40023380" w14:textId="77777777" w:rsidR="00855662" w:rsidRPr="00667CD1" w:rsidRDefault="00855662" w:rsidP="00855662">
            <w:pPr>
              <w:jc w:val="center"/>
              <w:rPr>
                <w:rFonts w:ascii="Arial" w:hAnsi="Arial" w:cs="Arial"/>
                <w:sz w:val="12"/>
                <w:szCs w:val="12"/>
                <w:lang w:eastAsia="en-AU"/>
              </w:rPr>
            </w:pPr>
          </w:p>
        </w:tc>
      </w:tr>
      <w:tr w:rsidR="00855662" w:rsidRPr="00667CD1" w14:paraId="40FCA27D" w14:textId="77777777" w:rsidTr="003F0557">
        <w:trPr>
          <w:trHeight w:val="225"/>
        </w:trPr>
        <w:tc>
          <w:tcPr>
            <w:tcW w:w="3186" w:type="dxa"/>
            <w:tcBorders>
              <w:top w:val="nil"/>
              <w:left w:val="nil"/>
              <w:bottom w:val="nil"/>
              <w:right w:val="nil"/>
            </w:tcBorders>
            <w:shd w:val="clear" w:color="auto" w:fill="auto"/>
            <w:noWrap/>
            <w:vAlign w:val="center"/>
            <w:hideMark/>
          </w:tcPr>
          <w:p w14:paraId="25566DE4" w14:textId="77777777" w:rsidR="00855662" w:rsidRPr="00667CD1" w:rsidRDefault="00855662" w:rsidP="00855662">
            <w:pPr>
              <w:rPr>
                <w:rFonts w:ascii="Arial" w:hAnsi="Arial" w:cs="Arial"/>
                <w:b/>
                <w:bCs/>
                <w:sz w:val="12"/>
                <w:szCs w:val="12"/>
                <w:lang w:eastAsia="en-AU"/>
              </w:rPr>
            </w:pPr>
            <w:r w:rsidRPr="00667CD1">
              <w:rPr>
                <w:rFonts w:ascii="Arial" w:hAnsi="Arial" w:cs="Arial"/>
                <w:b/>
                <w:bCs/>
                <w:sz w:val="12"/>
                <w:szCs w:val="12"/>
                <w:lang w:eastAsia="en-AU"/>
              </w:rPr>
              <w:t>Gambling and betting taxes</w:t>
            </w:r>
          </w:p>
        </w:tc>
        <w:tc>
          <w:tcPr>
            <w:tcW w:w="936" w:type="dxa"/>
            <w:tcBorders>
              <w:top w:val="nil"/>
              <w:left w:val="nil"/>
              <w:bottom w:val="nil"/>
              <w:right w:val="nil"/>
            </w:tcBorders>
            <w:shd w:val="clear" w:color="auto" w:fill="auto"/>
            <w:noWrap/>
            <w:vAlign w:val="center"/>
            <w:hideMark/>
          </w:tcPr>
          <w:p w14:paraId="7FC290DA" w14:textId="77777777" w:rsidR="00855662" w:rsidRPr="00667CD1" w:rsidRDefault="00855662" w:rsidP="003F0557">
            <w:pPr>
              <w:jc w:val="right"/>
              <w:rPr>
                <w:rFonts w:ascii="Arial" w:hAnsi="Arial" w:cs="Arial"/>
                <w:b/>
                <w:bCs/>
                <w:sz w:val="12"/>
                <w:szCs w:val="12"/>
                <w:lang w:eastAsia="en-AU"/>
              </w:rPr>
            </w:pPr>
          </w:p>
        </w:tc>
        <w:tc>
          <w:tcPr>
            <w:tcW w:w="850" w:type="dxa"/>
            <w:tcBorders>
              <w:top w:val="nil"/>
              <w:left w:val="nil"/>
              <w:bottom w:val="nil"/>
              <w:right w:val="nil"/>
            </w:tcBorders>
            <w:shd w:val="clear" w:color="auto" w:fill="auto"/>
            <w:noWrap/>
            <w:vAlign w:val="center"/>
            <w:hideMark/>
          </w:tcPr>
          <w:p w14:paraId="663BF0E8" w14:textId="77777777" w:rsidR="00855662" w:rsidRPr="00667CD1" w:rsidRDefault="00855662" w:rsidP="003F0557">
            <w:pPr>
              <w:jc w:val="right"/>
              <w:rPr>
                <w:sz w:val="16"/>
                <w:szCs w:val="16"/>
                <w:lang w:eastAsia="en-AU"/>
              </w:rPr>
            </w:pPr>
          </w:p>
        </w:tc>
        <w:tc>
          <w:tcPr>
            <w:tcW w:w="836" w:type="dxa"/>
            <w:tcBorders>
              <w:top w:val="nil"/>
              <w:left w:val="nil"/>
              <w:bottom w:val="nil"/>
              <w:right w:val="nil"/>
            </w:tcBorders>
            <w:shd w:val="clear" w:color="auto" w:fill="F2F2F2" w:themeFill="background1" w:themeFillShade="F2"/>
            <w:noWrap/>
            <w:vAlign w:val="center"/>
            <w:hideMark/>
          </w:tcPr>
          <w:p w14:paraId="2495DBE9"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2422352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4F5D6218"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4C891F8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1058" w:type="dxa"/>
            <w:tcBorders>
              <w:top w:val="nil"/>
              <w:left w:val="nil"/>
              <w:bottom w:val="nil"/>
              <w:right w:val="nil"/>
            </w:tcBorders>
            <w:shd w:val="clear" w:color="auto" w:fill="auto"/>
            <w:noWrap/>
            <w:vAlign w:val="center"/>
            <w:hideMark/>
          </w:tcPr>
          <w:p w14:paraId="438ADAE7" w14:textId="77777777" w:rsidR="00855662" w:rsidRPr="00667CD1" w:rsidRDefault="00855662" w:rsidP="00855662">
            <w:pPr>
              <w:jc w:val="center"/>
              <w:rPr>
                <w:rFonts w:ascii="Arial" w:hAnsi="Arial" w:cs="Arial"/>
                <w:sz w:val="12"/>
                <w:szCs w:val="12"/>
                <w:lang w:eastAsia="en-AU"/>
              </w:rPr>
            </w:pPr>
          </w:p>
        </w:tc>
      </w:tr>
      <w:tr w:rsidR="00855662" w:rsidRPr="00667CD1" w14:paraId="26D8CE29" w14:textId="77777777" w:rsidTr="003F0557">
        <w:trPr>
          <w:trHeight w:val="225"/>
        </w:trPr>
        <w:tc>
          <w:tcPr>
            <w:tcW w:w="3186" w:type="dxa"/>
            <w:tcBorders>
              <w:top w:val="nil"/>
              <w:left w:val="nil"/>
              <w:bottom w:val="nil"/>
              <w:right w:val="nil"/>
            </w:tcBorders>
            <w:shd w:val="clear" w:color="auto" w:fill="auto"/>
            <w:noWrap/>
            <w:vAlign w:val="center"/>
            <w:hideMark/>
          </w:tcPr>
          <w:p w14:paraId="36F275B2"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Racing</w:t>
            </w:r>
          </w:p>
        </w:tc>
        <w:tc>
          <w:tcPr>
            <w:tcW w:w="936" w:type="dxa"/>
            <w:tcBorders>
              <w:top w:val="nil"/>
              <w:left w:val="nil"/>
              <w:bottom w:val="nil"/>
              <w:right w:val="nil"/>
            </w:tcBorders>
            <w:shd w:val="clear" w:color="auto" w:fill="FFFFFF" w:themeFill="background1"/>
            <w:noWrap/>
            <w:vAlign w:val="center"/>
            <w:hideMark/>
          </w:tcPr>
          <w:p w14:paraId="0E99F0CE"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127</w:t>
            </w:r>
          </w:p>
        </w:tc>
        <w:tc>
          <w:tcPr>
            <w:tcW w:w="850" w:type="dxa"/>
            <w:tcBorders>
              <w:top w:val="nil"/>
              <w:left w:val="nil"/>
              <w:bottom w:val="nil"/>
              <w:right w:val="nil"/>
            </w:tcBorders>
            <w:shd w:val="clear" w:color="auto" w:fill="FFFFFF" w:themeFill="background1"/>
            <w:noWrap/>
            <w:vAlign w:val="center"/>
            <w:hideMark/>
          </w:tcPr>
          <w:p w14:paraId="42B7B8B9"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174</w:t>
            </w:r>
          </w:p>
        </w:tc>
        <w:tc>
          <w:tcPr>
            <w:tcW w:w="836" w:type="dxa"/>
            <w:tcBorders>
              <w:top w:val="nil"/>
              <w:left w:val="nil"/>
              <w:bottom w:val="nil"/>
              <w:right w:val="nil"/>
            </w:tcBorders>
            <w:shd w:val="clear" w:color="auto" w:fill="F2F2F2" w:themeFill="background1" w:themeFillShade="F2"/>
            <w:noWrap/>
            <w:vAlign w:val="center"/>
            <w:hideMark/>
          </w:tcPr>
          <w:p w14:paraId="1D36594A"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212</w:t>
            </w:r>
          </w:p>
        </w:tc>
        <w:tc>
          <w:tcPr>
            <w:tcW w:w="836" w:type="dxa"/>
            <w:tcBorders>
              <w:top w:val="nil"/>
              <w:left w:val="nil"/>
              <w:bottom w:val="nil"/>
              <w:right w:val="nil"/>
            </w:tcBorders>
            <w:shd w:val="clear" w:color="auto" w:fill="F2F2F2" w:themeFill="background1" w:themeFillShade="F2"/>
            <w:noWrap/>
            <w:vAlign w:val="center"/>
            <w:hideMark/>
          </w:tcPr>
          <w:p w14:paraId="490C3BAE"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163</w:t>
            </w:r>
          </w:p>
        </w:tc>
        <w:tc>
          <w:tcPr>
            <w:tcW w:w="836" w:type="dxa"/>
            <w:tcBorders>
              <w:top w:val="nil"/>
              <w:left w:val="nil"/>
              <w:bottom w:val="nil"/>
              <w:right w:val="nil"/>
            </w:tcBorders>
            <w:shd w:val="clear" w:color="auto" w:fill="F2F2F2" w:themeFill="background1" w:themeFillShade="F2"/>
            <w:noWrap/>
            <w:vAlign w:val="center"/>
            <w:hideMark/>
          </w:tcPr>
          <w:p w14:paraId="755A6D35"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175</w:t>
            </w:r>
          </w:p>
        </w:tc>
        <w:tc>
          <w:tcPr>
            <w:tcW w:w="836" w:type="dxa"/>
            <w:tcBorders>
              <w:top w:val="nil"/>
              <w:left w:val="nil"/>
              <w:bottom w:val="nil"/>
              <w:right w:val="nil"/>
            </w:tcBorders>
            <w:shd w:val="clear" w:color="auto" w:fill="F2F2F2" w:themeFill="background1" w:themeFillShade="F2"/>
            <w:noWrap/>
            <w:vAlign w:val="center"/>
            <w:hideMark/>
          </w:tcPr>
          <w:p w14:paraId="291C72C8"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189</w:t>
            </w:r>
          </w:p>
        </w:tc>
        <w:tc>
          <w:tcPr>
            <w:tcW w:w="1058" w:type="dxa"/>
            <w:tcBorders>
              <w:top w:val="nil"/>
              <w:left w:val="nil"/>
              <w:bottom w:val="nil"/>
              <w:right w:val="nil"/>
            </w:tcBorders>
            <w:shd w:val="clear" w:color="auto" w:fill="auto"/>
            <w:noWrap/>
            <w:vAlign w:val="center"/>
            <w:hideMark/>
          </w:tcPr>
          <w:p w14:paraId="436C251E" w14:textId="05994233"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2.1 </w:t>
            </w:r>
          </w:p>
        </w:tc>
      </w:tr>
      <w:tr w:rsidR="00855662" w:rsidRPr="00667CD1" w14:paraId="222A744B" w14:textId="77777777" w:rsidTr="003F0557">
        <w:trPr>
          <w:trHeight w:val="225"/>
        </w:trPr>
        <w:tc>
          <w:tcPr>
            <w:tcW w:w="3186" w:type="dxa"/>
            <w:tcBorders>
              <w:top w:val="nil"/>
              <w:left w:val="nil"/>
              <w:bottom w:val="nil"/>
              <w:right w:val="nil"/>
            </w:tcBorders>
            <w:shd w:val="clear" w:color="auto" w:fill="auto"/>
            <w:noWrap/>
            <w:vAlign w:val="center"/>
            <w:hideMark/>
          </w:tcPr>
          <w:p w14:paraId="6669C1B3"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Club gaming devices</w:t>
            </w:r>
          </w:p>
        </w:tc>
        <w:tc>
          <w:tcPr>
            <w:tcW w:w="936" w:type="dxa"/>
            <w:tcBorders>
              <w:top w:val="nil"/>
              <w:left w:val="nil"/>
              <w:bottom w:val="nil"/>
              <w:right w:val="nil"/>
            </w:tcBorders>
            <w:shd w:val="clear" w:color="auto" w:fill="FFFFFF" w:themeFill="background1"/>
            <w:noWrap/>
            <w:vAlign w:val="center"/>
            <w:hideMark/>
          </w:tcPr>
          <w:p w14:paraId="0238E2D2"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783</w:t>
            </w:r>
          </w:p>
        </w:tc>
        <w:tc>
          <w:tcPr>
            <w:tcW w:w="850" w:type="dxa"/>
            <w:tcBorders>
              <w:top w:val="nil"/>
              <w:left w:val="nil"/>
              <w:bottom w:val="nil"/>
              <w:right w:val="nil"/>
            </w:tcBorders>
            <w:shd w:val="clear" w:color="auto" w:fill="FFFFFF" w:themeFill="background1"/>
            <w:noWrap/>
            <w:vAlign w:val="center"/>
            <w:hideMark/>
          </w:tcPr>
          <w:p w14:paraId="5B625041"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625</w:t>
            </w:r>
          </w:p>
        </w:tc>
        <w:tc>
          <w:tcPr>
            <w:tcW w:w="836" w:type="dxa"/>
            <w:tcBorders>
              <w:top w:val="nil"/>
              <w:left w:val="nil"/>
              <w:bottom w:val="nil"/>
              <w:right w:val="nil"/>
            </w:tcBorders>
            <w:shd w:val="clear" w:color="auto" w:fill="F2F2F2" w:themeFill="background1" w:themeFillShade="F2"/>
            <w:noWrap/>
            <w:vAlign w:val="center"/>
            <w:hideMark/>
          </w:tcPr>
          <w:p w14:paraId="65ADAFC5"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846</w:t>
            </w:r>
          </w:p>
        </w:tc>
        <w:tc>
          <w:tcPr>
            <w:tcW w:w="836" w:type="dxa"/>
            <w:tcBorders>
              <w:top w:val="nil"/>
              <w:left w:val="nil"/>
              <w:bottom w:val="nil"/>
              <w:right w:val="nil"/>
            </w:tcBorders>
            <w:shd w:val="clear" w:color="auto" w:fill="F2F2F2" w:themeFill="background1" w:themeFillShade="F2"/>
            <w:noWrap/>
            <w:vAlign w:val="center"/>
            <w:hideMark/>
          </w:tcPr>
          <w:p w14:paraId="533D0776"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796</w:t>
            </w:r>
          </w:p>
        </w:tc>
        <w:tc>
          <w:tcPr>
            <w:tcW w:w="836" w:type="dxa"/>
            <w:tcBorders>
              <w:top w:val="nil"/>
              <w:left w:val="nil"/>
              <w:bottom w:val="nil"/>
              <w:right w:val="nil"/>
            </w:tcBorders>
            <w:shd w:val="clear" w:color="auto" w:fill="F2F2F2" w:themeFill="background1" w:themeFillShade="F2"/>
            <w:noWrap/>
            <w:vAlign w:val="center"/>
            <w:hideMark/>
          </w:tcPr>
          <w:p w14:paraId="67540D1C"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810</w:t>
            </w:r>
          </w:p>
        </w:tc>
        <w:tc>
          <w:tcPr>
            <w:tcW w:w="836" w:type="dxa"/>
            <w:tcBorders>
              <w:top w:val="nil"/>
              <w:left w:val="nil"/>
              <w:bottom w:val="nil"/>
              <w:right w:val="nil"/>
            </w:tcBorders>
            <w:shd w:val="clear" w:color="auto" w:fill="F2F2F2" w:themeFill="background1" w:themeFillShade="F2"/>
            <w:noWrap/>
            <w:vAlign w:val="center"/>
            <w:hideMark/>
          </w:tcPr>
          <w:p w14:paraId="1E87E3CF"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824</w:t>
            </w:r>
          </w:p>
        </w:tc>
        <w:tc>
          <w:tcPr>
            <w:tcW w:w="1058" w:type="dxa"/>
            <w:tcBorders>
              <w:top w:val="nil"/>
              <w:left w:val="nil"/>
              <w:bottom w:val="nil"/>
              <w:right w:val="nil"/>
            </w:tcBorders>
            <w:shd w:val="clear" w:color="auto" w:fill="auto"/>
            <w:noWrap/>
            <w:vAlign w:val="center"/>
            <w:hideMark/>
          </w:tcPr>
          <w:p w14:paraId="5E3B409B" w14:textId="638D4EEE"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7.1 </w:t>
            </w:r>
          </w:p>
        </w:tc>
      </w:tr>
      <w:tr w:rsidR="00855662" w:rsidRPr="00667CD1" w14:paraId="4637A32E" w14:textId="77777777" w:rsidTr="003F0557">
        <w:trPr>
          <w:trHeight w:val="225"/>
        </w:trPr>
        <w:tc>
          <w:tcPr>
            <w:tcW w:w="3186" w:type="dxa"/>
            <w:tcBorders>
              <w:top w:val="nil"/>
              <w:left w:val="nil"/>
              <w:bottom w:val="nil"/>
              <w:right w:val="nil"/>
            </w:tcBorders>
            <w:shd w:val="clear" w:color="auto" w:fill="auto"/>
            <w:noWrap/>
            <w:vAlign w:val="center"/>
            <w:hideMark/>
          </w:tcPr>
          <w:p w14:paraId="51BC2FFF"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Hotel gaming devices</w:t>
            </w:r>
          </w:p>
        </w:tc>
        <w:tc>
          <w:tcPr>
            <w:tcW w:w="936" w:type="dxa"/>
            <w:tcBorders>
              <w:top w:val="nil"/>
              <w:left w:val="nil"/>
              <w:bottom w:val="nil"/>
              <w:right w:val="nil"/>
            </w:tcBorders>
            <w:shd w:val="clear" w:color="auto" w:fill="FFFFFF" w:themeFill="background1"/>
            <w:noWrap/>
            <w:vAlign w:val="center"/>
            <w:hideMark/>
          </w:tcPr>
          <w:p w14:paraId="3B8A1FCE"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862</w:t>
            </w:r>
          </w:p>
        </w:tc>
        <w:tc>
          <w:tcPr>
            <w:tcW w:w="850" w:type="dxa"/>
            <w:tcBorders>
              <w:top w:val="nil"/>
              <w:left w:val="nil"/>
              <w:bottom w:val="nil"/>
              <w:right w:val="nil"/>
            </w:tcBorders>
            <w:shd w:val="clear" w:color="auto" w:fill="FFFFFF" w:themeFill="background1"/>
            <w:noWrap/>
            <w:vAlign w:val="center"/>
            <w:hideMark/>
          </w:tcPr>
          <w:p w14:paraId="3CF2F75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756</w:t>
            </w:r>
          </w:p>
        </w:tc>
        <w:tc>
          <w:tcPr>
            <w:tcW w:w="836" w:type="dxa"/>
            <w:tcBorders>
              <w:top w:val="nil"/>
              <w:left w:val="nil"/>
              <w:bottom w:val="nil"/>
              <w:right w:val="nil"/>
            </w:tcBorders>
            <w:shd w:val="clear" w:color="auto" w:fill="F2F2F2" w:themeFill="background1" w:themeFillShade="F2"/>
            <w:noWrap/>
            <w:vAlign w:val="center"/>
            <w:hideMark/>
          </w:tcPr>
          <w:p w14:paraId="50073505"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1,056</w:t>
            </w:r>
          </w:p>
        </w:tc>
        <w:tc>
          <w:tcPr>
            <w:tcW w:w="836" w:type="dxa"/>
            <w:tcBorders>
              <w:top w:val="nil"/>
              <w:left w:val="nil"/>
              <w:bottom w:val="nil"/>
              <w:right w:val="nil"/>
            </w:tcBorders>
            <w:shd w:val="clear" w:color="auto" w:fill="F2F2F2" w:themeFill="background1" w:themeFillShade="F2"/>
            <w:noWrap/>
            <w:vAlign w:val="center"/>
            <w:hideMark/>
          </w:tcPr>
          <w:p w14:paraId="3F89E30C"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1,087</w:t>
            </w:r>
          </w:p>
        </w:tc>
        <w:tc>
          <w:tcPr>
            <w:tcW w:w="836" w:type="dxa"/>
            <w:tcBorders>
              <w:top w:val="nil"/>
              <w:left w:val="nil"/>
              <w:bottom w:val="nil"/>
              <w:right w:val="nil"/>
            </w:tcBorders>
            <w:shd w:val="clear" w:color="auto" w:fill="F2F2F2" w:themeFill="background1" w:themeFillShade="F2"/>
            <w:noWrap/>
            <w:vAlign w:val="center"/>
            <w:hideMark/>
          </w:tcPr>
          <w:p w14:paraId="27D82238"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1,144</w:t>
            </w:r>
          </w:p>
        </w:tc>
        <w:tc>
          <w:tcPr>
            <w:tcW w:w="836" w:type="dxa"/>
            <w:tcBorders>
              <w:top w:val="nil"/>
              <w:left w:val="nil"/>
              <w:bottom w:val="nil"/>
              <w:right w:val="nil"/>
            </w:tcBorders>
            <w:shd w:val="clear" w:color="auto" w:fill="F2F2F2" w:themeFill="background1" w:themeFillShade="F2"/>
            <w:noWrap/>
            <w:vAlign w:val="center"/>
            <w:hideMark/>
          </w:tcPr>
          <w:p w14:paraId="29A59689"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1,212</w:t>
            </w:r>
          </w:p>
        </w:tc>
        <w:tc>
          <w:tcPr>
            <w:tcW w:w="1058" w:type="dxa"/>
            <w:tcBorders>
              <w:top w:val="nil"/>
              <w:left w:val="nil"/>
              <w:bottom w:val="nil"/>
              <w:right w:val="nil"/>
            </w:tcBorders>
            <w:shd w:val="clear" w:color="auto" w:fill="auto"/>
            <w:noWrap/>
            <w:vAlign w:val="center"/>
            <w:hideMark/>
          </w:tcPr>
          <w:p w14:paraId="508CD797" w14:textId="3F19E756"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12.5 </w:t>
            </w:r>
          </w:p>
        </w:tc>
      </w:tr>
      <w:tr w:rsidR="00855662" w:rsidRPr="00667CD1" w14:paraId="04D5E22B" w14:textId="77777777" w:rsidTr="003F0557">
        <w:trPr>
          <w:trHeight w:val="225"/>
        </w:trPr>
        <w:tc>
          <w:tcPr>
            <w:tcW w:w="3186" w:type="dxa"/>
            <w:tcBorders>
              <w:top w:val="nil"/>
              <w:left w:val="nil"/>
              <w:bottom w:val="nil"/>
              <w:right w:val="nil"/>
            </w:tcBorders>
            <w:shd w:val="clear" w:color="auto" w:fill="auto"/>
            <w:noWrap/>
            <w:vAlign w:val="center"/>
            <w:hideMark/>
          </w:tcPr>
          <w:p w14:paraId="5F7C080E"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Lotteries and lotto</w:t>
            </w:r>
          </w:p>
        </w:tc>
        <w:tc>
          <w:tcPr>
            <w:tcW w:w="936" w:type="dxa"/>
            <w:tcBorders>
              <w:top w:val="nil"/>
              <w:left w:val="nil"/>
              <w:bottom w:val="nil"/>
              <w:right w:val="nil"/>
            </w:tcBorders>
            <w:shd w:val="clear" w:color="auto" w:fill="FFFFFF" w:themeFill="background1"/>
            <w:noWrap/>
            <w:vAlign w:val="center"/>
            <w:hideMark/>
          </w:tcPr>
          <w:p w14:paraId="344DF3F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454</w:t>
            </w:r>
          </w:p>
        </w:tc>
        <w:tc>
          <w:tcPr>
            <w:tcW w:w="850" w:type="dxa"/>
            <w:tcBorders>
              <w:top w:val="nil"/>
              <w:left w:val="nil"/>
              <w:bottom w:val="nil"/>
              <w:right w:val="nil"/>
            </w:tcBorders>
            <w:shd w:val="clear" w:color="auto" w:fill="FFFFFF" w:themeFill="background1"/>
            <w:noWrap/>
            <w:vAlign w:val="center"/>
            <w:hideMark/>
          </w:tcPr>
          <w:p w14:paraId="2D949C93"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473</w:t>
            </w:r>
          </w:p>
        </w:tc>
        <w:tc>
          <w:tcPr>
            <w:tcW w:w="836" w:type="dxa"/>
            <w:tcBorders>
              <w:top w:val="nil"/>
              <w:left w:val="nil"/>
              <w:bottom w:val="nil"/>
              <w:right w:val="nil"/>
            </w:tcBorders>
            <w:shd w:val="clear" w:color="auto" w:fill="F2F2F2" w:themeFill="background1" w:themeFillShade="F2"/>
            <w:noWrap/>
            <w:vAlign w:val="center"/>
            <w:hideMark/>
          </w:tcPr>
          <w:p w14:paraId="39479170"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481</w:t>
            </w:r>
          </w:p>
        </w:tc>
        <w:tc>
          <w:tcPr>
            <w:tcW w:w="836" w:type="dxa"/>
            <w:tcBorders>
              <w:top w:val="nil"/>
              <w:left w:val="nil"/>
              <w:bottom w:val="nil"/>
              <w:right w:val="nil"/>
            </w:tcBorders>
            <w:shd w:val="clear" w:color="auto" w:fill="F2F2F2" w:themeFill="background1" w:themeFillShade="F2"/>
            <w:noWrap/>
            <w:vAlign w:val="center"/>
            <w:hideMark/>
          </w:tcPr>
          <w:p w14:paraId="09A34DF5"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488</w:t>
            </w:r>
          </w:p>
        </w:tc>
        <w:tc>
          <w:tcPr>
            <w:tcW w:w="836" w:type="dxa"/>
            <w:tcBorders>
              <w:top w:val="nil"/>
              <w:left w:val="nil"/>
              <w:bottom w:val="nil"/>
              <w:right w:val="nil"/>
            </w:tcBorders>
            <w:shd w:val="clear" w:color="auto" w:fill="F2F2F2" w:themeFill="background1" w:themeFillShade="F2"/>
            <w:noWrap/>
            <w:vAlign w:val="center"/>
            <w:hideMark/>
          </w:tcPr>
          <w:p w14:paraId="58F2626E"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504</w:t>
            </w:r>
          </w:p>
        </w:tc>
        <w:tc>
          <w:tcPr>
            <w:tcW w:w="836" w:type="dxa"/>
            <w:tcBorders>
              <w:top w:val="nil"/>
              <w:left w:val="nil"/>
              <w:bottom w:val="nil"/>
              <w:right w:val="nil"/>
            </w:tcBorders>
            <w:shd w:val="clear" w:color="auto" w:fill="F2F2F2" w:themeFill="background1" w:themeFillShade="F2"/>
            <w:noWrap/>
            <w:vAlign w:val="center"/>
            <w:hideMark/>
          </w:tcPr>
          <w:p w14:paraId="65B6F92A"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521</w:t>
            </w:r>
          </w:p>
        </w:tc>
        <w:tc>
          <w:tcPr>
            <w:tcW w:w="1058" w:type="dxa"/>
            <w:tcBorders>
              <w:top w:val="nil"/>
              <w:left w:val="nil"/>
              <w:bottom w:val="nil"/>
              <w:right w:val="nil"/>
            </w:tcBorders>
            <w:shd w:val="clear" w:color="auto" w:fill="auto"/>
            <w:noWrap/>
            <w:vAlign w:val="center"/>
            <w:hideMark/>
          </w:tcPr>
          <w:p w14:paraId="3781ACFB" w14:textId="5FCCB724"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2.4 </w:t>
            </w:r>
          </w:p>
        </w:tc>
      </w:tr>
      <w:tr w:rsidR="00855662" w:rsidRPr="00667CD1" w14:paraId="1A74D7A4" w14:textId="77777777" w:rsidTr="003F0557">
        <w:trPr>
          <w:trHeight w:val="225"/>
        </w:trPr>
        <w:tc>
          <w:tcPr>
            <w:tcW w:w="3186" w:type="dxa"/>
            <w:tcBorders>
              <w:top w:val="nil"/>
              <w:left w:val="nil"/>
              <w:bottom w:val="nil"/>
              <w:right w:val="nil"/>
            </w:tcBorders>
            <w:shd w:val="clear" w:color="auto" w:fill="auto"/>
            <w:noWrap/>
            <w:vAlign w:val="center"/>
            <w:hideMark/>
          </w:tcPr>
          <w:p w14:paraId="1C523BF4"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Casino</w:t>
            </w:r>
          </w:p>
        </w:tc>
        <w:tc>
          <w:tcPr>
            <w:tcW w:w="936" w:type="dxa"/>
            <w:tcBorders>
              <w:top w:val="nil"/>
              <w:left w:val="nil"/>
              <w:bottom w:val="nil"/>
              <w:right w:val="nil"/>
            </w:tcBorders>
            <w:shd w:val="clear" w:color="auto" w:fill="FFFFFF" w:themeFill="background1"/>
            <w:noWrap/>
            <w:vAlign w:val="center"/>
            <w:hideMark/>
          </w:tcPr>
          <w:p w14:paraId="19D2B930"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394</w:t>
            </w:r>
          </w:p>
        </w:tc>
        <w:tc>
          <w:tcPr>
            <w:tcW w:w="850" w:type="dxa"/>
            <w:tcBorders>
              <w:top w:val="nil"/>
              <w:left w:val="nil"/>
              <w:bottom w:val="nil"/>
              <w:right w:val="nil"/>
            </w:tcBorders>
            <w:shd w:val="clear" w:color="auto" w:fill="FFFFFF" w:themeFill="background1"/>
            <w:noWrap/>
            <w:vAlign w:val="center"/>
            <w:hideMark/>
          </w:tcPr>
          <w:p w14:paraId="44172D18"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169</w:t>
            </w:r>
          </w:p>
        </w:tc>
        <w:tc>
          <w:tcPr>
            <w:tcW w:w="836" w:type="dxa"/>
            <w:tcBorders>
              <w:top w:val="nil"/>
              <w:left w:val="nil"/>
              <w:bottom w:val="nil"/>
              <w:right w:val="nil"/>
            </w:tcBorders>
            <w:shd w:val="clear" w:color="auto" w:fill="F2F2F2" w:themeFill="background1" w:themeFillShade="F2"/>
            <w:noWrap/>
            <w:vAlign w:val="center"/>
            <w:hideMark/>
          </w:tcPr>
          <w:p w14:paraId="4829D692"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158</w:t>
            </w:r>
          </w:p>
        </w:tc>
        <w:tc>
          <w:tcPr>
            <w:tcW w:w="836" w:type="dxa"/>
            <w:tcBorders>
              <w:top w:val="nil"/>
              <w:left w:val="nil"/>
              <w:bottom w:val="nil"/>
              <w:right w:val="nil"/>
            </w:tcBorders>
            <w:shd w:val="clear" w:color="auto" w:fill="F2F2F2" w:themeFill="background1" w:themeFillShade="F2"/>
            <w:noWrap/>
            <w:vAlign w:val="center"/>
            <w:hideMark/>
          </w:tcPr>
          <w:p w14:paraId="08198B9D"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239</w:t>
            </w:r>
          </w:p>
        </w:tc>
        <w:tc>
          <w:tcPr>
            <w:tcW w:w="836" w:type="dxa"/>
            <w:tcBorders>
              <w:top w:val="nil"/>
              <w:left w:val="nil"/>
              <w:bottom w:val="nil"/>
              <w:right w:val="nil"/>
            </w:tcBorders>
            <w:shd w:val="clear" w:color="auto" w:fill="F2F2F2" w:themeFill="background1" w:themeFillShade="F2"/>
            <w:noWrap/>
            <w:vAlign w:val="center"/>
            <w:hideMark/>
          </w:tcPr>
          <w:p w14:paraId="570DC11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298</w:t>
            </w:r>
          </w:p>
        </w:tc>
        <w:tc>
          <w:tcPr>
            <w:tcW w:w="836" w:type="dxa"/>
            <w:tcBorders>
              <w:top w:val="nil"/>
              <w:left w:val="nil"/>
              <w:bottom w:val="nil"/>
              <w:right w:val="nil"/>
            </w:tcBorders>
            <w:shd w:val="clear" w:color="auto" w:fill="F2F2F2" w:themeFill="background1" w:themeFillShade="F2"/>
            <w:noWrap/>
            <w:vAlign w:val="center"/>
            <w:hideMark/>
          </w:tcPr>
          <w:p w14:paraId="45B4FB33"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311</w:t>
            </w:r>
          </w:p>
        </w:tc>
        <w:tc>
          <w:tcPr>
            <w:tcW w:w="1058" w:type="dxa"/>
            <w:tcBorders>
              <w:top w:val="nil"/>
              <w:left w:val="nil"/>
              <w:bottom w:val="nil"/>
              <w:right w:val="nil"/>
            </w:tcBorders>
            <w:shd w:val="clear" w:color="auto" w:fill="auto"/>
            <w:noWrap/>
            <w:vAlign w:val="center"/>
            <w:hideMark/>
          </w:tcPr>
          <w:p w14:paraId="4B15B2B0" w14:textId="4B9AC54E"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16.6 </w:t>
            </w:r>
          </w:p>
        </w:tc>
      </w:tr>
      <w:tr w:rsidR="00855662" w:rsidRPr="00667CD1" w14:paraId="4DF1D5A4" w14:textId="77777777" w:rsidTr="003F0557">
        <w:trPr>
          <w:trHeight w:val="225"/>
        </w:trPr>
        <w:tc>
          <w:tcPr>
            <w:tcW w:w="3186" w:type="dxa"/>
            <w:tcBorders>
              <w:top w:val="nil"/>
              <w:left w:val="nil"/>
              <w:bottom w:val="nil"/>
              <w:right w:val="nil"/>
            </w:tcBorders>
            <w:shd w:val="clear" w:color="auto" w:fill="auto"/>
            <w:noWrap/>
            <w:vAlign w:val="center"/>
            <w:hideMark/>
          </w:tcPr>
          <w:p w14:paraId="0F816FEB"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Other gambling &amp; betting</w:t>
            </w:r>
          </w:p>
        </w:tc>
        <w:tc>
          <w:tcPr>
            <w:tcW w:w="936" w:type="dxa"/>
            <w:tcBorders>
              <w:top w:val="nil"/>
              <w:left w:val="nil"/>
              <w:bottom w:val="nil"/>
              <w:right w:val="nil"/>
            </w:tcBorders>
            <w:shd w:val="clear" w:color="auto" w:fill="FFFFFF" w:themeFill="background1"/>
            <w:noWrap/>
            <w:vAlign w:val="center"/>
            <w:hideMark/>
          </w:tcPr>
          <w:p w14:paraId="73AF4CD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15</w:t>
            </w:r>
          </w:p>
        </w:tc>
        <w:tc>
          <w:tcPr>
            <w:tcW w:w="850" w:type="dxa"/>
            <w:tcBorders>
              <w:top w:val="nil"/>
              <w:left w:val="nil"/>
              <w:bottom w:val="nil"/>
              <w:right w:val="nil"/>
            </w:tcBorders>
            <w:shd w:val="clear" w:color="auto" w:fill="FFFFFF" w:themeFill="background1"/>
            <w:noWrap/>
            <w:vAlign w:val="center"/>
            <w:hideMark/>
          </w:tcPr>
          <w:p w14:paraId="272365A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10</w:t>
            </w:r>
          </w:p>
        </w:tc>
        <w:tc>
          <w:tcPr>
            <w:tcW w:w="836" w:type="dxa"/>
            <w:tcBorders>
              <w:top w:val="nil"/>
              <w:left w:val="nil"/>
              <w:bottom w:val="nil"/>
              <w:right w:val="nil"/>
            </w:tcBorders>
            <w:shd w:val="clear" w:color="auto" w:fill="F2F2F2" w:themeFill="background1" w:themeFillShade="F2"/>
            <w:noWrap/>
            <w:vAlign w:val="center"/>
            <w:hideMark/>
          </w:tcPr>
          <w:p w14:paraId="13FF0B8A"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17</w:t>
            </w:r>
          </w:p>
        </w:tc>
        <w:tc>
          <w:tcPr>
            <w:tcW w:w="836" w:type="dxa"/>
            <w:tcBorders>
              <w:top w:val="nil"/>
              <w:left w:val="nil"/>
              <w:bottom w:val="nil"/>
              <w:right w:val="nil"/>
            </w:tcBorders>
            <w:shd w:val="clear" w:color="auto" w:fill="F2F2F2" w:themeFill="background1" w:themeFillShade="F2"/>
            <w:noWrap/>
            <w:vAlign w:val="center"/>
            <w:hideMark/>
          </w:tcPr>
          <w:p w14:paraId="3A6A6122"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16</w:t>
            </w:r>
          </w:p>
        </w:tc>
        <w:tc>
          <w:tcPr>
            <w:tcW w:w="836" w:type="dxa"/>
            <w:tcBorders>
              <w:top w:val="nil"/>
              <w:left w:val="nil"/>
              <w:bottom w:val="nil"/>
              <w:right w:val="nil"/>
            </w:tcBorders>
            <w:shd w:val="clear" w:color="auto" w:fill="F2F2F2" w:themeFill="background1" w:themeFillShade="F2"/>
            <w:noWrap/>
            <w:vAlign w:val="center"/>
            <w:hideMark/>
          </w:tcPr>
          <w:p w14:paraId="1E1D3171"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16</w:t>
            </w:r>
          </w:p>
        </w:tc>
        <w:tc>
          <w:tcPr>
            <w:tcW w:w="836" w:type="dxa"/>
            <w:tcBorders>
              <w:top w:val="nil"/>
              <w:left w:val="nil"/>
              <w:bottom w:val="nil"/>
              <w:right w:val="nil"/>
            </w:tcBorders>
            <w:shd w:val="clear" w:color="auto" w:fill="F2F2F2" w:themeFill="background1" w:themeFillShade="F2"/>
            <w:noWrap/>
            <w:vAlign w:val="center"/>
            <w:hideMark/>
          </w:tcPr>
          <w:p w14:paraId="60FE7897"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17</w:t>
            </w:r>
          </w:p>
        </w:tc>
        <w:tc>
          <w:tcPr>
            <w:tcW w:w="1058" w:type="dxa"/>
            <w:tcBorders>
              <w:top w:val="nil"/>
              <w:left w:val="nil"/>
              <w:bottom w:val="nil"/>
              <w:right w:val="nil"/>
            </w:tcBorders>
            <w:shd w:val="clear" w:color="auto" w:fill="auto"/>
            <w:noWrap/>
            <w:vAlign w:val="center"/>
            <w:hideMark/>
          </w:tcPr>
          <w:p w14:paraId="1D653012" w14:textId="0B902A64"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14.0 </w:t>
            </w:r>
          </w:p>
        </w:tc>
      </w:tr>
      <w:tr w:rsidR="00E26D63" w:rsidRPr="00667CD1" w14:paraId="3A273641" w14:textId="77777777" w:rsidTr="003F0557">
        <w:trPr>
          <w:trHeight w:val="330"/>
        </w:trPr>
        <w:tc>
          <w:tcPr>
            <w:tcW w:w="3186" w:type="dxa"/>
            <w:tcBorders>
              <w:top w:val="nil"/>
              <w:left w:val="nil"/>
              <w:bottom w:val="nil"/>
              <w:right w:val="nil"/>
            </w:tcBorders>
            <w:shd w:val="clear" w:color="auto" w:fill="auto"/>
            <w:noWrap/>
            <w:vAlign w:val="center"/>
            <w:hideMark/>
          </w:tcPr>
          <w:p w14:paraId="519DC9C5" w14:textId="77777777" w:rsidR="00855662" w:rsidRPr="00667CD1" w:rsidRDefault="00855662" w:rsidP="00855662">
            <w:pPr>
              <w:jc w:val="center"/>
              <w:rPr>
                <w:rFonts w:ascii="Arial" w:hAnsi="Arial" w:cs="Arial"/>
                <w:color w:val="008EBA"/>
                <w:sz w:val="12"/>
                <w:szCs w:val="12"/>
                <w:lang w:eastAsia="en-AU"/>
              </w:rPr>
            </w:pPr>
          </w:p>
        </w:tc>
        <w:tc>
          <w:tcPr>
            <w:tcW w:w="936" w:type="dxa"/>
            <w:tcBorders>
              <w:top w:val="single" w:sz="4" w:space="0" w:color="auto"/>
              <w:left w:val="nil"/>
              <w:bottom w:val="single" w:sz="4" w:space="0" w:color="auto"/>
              <w:right w:val="nil"/>
            </w:tcBorders>
            <w:shd w:val="clear" w:color="auto" w:fill="auto"/>
            <w:noWrap/>
            <w:vAlign w:val="center"/>
            <w:hideMark/>
          </w:tcPr>
          <w:p w14:paraId="2D527890"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2,634</w:t>
            </w:r>
          </w:p>
        </w:tc>
        <w:tc>
          <w:tcPr>
            <w:tcW w:w="850" w:type="dxa"/>
            <w:tcBorders>
              <w:top w:val="single" w:sz="4" w:space="0" w:color="auto"/>
              <w:left w:val="nil"/>
              <w:bottom w:val="single" w:sz="4" w:space="0" w:color="auto"/>
              <w:right w:val="nil"/>
            </w:tcBorders>
            <w:shd w:val="clear" w:color="auto" w:fill="auto"/>
            <w:noWrap/>
            <w:vAlign w:val="center"/>
            <w:hideMark/>
          </w:tcPr>
          <w:p w14:paraId="4FE7F8AA"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2,207</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113B6F1F"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2,770</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3022B82D"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2,789</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3F006DDD"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2,948</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0E83971F"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3,074</w:t>
            </w:r>
          </w:p>
        </w:tc>
        <w:tc>
          <w:tcPr>
            <w:tcW w:w="1058" w:type="dxa"/>
            <w:tcBorders>
              <w:top w:val="single" w:sz="4" w:space="0" w:color="auto"/>
              <w:left w:val="nil"/>
              <w:bottom w:val="single" w:sz="4" w:space="0" w:color="auto"/>
              <w:right w:val="nil"/>
            </w:tcBorders>
            <w:shd w:val="clear" w:color="auto" w:fill="auto"/>
            <w:noWrap/>
            <w:vAlign w:val="center"/>
            <w:hideMark/>
          </w:tcPr>
          <w:p w14:paraId="69493FF3" w14:textId="34B6E4C4" w:rsidR="00855662" w:rsidRPr="00667CD1" w:rsidRDefault="00855662" w:rsidP="00855662">
            <w:pPr>
              <w:jc w:val="center"/>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8.6 </w:t>
            </w:r>
          </w:p>
        </w:tc>
      </w:tr>
      <w:tr w:rsidR="00855662" w:rsidRPr="00667CD1" w14:paraId="50AFAD5C" w14:textId="77777777" w:rsidTr="003F0557">
        <w:trPr>
          <w:trHeight w:val="57"/>
        </w:trPr>
        <w:tc>
          <w:tcPr>
            <w:tcW w:w="3186" w:type="dxa"/>
            <w:tcBorders>
              <w:top w:val="nil"/>
              <w:left w:val="nil"/>
              <w:bottom w:val="nil"/>
              <w:right w:val="nil"/>
            </w:tcBorders>
            <w:shd w:val="clear" w:color="auto" w:fill="auto"/>
            <w:noWrap/>
            <w:vAlign w:val="center"/>
            <w:hideMark/>
          </w:tcPr>
          <w:p w14:paraId="0D592173" w14:textId="77777777" w:rsidR="00855662" w:rsidRPr="00667CD1" w:rsidRDefault="00855662" w:rsidP="00855662">
            <w:pPr>
              <w:jc w:val="center"/>
              <w:rPr>
                <w:rFonts w:ascii="Arial" w:hAnsi="Arial" w:cs="Arial"/>
                <w:b/>
                <w:bCs/>
                <w:color w:val="00ABE6"/>
                <w:sz w:val="12"/>
                <w:szCs w:val="12"/>
                <w:lang w:eastAsia="en-AU"/>
              </w:rPr>
            </w:pPr>
          </w:p>
        </w:tc>
        <w:tc>
          <w:tcPr>
            <w:tcW w:w="936" w:type="dxa"/>
            <w:tcBorders>
              <w:top w:val="nil"/>
              <w:left w:val="nil"/>
              <w:bottom w:val="nil"/>
              <w:right w:val="nil"/>
            </w:tcBorders>
            <w:shd w:val="clear" w:color="auto" w:fill="auto"/>
            <w:noWrap/>
            <w:vAlign w:val="center"/>
            <w:hideMark/>
          </w:tcPr>
          <w:p w14:paraId="2F64F758" w14:textId="77777777" w:rsidR="00855662" w:rsidRPr="00667CD1" w:rsidRDefault="00855662" w:rsidP="003F0557">
            <w:pPr>
              <w:jc w:val="right"/>
              <w:rPr>
                <w:sz w:val="16"/>
                <w:szCs w:val="16"/>
                <w:lang w:eastAsia="en-AU"/>
              </w:rPr>
            </w:pPr>
          </w:p>
        </w:tc>
        <w:tc>
          <w:tcPr>
            <w:tcW w:w="850" w:type="dxa"/>
            <w:tcBorders>
              <w:top w:val="nil"/>
              <w:left w:val="nil"/>
              <w:bottom w:val="nil"/>
              <w:right w:val="nil"/>
            </w:tcBorders>
            <w:shd w:val="clear" w:color="auto" w:fill="auto"/>
            <w:noWrap/>
            <w:vAlign w:val="center"/>
            <w:hideMark/>
          </w:tcPr>
          <w:p w14:paraId="4F71B825" w14:textId="77777777" w:rsidR="00855662" w:rsidRPr="00667CD1" w:rsidRDefault="00855662" w:rsidP="003F0557">
            <w:pPr>
              <w:jc w:val="right"/>
              <w:rPr>
                <w:sz w:val="16"/>
                <w:szCs w:val="16"/>
                <w:lang w:eastAsia="en-AU"/>
              </w:rPr>
            </w:pPr>
          </w:p>
        </w:tc>
        <w:tc>
          <w:tcPr>
            <w:tcW w:w="836" w:type="dxa"/>
            <w:tcBorders>
              <w:top w:val="nil"/>
              <w:left w:val="nil"/>
              <w:bottom w:val="nil"/>
              <w:right w:val="nil"/>
            </w:tcBorders>
            <w:shd w:val="clear" w:color="auto" w:fill="F2F2F2" w:themeFill="background1" w:themeFillShade="F2"/>
            <w:noWrap/>
            <w:vAlign w:val="center"/>
            <w:hideMark/>
          </w:tcPr>
          <w:p w14:paraId="58B240BA"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4969FEE1"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0263D961"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4B971755"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1058" w:type="dxa"/>
            <w:tcBorders>
              <w:top w:val="nil"/>
              <w:left w:val="nil"/>
              <w:bottom w:val="nil"/>
              <w:right w:val="nil"/>
            </w:tcBorders>
            <w:shd w:val="clear" w:color="auto" w:fill="auto"/>
            <w:noWrap/>
            <w:vAlign w:val="center"/>
            <w:hideMark/>
          </w:tcPr>
          <w:p w14:paraId="7E670174" w14:textId="77777777" w:rsidR="00855662" w:rsidRPr="00667CD1" w:rsidRDefault="00855662" w:rsidP="00855662">
            <w:pPr>
              <w:jc w:val="center"/>
              <w:rPr>
                <w:rFonts w:ascii="Arial" w:hAnsi="Arial" w:cs="Arial"/>
                <w:sz w:val="12"/>
                <w:szCs w:val="12"/>
                <w:lang w:eastAsia="en-AU"/>
              </w:rPr>
            </w:pPr>
          </w:p>
        </w:tc>
      </w:tr>
      <w:tr w:rsidR="00855662" w:rsidRPr="00667CD1" w14:paraId="30C9B6A7" w14:textId="77777777" w:rsidTr="003F0557">
        <w:trPr>
          <w:trHeight w:val="225"/>
        </w:trPr>
        <w:tc>
          <w:tcPr>
            <w:tcW w:w="3186" w:type="dxa"/>
            <w:tcBorders>
              <w:top w:val="nil"/>
              <w:left w:val="nil"/>
              <w:bottom w:val="nil"/>
              <w:right w:val="nil"/>
            </w:tcBorders>
            <w:shd w:val="clear" w:color="auto" w:fill="auto"/>
            <w:noWrap/>
            <w:vAlign w:val="center"/>
            <w:hideMark/>
          </w:tcPr>
          <w:p w14:paraId="7E9A83C0" w14:textId="77777777" w:rsidR="00855662" w:rsidRPr="00667CD1" w:rsidRDefault="00855662" w:rsidP="00855662">
            <w:pPr>
              <w:rPr>
                <w:rFonts w:ascii="Arial" w:hAnsi="Arial" w:cs="Arial"/>
                <w:b/>
                <w:bCs/>
                <w:sz w:val="12"/>
                <w:szCs w:val="12"/>
                <w:lang w:eastAsia="en-AU"/>
              </w:rPr>
            </w:pPr>
            <w:r w:rsidRPr="00667CD1">
              <w:rPr>
                <w:rFonts w:ascii="Arial" w:hAnsi="Arial" w:cs="Arial"/>
                <w:b/>
                <w:bCs/>
                <w:sz w:val="12"/>
                <w:szCs w:val="12"/>
                <w:lang w:eastAsia="en-AU"/>
              </w:rPr>
              <w:t>Other taxes and levies</w:t>
            </w:r>
          </w:p>
        </w:tc>
        <w:tc>
          <w:tcPr>
            <w:tcW w:w="936" w:type="dxa"/>
            <w:tcBorders>
              <w:top w:val="nil"/>
              <w:left w:val="nil"/>
              <w:bottom w:val="nil"/>
              <w:right w:val="nil"/>
            </w:tcBorders>
            <w:shd w:val="clear" w:color="auto" w:fill="auto"/>
            <w:noWrap/>
            <w:vAlign w:val="center"/>
            <w:hideMark/>
          </w:tcPr>
          <w:p w14:paraId="08BD5B15" w14:textId="77777777" w:rsidR="00855662" w:rsidRPr="00667CD1" w:rsidRDefault="00855662" w:rsidP="003F0557">
            <w:pPr>
              <w:jc w:val="right"/>
              <w:rPr>
                <w:rFonts w:ascii="Arial" w:hAnsi="Arial" w:cs="Arial"/>
                <w:b/>
                <w:bCs/>
                <w:sz w:val="12"/>
                <w:szCs w:val="12"/>
                <w:lang w:eastAsia="en-AU"/>
              </w:rPr>
            </w:pPr>
          </w:p>
        </w:tc>
        <w:tc>
          <w:tcPr>
            <w:tcW w:w="850" w:type="dxa"/>
            <w:tcBorders>
              <w:top w:val="nil"/>
              <w:left w:val="nil"/>
              <w:bottom w:val="nil"/>
              <w:right w:val="nil"/>
            </w:tcBorders>
            <w:shd w:val="clear" w:color="auto" w:fill="auto"/>
            <w:noWrap/>
            <w:vAlign w:val="center"/>
            <w:hideMark/>
          </w:tcPr>
          <w:p w14:paraId="635BF1B2" w14:textId="77777777" w:rsidR="00855662" w:rsidRPr="00667CD1" w:rsidRDefault="00855662" w:rsidP="003F0557">
            <w:pPr>
              <w:jc w:val="right"/>
              <w:rPr>
                <w:sz w:val="16"/>
                <w:szCs w:val="16"/>
                <w:lang w:eastAsia="en-AU"/>
              </w:rPr>
            </w:pPr>
          </w:p>
        </w:tc>
        <w:tc>
          <w:tcPr>
            <w:tcW w:w="836" w:type="dxa"/>
            <w:tcBorders>
              <w:top w:val="nil"/>
              <w:left w:val="nil"/>
              <w:bottom w:val="nil"/>
              <w:right w:val="nil"/>
            </w:tcBorders>
            <w:shd w:val="clear" w:color="auto" w:fill="F2F2F2" w:themeFill="background1" w:themeFillShade="F2"/>
            <w:noWrap/>
            <w:vAlign w:val="center"/>
            <w:hideMark/>
          </w:tcPr>
          <w:p w14:paraId="595414ED"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09B3AB15"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4CB6F615"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836" w:type="dxa"/>
            <w:tcBorders>
              <w:top w:val="nil"/>
              <w:left w:val="nil"/>
              <w:bottom w:val="nil"/>
              <w:right w:val="nil"/>
            </w:tcBorders>
            <w:shd w:val="clear" w:color="auto" w:fill="F2F2F2" w:themeFill="background1" w:themeFillShade="F2"/>
            <w:noWrap/>
            <w:vAlign w:val="center"/>
            <w:hideMark/>
          </w:tcPr>
          <w:p w14:paraId="220B58F9"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 </w:t>
            </w:r>
          </w:p>
        </w:tc>
        <w:tc>
          <w:tcPr>
            <w:tcW w:w="1058" w:type="dxa"/>
            <w:tcBorders>
              <w:top w:val="nil"/>
              <w:left w:val="nil"/>
              <w:bottom w:val="nil"/>
              <w:right w:val="nil"/>
            </w:tcBorders>
            <w:shd w:val="clear" w:color="auto" w:fill="auto"/>
            <w:noWrap/>
            <w:vAlign w:val="center"/>
            <w:hideMark/>
          </w:tcPr>
          <w:p w14:paraId="28611E07" w14:textId="77777777" w:rsidR="00855662" w:rsidRPr="00667CD1" w:rsidRDefault="00855662" w:rsidP="00855662">
            <w:pPr>
              <w:jc w:val="center"/>
              <w:rPr>
                <w:rFonts w:ascii="Arial" w:hAnsi="Arial" w:cs="Arial"/>
                <w:sz w:val="12"/>
                <w:szCs w:val="12"/>
                <w:lang w:eastAsia="en-AU"/>
              </w:rPr>
            </w:pPr>
          </w:p>
        </w:tc>
      </w:tr>
      <w:tr w:rsidR="00855662" w:rsidRPr="00667CD1" w14:paraId="1A2C26F5" w14:textId="77777777" w:rsidTr="003F0557">
        <w:trPr>
          <w:trHeight w:val="250"/>
        </w:trPr>
        <w:tc>
          <w:tcPr>
            <w:tcW w:w="3186" w:type="dxa"/>
            <w:tcBorders>
              <w:top w:val="nil"/>
              <w:left w:val="nil"/>
              <w:bottom w:val="nil"/>
              <w:right w:val="nil"/>
            </w:tcBorders>
            <w:shd w:val="clear" w:color="auto" w:fill="auto"/>
            <w:noWrap/>
            <w:vAlign w:val="center"/>
            <w:hideMark/>
          </w:tcPr>
          <w:p w14:paraId="457102C7"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 xml:space="preserve">Health insurance levy </w:t>
            </w:r>
          </w:p>
        </w:tc>
        <w:tc>
          <w:tcPr>
            <w:tcW w:w="936" w:type="dxa"/>
            <w:tcBorders>
              <w:top w:val="nil"/>
              <w:left w:val="nil"/>
              <w:bottom w:val="nil"/>
              <w:right w:val="nil"/>
            </w:tcBorders>
            <w:shd w:val="clear" w:color="auto" w:fill="FFFFFF" w:themeFill="background1"/>
            <w:noWrap/>
            <w:vAlign w:val="center"/>
            <w:hideMark/>
          </w:tcPr>
          <w:p w14:paraId="1B846B88"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210</w:t>
            </w:r>
          </w:p>
        </w:tc>
        <w:tc>
          <w:tcPr>
            <w:tcW w:w="850" w:type="dxa"/>
            <w:tcBorders>
              <w:top w:val="nil"/>
              <w:left w:val="nil"/>
              <w:bottom w:val="nil"/>
              <w:right w:val="nil"/>
            </w:tcBorders>
            <w:shd w:val="clear" w:color="auto" w:fill="FFFFFF" w:themeFill="background1"/>
            <w:noWrap/>
            <w:vAlign w:val="center"/>
            <w:hideMark/>
          </w:tcPr>
          <w:p w14:paraId="421DEEB6"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214</w:t>
            </w:r>
          </w:p>
        </w:tc>
        <w:tc>
          <w:tcPr>
            <w:tcW w:w="836" w:type="dxa"/>
            <w:tcBorders>
              <w:top w:val="nil"/>
              <w:left w:val="nil"/>
              <w:bottom w:val="nil"/>
              <w:right w:val="nil"/>
            </w:tcBorders>
            <w:shd w:val="clear" w:color="auto" w:fill="F2F2F2" w:themeFill="background1" w:themeFillShade="F2"/>
            <w:noWrap/>
            <w:vAlign w:val="center"/>
            <w:hideMark/>
          </w:tcPr>
          <w:p w14:paraId="115B9FB3"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221</w:t>
            </w:r>
          </w:p>
        </w:tc>
        <w:tc>
          <w:tcPr>
            <w:tcW w:w="836" w:type="dxa"/>
            <w:tcBorders>
              <w:top w:val="nil"/>
              <w:left w:val="nil"/>
              <w:bottom w:val="nil"/>
              <w:right w:val="nil"/>
            </w:tcBorders>
            <w:shd w:val="clear" w:color="auto" w:fill="F2F2F2" w:themeFill="background1" w:themeFillShade="F2"/>
            <w:noWrap/>
            <w:vAlign w:val="center"/>
            <w:hideMark/>
          </w:tcPr>
          <w:p w14:paraId="030A58DE"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226</w:t>
            </w:r>
          </w:p>
        </w:tc>
        <w:tc>
          <w:tcPr>
            <w:tcW w:w="836" w:type="dxa"/>
            <w:tcBorders>
              <w:top w:val="nil"/>
              <w:left w:val="nil"/>
              <w:bottom w:val="nil"/>
              <w:right w:val="nil"/>
            </w:tcBorders>
            <w:shd w:val="clear" w:color="auto" w:fill="F2F2F2" w:themeFill="background1" w:themeFillShade="F2"/>
            <w:noWrap/>
            <w:vAlign w:val="center"/>
            <w:hideMark/>
          </w:tcPr>
          <w:p w14:paraId="3EFFF106"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230</w:t>
            </w:r>
          </w:p>
        </w:tc>
        <w:tc>
          <w:tcPr>
            <w:tcW w:w="836" w:type="dxa"/>
            <w:tcBorders>
              <w:top w:val="nil"/>
              <w:left w:val="nil"/>
              <w:bottom w:val="nil"/>
              <w:right w:val="nil"/>
            </w:tcBorders>
            <w:shd w:val="clear" w:color="auto" w:fill="F2F2F2" w:themeFill="background1" w:themeFillShade="F2"/>
            <w:noWrap/>
            <w:vAlign w:val="center"/>
            <w:hideMark/>
          </w:tcPr>
          <w:p w14:paraId="7BCE4BBE"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235</w:t>
            </w:r>
          </w:p>
        </w:tc>
        <w:tc>
          <w:tcPr>
            <w:tcW w:w="1058" w:type="dxa"/>
            <w:tcBorders>
              <w:top w:val="nil"/>
              <w:left w:val="nil"/>
              <w:bottom w:val="nil"/>
              <w:right w:val="nil"/>
            </w:tcBorders>
            <w:shd w:val="clear" w:color="auto" w:fill="auto"/>
            <w:noWrap/>
            <w:vAlign w:val="center"/>
            <w:hideMark/>
          </w:tcPr>
          <w:p w14:paraId="343CC3B1" w14:textId="67731402"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2.4 </w:t>
            </w:r>
          </w:p>
        </w:tc>
      </w:tr>
      <w:tr w:rsidR="00855662" w:rsidRPr="00667CD1" w14:paraId="328A1A91" w14:textId="77777777" w:rsidTr="003F0557">
        <w:trPr>
          <w:trHeight w:val="223"/>
        </w:trPr>
        <w:tc>
          <w:tcPr>
            <w:tcW w:w="3186" w:type="dxa"/>
            <w:tcBorders>
              <w:top w:val="nil"/>
              <w:left w:val="nil"/>
              <w:bottom w:val="nil"/>
              <w:right w:val="nil"/>
            </w:tcBorders>
            <w:shd w:val="clear" w:color="auto" w:fill="auto"/>
            <w:noWrap/>
            <w:vAlign w:val="center"/>
            <w:hideMark/>
          </w:tcPr>
          <w:p w14:paraId="2ADF4DB0"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Parking space levy</w:t>
            </w:r>
          </w:p>
        </w:tc>
        <w:tc>
          <w:tcPr>
            <w:tcW w:w="936" w:type="dxa"/>
            <w:tcBorders>
              <w:top w:val="nil"/>
              <w:left w:val="nil"/>
              <w:bottom w:val="nil"/>
              <w:right w:val="nil"/>
            </w:tcBorders>
            <w:shd w:val="clear" w:color="auto" w:fill="FFFFFF" w:themeFill="background1"/>
            <w:noWrap/>
            <w:vAlign w:val="center"/>
            <w:hideMark/>
          </w:tcPr>
          <w:p w14:paraId="53B413C1"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109</w:t>
            </w:r>
          </w:p>
        </w:tc>
        <w:tc>
          <w:tcPr>
            <w:tcW w:w="850" w:type="dxa"/>
            <w:tcBorders>
              <w:top w:val="nil"/>
              <w:left w:val="nil"/>
              <w:bottom w:val="nil"/>
              <w:right w:val="nil"/>
            </w:tcBorders>
            <w:shd w:val="clear" w:color="auto" w:fill="FFFFFF" w:themeFill="background1"/>
            <w:noWrap/>
            <w:vAlign w:val="center"/>
            <w:hideMark/>
          </w:tcPr>
          <w:p w14:paraId="3E66C382"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109</w:t>
            </w:r>
          </w:p>
        </w:tc>
        <w:tc>
          <w:tcPr>
            <w:tcW w:w="836" w:type="dxa"/>
            <w:tcBorders>
              <w:top w:val="nil"/>
              <w:left w:val="nil"/>
              <w:bottom w:val="nil"/>
              <w:right w:val="nil"/>
            </w:tcBorders>
            <w:shd w:val="clear" w:color="auto" w:fill="F2F2F2" w:themeFill="background1" w:themeFillShade="F2"/>
            <w:noWrap/>
            <w:vAlign w:val="center"/>
            <w:hideMark/>
          </w:tcPr>
          <w:p w14:paraId="0767176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111</w:t>
            </w:r>
          </w:p>
        </w:tc>
        <w:tc>
          <w:tcPr>
            <w:tcW w:w="836" w:type="dxa"/>
            <w:tcBorders>
              <w:top w:val="nil"/>
              <w:left w:val="nil"/>
              <w:bottom w:val="nil"/>
              <w:right w:val="nil"/>
            </w:tcBorders>
            <w:shd w:val="clear" w:color="auto" w:fill="F2F2F2" w:themeFill="background1" w:themeFillShade="F2"/>
            <w:noWrap/>
            <w:vAlign w:val="center"/>
            <w:hideMark/>
          </w:tcPr>
          <w:p w14:paraId="18F8FD8B"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111</w:t>
            </w:r>
          </w:p>
        </w:tc>
        <w:tc>
          <w:tcPr>
            <w:tcW w:w="836" w:type="dxa"/>
            <w:tcBorders>
              <w:top w:val="nil"/>
              <w:left w:val="nil"/>
              <w:bottom w:val="nil"/>
              <w:right w:val="nil"/>
            </w:tcBorders>
            <w:shd w:val="clear" w:color="auto" w:fill="F2F2F2" w:themeFill="background1" w:themeFillShade="F2"/>
            <w:noWrap/>
            <w:vAlign w:val="center"/>
            <w:hideMark/>
          </w:tcPr>
          <w:p w14:paraId="23238967"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113</w:t>
            </w:r>
          </w:p>
        </w:tc>
        <w:tc>
          <w:tcPr>
            <w:tcW w:w="836" w:type="dxa"/>
            <w:tcBorders>
              <w:top w:val="nil"/>
              <w:left w:val="nil"/>
              <w:bottom w:val="nil"/>
              <w:right w:val="nil"/>
            </w:tcBorders>
            <w:shd w:val="clear" w:color="auto" w:fill="F2F2F2" w:themeFill="background1" w:themeFillShade="F2"/>
            <w:noWrap/>
            <w:vAlign w:val="center"/>
            <w:hideMark/>
          </w:tcPr>
          <w:p w14:paraId="255AE7F8"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115</w:t>
            </w:r>
          </w:p>
        </w:tc>
        <w:tc>
          <w:tcPr>
            <w:tcW w:w="1058" w:type="dxa"/>
            <w:tcBorders>
              <w:top w:val="nil"/>
              <w:left w:val="nil"/>
              <w:bottom w:val="nil"/>
              <w:right w:val="nil"/>
            </w:tcBorders>
            <w:shd w:val="clear" w:color="auto" w:fill="auto"/>
            <w:noWrap/>
            <w:vAlign w:val="center"/>
            <w:hideMark/>
          </w:tcPr>
          <w:p w14:paraId="2B81EDBC" w14:textId="44D384A4"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1.2 </w:t>
            </w:r>
          </w:p>
        </w:tc>
      </w:tr>
      <w:tr w:rsidR="00855662" w:rsidRPr="00667CD1" w14:paraId="4E6D97C4" w14:textId="77777777" w:rsidTr="003F0557">
        <w:trPr>
          <w:trHeight w:val="225"/>
        </w:trPr>
        <w:tc>
          <w:tcPr>
            <w:tcW w:w="3186" w:type="dxa"/>
            <w:tcBorders>
              <w:top w:val="nil"/>
              <w:left w:val="nil"/>
              <w:bottom w:val="nil"/>
              <w:right w:val="nil"/>
            </w:tcBorders>
            <w:shd w:val="clear" w:color="auto" w:fill="auto"/>
            <w:noWrap/>
            <w:vAlign w:val="center"/>
            <w:hideMark/>
          </w:tcPr>
          <w:p w14:paraId="7729FB46"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Emergency services levy contributions</w:t>
            </w:r>
          </w:p>
        </w:tc>
        <w:tc>
          <w:tcPr>
            <w:tcW w:w="936" w:type="dxa"/>
            <w:tcBorders>
              <w:top w:val="nil"/>
              <w:left w:val="nil"/>
              <w:bottom w:val="nil"/>
              <w:right w:val="nil"/>
            </w:tcBorders>
            <w:shd w:val="clear" w:color="auto" w:fill="FFFFFF" w:themeFill="background1"/>
            <w:noWrap/>
            <w:vAlign w:val="center"/>
            <w:hideMark/>
          </w:tcPr>
          <w:p w14:paraId="20999B07"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785</w:t>
            </w:r>
          </w:p>
        </w:tc>
        <w:tc>
          <w:tcPr>
            <w:tcW w:w="850" w:type="dxa"/>
            <w:tcBorders>
              <w:top w:val="nil"/>
              <w:left w:val="nil"/>
              <w:bottom w:val="nil"/>
              <w:right w:val="nil"/>
            </w:tcBorders>
            <w:shd w:val="clear" w:color="auto" w:fill="FFFFFF" w:themeFill="background1"/>
            <w:noWrap/>
            <w:vAlign w:val="center"/>
            <w:hideMark/>
          </w:tcPr>
          <w:p w14:paraId="3FDD12EA"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907</w:t>
            </w:r>
          </w:p>
        </w:tc>
        <w:tc>
          <w:tcPr>
            <w:tcW w:w="836" w:type="dxa"/>
            <w:tcBorders>
              <w:top w:val="nil"/>
              <w:left w:val="nil"/>
              <w:bottom w:val="nil"/>
              <w:right w:val="nil"/>
            </w:tcBorders>
            <w:shd w:val="clear" w:color="auto" w:fill="F2F2F2" w:themeFill="background1" w:themeFillShade="F2"/>
            <w:noWrap/>
            <w:vAlign w:val="center"/>
            <w:hideMark/>
          </w:tcPr>
          <w:p w14:paraId="1F2B7DC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1,090</w:t>
            </w:r>
          </w:p>
        </w:tc>
        <w:tc>
          <w:tcPr>
            <w:tcW w:w="836" w:type="dxa"/>
            <w:tcBorders>
              <w:top w:val="nil"/>
              <w:left w:val="nil"/>
              <w:bottom w:val="nil"/>
              <w:right w:val="nil"/>
            </w:tcBorders>
            <w:shd w:val="clear" w:color="auto" w:fill="F2F2F2" w:themeFill="background1" w:themeFillShade="F2"/>
            <w:noWrap/>
            <w:vAlign w:val="center"/>
            <w:hideMark/>
          </w:tcPr>
          <w:p w14:paraId="62848B1D"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1,040</w:t>
            </w:r>
          </w:p>
        </w:tc>
        <w:tc>
          <w:tcPr>
            <w:tcW w:w="836" w:type="dxa"/>
            <w:tcBorders>
              <w:top w:val="nil"/>
              <w:left w:val="nil"/>
              <w:bottom w:val="nil"/>
              <w:right w:val="nil"/>
            </w:tcBorders>
            <w:shd w:val="clear" w:color="auto" w:fill="F2F2F2" w:themeFill="background1" w:themeFillShade="F2"/>
            <w:noWrap/>
            <w:vAlign w:val="center"/>
            <w:hideMark/>
          </w:tcPr>
          <w:p w14:paraId="11D9B93F"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1,040</w:t>
            </w:r>
          </w:p>
        </w:tc>
        <w:tc>
          <w:tcPr>
            <w:tcW w:w="836" w:type="dxa"/>
            <w:tcBorders>
              <w:top w:val="nil"/>
              <w:left w:val="nil"/>
              <w:bottom w:val="nil"/>
              <w:right w:val="nil"/>
            </w:tcBorders>
            <w:shd w:val="clear" w:color="auto" w:fill="F2F2F2" w:themeFill="background1" w:themeFillShade="F2"/>
            <w:noWrap/>
            <w:vAlign w:val="center"/>
            <w:hideMark/>
          </w:tcPr>
          <w:p w14:paraId="68A453F7"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1,029</w:t>
            </w:r>
          </w:p>
        </w:tc>
        <w:tc>
          <w:tcPr>
            <w:tcW w:w="1058" w:type="dxa"/>
            <w:tcBorders>
              <w:top w:val="nil"/>
              <w:left w:val="nil"/>
              <w:bottom w:val="nil"/>
              <w:right w:val="nil"/>
            </w:tcBorders>
            <w:shd w:val="clear" w:color="auto" w:fill="auto"/>
            <w:noWrap/>
            <w:vAlign w:val="center"/>
            <w:hideMark/>
          </w:tcPr>
          <w:p w14:paraId="03361FC6" w14:textId="01946159"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3.2 </w:t>
            </w:r>
          </w:p>
        </w:tc>
      </w:tr>
      <w:tr w:rsidR="00855662" w:rsidRPr="00667CD1" w14:paraId="226D5558" w14:textId="77777777" w:rsidTr="003F0557">
        <w:trPr>
          <w:trHeight w:val="225"/>
        </w:trPr>
        <w:tc>
          <w:tcPr>
            <w:tcW w:w="3186" w:type="dxa"/>
            <w:tcBorders>
              <w:top w:val="nil"/>
              <w:left w:val="nil"/>
              <w:bottom w:val="nil"/>
              <w:right w:val="nil"/>
            </w:tcBorders>
            <w:shd w:val="clear" w:color="auto" w:fill="auto"/>
            <w:noWrap/>
            <w:vAlign w:val="center"/>
            <w:hideMark/>
          </w:tcPr>
          <w:p w14:paraId="5D6413D1"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Emergency services council contributions</w:t>
            </w:r>
          </w:p>
        </w:tc>
        <w:tc>
          <w:tcPr>
            <w:tcW w:w="936" w:type="dxa"/>
            <w:tcBorders>
              <w:top w:val="nil"/>
              <w:left w:val="nil"/>
              <w:bottom w:val="nil"/>
              <w:right w:val="nil"/>
            </w:tcBorders>
            <w:shd w:val="clear" w:color="auto" w:fill="FFFFFF" w:themeFill="background1"/>
            <w:noWrap/>
            <w:vAlign w:val="center"/>
            <w:hideMark/>
          </w:tcPr>
          <w:p w14:paraId="6359330F"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143</w:t>
            </w:r>
          </w:p>
        </w:tc>
        <w:tc>
          <w:tcPr>
            <w:tcW w:w="850" w:type="dxa"/>
            <w:tcBorders>
              <w:top w:val="nil"/>
              <w:left w:val="nil"/>
              <w:bottom w:val="nil"/>
              <w:right w:val="nil"/>
            </w:tcBorders>
            <w:shd w:val="clear" w:color="auto" w:fill="FFFFFF" w:themeFill="background1"/>
            <w:noWrap/>
            <w:vAlign w:val="center"/>
            <w:hideMark/>
          </w:tcPr>
          <w:p w14:paraId="7008A322"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175</w:t>
            </w:r>
          </w:p>
        </w:tc>
        <w:tc>
          <w:tcPr>
            <w:tcW w:w="836" w:type="dxa"/>
            <w:tcBorders>
              <w:top w:val="nil"/>
              <w:left w:val="nil"/>
              <w:bottom w:val="nil"/>
              <w:right w:val="nil"/>
            </w:tcBorders>
            <w:shd w:val="clear" w:color="auto" w:fill="F2F2F2" w:themeFill="background1" w:themeFillShade="F2"/>
            <w:noWrap/>
            <w:vAlign w:val="center"/>
            <w:hideMark/>
          </w:tcPr>
          <w:p w14:paraId="166743A5"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162</w:t>
            </w:r>
          </w:p>
        </w:tc>
        <w:tc>
          <w:tcPr>
            <w:tcW w:w="836" w:type="dxa"/>
            <w:tcBorders>
              <w:top w:val="nil"/>
              <w:left w:val="nil"/>
              <w:bottom w:val="nil"/>
              <w:right w:val="nil"/>
            </w:tcBorders>
            <w:shd w:val="clear" w:color="auto" w:fill="F2F2F2" w:themeFill="background1" w:themeFillShade="F2"/>
            <w:noWrap/>
            <w:vAlign w:val="center"/>
            <w:hideMark/>
          </w:tcPr>
          <w:p w14:paraId="129AC0D3"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161</w:t>
            </w:r>
          </w:p>
        </w:tc>
        <w:tc>
          <w:tcPr>
            <w:tcW w:w="836" w:type="dxa"/>
            <w:tcBorders>
              <w:top w:val="nil"/>
              <w:left w:val="nil"/>
              <w:bottom w:val="nil"/>
              <w:right w:val="nil"/>
            </w:tcBorders>
            <w:shd w:val="clear" w:color="auto" w:fill="F2F2F2" w:themeFill="background1" w:themeFillShade="F2"/>
            <w:noWrap/>
            <w:vAlign w:val="center"/>
            <w:hideMark/>
          </w:tcPr>
          <w:p w14:paraId="55E414C0"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169</w:t>
            </w:r>
          </w:p>
        </w:tc>
        <w:tc>
          <w:tcPr>
            <w:tcW w:w="836" w:type="dxa"/>
            <w:tcBorders>
              <w:top w:val="nil"/>
              <w:left w:val="nil"/>
              <w:bottom w:val="nil"/>
              <w:right w:val="nil"/>
            </w:tcBorders>
            <w:shd w:val="clear" w:color="auto" w:fill="F2F2F2" w:themeFill="background1" w:themeFillShade="F2"/>
            <w:noWrap/>
            <w:vAlign w:val="center"/>
            <w:hideMark/>
          </w:tcPr>
          <w:p w14:paraId="29FCE923"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167</w:t>
            </w:r>
          </w:p>
        </w:tc>
        <w:tc>
          <w:tcPr>
            <w:tcW w:w="1058" w:type="dxa"/>
            <w:tcBorders>
              <w:top w:val="nil"/>
              <w:left w:val="nil"/>
              <w:bottom w:val="nil"/>
              <w:right w:val="nil"/>
            </w:tcBorders>
            <w:shd w:val="clear" w:color="auto" w:fill="auto"/>
            <w:noWrap/>
            <w:vAlign w:val="center"/>
            <w:hideMark/>
          </w:tcPr>
          <w:p w14:paraId="66889FF5" w14:textId="346737AC"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(1.2) </w:t>
            </w:r>
          </w:p>
        </w:tc>
      </w:tr>
      <w:tr w:rsidR="00855662" w:rsidRPr="00667CD1" w14:paraId="4C2EF6F3" w14:textId="77777777" w:rsidTr="003F0557">
        <w:trPr>
          <w:trHeight w:val="240"/>
        </w:trPr>
        <w:tc>
          <w:tcPr>
            <w:tcW w:w="3186" w:type="dxa"/>
            <w:tcBorders>
              <w:top w:val="nil"/>
              <w:left w:val="nil"/>
              <w:bottom w:val="nil"/>
              <w:right w:val="nil"/>
            </w:tcBorders>
            <w:shd w:val="clear" w:color="auto" w:fill="auto"/>
            <w:noWrap/>
            <w:vAlign w:val="center"/>
            <w:hideMark/>
          </w:tcPr>
          <w:p w14:paraId="576FD48E"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Waste and environment levy</w:t>
            </w:r>
          </w:p>
        </w:tc>
        <w:tc>
          <w:tcPr>
            <w:tcW w:w="936" w:type="dxa"/>
            <w:tcBorders>
              <w:top w:val="nil"/>
              <w:left w:val="nil"/>
              <w:bottom w:val="nil"/>
              <w:right w:val="nil"/>
            </w:tcBorders>
            <w:shd w:val="clear" w:color="auto" w:fill="FFFFFF" w:themeFill="background1"/>
            <w:noWrap/>
            <w:vAlign w:val="center"/>
            <w:hideMark/>
          </w:tcPr>
          <w:p w14:paraId="783A1F47"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767</w:t>
            </w:r>
          </w:p>
        </w:tc>
        <w:tc>
          <w:tcPr>
            <w:tcW w:w="850" w:type="dxa"/>
            <w:tcBorders>
              <w:top w:val="nil"/>
              <w:left w:val="nil"/>
              <w:bottom w:val="nil"/>
              <w:right w:val="nil"/>
            </w:tcBorders>
            <w:shd w:val="clear" w:color="auto" w:fill="FFFFFF" w:themeFill="background1"/>
            <w:noWrap/>
            <w:vAlign w:val="center"/>
            <w:hideMark/>
          </w:tcPr>
          <w:p w14:paraId="68CEE2DF"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749</w:t>
            </w:r>
          </w:p>
        </w:tc>
        <w:tc>
          <w:tcPr>
            <w:tcW w:w="836" w:type="dxa"/>
            <w:tcBorders>
              <w:top w:val="nil"/>
              <w:left w:val="nil"/>
              <w:bottom w:val="nil"/>
              <w:right w:val="nil"/>
            </w:tcBorders>
            <w:shd w:val="clear" w:color="auto" w:fill="F2F2F2" w:themeFill="background1" w:themeFillShade="F2"/>
            <w:noWrap/>
            <w:vAlign w:val="center"/>
            <w:hideMark/>
          </w:tcPr>
          <w:p w14:paraId="63E27D6B"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751</w:t>
            </w:r>
          </w:p>
        </w:tc>
        <w:tc>
          <w:tcPr>
            <w:tcW w:w="836" w:type="dxa"/>
            <w:tcBorders>
              <w:top w:val="nil"/>
              <w:left w:val="nil"/>
              <w:bottom w:val="nil"/>
              <w:right w:val="nil"/>
            </w:tcBorders>
            <w:shd w:val="clear" w:color="auto" w:fill="F2F2F2" w:themeFill="background1" w:themeFillShade="F2"/>
            <w:noWrap/>
            <w:vAlign w:val="center"/>
            <w:hideMark/>
          </w:tcPr>
          <w:p w14:paraId="02F26E1B"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761</w:t>
            </w:r>
          </w:p>
        </w:tc>
        <w:tc>
          <w:tcPr>
            <w:tcW w:w="836" w:type="dxa"/>
            <w:tcBorders>
              <w:top w:val="nil"/>
              <w:left w:val="nil"/>
              <w:bottom w:val="nil"/>
              <w:right w:val="nil"/>
            </w:tcBorders>
            <w:shd w:val="clear" w:color="auto" w:fill="F2F2F2" w:themeFill="background1" w:themeFillShade="F2"/>
            <w:noWrap/>
            <w:vAlign w:val="center"/>
            <w:hideMark/>
          </w:tcPr>
          <w:p w14:paraId="2976BB6E"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783</w:t>
            </w:r>
          </w:p>
        </w:tc>
        <w:tc>
          <w:tcPr>
            <w:tcW w:w="836" w:type="dxa"/>
            <w:tcBorders>
              <w:top w:val="nil"/>
              <w:left w:val="nil"/>
              <w:bottom w:val="nil"/>
              <w:right w:val="nil"/>
            </w:tcBorders>
            <w:shd w:val="clear" w:color="auto" w:fill="F2F2F2" w:themeFill="background1" w:themeFillShade="F2"/>
            <w:noWrap/>
            <w:vAlign w:val="center"/>
            <w:hideMark/>
          </w:tcPr>
          <w:p w14:paraId="4B013897"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832</w:t>
            </w:r>
          </w:p>
        </w:tc>
        <w:tc>
          <w:tcPr>
            <w:tcW w:w="1058" w:type="dxa"/>
            <w:tcBorders>
              <w:top w:val="nil"/>
              <w:left w:val="nil"/>
              <w:bottom w:val="nil"/>
              <w:right w:val="nil"/>
            </w:tcBorders>
            <w:shd w:val="clear" w:color="auto" w:fill="auto"/>
            <w:noWrap/>
            <w:vAlign w:val="center"/>
            <w:hideMark/>
          </w:tcPr>
          <w:p w14:paraId="08E4CA3B" w14:textId="76CF9EFE"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2.6 </w:t>
            </w:r>
          </w:p>
        </w:tc>
      </w:tr>
      <w:tr w:rsidR="00855662" w:rsidRPr="00667CD1" w14:paraId="2ECBABEA" w14:textId="77777777" w:rsidTr="003F0557">
        <w:trPr>
          <w:trHeight w:val="225"/>
        </w:trPr>
        <w:tc>
          <w:tcPr>
            <w:tcW w:w="3186" w:type="dxa"/>
            <w:tcBorders>
              <w:top w:val="nil"/>
              <w:left w:val="nil"/>
              <w:bottom w:val="nil"/>
              <w:right w:val="nil"/>
            </w:tcBorders>
            <w:shd w:val="clear" w:color="auto" w:fill="auto"/>
            <w:vAlign w:val="center"/>
            <w:hideMark/>
          </w:tcPr>
          <w:p w14:paraId="40C4A6FD"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Government guarantee fee</w:t>
            </w:r>
          </w:p>
        </w:tc>
        <w:tc>
          <w:tcPr>
            <w:tcW w:w="936" w:type="dxa"/>
            <w:tcBorders>
              <w:top w:val="nil"/>
              <w:left w:val="nil"/>
              <w:bottom w:val="nil"/>
              <w:right w:val="nil"/>
            </w:tcBorders>
            <w:shd w:val="clear" w:color="auto" w:fill="FFFFFF" w:themeFill="background1"/>
            <w:noWrap/>
            <w:vAlign w:val="center"/>
            <w:hideMark/>
          </w:tcPr>
          <w:p w14:paraId="5347022A"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300</w:t>
            </w:r>
          </w:p>
        </w:tc>
        <w:tc>
          <w:tcPr>
            <w:tcW w:w="850" w:type="dxa"/>
            <w:tcBorders>
              <w:top w:val="nil"/>
              <w:left w:val="nil"/>
              <w:bottom w:val="nil"/>
              <w:right w:val="nil"/>
            </w:tcBorders>
            <w:shd w:val="clear" w:color="auto" w:fill="FFFFFF" w:themeFill="background1"/>
            <w:noWrap/>
            <w:vAlign w:val="center"/>
            <w:hideMark/>
          </w:tcPr>
          <w:p w14:paraId="662ADF52"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322</w:t>
            </w:r>
          </w:p>
        </w:tc>
        <w:tc>
          <w:tcPr>
            <w:tcW w:w="836" w:type="dxa"/>
            <w:tcBorders>
              <w:top w:val="nil"/>
              <w:left w:val="nil"/>
              <w:bottom w:val="nil"/>
              <w:right w:val="nil"/>
            </w:tcBorders>
            <w:shd w:val="clear" w:color="auto" w:fill="F2F2F2" w:themeFill="background1" w:themeFillShade="F2"/>
            <w:noWrap/>
            <w:vAlign w:val="center"/>
            <w:hideMark/>
          </w:tcPr>
          <w:p w14:paraId="15C6335E"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317</w:t>
            </w:r>
          </w:p>
        </w:tc>
        <w:tc>
          <w:tcPr>
            <w:tcW w:w="836" w:type="dxa"/>
            <w:tcBorders>
              <w:top w:val="nil"/>
              <w:left w:val="nil"/>
              <w:bottom w:val="nil"/>
              <w:right w:val="nil"/>
            </w:tcBorders>
            <w:shd w:val="clear" w:color="auto" w:fill="F2F2F2" w:themeFill="background1" w:themeFillShade="F2"/>
            <w:noWrap/>
            <w:vAlign w:val="center"/>
            <w:hideMark/>
          </w:tcPr>
          <w:p w14:paraId="6FAD6A2C"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366</w:t>
            </w:r>
          </w:p>
        </w:tc>
        <w:tc>
          <w:tcPr>
            <w:tcW w:w="836" w:type="dxa"/>
            <w:tcBorders>
              <w:top w:val="nil"/>
              <w:left w:val="nil"/>
              <w:bottom w:val="nil"/>
              <w:right w:val="nil"/>
            </w:tcBorders>
            <w:shd w:val="clear" w:color="auto" w:fill="F2F2F2" w:themeFill="background1" w:themeFillShade="F2"/>
            <w:noWrap/>
            <w:vAlign w:val="center"/>
            <w:hideMark/>
          </w:tcPr>
          <w:p w14:paraId="6ACF0FB2"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391</w:t>
            </w:r>
          </w:p>
        </w:tc>
        <w:tc>
          <w:tcPr>
            <w:tcW w:w="836" w:type="dxa"/>
            <w:tcBorders>
              <w:top w:val="nil"/>
              <w:left w:val="nil"/>
              <w:bottom w:val="nil"/>
              <w:right w:val="nil"/>
            </w:tcBorders>
            <w:shd w:val="clear" w:color="auto" w:fill="F2F2F2" w:themeFill="background1" w:themeFillShade="F2"/>
            <w:noWrap/>
            <w:vAlign w:val="center"/>
            <w:hideMark/>
          </w:tcPr>
          <w:p w14:paraId="249A074B"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422</w:t>
            </w:r>
          </w:p>
        </w:tc>
        <w:tc>
          <w:tcPr>
            <w:tcW w:w="1058" w:type="dxa"/>
            <w:tcBorders>
              <w:top w:val="nil"/>
              <w:left w:val="nil"/>
              <w:bottom w:val="nil"/>
              <w:right w:val="nil"/>
            </w:tcBorders>
            <w:shd w:val="clear" w:color="auto" w:fill="auto"/>
            <w:noWrap/>
            <w:vAlign w:val="center"/>
            <w:hideMark/>
          </w:tcPr>
          <w:p w14:paraId="441683D0" w14:textId="161375FE"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6.9 </w:t>
            </w:r>
          </w:p>
        </w:tc>
      </w:tr>
      <w:tr w:rsidR="00855662" w:rsidRPr="00667CD1" w14:paraId="5FCE3161" w14:textId="77777777" w:rsidTr="003F0557">
        <w:trPr>
          <w:trHeight w:val="225"/>
        </w:trPr>
        <w:tc>
          <w:tcPr>
            <w:tcW w:w="3186" w:type="dxa"/>
            <w:tcBorders>
              <w:top w:val="nil"/>
              <w:left w:val="nil"/>
              <w:bottom w:val="nil"/>
              <w:right w:val="nil"/>
            </w:tcBorders>
            <w:shd w:val="clear" w:color="auto" w:fill="auto"/>
            <w:vAlign w:val="center"/>
            <w:hideMark/>
          </w:tcPr>
          <w:p w14:paraId="568EF251"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Private transport operators levy</w:t>
            </w:r>
          </w:p>
        </w:tc>
        <w:tc>
          <w:tcPr>
            <w:tcW w:w="936" w:type="dxa"/>
            <w:tcBorders>
              <w:top w:val="nil"/>
              <w:left w:val="nil"/>
              <w:bottom w:val="nil"/>
              <w:right w:val="nil"/>
            </w:tcBorders>
            <w:shd w:val="clear" w:color="auto" w:fill="FFFFFF" w:themeFill="background1"/>
            <w:noWrap/>
            <w:vAlign w:val="center"/>
            <w:hideMark/>
          </w:tcPr>
          <w:p w14:paraId="44F3041D"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77</w:t>
            </w:r>
          </w:p>
        </w:tc>
        <w:tc>
          <w:tcPr>
            <w:tcW w:w="850" w:type="dxa"/>
            <w:tcBorders>
              <w:top w:val="nil"/>
              <w:left w:val="nil"/>
              <w:bottom w:val="nil"/>
              <w:right w:val="nil"/>
            </w:tcBorders>
            <w:shd w:val="clear" w:color="auto" w:fill="FFFFFF" w:themeFill="background1"/>
            <w:noWrap/>
            <w:vAlign w:val="center"/>
            <w:hideMark/>
          </w:tcPr>
          <w:p w14:paraId="39F19B96"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68</w:t>
            </w:r>
          </w:p>
        </w:tc>
        <w:tc>
          <w:tcPr>
            <w:tcW w:w="836" w:type="dxa"/>
            <w:tcBorders>
              <w:top w:val="nil"/>
              <w:left w:val="nil"/>
              <w:bottom w:val="nil"/>
              <w:right w:val="nil"/>
            </w:tcBorders>
            <w:shd w:val="clear" w:color="auto" w:fill="F2F2F2" w:themeFill="background1" w:themeFillShade="F2"/>
            <w:noWrap/>
            <w:vAlign w:val="center"/>
            <w:hideMark/>
          </w:tcPr>
          <w:p w14:paraId="04EA952C"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85</w:t>
            </w:r>
          </w:p>
        </w:tc>
        <w:tc>
          <w:tcPr>
            <w:tcW w:w="836" w:type="dxa"/>
            <w:tcBorders>
              <w:top w:val="nil"/>
              <w:left w:val="nil"/>
              <w:bottom w:val="nil"/>
              <w:right w:val="nil"/>
            </w:tcBorders>
            <w:shd w:val="clear" w:color="auto" w:fill="F2F2F2" w:themeFill="background1" w:themeFillShade="F2"/>
            <w:noWrap/>
            <w:vAlign w:val="center"/>
            <w:hideMark/>
          </w:tcPr>
          <w:p w14:paraId="36697DFF"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17</w:t>
            </w:r>
          </w:p>
        </w:tc>
        <w:tc>
          <w:tcPr>
            <w:tcW w:w="836" w:type="dxa"/>
            <w:tcBorders>
              <w:top w:val="nil"/>
              <w:left w:val="nil"/>
              <w:bottom w:val="nil"/>
              <w:right w:val="nil"/>
            </w:tcBorders>
            <w:shd w:val="clear" w:color="auto" w:fill="F2F2F2" w:themeFill="background1" w:themeFillShade="F2"/>
            <w:noWrap/>
            <w:vAlign w:val="center"/>
            <w:hideMark/>
          </w:tcPr>
          <w:p w14:paraId="08135E48"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w:t>
            </w:r>
          </w:p>
        </w:tc>
        <w:tc>
          <w:tcPr>
            <w:tcW w:w="836" w:type="dxa"/>
            <w:tcBorders>
              <w:top w:val="nil"/>
              <w:left w:val="nil"/>
              <w:bottom w:val="nil"/>
              <w:right w:val="nil"/>
            </w:tcBorders>
            <w:shd w:val="clear" w:color="auto" w:fill="F2F2F2" w:themeFill="background1" w:themeFillShade="F2"/>
            <w:noWrap/>
            <w:vAlign w:val="center"/>
            <w:hideMark/>
          </w:tcPr>
          <w:p w14:paraId="6A149DEF"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w:t>
            </w:r>
          </w:p>
        </w:tc>
        <w:tc>
          <w:tcPr>
            <w:tcW w:w="1058" w:type="dxa"/>
            <w:tcBorders>
              <w:top w:val="nil"/>
              <w:left w:val="nil"/>
              <w:bottom w:val="nil"/>
              <w:right w:val="nil"/>
            </w:tcBorders>
            <w:shd w:val="clear" w:color="auto" w:fill="auto"/>
            <w:noWrap/>
            <w:vAlign w:val="center"/>
            <w:hideMark/>
          </w:tcPr>
          <w:p w14:paraId="33FBD95A" w14:textId="03A248F3"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(41.5) </w:t>
            </w:r>
          </w:p>
        </w:tc>
      </w:tr>
      <w:tr w:rsidR="00855662" w:rsidRPr="00667CD1" w14:paraId="533E3BA7" w14:textId="77777777" w:rsidTr="003F0557">
        <w:trPr>
          <w:trHeight w:val="225"/>
        </w:trPr>
        <w:tc>
          <w:tcPr>
            <w:tcW w:w="3186" w:type="dxa"/>
            <w:tcBorders>
              <w:top w:val="nil"/>
              <w:left w:val="nil"/>
              <w:bottom w:val="nil"/>
              <w:right w:val="nil"/>
            </w:tcBorders>
            <w:shd w:val="clear" w:color="auto" w:fill="auto"/>
            <w:noWrap/>
            <w:vAlign w:val="center"/>
            <w:hideMark/>
          </w:tcPr>
          <w:p w14:paraId="04492E5C"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Pollution control licences</w:t>
            </w:r>
          </w:p>
        </w:tc>
        <w:tc>
          <w:tcPr>
            <w:tcW w:w="936" w:type="dxa"/>
            <w:tcBorders>
              <w:top w:val="nil"/>
              <w:left w:val="nil"/>
              <w:bottom w:val="nil"/>
              <w:right w:val="nil"/>
            </w:tcBorders>
            <w:shd w:val="clear" w:color="auto" w:fill="FFFFFF" w:themeFill="background1"/>
            <w:noWrap/>
            <w:vAlign w:val="center"/>
            <w:hideMark/>
          </w:tcPr>
          <w:p w14:paraId="068423EA"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18</w:t>
            </w:r>
          </w:p>
        </w:tc>
        <w:tc>
          <w:tcPr>
            <w:tcW w:w="850" w:type="dxa"/>
            <w:tcBorders>
              <w:top w:val="nil"/>
              <w:left w:val="nil"/>
              <w:bottom w:val="nil"/>
              <w:right w:val="nil"/>
            </w:tcBorders>
            <w:shd w:val="clear" w:color="auto" w:fill="FFFFFF" w:themeFill="background1"/>
            <w:noWrap/>
            <w:vAlign w:val="center"/>
            <w:hideMark/>
          </w:tcPr>
          <w:p w14:paraId="16628D18"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18</w:t>
            </w:r>
          </w:p>
        </w:tc>
        <w:tc>
          <w:tcPr>
            <w:tcW w:w="836" w:type="dxa"/>
            <w:tcBorders>
              <w:top w:val="nil"/>
              <w:left w:val="nil"/>
              <w:bottom w:val="nil"/>
              <w:right w:val="nil"/>
            </w:tcBorders>
            <w:shd w:val="clear" w:color="auto" w:fill="F2F2F2" w:themeFill="background1" w:themeFillShade="F2"/>
            <w:noWrap/>
            <w:vAlign w:val="center"/>
            <w:hideMark/>
          </w:tcPr>
          <w:p w14:paraId="5DCB9753"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26</w:t>
            </w:r>
          </w:p>
        </w:tc>
        <w:tc>
          <w:tcPr>
            <w:tcW w:w="836" w:type="dxa"/>
            <w:tcBorders>
              <w:top w:val="nil"/>
              <w:left w:val="nil"/>
              <w:bottom w:val="nil"/>
              <w:right w:val="nil"/>
            </w:tcBorders>
            <w:shd w:val="clear" w:color="auto" w:fill="F2F2F2" w:themeFill="background1" w:themeFillShade="F2"/>
            <w:noWrap/>
            <w:vAlign w:val="center"/>
            <w:hideMark/>
          </w:tcPr>
          <w:p w14:paraId="66794189"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26</w:t>
            </w:r>
          </w:p>
        </w:tc>
        <w:tc>
          <w:tcPr>
            <w:tcW w:w="836" w:type="dxa"/>
            <w:tcBorders>
              <w:top w:val="nil"/>
              <w:left w:val="nil"/>
              <w:bottom w:val="nil"/>
              <w:right w:val="nil"/>
            </w:tcBorders>
            <w:shd w:val="clear" w:color="auto" w:fill="F2F2F2" w:themeFill="background1" w:themeFillShade="F2"/>
            <w:noWrap/>
            <w:vAlign w:val="center"/>
            <w:hideMark/>
          </w:tcPr>
          <w:p w14:paraId="54D424AC"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27</w:t>
            </w:r>
          </w:p>
        </w:tc>
        <w:tc>
          <w:tcPr>
            <w:tcW w:w="836" w:type="dxa"/>
            <w:tcBorders>
              <w:top w:val="nil"/>
              <w:left w:val="nil"/>
              <w:bottom w:val="nil"/>
              <w:right w:val="nil"/>
            </w:tcBorders>
            <w:shd w:val="clear" w:color="auto" w:fill="F2F2F2" w:themeFill="background1" w:themeFillShade="F2"/>
            <w:noWrap/>
            <w:vAlign w:val="center"/>
            <w:hideMark/>
          </w:tcPr>
          <w:p w14:paraId="698FB6A5"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18</w:t>
            </w:r>
          </w:p>
        </w:tc>
        <w:tc>
          <w:tcPr>
            <w:tcW w:w="1058" w:type="dxa"/>
            <w:tcBorders>
              <w:top w:val="nil"/>
              <w:left w:val="nil"/>
              <w:bottom w:val="nil"/>
              <w:right w:val="nil"/>
            </w:tcBorders>
            <w:shd w:val="clear" w:color="auto" w:fill="auto"/>
            <w:noWrap/>
            <w:vAlign w:val="center"/>
            <w:hideMark/>
          </w:tcPr>
          <w:p w14:paraId="495EC1D1" w14:textId="03D5442F"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(0.3) </w:t>
            </w:r>
          </w:p>
        </w:tc>
      </w:tr>
      <w:tr w:rsidR="00855662" w:rsidRPr="00667CD1" w14:paraId="2633C563" w14:textId="77777777" w:rsidTr="003F0557">
        <w:trPr>
          <w:trHeight w:val="225"/>
        </w:trPr>
        <w:tc>
          <w:tcPr>
            <w:tcW w:w="3186" w:type="dxa"/>
            <w:tcBorders>
              <w:top w:val="nil"/>
              <w:left w:val="nil"/>
              <w:bottom w:val="nil"/>
              <w:right w:val="nil"/>
            </w:tcBorders>
            <w:shd w:val="clear" w:color="auto" w:fill="auto"/>
            <w:noWrap/>
            <w:vAlign w:val="center"/>
            <w:hideMark/>
          </w:tcPr>
          <w:p w14:paraId="15834F83" w14:textId="77777777" w:rsidR="00855662" w:rsidRPr="00667CD1" w:rsidRDefault="00855662" w:rsidP="00855662">
            <w:pPr>
              <w:rPr>
                <w:rFonts w:ascii="Arial" w:hAnsi="Arial" w:cs="Arial"/>
                <w:sz w:val="12"/>
                <w:szCs w:val="12"/>
                <w:lang w:eastAsia="en-AU"/>
              </w:rPr>
            </w:pPr>
            <w:r w:rsidRPr="00667CD1">
              <w:rPr>
                <w:rFonts w:ascii="Arial" w:hAnsi="Arial" w:cs="Arial"/>
                <w:sz w:val="12"/>
                <w:szCs w:val="12"/>
                <w:lang w:eastAsia="en-AU"/>
              </w:rPr>
              <w:t>Other taxes</w:t>
            </w:r>
          </w:p>
        </w:tc>
        <w:tc>
          <w:tcPr>
            <w:tcW w:w="936" w:type="dxa"/>
            <w:tcBorders>
              <w:top w:val="nil"/>
              <w:left w:val="nil"/>
              <w:bottom w:val="nil"/>
              <w:right w:val="nil"/>
            </w:tcBorders>
            <w:shd w:val="clear" w:color="auto" w:fill="FFFFFF" w:themeFill="background1"/>
            <w:noWrap/>
            <w:vAlign w:val="center"/>
            <w:hideMark/>
          </w:tcPr>
          <w:p w14:paraId="698DFFE5"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862</w:t>
            </w:r>
          </w:p>
        </w:tc>
        <w:tc>
          <w:tcPr>
            <w:tcW w:w="850" w:type="dxa"/>
            <w:tcBorders>
              <w:top w:val="nil"/>
              <w:left w:val="nil"/>
              <w:bottom w:val="nil"/>
              <w:right w:val="nil"/>
            </w:tcBorders>
            <w:shd w:val="clear" w:color="auto" w:fill="FFFFFF" w:themeFill="background1"/>
            <w:noWrap/>
            <w:vAlign w:val="center"/>
            <w:hideMark/>
          </w:tcPr>
          <w:p w14:paraId="079EF3F3"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1,027</w:t>
            </w:r>
          </w:p>
        </w:tc>
        <w:tc>
          <w:tcPr>
            <w:tcW w:w="836" w:type="dxa"/>
            <w:tcBorders>
              <w:top w:val="nil"/>
              <w:left w:val="nil"/>
              <w:bottom w:val="nil"/>
              <w:right w:val="nil"/>
            </w:tcBorders>
            <w:shd w:val="clear" w:color="auto" w:fill="F2F2F2" w:themeFill="background1" w:themeFillShade="F2"/>
            <w:noWrap/>
            <w:vAlign w:val="center"/>
            <w:hideMark/>
          </w:tcPr>
          <w:p w14:paraId="78015923"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726</w:t>
            </w:r>
          </w:p>
        </w:tc>
        <w:tc>
          <w:tcPr>
            <w:tcW w:w="836" w:type="dxa"/>
            <w:tcBorders>
              <w:top w:val="nil"/>
              <w:left w:val="nil"/>
              <w:bottom w:val="nil"/>
              <w:right w:val="nil"/>
            </w:tcBorders>
            <w:shd w:val="clear" w:color="auto" w:fill="F2F2F2" w:themeFill="background1" w:themeFillShade="F2"/>
            <w:noWrap/>
            <w:vAlign w:val="center"/>
            <w:hideMark/>
          </w:tcPr>
          <w:p w14:paraId="66C585D4"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813</w:t>
            </w:r>
          </w:p>
        </w:tc>
        <w:tc>
          <w:tcPr>
            <w:tcW w:w="836" w:type="dxa"/>
            <w:tcBorders>
              <w:top w:val="nil"/>
              <w:left w:val="nil"/>
              <w:bottom w:val="nil"/>
              <w:right w:val="nil"/>
            </w:tcBorders>
            <w:shd w:val="clear" w:color="auto" w:fill="F2F2F2" w:themeFill="background1" w:themeFillShade="F2"/>
            <w:noWrap/>
            <w:vAlign w:val="center"/>
            <w:hideMark/>
          </w:tcPr>
          <w:p w14:paraId="42AC086E"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834</w:t>
            </w:r>
          </w:p>
        </w:tc>
        <w:tc>
          <w:tcPr>
            <w:tcW w:w="836" w:type="dxa"/>
            <w:tcBorders>
              <w:top w:val="nil"/>
              <w:left w:val="nil"/>
              <w:bottom w:val="nil"/>
              <w:right w:val="nil"/>
            </w:tcBorders>
            <w:shd w:val="clear" w:color="auto" w:fill="F2F2F2" w:themeFill="background1" w:themeFillShade="F2"/>
            <w:noWrap/>
            <w:vAlign w:val="center"/>
            <w:hideMark/>
          </w:tcPr>
          <w:p w14:paraId="5CCC4BCF" w14:textId="77777777" w:rsidR="00855662" w:rsidRPr="00667CD1" w:rsidRDefault="00855662" w:rsidP="003F0557">
            <w:pPr>
              <w:jc w:val="right"/>
              <w:rPr>
                <w:rFonts w:ascii="Arial" w:hAnsi="Arial" w:cs="Arial"/>
                <w:sz w:val="12"/>
                <w:szCs w:val="12"/>
                <w:lang w:eastAsia="en-AU"/>
              </w:rPr>
            </w:pPr>
            <w:r w:rsidRPr="00667CD1">
              <w:rPr>
                <w:rFonts w:ascii="Arial" w:hAnsi="Arial" w:cs="Arial"/>
                <w:sz w:val="12"/>
                <w:szCs w:val="12"/>
                <w:lang w:eastAsia="en-AU"/>
              </w:rPr>
              <w:t>861</w:t>
            </w:r>
          </w:p>
        </w:tc>
        <w:tc>
          <w:tcPr>
            <w:tcW w:w="1058" w:type="dxa"/>
            <w:tcBorders>
              <w:top w:val="nil"/>
              <w:left w:val="nil"/>
              <w:bottom w:val="nil"/>
              <w:right w:val="nil"/>
            </w:tcBorders>
            <w:shd w:val="clear" w:color="auto" w:fill="auto"/>
            <w:noWrap/>
            <w:vAlign w:val="center"/>
            <w:hideMark/>
          </w:tcPr>
          <w:p w14:paraId="24853AF6" w14:textId="27A57181" w:rsidR="00855662" w:rsidRPr="00667CD1" w:rsidRDefault="00855662" w:rsidP="00855662">
            <w:pPr>
              <w:jc w:val="center"/>
              <w:rPr>
                <w:rFonts w:ascii="Arial" w:hAnsi="Arial" w:cs="Arial"/>
                <w:sz w:val="12"/>
                <w:szCs w:val="12"/>
                <w:lang w:eastAsia="en-AU"/>
              </w:rPr>
            </w:pPr>
            <w:r w:rsidRPr="00667CD1">
              <w:rPr>
                <w:rFonts w:ascii="Arial" w:hAnsi="Arial" w:cs="Arial"/>
                <w:sz w:val="12"/>
                <w:szCs w:val="12"/>
                <w:lang w:eastAsia="en-AU"/>
              </w:rPr>
              <w:t xml:space="preserve">(4.3) </w:t>
            </w:r>
          </w:p>
        </w:tc>
      </w:tr>
      <w:tr w:rsidR="00E26D63" w:rsidRPr="00667CD1" w14:paraId="4A1C4F4F" w14:textId="77777777" w:rsidTr="003F0557">
        <w:trPr>
          <w:trHeight w:val="284"/>
        </w:trPr>
        <w:tc>
          <w:tcPr>
            <w:tcW w:w="3186" w:type="dxa"/>
            <w:tcBorders>
              <w:top w:val="nil"/>
              <w:left w:val="nil"/>
              <w:bottom w:val="nil"/>
              <w:right w:val="nil"/>
            </w:tcBorders>
            <w:shd w:val="clear" w:color="auto" w:fill="auto"/>
            <w:noWrap/>
            <w:vAlign w:val="center"/>
            <w:hideMark/>
          </w:tcPr>
          <w:p w14:paraId="2B282E86" w14:textId="77777777" w:rsidR="00855662" w:rsidRPr="00667CD1" w:rsidRDefault="00855662" w:rsidP="00855662">
            <w:pPr>
              <w:jc w:val="center"/>
              <w:rPr>
                <w:rFonts w:ascii="Arial" w:hAnsi="Arial" w:cs="Arial"/>
                <w:color w:val="008EBA"/>
                <w:sz w:val="12"/>
                <w:szCs w:val="12"/>
                <w:lang w:eastAsia="en-AU"/>
              </w:rPr>
            </w:pPr>
          </w:p>
        </w:tc>
        <w:tc>
          <w:tcPr>
            <w:tcW w:w="936" w:type="dxa"/>
            <w:tcBorders>
              <w:top w:val="single" w:sz="4" w:space="0" w:color="auto"/>
              <w:left w:val="nil"/>
              <w:bottom w:val="single" w:sz="4" w:space="0" w:color="auto"/>
              <w:right w:val="nil"/>
            </w:tcBorders>
            <w:shd w:val="clear" w:color="auto" w:fill="auto"/>
            <w:noWrap/>
            <w:vAlign w:val="center"/>
            <w:hideMark/>
          </w:tcPr>
          <w:p w14:paraId="3F8D9010"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3,272</w:t>
            </w:r>
          </w:p>
        </w:tc>
        <w:tc>
          <w:tcPr>
            <w:tcW w:w="850" w:type="dxa"/>
            <w:tcBorders>
              <w:top w:val="single" w:sz="4" w:space="0" w:color="auto"/>
              <w:left w:val="nil"/>
              <w:bottom w:val="single" w:sz="4" w:space="0" w:color="auto"/>
              <w:right w:val="nil"/>
            </w:tcBorders>
            <w:shd w:val="clear" w:color="auto" w:fill="auto"/>
            <w:noWrap/>
            <w:vAlign w:val="center"/>
            <w:hideMark/>
          </w:tcPr>
          <w:p w14:paraId="34DC974C"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3,590</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0DA4FE27"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3,490</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0DB6D2D9"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3,521</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39C3768B"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3,595</w:t>
            </w:r>
          </w:p>
        </w:tc>
        <w:tc>
          <w:tcPr>
            <w:tcW w:w="836" w:type="dxa"/>
            <w:tcBorders>
              <w:top w:val="single" w:sz="4" w:space="0" w:color="auto"/>
              <w:left w:val="nil"/>
              <w:bottom w:val="single" w:sz="4" w:space="0" w:color="auto"/>
              <w:right w:val="nil"/>
            </w:tcBorders>
            <w:shd w:val="clear" w:color="auto" w:fill="F2F2F2" w:themeFill="background1" w:themeFillShade="F2"/>
            <w:noWrap/>
            <w:vAlign w:val="center"/>
            <w:hideMark/>
          </w:tcPr>
          <w:p w14:paraId="1AA796AE"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3,686</w:t>
            </w:r>
          </w:p>
        </w:tc>
        <w:tc>
          <w:tcPr>
            <w:tcW w:w="1058" w:type="dxa"/>
            <w:tcBorders>
              <w:top w:val="single" w:sz="4" w:space="0" w:color="auto"/>
              <w:left w:val="nil"/>
              <w:bottom w:val="single" w:sz="4" w:space="0" w:color="auto"/>
              <w:right w:val="nil"/>
            </w:tcBorders>
            <w:shd w:val="clear" w:color="auto" w:fill="auto"/>
            <w:noWrap/>
            <w:vAlign w:val="center"/>
            <w:hideMark/>
          </w:tcPr>
          <w:p w14:paraId="2A4C3F12" w14:textId="11001EB5" w:rsidR="00855662" w:rsidRPr="00667CD1" w:rsidRDefault="00855662" w:rsidP="00855662">
            <w:pPr>
              <w:jc w:val="center"/>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0.7 </w:t>
            </w:r>
          </w:p>
        </w:tc>
      </w:tr>
      <w:tr w:rsidR="00E26D63" w:rsidRPr="00667CD1" w14:paraId="379373A4" w14:textId="77777777" w:rsidTr="003F0557">
        <w:trPr>
          <w:trHeight w:val="284"/>
        </w:trPr>
        <w:tc>
          <w:tcPr>
            <w:tcW w:w="3186" w:type="dxa"/>
            <w:tcBorders>
              <w:top w:val="nil"/>
              <w:left w:val="nil"/>
              <w:bottom w:val="nil"/>
              <w:right w:val="nil"/>
            </w:tcBorders>
            <w:shd w:val="clear" w:color="auto" w:fill="auto"/>
            <w:noWrap/>
            <w:vAlign w:val="center"/>
            <w:hideMark/>
          </w:tcPr>
          <w:p w14:paraId="3B1B6543" w14:textId="77777777" w:rsidR="00855662" w:rsidRPr="00667CD1" w:rsidRDefault="00855662" w:rsidP="00855662">
            <w:pPr>
              <w:rPr>
                <w:rFonts w:ascii="Arial" w:hAnsi="Arial" w:cs="Arial"/>
                <w:b/>
                <w:bCs/>
                <w:color w:val="008EBA"/>
                <w:sz w:val="12"/>
                <w:szCs w:val="12"/>
                <w:lang w:eastAsia="en-AU"/>
              </w:rPr>
            </w:pPr>
            <w:r w:rsidRPr="00667CD1">
              <w:rPr>
                <w:rFonts w:ascii="Arial" w:hAnsi="Arial" w:cs="Arial"/>
                <w:b/>
                <w:bCs/>
                <w:color w:val="008EBA"/>
                <w:sz w:val="12"/>
                <w:szCs w:val="12"/>
                <w:lang w:eastAsia="en-AU"/>
              </w:rPr>
              <w:t>Total taxation revenue</w:t>
            </w:r>
          </w:p>
        </w:tc>
        <w:tc>
          <w:tcPr>
            <w:tcW w:w="936" w:type="dxa"/>
            <w:tcBorders>
              <w:top w:val="nil"/>
              <w:left w:val="nil"/>
              <w:bottom w:val="nil"/>
              <w:right w:val="nil"/>
            </w:tcBorders>
            <w:shd w:val="clear" w:color="auto" w:fill="auto"/>
            <w:noWrap/>
            <w:vAlign w:val="center"/>
            <w:hideMark/>
          </w:tcPr>
          <w:p w14:paraId="250893D5"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31,026</w:t>
            </w:r>
          </w:p>
        </w:tc>
        <w:tc>
          <w:tcPr>
            <w:tcW w:w="850" w:type="dxa"/>
            <w:tcBorders>
              <w:top w:val="nil"/>
              <w:left w:val="nil"/>
              <w:bottom w:val="nil"/>
              <w:right w:val="nil"/>
            </w:tcBorders>
            <w:shd w:val="clear" w:color="auto" w:fill="auto"/>
            <w:noWrap/>
            <w:vAlign w:val="center"/>
            <w:hideMark/>
          </w:tcPr>
          <w:p w14:paraId="551C19B6"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29,941</w:t>
            </w:r>
          </w:p>
        </w:tc>
        <w:tc>
          <w:tcPr>
            <w:tcW w:w="836" w:type="dxa"/>
            <w:tcBorders>
              <w:top w:val="nil"/>
              <w:left w:val="nil"/>
              <w:bottom w:val="nil"/>
              <w:right w:val="nil"/>
            </w:tcBorders>
            <w:shd w:val="clear" w:color="auto" w:fill="F2F2F2" w:themeFill="background1" w:themeFillShade="F2"/>
            <w:noWrap/>
            <w:vAlign w:val="center"/>
            <w:hideMark/>
          </w:tcPr>
          <w:p w14:paraId="321331F6"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31,711</w:t>
            </w:r>
          </w:p>
        </w:tc>
        <w:tc>
          <w:tcPr>
            <w:tcW w:w="836" w:type="dxa"/>
            <w:tcBorders>
              <w:top w:val="nil"/>
              <w:left w:val="nil"/>
              <w:bottom w:val="nil"/>
              <w:right w:val="nil"/>
            </w:tcBorders>
            <w:shd w:val="clear" w:color="auto" w:fill="F2F2F2" w:themeFill="background1" w:themeFillShade="F2"/>
            <w:noWrap/>
            <w:vAlign w:val="center"/>
            <w:hideMark/>
          </w:tcPr>
          <w:p w14:paraId="257071DA"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32,552</w:t>
            </w:r>
          </w:p>
        </w:tc>
        <w:tc>
          <w:tcPr>
            <w:tcW w:w="836" w:type="dxa"/>
            <w:tcBorders>
              <w:top w:val="nil"/>
              <w:left w:val="nil"/>
              <w:bottom w:val="nil"/>
              <w:right w:val="nil"/>
            </w:tcBorders>
            <w:shd w:val="clear" w:color="auto" w:fill="F2F2F2" w:themeFill="background1" w:themeFillShade="F2"/>
            <w:noWrap/>
            <w:vAlign w:val="center"/>
            <w:hideMark/>
          </w:tcPr>
          <w:p w14:paraId="65CC769C"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35,211</w:t>
            </w:r>
          </w:p>
        </w:tc>
        <w:tc>
          <w:tcPr>
            <w:tcW w:w="836" w:type="dxa"/>
            <w:tcBorders>
              <w:top w:val="nil"/>
              <w:left w:val="nil"/>
              <w:bottom w:val="nil"/>
              <w:right w:val="nil"/>
            </w:tcBorders>
            <w:shd w:val="clear" w:color="auto" w:fill="F2F2F2" w:themeFill="background1" w:themeFillShade="F2"/>
            <w:noWrap/>
            <w:vAlign w:val="center"/>
            <w:hideMark/>
          </w:tcPr>
          <w:p w14:paraId="6FEF2446" w14:textId="77777777" w:rsidR="00855662" w:rsidRPr="00667CD1" w:rsidRDefault="00855662" w:rsidP="003F0557">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36,885</w:t>
            </w:r>
          </w:p>
        </w:tc>
        <w:tc>
          <w:tcPr>
            <w:tcW w:w="1058" w:type="dxa"/>
            <w:tcBorders>
              <w:top w:val="nil"/>
              <w:left w:val="nil"/>
              <w:bottom w:val="nil"/>
              <w:right w:val="nil"/>
            </w:tcBorders>
            <w:shd w:val="clear" w:color="auto" w:fill="auto"/>
            <w:noWrap/>
            <w:vAlign w:val="center"/>
            <w:hideMark/>
          </w:tcPr>
          <w:p w14:paraId="444F76F5" w14:textId="4CA6CC1C" w:rsidR="00855662" w:rsidRPr="00667CD1" w:rsidRDefault="00855662" w:rsidP="00855662">
            <w:pPr>
              <w:jc w:val="center"/>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5.4 </w:t>
            </w:r>
          </w:p>
        </w:tc>
      </w:tr>
      <w:tr w:rsidR="00855662" w:rsidRPr="00667CD1" w14:paraId="373C1BD8" w14:textId="77777777" w:rsidTr="003F0557">
        <w:trPr>
          <w:trHeight w:val="198"/>
        </w:trPr>
        <w:tc>
          <w:tcPr>
            <w:tcW w:w="3186" w:type="dxa"/>
            <w:tcBorders>
              <w:top w:val="nil"/>
              <w:left w:val="nil"/>
              <w:bottom w:val="nil"/>
              <w:right w:val="nil"/>
            </w:tcBorders>
            <w:shd w:val="clear" w:color="auto" w:fill="auto"/>
            <w:noWrap/>
            <w:vAlign w:val="center"/>
            <w:hideMark/>
          </w:tcPr>
          <w:p w14:paraId="2EC81DDD" w14:textId="77777777" w:rsidR="00855662" w:rsidRPr="00667CD1" w:rsidRDefault="00855662" w:rsidP="00855662">
            <w:pPr>
              <w:rPr>
                <w:rFonts w:ascii="Arial" w:hAnsi="Arial" w:cs="Arial"/>
                <w:i/>
                <w:iCs/>
                <w:sz w:val="12"/>
                <w:szCs w:val="12"/>
                <w:lang w:eastAsia="en-AU"/>
              </w:rPr>
            </w:pPr>
            <w:r w:rsidRPr="00667CD1">
              <w:rPr>
                <w:rFonts w:ascii="Arial" w:hAnsi="Arial" w:cs="Arial"/>
                <w:i/>
                <w:iCs/>
                <w:sz w:val="12"/>
                <w:szCs w:val="12"/>
                <w:lang w:eastAsia="en-AU"/>
              </w:rPr>
              <w:t>Annual change</w:t>
            </w:r>
          </w:p>
        </w:tc>
        <w:tc>
          <w:tcPr>
            <w:tcW w:w="936" w:type="dxa"/>
            <w:tcBorders>
              <w:top w:val="nil"/>
              <w:left w:val="nil"/>
              <w:bottom w:val="nil"/>
              <w:right w:val="nil"/>
            </w:tcBorders>
            <w:shd w:val="clear" w:color="auto" w:fill="auto"/>
            <w:noWrap/>
            <w:vAlign w:val="center"/>
            <w:hideMark/>
          </w:tcPr>
          <w:p w14:paraId="4E2E8578" w14:textId="77777777" w:rsidR="00855662" w:rsidRPr="00667CD1" w:rsidRDefault="00855662" w:rsidP="00855662">
            <w:pPr>
              <w:rPr>
                <w:rFonts w:ascii="Arial" w:hAnsi="Arial" w:cs="Arial"/>
                <w:i/>
                <w:iCs/>
                <w:sz w:val="12"/>
                <w:szCs w:val="12"/>
                <w:lang w:eastAsia="en-AU"/>
              </w:rPr>
            </w:pPr>
          </w:p>
        </w:tc>
        <w:tc>
          <w:tcPr>
            <w:tcW w:w="850" w:type="dxa"/>
            <w:tcBorders>
              <w:top w:val="nil"/>
              <w:left w:val="nil"/>
              <w:bottom w:val="nil"/>
              <w:right w:val="nil"/>
            </w:tcBorders>
            <w:shd w:val="clear" w:color="auto" w:fill="auto"/>
            <w:noWrap/>
            <w:vAlign w:val="center"/>
            <w:hideMark/>
          </w:tcPr>
          <w:p w14:paraId="69C332CB" w14:textId="77777777" w:rsidR="00855662" w:rsidRPr="00667CD1" w:rsidRDefault="00855662" w:rsidP="00855662">
            <w:pPr>
              <w:jc w:val="center"/>
              <w:rPr>
                <w:rFonts w:ascii="Arial" w:hAnsi="Arial" w:cs="Arial"/>
                <w:i/>
                <w:iCs/>
                <w:sz w:val="12"/>
                <w:szCs w:val="12"/>
                <w:lang w:eastAsia="en-AU"/>
              </w:rPr>
            </w:pPr>
            <w:r w:rsidRPr="00667CD1">
              <w:rPr>
                <w:rFonts w:ascii="Arial" w:hAnsi="Arial" w:cs="Arial"/>
                <w:i/>
                <w:iCs/>
                <w:sz w:val="12"/>
                <w:szCs w:val="12"/>
                <w:lang w:eastAsia="en-AU"/>
              </w:rPr>
              <w:t>-3.5%</w:t>
            </w:r>
          </w:p>
        </w:tc>
        <w:tc>
          <w:tcPr>
            <w:tcW w:w="836" w:type="dxa"/>
            <w:tcBorders>
              <w:top w:val="nil"/>
              <w:left w:val="nil"/>
              <w:bottom w:val="nil"/>
              <w:right w:val="nil"/>
            </w:tcBorders>
            <w:shd w:val="clear" w:color="auto" w:fill="F2F2F2" w:themeFill="background1" w:themeFillShade="F2"/>
            <w:noWrap/>
            <w:vAlign w:val="center"/>
            <w:hideMark/>
          </w:tcPr>
          <w:p w14:paraId="00808CA9" w14:textId="77777777" w:rsidR="00855662" w:rsidRPr="00667CD1" w:rsidRDefault="00855662" w:rsidP="00855662">
            <w:pPr>
              <w:jc w:val="center"/>
              <w:rPr>
                <w:rFonts w:ascii="Arial" w:hAnsi="Arial" w:cs="Arial"/>
                <w:i/>
                <w:iCs/>
                <w:sz w:val="12"/>
                <w:szCs w:val="12"/>
                <w:lang w:eastAsia="en-AU"/>
              </w:rPr>
            </w:pPr>
            <w:r w:rsidRPr="00667CD1">
              <w:rPr>
                <w:rFonts w:ascii="Arial" w:hAnsi="Arial" w:cs="Arial"/>
                <w:i/>
                <w:iCs/>
                <w:sz w:val="12"/>
                <w:szCs w:val="12"/>
                <w:lang w:eastAsia="en-AU"/>
              </w:rPr>
              <w:t>5.9%</w:t>
            </w:r>
          </w:p>
        </w:tc>
        <w:tc>
          <w:tcPr>
            <w:tcW w:w="836" w:type="dxa"/>
            <w:tcBorders>
              <w:top w:val="nil"/>
              <w:left w:val="nil"/>
              <w:bottom w:val="nil"/>
              <w:right w:val="nil"/>
            </w:tcBorders>
            <w:shd w:val="clear" w:color="auto" w:fill="F2F2F2" w:themeFill="background1" w:themeFillShade="F2"/>
            <w:noWrap/>
            <w:vAlign w:val="center"/>
            <w:hideMark/>
          </w:tcPr>
          <w:p w14:paraId="5EA0ECFC" w14:textId="77777777" w:rsidR="00855662" w:rsidRPr="00667CD1" w:rsidRDefault="00855662" w:rsidP="00855662">
            <w:pPr>
              <w:jc w:val="center"/>
              <w:rPr>
                <w:rFonts w:ascii="Arial" w:hAnsi="Arial" w:cs="Arial"/>
                <w:i/>
                <w:iCs/>
                <w:sz w:val="12"/>
                <w:szCs w:val="12"/>
                <w:lang w:eastAsia="en-AU"/>
              </w:rPr>
            </w:pPr>
            <w:r w:rsidRPr="00667CD1">
              <w:rPr>
                <w:rFonts w:ascii="Arial" w:hAnsi="Arial" w:cs="Arial"/>
                <w:i/>
                <w:iCs/>
                <w:sz w:val="12"/>
                <w:szCs w:val="12"/>
                <w:lang w:eastAsia="en-AU"/>
              </w:rPr>
              <w:t>2.7%</w:t>
            </w:r>
          </w:p>
        </w:tc>
        <w:tc>
          <w:tcPr>
            <w:tcW w:w="836" w:type="dxa"/>
            <w:tcBorders>
              <w:top w:val="nil"/>
              <w:left w:val="nil"/>
              <w:bottom w:val="nil"/>
              <w:right w:val="nil"/>
            </w:tcBorders>
            <w:shd w:val="clear" w:color="auto" w:fill="F2F2F2" w:themeFill="background1" w:themeFillShade="F2"/>
            <w:noWrap/>
            <w:vAlign w:val="center"/>
            <w:hideMark/>
          </w:tcPr>
          <w:p w14:paraId="5EB06539" w14:textId="77777777" w:rsidR="00855662" w:rsidRPr="00667CD1" w:rsidRDefault="00855662" w:rsidP="00855662">
            <w:pPr>
              <w:jc w:val="center"/>
              <w:rPr>
                <w:rFonts w:ascii="Arial" w:hAnsi="Arial" w:cs="Arial"/>
                <w:i/>
                <w:iCs/>
                <w:sz w:val="12"/>
                <w:szCs w:val="12"/>
                <w:lang w:eastAsia="en-AU"/>
              </w:rPr>
            </w:pPr>
            <w:r w:rsidRPr="00667CD1">
              <w:rPr>
                <w:rFonts w:ascii="Arial" w:hAnsi="Arial" w:cs="Arial"/>
                <w:i/>
                <w:iCs/>
                <w:sz w:val="12"/>
                <w:szCs w:val="12"/>
                <w:lang w:eastAsia="en-AU"/>
              </w:rPr>
              <w:t>8.2%</w:t>
            </w:r>
          </w:p>
        </w:tc>
        <w:tc>
          <w:tcPr>
            <w:tcW w:w="836" w:type="dxa"/>
            <w:tcBorders>
              <w:top w:val="nil"/>
              <w:left w:val="nil"/>
              <w:bottom w:val="nil"/>
              <w:right w:val="nil"/>
            </w:tcBorders>
            <w:shd w:val="clear" w:color="auto" w:fill="F2F2F2" w:themeFill="background1" w:themeFillShade="F2"/>
            <w:noWrap/>
            <w:vAlign w:val="center"/>
            <w:hideMark/>
          </w:tcPr>
          <w:p w14:paraId="302833AB" w14:textId="77777777" w:rsidR="00855662" w:rsidRPr="00667CD1" w:rsidRDefault="00855662" w:rsidP="00855662">
            <w:pPr>
              <w:jc w:val="center"/>
              <w:rPr>
                <w:rFonts w:ascii="Arial" w:hAnsi="Arial" w:cs="Arial"/>
                <w:i/>
                <w:iCs/>
                <w:sz w:val="12"/>
                <w:szCs w:val="12"/>
                <w:lang w:eastAsia="en-AU"/>
              </w:rPr>
            </w:pPr>
            <w:r w:rsidRPr="00667CD1">
              <w:rPr>
                <w:rFonts w:ascii="Arial" w:hAnsi="Arial" w:cs="Arial"/>
                <w:i/>
                <w:iCs/>
                <w:sz w:val="12"/>
                <w:szCs w:val="12"/>
                <w:lang w:eastAsia="en-AU"/>
              </w:rPr>
              <w:t>4.8%</w:t>
            </w:r>
          </w:p>
        </w:tc>
        <w:tc>
          <w:tcPr>
            <w:tcW w:w="1058" w:type="dxa"/>
            <w:tcBorders>
              <w:top w:val="nil"/>
              <w:left w:val="nil"/>
              <w:bottom w:val="nil"/>
              <w:right w:val="nil"/>
            </w:tcBorders>
            <w:shd w:val="clear" w:color="auto" w:fill="auto"/>
            <w:noWrap/>
            <w:vAlign w:val="center"/>
            <w:hideMark/>
          </w:tcPr>
          <w:p w14:paraId="1152F98C" w14:textId="77777777" w:rsidR="00855662" w:rsidRPr="00667CD1" w:rsidRDefault="00855662" w:rsidP="00855662">
            <w:pPr>
              <w:jc w:val="center"/>
              <w:rPr>
                <w:rFonts w:ascii="Arial" w:hAnsi="Arial" w:cs="Arial"/>
                <w:i/>
                <w:iCs/>
                <w:sz w:val="12"/>
                <w:szCs w:val="12"/>
                <w:lang w:eastAsia="en-AU"/>
              </w:rPr>
            </w:pPr>
          </w:p>
        </w:tc>
      </w:tr>
    </w:tbl>
    <w:p w14:paraId="2E9E947F" w14:textId="77777777" w:rsidR="007621E0" w:rsidRPr="00667CD1" w:rsidRDefault="007621E0" w:rsidP="007621E0">
      <w:pPr>
        <w:rPr>
          <w:rFonts w:ascii="Arial" w:hAnsi="Arial" w:cs="Arial"/>
          <w:sz w:val="2"/>
          <w:szCs w:val="2"/>
          <w:lang w:eastAsia="en-AU"/>
        </w:rPr>
      </w:pPr>
    </w:p>
    <w:p w14:paraId="7E4A03F6" w14:textId="1AEA6E85" w:rsidR="009F0C9A" w:rsidRPr="00667CD1" w:rsidRDefault="009F0C9A" w:rsidP="00150FC3">
      <w:pPr>
        <w:pStyle w:val="ListParagraph"/>
        <w:numPr>
          <w:ilvl w:val="0"/>
          <w:numId w:val="17"/>
        </w:numPr>
        <w:ind w:left="357" w:hanging="357"/>
        <w:rPr>
          <w:rFonts w:ascii="Arial" w:hAnsi="Arial" w:cs="Arial"/>
          <w:sz w:val="14"/>
          <w:szCs w:val="14"/>
          <w:lang w:eastAsia="en-AU"/>
        </w:rPr>
      </w:pPr>
      <w:r w:rsidRPr="00667CD1">
        <w:rPr>
          <w:rFonts w:ascii="Arial" w:hAnsi="Arial" w:cs="Arial"/>
          <w:sz w:val="14"/>
          <w:szCs w:val="14"/>
          <w:lang w:eastAsia="en-AU"/>
        </w:rPr>
        <w:t>Due to the deferral of payroll tax returns, deferred 2019-20 payroll tax for some businesses will not be confirmed until deferred annual reconciliations are finalised. This component of deferred 2019-20 payroll tax is recognised as revenue in 2020-21 instead of 2019-20.</w:t>
      </w:r>
    </w:p>
    <w:p w14:paraId="09578AD0" w14:textId="591BCF3E" w:rsidR="009F0C9A" w:rsidRPr="00667CD1" w:rsidRDefault="009F0C9A" w:rsidP="00150FC3">
      <w:pPr>
        <w:pStyle w:val="ListParagraph"/>
        <w:numPr>
          <w:ilvl w:val="0"/>
          <w:numId w:val="17"/>
        </w:numPr>
        <w:ind w:left="357" w:hanging="357"/>
        <w:rPr>
          <w:sz w:val="14"/>
          <w:szCs w:val="14"/>
        </w:rPr>
      </w:pPr>
      <w:r w:rsidRPr="00667CD1">
        <w:rPr>
          <w:rFonts w:ascii="Arial" w:hAnsi="Arial" w:cs="Arial"/>
          <w:sz w:val="14"/>
          <w:szCs w:val="14"/>
          <w:lang w:eastAsia="en-AU"/>
        </w:rPr>
        <w:t>Vehicle registration fees are no longer recorded as taxation revenue as they have been reclassified to fines, regulatory fees and other revenue to comply with accounting standard AASB 15.</w:t>
      </w:r>
    </w:p>
    <w:p w14:paraId="7F9204D0" w14:textId="72FDB00B" w:rsidR="00455977" w:rsidRPr="00667CD1" w:rsidRDefault="00597E88" w:rsidP="001C3BB9">
      <w:pPr>
        <w:pStyle w:val="Heading3"/>
        <w:numPr>
          <w:ilvl w:val="0"/>
          <w:numId w:val="0"/>
        </w:numPr>
        <w:ind w:left="720" w:hanging="720"/>
        <w:rPr>
          <w:sz w:val="22"/>
          <w:szCs w:val="28"/>
        </w:rPr>
      </w:pPr>
      <w:r w:rsidRPr="00667CD1">
        <w:rPr>
          <w:sz w:val="22"/>
          <w:szCs w:val="28"/>
        </w:rPr>
        <w:t>Revenue volatility</w:t>
      </w:r>
      <w:r w:rsidR="00455977" w:rsidRPr="00667CD1">
        <w:rPr>
          <w:sz w:val="22"/>
          <w:szCs w:val="28"/>
        </w:rPr>
        <w:t xml:space="preserve"> </w:t>
      </w:r>
    </w:p>
    <w:p w14:paraId="1CECCD9D" w14:textId="3EB04696" w:rsidR="007B5D4E" w:rsidRPr="00667CD1" w:rsidRDefault="00190D91" w:rsidP="00DC5EFC">
      <w:pPr>
        <w:pStyle w:val="BodyText"/>
        <w:rPr>
          <w:sz w:val="20"/>
          <w:szCs w:val="16"/>
        </w:rPr>
      </w:pPr>
      <w:r w:rsidRPr="00667CD1">
        <w:rPr>
          <w:sz w:val="20"/>
          <w:szCs w:val="16"/>
        </w:rPr>
        <w:t>T</w:t>
      </w:r>
      <w:r w:rsidR="000F0573" w:rsidRPr="00667CD1">
        <w:rPr>
          <w:sz w:val="20"/>
          <w:szCs w:val="16"/>
        </w:rPr>
        <w:t xml:space="preserve">ransfer duty revenue </w:t>
      </w:r>
      <w:r w:rsidRPr="00667CD1">
        <w:rPr>
          <w:sz w:val="20"/>
          <w:szCs w:val="16"/>
        </w:rPr>
        <w:t xml:space="preserve">continues to </w:t>
      </w:r>
      <w:r w:rsidR="00DC1ADF" w:rsidRPr="00667CD1">
        <w:rPr>
          <w:sz w:val="20"/>
          <w:szCs w:val="16"/>
        </w:rPr>
        <w:t>exhibit</w:t>
      </w:r>
      <w:r w:rsidR="00B919D5" w:rsidRPr="00667CD1">
        <w:rPr>
          <w:sz w:val="20"/>
          <w:szCs w:val="16"/>
        </w:rPr>
        <w:t xml:space="preserve"> </w:t>
      </w:r>
      <w:r w:rsidR="000F0573" w:rsidRPr="00667CD1">
        <w:rPr>
          <w:sz w:val="20"/>
          <w:szCs w:val="16"/>
        </w:rPr>
        <w:t xml:space="preserve">significant </w:t>
      </w:r>
      <w:r w:rsidR="00D759AD" w:rsidRPr="00667CD1">
        <w:rPr>
          <w:sz w:val="20"/>
          <w:szCs w:val="16"/>
        </w:rPr>
        <w:t>volatility</w:t>
      </w:r>
      <w:r w:rsidR="000F0573" w:rsidRPr="00667CD1">
        <w:rPr>
          <w:sz w:val="20"/>
          <w:szCs w:val="16"/>
        </w:rPr>
        <w:t xml:space="preserve">. </w:t>
      </w:r>
      <w:r w:rsidR="00FD1748" w:rsidRPr="00667CD1">
        <w:rPr>
          <w:sz w:val="20"/>
          <w:szCs w:val="16"/>
        </w:rPr>
        <w:t xml:space="preserve">In some years </w:t>
      </w:r>
      <w:r w:rsidR="00D20F13" w:rsidRPr="00667CD1">
        <w:rPr>
          <w:sz w:val="20"/>
          <w:szCs w:val="16"/>
        </w:rPr>
        <w:t>it has been</w:t>
      </w:r>
      <w:r w:rsidR="000F0573" w:rsidRPr="00667CD1">
        <w:rPr>
          <w:sz w:val="20"/>
          <w:szCs w:val="16"/>
        </w:rPr>
        <w:t xml:space="preserve"> the largest </w:t>
      </w:r>
      <w:r w:rsidR="007467AF" w:rsidRPr="00667CD1">
        <w:rPr>
          <w:sz w:val="20"/>
          <w:szCs w:val="16"/>
        </w:rPr>
        <w:t>t</w:t>
      </w:r>
      <w:r w:rsidR="000F0573" w:rsidRPr="00667CD1">
        <w:rPr>
          <w:sz w:val="20"/>
          <w:szCs w:val="16"/>
        </w:rPr>
        <w:t>ax</w:t>
      </w:r>
      <w:r w:rsidR="007467AF" w:rsidRPr="00667CD1">
        <w:rPr>
          <w:sz w:val="20"/>
          <w:szCs w:val="16"/>
        </w:rPr>
        <w:t>ation</w:t>
      </w:r>
      <w:r w:rsidR="000F0573" w:rsidRPr="00667CD1">
        <w:rPr>
          <w:sz w:val="20"/>
          <w:szCs w:val="16"/>
        </w:rPr>
        <w:t xml:space="preserve"> revenue </w:t>
      </w:r>
      <w:r w:rsidR="00F219E9" w:rsidRPr="00667CD1">
        <w:rPr>
          <w:sz w:val="20"/>
          <w:szCs w:val="16"/>
        </w:rPr>
        <w:t>source</w:t>
      </w:r>
      <w:r w:rsidR="00DC1ADF" w:rsidRPr="00667CD1">
        <w:rPr>
          <w:sz w:val="20"/>
          <w:szCs w:val="16"/>
        </w:rPr>
        <w:t>.</w:t>
      </w:r>
      <w:r w:rsidR="00951432" w:rsidRPr="00667CD1">
        <w:rPr>
          <w:sz w:val="20"/>
          <w:szCs w:val="16"/>
        </w:rPr>
        <w:t xml:space="preserve"> </w:t>
      </w:r>
      <w:r w:rsidR="00DC1ADF" w:rsidRPr="00667CD1">
        <w:rPr>
          <w:sz w:val="20"/>
          <w:szCs w:val="16"/>
        </w:rPr>
        <w:t>F</w:t>
      </w:r>
      <w:r w:rsidR="00951432" w:rsidRPr="00667CD1">
        <w:rPr>
          <w:sz w:val="20"/>
          <w:szCs w:val="16"/>
        </w:rPr>
        <w:t>or example,</w:t>
      </w:r>
      <w:r w:rsidR="000F0573" w:rsidRPr="00667CD1">
        <w:rPr>
          <w:sz w:val="20"/>
          <w:szCs w:val="16"/>
        </w:rPr>
        <w:t xml:space="preserve"> in 2016-17 </w:t>
      </w:r>
      <w:r w:rsidR="00E473EE" w:rsidRPr="00667CD1">
        <w:rPr>
          <w:sz w:val="20"/>
          <w:szCs w:val="16"/>
        </w:rPr>
        <w:t>it contributed</w:t>
      </w:r>
      <w:r w:rsidR="000F0573" w:rsidRPr="00667CD1">
        <w:rPr>
          <w:sz w:val="20"/>
          <w:szCs w:val="16"/>
        </w:rPr>
        <w:t xml:space="preserve"> 31.4</w:t>
      </w:r>
      <w:r w:rsidR="003D41BF" w:rsidRPr="00667CD1">
        <w:rPr>
          <w:sz w:val="20"/>
          <w:szCs w:val="16"/>
        </w:rPr>
        <w:t xml:space="preserve"> </w:t>
      </w:r>
      <w:r w:rsidR="000F0573" w:rsidRPr="00667CD1">
        <w:rPr>
          <w:sz w:val="20"/>
          <w:szCs w:val="16"/>
        </w:rPr>
        <w:t>per</w:t>
      </w:r>
      <w:r w:rsidR="003D41BF" w:rsidRPr="00667CD1">
        <w:rPr>
          <w:sz w:val="20"/>
          <w:szCs w:val="16"/>
        </w:rPr>
        <w:t xml:space="preserve"> </w:t>
      </w:r>
      <w:r w:rsidR="000F0573" w:rsidRPr="00667CD1">
        <w:rPr>
          <w:sz w:val="20"/>
          <w:szCs w:val="16"/>
        </w:rPr>
        <w:t>cent of tax</w:t>
      </w:r>
      <w:r w:rsidR="003D41BF" w:rsidRPr="00667CD1">
        <w:rPr>
          <w:sz w:val="20"/>
          <w:szCs w:val="16"/>
        </w:rPr>
        <w:t xml:space="preserve"> revenue</w:t>
      </w:r>
      <w:r w:rsidR="00BB7B53" w:rsidRPr="00667CD1">
        <w:rPr>
          <w:sz w:val="20"/>
          <w:szCs w:val="16"/>
        </w:rPr>
        <w:t>. In other years</w:t>
      </w:r>
      <w:r w:rsidR="000F0573" w:rsidRPr="00667CD1">
        <w:rPr>
          <w:sz w:val="20"/>
          <w:szCs w:val="16"/>
        </w:rPr>
        <w:t xml:space="preserve"> </w:t>
      </w:r>
      <w:r w:rsidR="00C544A2" w:rsidRPr="00667CD1">
        <w:rPr>
          <w:sz w:val="20"/>
          <w:szCs w:val="16"/>
        </w:rPr>
        <w:t>it was</w:t>
      </w:r>
      <w:r w:rsidR="00253847" w:rsidRPr="00667CD1">
        <w:rPr>
          <w:sz w:val="20"/>
          <w:szCs w:val="16"/>
        </w:rPr>
        <w:t xml:space="preserve"> </w:t>
      </w:r>
      <w:r w:rsidR="00255330" w:rsidRPr="00667CD1">
        <w:rPr>
          <w:sz w:val="20"/>
          <w:szCs w:val="16"/>
        </w:rPr>
        <w:t xml:space="preserve">much </w:t>
      </w:r>
      <w:r w:rsidR="00253847" w:rsidRPr="00667CD1">
        <w:rPr>
          <w:sz w:val="20"/>
          <w:szCs w:val="16"/>
        </w:rPr>
        <w:t>low</w:t>
      </w:r>
      <w:r w:rsidR="00C544A2" w:rsidRPr="00667CD1">
        <w:rPr>
          <w:sz w:val="20"/>
          <w:szCs w:val="16"/>
        </w:rPr>
        <w:t>er</w:t>
      </w:r>
      <w:r w:rsidR="002F43C0" w:rsidRPr="00667CD1">
        <w:rPr>
          <w:sz w:val="20"/>
          <w:szCs w:val="16"/>
        </w:rPr>
        <w:t>,</w:t>
      </w:r>
      <w:r w:rsidR="00253847" w:rsidRPr="00667CD1">
        <w:rPr>
          <w:sz w:val="20"/>
          <w:szCs w:val="16"/>
        </w:rPr>
        <w:t xml:space="preserve"> </w:t>
      </w:r>
      <w:r w:rsidR="007B5F8C" w:rsidRPr="00667CD1">
        <w:rPr>
          <w:sz w:val="20"/>
          <w:szCs w:val="16"/>
        </w:rPr>
        <w:t>down to only</w:t>
      </w:r>
      <w:r w:rsidR="00253847" w:rsidRPr="00667CD1">
        <w:rPr>
          <w:sz w:val="20"/>
          <w:szCs w:val="16"/>
        </w:rPr>
        <w:t xml:space="preserve"> </w:t>
      </w:r>
      <w:r w:rsidR="003D41BF" w:rsidRPr="00667CD1">
        <w:rPr>
          <w:sz w:val="20"/>
          <w:szCs w:val="16"/>
        </w:rPr>
        <w:t>18.</w:t>
      </w:r>
      <w:r w:rsidR="00AE0B1D" w:rsidRPr="00667CD1">
        <w:rPr>
          <w:sz w:val="20"/>
          <w:szCs w:val="16"/>
        </w:rPr>
        <w:t>2</w:t>
      </w:r>
      <w:r w:rsidR="000F0573" w:rsidRPr="00667CD1">
        <w:rPr>
          <w:sz w:val="20"/>
          <w:szCs w:val="16"/>
        </w:rPr>
        <w:t xml:space="preserve"> per cent in </w:t>
      </w:r>
      <w:r w:rsidR="003D41BF" w:rsidRPr="00667CD1">
        <w:rPr>
          <w:sz w:val="20"/>
          <w:szCs w:val="16"/>
        </w:rPr>
        <w:t>2011</w:t>
      </w:r>
      <w:r w:rsidR="000F0573" w:rsidRPr="00667CD1">
        <w:rPr>
          <w:sz w:val="20"/>
          <w:szCs w:val="16"/>
        </w:rPr>
        <w:t>-</w:t>
      </w:r>
      <w:r w:rsidR="003D41BF" w:rsidRPr="00667CD1">
        <w:rPr>
          <w:sz w:val="20"/>
          <w:szCs w:val="16"/>
        </w:rPr>
        <w:t>12</w:t>
      </w:r>
      <w:r w:rsidR="000F0573" w:rsidRPr="00667CD1">
        <w:rPr>
          <w:sz w:val="20"/>
          <w:szCs w:val="16"/>
        </w:rPr>
        <w:t>.</w:t>
      </w:r>
    </w:p>
    <w:p w14:paraId="238DF1B2" w14:textId="6AD3B02B" w:rsidR="00DF6C66" w:rsidRPr="00667CD1" w:rsidRDefault="000F0573" w:rsidP="00DC5EFC">
      <w:pPr>
        <w:pStyle w:val="BodyText"/>
        <w:rPr>
          <w:sz w:val="20"/>
          <w:szCs w:val="16"/>
        </w:rPr>
      </w:pPr>
      <w:r w:rsidRPr="00667CD1">
        <w:rPr>
          <w:sz w:val="20"/>
          <w:szCs w:val="16"/>
        </w:rPr>
        <w:lastRenderedPageBreak/>
        <w:t>The four</w:t>
      </w:r>
      <w:r w:rsidR="008272E0" w:rsidRPr="00667CD1">
        <w:rPr>
          <w:sz w:val="20"/>
          <w:szCs w:val="16"/>
        </w:rPr>
        <w:t>-</w:t>
      </w:r>
      <w:r w:rsidRPr="00667CD1">
        <w:rPr>
          <w:sz w:val="20"/>
          <w:szCs w:val="16"/>
        </w:rPr>
        <w:t xml:space="preserve">year forecast for transfer duty </w:t>
      </w:r>
      <w:r w:rsidR="003D41BF" w:rsidRPr="00667CD1">
        <w:rPr>
          <w:sz w:val="20"/>
          <w:szCs w:val="16"/>
        </w:rPr>
        <w:t xml:space="preserve">to 2023-24 inclusive </w:t>
      </w:r>
      <w:r w:rsidRPr="00667CD1">
        <w:rPr>
          <w:sz w:val="20"/>
          <w:szCs w:val="16"/>
        </w:rPr>
        <w:t xml:space="preserve">was revised up by </w:t>
      </w:r>
      <w:r w:rsidR="001C1D9F" w:rsidRPr="00667CD1">
        <w:rPr>
          <w:sz w:val="20"/>
          <w:szCs w:val="16"/>
        </w:rPr>
        <w:t>$</w:t>
      </w:r>
      <w:r w:rsidR="00564255" w:rsidRPr="00667CD1">
        <w:rPr>
          <w:sz w:val="20"/>
          <w:szCs w:val="16"/>
        </w:rPr>
        <w:t>4.</w:t>
      </w:r>
      <w:r w:rsidR="00BB6025" w:rsidRPr="00667CD1">
        <w:rPr>
          <w:sz w:val="20"/>
          <w:szCs w:val="16"/>
        </w:rPr>
        <w:t>0</w:t>
      </w:r>
      <w:r w:rsidRPr="00667CD1">
        <w:rPr>
          <w:sz w:val="20"/>
          <w:szCs w:val="16"/>
        </w:rPr>
        <w:t xml:space="preserve"> billion in the 2019-20 </w:t>
      </w:r>
      <w:r w:rsidR="009F7B3E" w:rsidRPr="00667CD1">
        <w:rPr>
          <w:sz w:val="20"/>
          <w:szCs w:val="16"/>
        </w:rPr>
        <w:t>Half-Yearly</w:t>
      </w:r>
      <w:r w:rsidRPr="00667CD1">
        <w:rPr>
          <w:sz w:val="20"/>
          <w:szCs w:val="16"/>
        </w:rPr>
        <w:t xml:space="preserve"> Review on the back o</w:t>
      </w:r>
      <w:r w:rsidR="001C1D9F" w:rsidRPr="00667CD1">
        <w:rPr>
          <w:sz w:val="20"/>
          <w:szCs w:val="16"/>
        </w:rPr>
        <w:t>f a</w:t>
      </w:r>
      <w:r w:rsidRPr="00667CD1">
        <w:rPr>
          <w:sz w:val="20"/>
          <w:szCs w:val="16"/>
        </w:rPr>
        <w:t xml:space="preserve"> much </w:t>
      </w:r>
      <w:r w:rsidR="00564255" w:rsidRPr="00667CD1">
        <w:rPr>
          <w:sz w:val="20"/>
          <w:szCs w:val="16"/>
        </w:rPr>
        <w:t>stronger</w:t>
      </w:r>
      <w:r w:rsidRPr="00667CD1">
        <w:rPr>
          <w:sz w:val="20"/>
          <w:szCs w:val="16"/>
        </w:rPr>
        <w:t xml:space="preserve"> outlook for the </w:t>
      </w:r>
      <w:r w:rsidR="003D41BF" w:rsidRPr="00667CD1">
        <w:rPr>
          <w:sz w:val="20"/>
          <w:szCs w:val="16"/>
        </w:rPr>
        <w:t xml:space="preserve">residential </w:t>
      </w:r>
      <w:r w:rsidRPr="00667CD1">
        <w:rPr>
          <w:sz w:val="20"/>
          <w:szCs w:val="16"/>
        </w:rPr>
        <w:t xml:space="preserve">property market. However, the </w:t>
      </w:r>
      <w:r w:rsidR="001C1D9F" w:rsidRPr="00667CD1">
        <w:rPr>
          <w:sz w:val="20"/>
          <w:szCs w:val="16"/>
        </w:rPr>
        <w:t xml:space="preserve">immediate and lasting </w:t>
      </w:r>
      <w:r w:rsidRPr="00667CD1">
        <w:rPr>
          <w:sz w:val="20"/>
          <w:szCs w:val="16"/>
        </w:rPr>
        <w:t xml:space="preserve">effects </w:t>
      </w:r>
      <w:r w:rsidR="001C1D9F" w:rsidRPr="00667CD1">
        <w:rPr>
          <w:sz w:val="20"/>
          <w:szCs w:val="16"/>
        </w:rPr>
        <w:t>of COVID-19 have resulted in a</w:t>
      </w:r>
      <w:r w:rsidR="00825463" w:rsidRPr="00667CD1">
        <w:rPr>
          <w:sz w:val="20"/>
          <w:szCs w:val="16"/>
        </w:rPr>
        <w:t xml:space="preserve"> </w:t>
      </w:r>
      <w:r w:rsidR="001C1D9F" w:rsidRPr="00667CD1">
        <w:rPr>
          <w:sz w:val="20"/>
          <w:szCs w:val="16"/>
        </w:rPr>
        <w:t>$</w:t>
      </w:r>
      <w:r w:rsidR="00564255" w:rsidRPr="00667CD1">
        <w:rPr>
          <w:sz w:val="20"/>
          <w:szCs w:val="16"/>
        </w:rPr>
        <w:t>2.</w:t>
      </w:r>
      <w:r w:rsidR="00DB7B80" w:rsidRPr="00667CD1">
        <w:rPr>
          <w:sz w:val="20"/>
          <w:szCs w:val="16"/>
        </w:rPr>
        <w:t>3</w:t>
      </w:r>
      <w:r w:rsidR="001C1D9F" w:rsidRPr="00667CD1">
        <w:rPr>
          <w:sz w:val="20"/>
          <w:szCs w:val="16"/>
        </w:rPr>
        <w:t xml:space="preserve"> billion downgrade to expectations over the four years to 2023-24</w:t>
      </w:r>
      <w:r w:rsidRPr="00667CD1">
        <w:rPr>
          <w:sz w:val="20"/>
          <w:szCs w:val="16"/>
        </w:rPr>
        <w:t>.</w:t>
      </w:r>
    </w:p>
    <w:p w14:paraId="78693212" w14:textId="31C9B218" w:rsidR="00DD4064" w:rsidRPr="00667CD1" w:rsidRDefault="008B297C" w:rsidP="003B4998">
      <w:pPr>
        <w:pStyle w:val="Chart41"/>
        <w:ind w:left="1302" w:hanging="1302"/>
        <w:rPr>
          <w:sz w:val="18"/>
          <w:szCs w:val="16"/>
        </w:rPr>
      </w:pPr>
      <w:r w:rsidRPr="00667CD1">
        <w:rPr>
          <w:sz w:val="18"/>
          <w:szCs w:val="16"/>
        </w:rPr>
        <w:t>The c</w:t>
      </w:r>
      <w:r w:rsidR="00DD4064" w:rsidRPr="00667CD1">
        <w:rPr>
          <w:sz w:val="18"/>
          <w:szCs w:val="16"/>
        </w:rPr>
        <w:t xml:space="preserve">omposition of </w:t>
      </w:r>
      <w:r w:rsidRPr="00667CD1">
        <w:rPr>
          <w:sz w:val="18"/>
          <w:szCs w:val="16"/>
        </w:rPr>
        <w:t xml:space="preserve">annual </w:t>
      </w:r>
      <w:r w:rsidR="00DD4064" w:rsidRPr="00667CD1">
        <w:rPr>
          <w:sz w:val="18"/>
          <w:szCs w:val="16"/>
        </w:rPr>
        <w:t>taxation revenue</w:t>
      </w:r>
      <w:r w:rsidR="001E198F" w:rsidRPr="00667CD1">
        <w:rPr>
          <w:sz w:val="18"/>
          <w:szCs w:val="16"/>
        </w:rPr>
        <w:t xml:space="preserve"> </w:t>
      </w:r>
      <w:r w:rsidRPr="00667CD1">
        <w:rPr>
          <w:sz w:val="18"/>
          <w:szCs w:val="16"/>
        </w:rPr>
        <w:t>can fluctuate</w:t>
      </w:r>
    </w:p>
    <w:p w14:paraId="76B2D000" w14:textId="0118AF47" w:rsidR="00DD4064" w:rsidRPr="00667CD1" w:rsidRDefault="006B5AA8" w:rsidP="00DD4064">
      <w:pPr>
        <w:jc w:val="center"/>
        <w:rPr>
          <w:sz w:val="16"/>
          <w:szCs w:val="16"/>
        </w:rPr>
      </w:pPr>
      <w:r w:rsidRPr="00667CD1">
        <w:rPr>
          <w:noProof/>
          <w:sz w:val="16"/>
          <w:szCs w:val="16"/>
        </w:rPr>
        <w:drawing>
          <wp:inline distT="0" distB="0" distL="0" distR="0" wp14:anchorId="2B08EA7F" wp14:editId="1F5BAD86">
            <wp:extent cx="5771754" cy="3362325"/>
            <wp:effectExtent l="0" t="0" r="635" b="0"/>
            <wp:docPr id="1" name="Chart 1" descr="Chart 4.5: The composition of annual taxation revenue can fluctuate">
              <a:extLst xmlns:a="http://schemas.openxmlformats.org/drawingml/2006/main">
                <a:ext uri="{FF2B5EF4-FFF2-40B4-BE49-F238E27FC236}">
                  <a16:creationId xmlns:a16="http://schemas.microsoft.com/office/drawing/2014/main" id="{B0789BCD-2350-4B3F-934A-6256042CCD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0DC6E12" w14:textId="77777777" w:rsidR="00CD53E5" w:rsidRPr="00667CD1" w:rsidRDefault="00CD53E5" w:rsidP="00CD53E5">
      <w:pPr>
        <w:pStyle w:val="Heading3"/>
        <w:numPr>
          <w:ilvl w:val="0"/>
          <w:numId w:val="0"/>
        </w:numPr>
        <w:ind w:left="720" w:hanging="720"/>
        <w:rPr>
          <w:sz w:val="22"/>
          <w:szCs w:val="28"/>
        </w:rPr>
      </w:pPr>
      <w:r w:rsidRPr="00667CD1">
        <w:rPr>
          <w:sz w:val="22"/>
          <w:szCs w:val="28"/>
        </w:rPr>
        <w:t xml:space="preserve">Payroll tax </w:t>
      </w:r>
    </w:p>
    <w:p w14:paraId="7BF6DC4C" w14:textId="100A5D1F" w:rsidR="007560AC" w:rsidRPr="00667CD1" w:rsidRDefault="00CD53E5" w:rsidP="00DC5EFC">
      <w:pPr>
        <w:pStyle w:val="BodyText"/>
        <w:rPr>
          <w:sz w:val="20"/>
          <w:szCs w:val="16"/>
        </w:rPr>
      </w:pPr>
      <w:r w:rsidRPr="00667CD1">
        <w:rPr>
          <w:sz w:val="20"/>
          <w:szCs w:val="16"/>
        </w:rPr>
        <w:t>Payroll tax</w:t>
      </w:r>
      <w:r w:rsidR="00373C69" w:rsidRPr="00667CD1">
        <w:rPr>
          <w:sz w:val="20"/>
          <w:szCs w:val="16"/>
        </w:rPr>
        <w:t>,</w:t>
      </w:r>
      <w:r w:rsidRPr="00667CD1">
        <w:rPr>
          <w:sz w:val="20"/>
          <w:szCs w:val="16"/>
        </w:rPr>
        <w:t xml:space="preserve"> </w:t>
      </w:r>
      <w:r w:rsidR="00373C69" w:rsidRPr="00667CD1">
        <w:rPr>
          <w:sz w:val="20"/>
          <w:szCs w:val="16"/>
        </w:rPr>
        <w:t xml:space="preserve">which </w:t>
      </w:r>
      <w:r w:rsidR="00E014FB" w:rsidRPr="00667CD1">
        <w:rPr>
          <w:sz w:val="20"/>
          <w:szCs w:val="16"/>
        </w:rPr>
        <w:t>remains</w:t>
      </w:r>
      <w:r w:rsidRPr="00667CD1">
        <w:rPr>
          <w:sz w:val="20"/>
          <w:szCs w:val="16"/>
        </w:rPr>
        <w:t xml:space="preserve"> the State’s largest source of taxation revenue</w:t>
      </w:r>
      <w:r w:rsidR="00373C69" w:rsidRPr="00667CD1">
        <w:rPr>
          <w:sz w:val="20"/>
          <w:szCs w:val="16"/>
        </w:rPr>
        <w:t>,</w:t>
      </w:r>
      <w:r w:rsidR="00FC6FBB" w:rsidRPr="00667CD1">
        <w:rPr>
          <w:sz w:val="20"/>
          <w:szCs w:val="16"/>
        </w:rPr>
        <w:t xml:space="preserve"> </w:t>
      </w:r>
      <w:r w:rsidR="0062004E" w:rsidRPr="00667CD1">
        <w:rPr>
          <w:sz w:val="20"/>
          <w:szCs w:val="16"/>
        </w:rPr>
        <w:t xml:space="preserve">is predicted to grow by </w:t>
      </w:r>
      <w:r w:rsidR="00373C69" w:rsidRPr="00667CD1">
        <w:rPr>
          <w:sz w:val="20"/>
          <w:szCs w:val="16"/>
        </w:rPr>
        <w:t xml:space="preserve">only </w:t>
      </w:r>
      <w:r w:rsidR="1AF01C26" w:rsidRPr="00667CD1">
        <w:rPr>
          <w:sz w:val="20"/>
          <w:szCs w:val="16"/>
        </w:rPr>
        <w:t>0</w:t>
      </w:r>
      <w:r w:rsidR="00817A7C" w:rsidRPr="00667CD1">
        <w:rPr>
          <w:sz w:val="20"/>
          <w:szCs w:val="16"/>
        </w:rPr>
        <w:t>.</w:t>
      </w:r>
      <w:r w:rsidR="000A160E" w:rsidRPr="00667CD1">
        <w:rPr>
          <w:sz w:val="20"/>
          <w:szCs w:val="16"/>
        </w:rPr>
        <w:t xml:space="preserve">2 </w:t>
      </w:r>
      <w:r w:rsidR="0062004E" w:rsidRPr="00667CD1">
        <w:rPr>
          <w:sz w:val="20"/>
          <w:szCs w:val="16"/>
        </w:rPr>
        <w:t>per cent in 2020-21 to</w:t>
      </w:r>
      <w:r w:rsidRPr="00667CD1">
        <w:rPr>
          <w:sz w:val="20"/>
          <w:szCs w:val="16"/>
        </w:rPr>
        <w:t xml:space="preserve"> $</w:t>
      </w:r>
      <w:r w:rsidR="003100A0" w:rsidRPr="00667CD1">
        <w:rPr>
          <w:sz w:val="20"/>
          <w:szCs w:val="16"/>
        </w:rPr>
        <w:t>8.</w:t>
      </w:r>
      <w:r w:rsidR="63F95CCD" w:rsidRPr="00667CD1">
        <w:rPr>
          <w:sz w:val="20"/>
          <w:szCs w:val="16"/>
        </w:rPr>
        <w:t>5</w:t>
      </w:r>
      <w:r w:rsidRPr="00667CD1">
        <w:rPr>
          <w:sz w:val="20"/>
          <w:szCs w:val="16"/>
        </w:rPr>
        <w:t xml:space="preserve"> billion</w:t>
      </w:r>
      <w:r w:rsidR="00373C69" w:rsidRPr="00667CD1">
        <w:rPr>
          <w:sz w:val="20"/>
          <w:szCs w:val="16"/>
        </w:rPr>
        <w:t>, having</w:t>
      </w:r>
      <w:r w:rsidR="007560AC" w:rsidRPr="00667CD1">
        <w:rPr>
          <w:sz w:val="20"/>
          <w:szCs w:val="16"/>
        </w:rPr>
        <w:t xml:space="preserve"> been revised down </w:t>
      </w:r>
      <w:r w:rsidR="0009480A" w:rsidRPr="00667CD1">
        <w:rPr>
          <w:sz w:val="20"/>
          <w:szCs w:val="16"/>
        </w:rPr>
        <w:t>by</w:t>
      </w:r>
      <w:r w:rsidR="007560AC" w:rsidRPr="00667CD1">
        <w:rPr>
          <w:sz w:val="20"/>
          <w:szCs w:val="16"/>
        </w:rPr>
        <w:t xml:space="preserve"> $</w:t>
      </w:r>
      <w:r w:rsidR="00DC3BB4" w:rsidRPr="00667CD1">
        <w:rPr>
          <w:sz w:val="20"/>
          <w:szCs w:val="16"/>
        </w:rPr>
        <w:t>6.</w:t>
      </w:r>
      <w:r w:rsidR="5A83FDCB" w:rsidRPr="00667CD1">
        <w:rPr>
          <w:sz w:val="20"/>
          <w:szCs w:val="16"/>
        </w:rPr>
        <w:t>8</w:t>
      </w:r>
      <w:r w:rsidR="007560AC" w:rsidRPr="00667CD1">
        <w:rPr>
          <w:sz w:val="20"/>
          <w:szCs w:val="16"/>
        </w:rPr>
        <w:t xml:space="preserve"> billion over the fou</w:t>
      </w:r>
      <w:r w:rsidR="00121150" w:rsidRPr="00667CD1">
        <w:rPr>
          <w:sz w:val="20"/>
          <w:szCs w:val="16"/>
        </w:rPr>
        <w:t>r</w:t>
      </w:r>
      <w:r w:rsidR="007560AC" w:rsidRPr="00667CD1">
        <w:rPr>
          <w:sz w:val="20"/>
          <w:szCs w:val="16"/>
        </w:rPr>
        <w:t xml:space="preserve"> years to 2023-24</w:t>
      </w:r>
      <w:r w:rsidR="00121150" w:rsidRPr="00667CD1">
        <w:rPr>
          <w:sz w:val="20"/>
          <w:szCs w:val="16"/>
        </w:rPr>
        <w:t xml:space="preserve"> since the 2019-20 </w:t>
      </w:r>
      <w:r w:rsidR="009F7B3E" w:rsidRPr="00667CD1">
        <w:rPr>
          <w:sz w:val="20"/>
          <w:szCs w:val="16"/>
        </w:rPr>
        <w:t>Half-Yearly</w:t>
      </w:r>
      <w:r w:rsidR="00121150" w:rsidRPr="00667CD1">
        <w:rPr>
          <w:sz w:val="20"/>
          <w:szCs w:val="16"/>
        </w:rPr>
        <w:t xml:space="preserve"> Review</w:t>
      </w:r>
      <w:r w:rsidR="006D7AD5" w:rsidRPr="00667CD1">
        <w:rPr>
          <w:sz w:val="20"/>
          <w:szCs w:val="16"/>
        </w:rPr>
        <w:t>. This</w:t>
      </w:r>
      <w:r w:rsidR="00121150" w:rsidRPr="00667CD1">
        <w:rPr>
          <w:sz w:val="20"/>
          <w:szCs w:val="16"/>
        </w:rPr>
        <w:t xml:space="preserve"> reflect</w:t>
      </w:r>
      <w:r w:rsidR="006D7AD5" w:rsidRPr="00667CD1">
        <w:rPr>
          <w:sz w:val="20"/>
          <w:szCs w:val="16"/>
        </w:rPr>
        <w:t>s</w:t>
      </w:r>
      <w:r w:rsidR="00121150" w:rsidRPr="00667CD1">
        <w:rPr>
          <w:sz w:val="20"/>
          <w:szCs w:val="16"/>
        </w:rPr>
        <w:t xml:space="preserve"> </w:t>
      </w:r>
      <w:r w:rsidR="00817A7C" w:rsidRPr="00667CD1">
        <w:rPr>
          <w:sz w:val="20"/>
          <w:szCs w:val="16"/>
        </w:rPr>
        <w:t>the cost of stimulus measures</w:t>
      </w:r>
      <w:r w:rsidR="00597F5A" w:rsidRPr="00667CD1">
        <w:rPr>
          <w:sz w:val="20"/>
          <w:szCs w:val="16"/>
        </w:rPr>
        <w:t>, increases to the threshold</w:t>
      </w:r>
      <w:r w:rsidR="00817A7C" w:rsidRPr="00667CD1">
        <w:rPr>
          <w:sz w:val="20"/>
          <w:szCs w:val="16"/>
        </w:rPr>
        <w:t xml:space="preserve"> and </w:t>
      </w:r>
      <w:r w:rsidR="00121150" w:rsidRPr="00667CD1">
        <w:rPr>
          <w:sz w:val="20"/>
          <w:szCs w:val="16"/>
        </w:rPr>
        <w:t xml:space="preserve">expectations of sustained weak growth in </w:t>
      </w:r>
      <w:r w:rsidR="00745000" w:rsidRPr="00667CD1">
        <w:rPr>
          <w:sz w:val="20"/>
          <w:szCs w:val="16"/>
        </w:rPr>
        <w:t xml:space="preserve">wages and </w:t>
      </w:r>
      <w:r w:rsidR="00121150" w:rsidRPr="00667CD1">
        <w:rPr>
          <w:sz w:val="20"/>
          <w:szCs w:val="16"/>
        </w:rPr>
        <w:t>employment.</w:t>
      </w:r>
    </w:p>
    <w:p w14:paraId="20D63DE8" w14:textId="14653C1D" w:rsidR="00BF5396" w:rsidRPr="00667CD1" w:rsidRDefault="00BF5396" w:rsidP="00DC5EFC">
      <w:pPr>
        <w:pStyle w:val="BodyText"/>
        <w:rPr>
          <w:sz w:val="20"/>
          <w:szCs w:val="16"/>
        </w:rPr>
      </w:pPr>
      <w:r w:rsidRPr="00667CD1">
        <w:rPr>
          <w:sz w:val="20"/>
          <w:szCs w:val="16"/>
        </w:rPr>
        <w:t>The Government gave all payroll tax-paying businesses in N</w:t>
      </w:r>
      <w:r w:rsidR="001937A3" w:rsidRPr="00667CD1">
        <w:rPr>
          <w:sz w:val="20"/>
          <w:szCs w:val="16"/>
        </w:rPr>
        <w:t xml:space="preserve">ew </w:t>
      </w:r>
      <w:r w:rsidRPr="00667CD1">
        <w:rPr>
          <w:sz w:val="20"/>
          <w:szCs w:val="16"/>
        </w:rPr>
        <w:t>S</w:t>
      </w:r>
      <w:r w:rsidR="00A06558" w:rsidRPr="00667CD1">
        <w:rPr>
          <w:sz w:val="20"/>
          <w:szCs w:val="16"/>
        </w:rPr>
        <w:t xml:space="preserve">outh </w:t>
      </w:r>
      <w:r w:rsidRPr="00667CD1">
        <w:rPr>
          <w:sz w:val="20"/>
          <w:szCs w:val="16"/>
        </w:rPr>
        <w:t>W</w:t>
      </w:r>
      <w:r w:rsidR="00A06558" w:rsidRPr="00667CD1">
        <w:rPr>
          <w:sz w:val="20"/>
          <w:szCs w:val="16"/>
        </w:rPr>
        <w:t>ales</w:t>
      </w:r>
      <w:r w:rsidRPr="00667CD1">
        <w:rPr>
          <w:sz w:val="20"/>
          <w:szCs w:val="16"/>
        </w:rPr>
        <w:t xml:space="preserve"> the option to defer payroll tax returns and payments until 30 October 2020. As a result, deferred payroll tax for some businesses will not be confirmed until deferred annual reconcil</w:t>
      </w:r>
      <w:r w:rsidR="006D7AD5" w:rsidRPr="00667CD1">
        <w:rPr>
          <w:sz w:val="20"/>
          <w:szCs w:val="16"/>
        </w:rPr>
        <w:t>i</w:t>
      </w:r>
      <w:r w:rsidRPr="00667CD1">
        <w:rPr>
          <w:sz w:val="20"/>
          <w:szCs w:val="16"/>
        </w:rPr>
        <w:t>ations are finalised. This component of deferred 2019-20 payroll tax is recognised in 2020-21 instead of 2019-20.</w:t>
      </w:r>
    </w:p>
    <w:p w14:paraId="78AC8D9C" w14:textId="22967479" w:rsidR="00CD53E5" w:rsidRPr="00667CD1" w:rsidRDefault="00CD53E5" w:rsidP="00DC5EFC">
      <w:pPr>
        <w:pStyle w:val="BodyText"/>
        <w:rPr>
          <w:sz w:val="20"/>
          <w:szCs w:val="16"/>
        </w:rPr>
      </w:pPr>
      <w:r w:rsidRPr="00667CD1">
        <w:rPr>
          <w:sz w:val="20"/>
          <w:szCs w:val="16"/>
        </w:rPr>
        <w:t xml:space="preserve">Payroll tax revenue is forecast to grow at an average annual rate of </w:t>
      </w:r>
      <w:r w:rsidR="00DC3BB4" w:rsidRPr="00667CD1">
        <w:rPr>
          <w:sz w:val="20"/>
          <w:szCs w:val="16"/>
        </w:rPr>
        <w:t>4.</w:t>
      </w:r>
      <w:r w:rsidR="37A43BB5" w:rsidRPr="00667CD1">
        <w:rPr>
          <w:sz w:val="20"/>
          <w:szCs w:val="16"/>
        </w:rPr>
        <w:t>4</w:t>
      </w:r>
      <w:r w:rsidRPr="00667CD1">
        <w:rPr>
          <w:sz w:val="20"/>
          <w:szCs w:val="16"/>
        </w:rPr>
        <w:t xml:space="preserve"> per cent</w:t>
      </w:r>
      <w:r w:rsidR="006B62FE" w:rsidRPr="00667CD1">
        <w:rPr>
          <w:sz w:val="20"/>
          <w:szCs w:val="16"/>
        </w:rPr>
        <w:t xml:space="preserve"> over the f</w:t>
      </w:r>
      <w:r w:rsidR="00564255" w:rsidRPr="00667CD1">
        <w:rPr>
          <w:sz w:val="20"/>
          <w:szCs w:val="16"/>
        </w:rPr>
        <w:t>our</w:t>
      </w:r>
      <w:r w:rsidR="006B62FE" w:rsidRPr="00667CD1">
        <w:rPr>
          <w:sz w:val="20"/>
          <w:szCs w:val="16"/>
        </w:rPr>
        <w:t xml:space="preserve"> years to 2023-24</w:t>
      </w:r>
      <w:r w:rsidR="00D0404C" w:rsidRPr="00667CD1">
        <w:rPr>
          <w:sz w:val="20"/>
          <w:szCs w:val="16"/>
        </w:rPr>
        <w:t xml:space="preserve">, reflecting </w:t>
      </w:r>
      <w:r w:rsidR="00F120C3" w:rsidRPr="00667CD1">
        <w:rPr>
          <w:sz w:val="20"/>
          <w:szCs w:val="16"/>
        </w:rPr>
        <w:t xml:space="preserve">a rebound from exceptionally </w:t>
      </w:r>
      <w:r w:rsidR="001D6C61" w:rsidRPr="00667CD1">
        <w:rPr>
          <w:sz w:val="20"/>
          <w:szCs w:val="16"/>
        </w:rPr>
        <w:t>weak</w:t>
      </w:r>
      <w:r w:rsidR="00D27538" w:rsidRPr="00667CD1">
        <w:rPr>
          <w:sz w:val="20"/>
          <w:szCs w:val="16"/>
        </w:rPr>
        <w:t xml:space="preserve"> receipts</w:t>
      </w:r>
      <w:r w:rsidR="00195146" w:rsidRPr="00667CD1">
        <w:rPr>
          <w:sz w:val="20"/>
          <w:szCs w:val="16"/>
        </w:rPr>
        <w:t xml:space="preserve"> in 2019-20</w:t>
      </w:r>
      <w:r w:rsidRPr="00667CD1">
        <w:rPr>
          <w:sz w:val="20"/>
          <w:szCs w:val="16"/>
        </w:rPr>
        <w:t xml:space="preserve">. </w:t>
      </w:r>
      <w:r w:rsidR="0094196C" w:rsidRPr="00667CD1">
        <w:rPr>
          <w:sz w:val="20"/>
          <w:szCs w:val="16"/>
        </w:rPr>
        <w:t>Growth in payroll tax is expected to accelerate in 2022-23</w:t>
      </w:r>
      <w:r w:rsidR="008877CC" w:rsidRPr="00667CD1">
        <w:rPr>
          <w:sz w:val="20"/>
          <w:szCs w:val="16"/>
        </w:rPr>
        <w:t xml:space="preserve"> as the </w:t>
      </w:r>
      <w:r w:rsidR="00FE07E7" w:rsidRPr="00667CD1">
        <w:rPr>
          <w:sz w:val="20"/>
          <w:szCs w:val="16"/>
        </w:rPr>
        <w:t>payroll tax rate re</w:t>
      </w:r>
      <w:r w:rsidR="00647086" w:rsidRPr="00667CD1">
        <w:rPr>
          <w:sz w:val="20"/>
          <w:szCs w:val="16"/>
        </w:rPr>
        <w:t>vert</w:t>
      </w:r>
      <w:r w:rsidR="00FE07E7" w:rsidRPr="00667CD1">
        <w:rPr>
          <w:sz w:val="20"/>
          <w:szCs w:val="16"/>
        </w:rPr>
        <w:t>s to 5.45</w:t>
      </w:r>
      <w:r w:rsidR="00DB3EBD" w:rsidRPr="00667CD1">
        <w:rPr>
          <w:sz w:val="20"/>
          <w:szCs w:val="16"/>
        </w:rPr>
        <w:t xml:space="preserve"> </w:t>
      </w:r>
      <w:r w:rsidR="00FE07E7" w:rsidRPr="00667CD1">
        <w:rPr>
          <w:sz w:val="20"/>
          <w:szCs w:val="16"/>
        </w:rPr>
        <w:t>per</w:t>
      </w:r>
      <w:r w:rsidR="00DB3EBD" w:rsidRPr="00667CD1">
        <w:rPr>
          <w:sz w:val="20"/>
          <w:szCs w:val="16"/>
        </w:rPr>
        <w:t xml:space="preserve"> </w:t>
      </w:r>
      <w:r w:rsidR="00FE07E7" w:rsidRPr="00667CD1">
        <w:rPr>
          <w:sz w:val="20"/>
          <w:szCs w:val="16"/>
        </w:rPr>
        <w:t>cent</w:t>
      </w:r>
      <w:r w:rsidR="00121150" w:rsidRPr="00667CD1">
        <w:rPr>
          <w:sz w:val="20"/>
          <w:szCs w:val="16"/>
        </w:rPr>
        <w:t>.</w:t>
      </w:r>
    </w:p>
    <w:p w14:paraId="7B34F126" w14:textId="77777777" w:rsidR="00E36D9A" w:rsidRPr="00667CD1" w:rsidRDefault="00E36D9A" w:rsidP="00DC5EFC">
      <w:pPr>
        <w:pStyle w:val="BodyText"/>
        <w:rPr>
          <w:sz w:val="20"/>
          <w:szCs w:val="16"/>
        </w:rPr>
      </w:pPr>
    </w:p>
    <w:p w14:paraId="55721EA0" w14:textId="7CC62436" w:rsidR="00E36D9A" w:rsidRPr="00667CD1" w:rsidRDefault="00E36D9A" w:rsidP="00DC5EFC">
      <w:pPr>
        <w:pStyle w:val="BodyText"/>
        <w:rPr>
          <w:sz w:val="20"/>
          <w:szCs w:val="16"/>
        </w:rPr>
      </w:pPr>
    </w:p>
    <w:p w14:paraId="6BBB51AA" w14:textId="77777777" w:rsidR="00E26D63" w:rsidRPr="00667CD1" w:rsidRDefault="00E26D63">
      <w:pPr>
        <w:spacing w:after="200" w:line="276" w:lineRule="auto"/>
        <w:rPr>
          <w:rFonts w:ascii="Arial" w:hAnsi="Arial"/>
          <w:i/>
          <w:color w:val="4F4F4F"/>
          <w:sz w:val="18"/>
          <w:szCs w:val="16"/>
        </w:rPr>
      </w:pPr>
      <w:r w:rsidRPr="00667CD1">
        <w:rPr>
          <w:sz w:val="16"/>
          <w:szCs w:val="16"/>
        </w:rPr>
        <w:br w:type="page"/>
      </w:r>
    </w:p>
    <w:p w14:paraId="5F209616" w14:textId="43032BFD" w:rsidR="00AB2672" w:rsidRPr="00667CD1" w:rsidRDefault="00AB2672" w:rsidP="003B4998">
      <w:pPr>
        <w:pStyle w:val="Chart41"/>
        <w:ind w:left="1302" w:hanging="1302"/>
        <w:rPr>
          <w:sz w:val="18"/>
          <w:szCs w:val="16"/>
        </w:rPr>
      </w:pPr>
      <w:r w:rsidRPr="00667CD1">
        <w:rPr>
          <w:sz w:val="18"/>
          <w:szCs w:val="16"/>
        </w:rPr>
        <w:lastRenderedPageBreak/>
        <w:t xml:space="preserve">Payroll tax </w:t>
      </w:r>
      <w:r w:rsidR="0034678B" w:rsidRPr="00667CD1">
        <w:rPr>
          <w:sz w:val="18"/>
          <w:szCs w:val="16"/>
        </w:rPr>
        <w:t xml:space="preserve">annual </w:t>
      </w:r>
      <w:r w:rsidRPr="00667CD1">
        <w:rPr>
          <w:sz w:val="18"/>
          <w:szCs w:val="16"/>
        </w:rPr>
        <w:t>growth</w:t>
      </w:r>
    </w:p>
    <w:p w14:paraId="57B92421" w14:textId="1E03ED16" w:rsidR="0049173F" w:rsidRPr="00667CD1" w:rsidRDefault="00045AB5" w:rsidP="7F40D58A">
      <w:pPr>
        <w:rPr>
          <w:sz w:val="16"/>
          <w:szCs w:val="16"/>
        </w:rPr>
      </w:pPr>
      <w:r w:rsidRPr="00667CD1">
        <w:rPr>
          <w:noProof/>
          <w:sz w:val="16"/>
          <w:szCs w:val="16"/>
        </w:rPr>
        <w:drawing>
          <wp:inline distT="0" distB="0" distL="0" distR="0" wp14:anchorId="17AB26C8" wp14:editId="3E6334E1">
            <wp:extent cx="6120765" cy="2736850"/>
            <wp:effectExtent l="0" t="0" r="0" b="6350"/>
            <wp:docPr id="3" name="Chart 3" descr="Chart 4.6: Payroll tax annual growth">
              <a:extLst xmlns:a="http://schemas.openxmlformats.org/drawingml/2006/main">
                <a:ext uri="{FF2B5EF4-FFF2-40B4-BE49-F238E27FC236}">
                  <a16:creationId xmlns:a16="http://schemas.microsoft.com/office/drawing/2014/main" id="{E4D4D925-C593-4198-B929-B848AF39E9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ACB2747" w14:textId="37CD0DFD" w:rsidR="00CD53E5" w:rsidRPr="00667CD1" w:rsidRDefault="00CD53E5" w:rsidP="00CD53E5">
      <w:pPr>
        <w:pStyle w:val="Heading3"/>
        <w:numPr>
          <w:ilvl w:val="0"/>
          <w:numId w:val="0"/>
        </w:numPr>
        <w:ind w:left="720" w:hanging="720"/>
        <w:rPr>
          <w:sz w:val="22"/>
          <w:szCs w:val="28"/>
        </w:rPr>
      </w:pPr>
      <w:r w:rsidRPr="00667CD1">
        <w:rPr>
          <w:sz w:val="22"/>
          <w:szCs w:val="28"/>
        </w:rPr>
        <w:t xml:space="preserve">Transfer duty </w:t>
      </w:r>
    </w:p>
    <w:p w14:paraId="199B8E65" w14:textId="61CDE9F3" w:rsidR="00B92BA3" w:rsidRPr="00667CD1" w:rsidRDefault="00334DAA" w:rsidP="00DC5EFC">
      <w:pPr>
        <w:pStyle w:val="BodyText"/>
        <w:rPr>
          <w:sz w:val="20"/>
          <w:szCs w:val="16"/>
        </w:rPr>
      </w:pPr>
      <w:r w:rsidRPr="00667CD1">
        <w:rPr>
          <w:sz w:val="20"/>
          <w:szCs w:val="16"/>
        </w:rPr>
        <w:t>The amount of t</w:t>
      </w:r>
      <w:r w:rsidR="00CD53E5" w:rsidRPr="00667CD1">
        <w:rPr>
          <w:sz w:val="20"/>
          <w:szCs w:val="16"/>
        </w:rPr>
        <w:t xml:space="preserve">ransfer duty </w:t>
      </w:r>
      <w:r w:rsidRPr="00667CD1">
        <w:rPr>
          <w:sz w:val="20"/>
          <w:szCs w:val="16"/>
        </w:rPr>
        <w:t xml:space="preserve">collected </w:t>
      </w:r>
      <w:r w:rsidR="00CD53E5" w:rsidRPr="00667CD1">
        <w:rPr>
          <w:sz w:val="20"/>
          <w:szCs w:val="16"/>
        </w:rPr>
        <w:t xml:space="preserve">is </w:t>
      </w:r>
      <w:r w:rsidR="00CB0AA4" w:rsidRPr="00667CD1">
        <w:rPr>
          <w:sz w:val="20"/>
          <w:szCs w:val="16"/>
        </w:rPr>
        <w:t xml:space="preserve">a function of property prices and the volume of sales. </w:t>
      </w:r>
      <w:r w:rsidR="003558AA" w:rsidRPr="00667CD1">
        <w:rPr>
          <w:sz w:val="20"/>
          <w:szCs w:val="16"/>
        </w:rPr>
        <w:t xml:space="preserve">Transfer duty </w:t>
      </w:r>
      <w:r w:rsidR="00AF488F" w:rsidRPr="00667CD1">
        <w:rPr>
          <w:sz w:val="20"/>
          <w:szCs w:val="16"/>
        </w:rPr>
        <w:t xml:space="preserve">is </w:t>
      </w:r>
      <w:r w:rsidR="00CD53E5" w:rsidRPr="00667CD1">
        <w:rPr>
          <w:sz w:val="20"/>
          <w:szCs w:val="16"/>
        </w:rPr>
        <w:t>expected to be $7.</w:t>
      </w:r>
      <w:r w:rsidR="006628CD" w:rsidRPr="00667CD1">
        <w:rPr>
          <w:sz w:val="20"/>
          <w:szCs w:val="16"/>
        </w:rPr>
        <w:t>9</w:t>
      </w:r>
      <w:r w:rsidR="00CD53E5" w:rsidRPr="00667CD1">
        <w:rPr>
          <w:sz w:val="20"/>
          <w:szCs w:val="16"/>
        </w:rPr>
        <w:t xml:space="preserve"> billion in 2020-21</w:t>
      </w:r>
      <w:r w:rsidR="007B647B" w:rsidRPr="00667CD1">
        <w:rPr>
          <w:sz w:val="20"/>
          <w:szCs w:val="16"/>
        </w:rPr>
        <w:t>.</w:t>
      </w:r>
      <w:r w:rsidR="0024539B" w:rsidRPr="00667CD1">
        <w:rPr>
          <w:sz w:val="20"/>
          <w:szCs w:val="16"/>
        </w:rPr>
        <w:t xml:space="preserve"> </w:t>
      </w:r>
      <w:r w:rsidR="007B708A" w:rsidRPr="00667CD1">
        <w:rPr>
          <w:sz w:val="20"/>
          <w:szCs w:val="16"/>
        </w:rPr>
        <w:t>W</w:t>
      </w:r>
      <w:r w:rsidR="002256CB" w:rsidRPr="00667CD1">
        <w:rPr>
          <w:sz w:val="20"/>
          <w:szCs w:val="16"/>
        </w:rPr>
        <w:t xml:space="preserve">hile </w:t>
      </w:r>
      <w:r w:rsidR="003558AA" w:rsidRPr="00667CD1">
        <w:rPr>
          <w:sz w:val="20"/>
          <w:szCs w:val="16"/>
        </w:rPr>
        <w:t xml:space="preserve">this is </w:t>
      </w:r>
      <w:r w:rsidR="00CD53E5" w:rsidRPr="00667CD1">
        <w:rPr>
          <w:sz w:val="20"/>
          <w:szCs w:val="16"/>
        </w:rPr>
        <w:t>$</w:t>
      </w:r>
      <w:r w:rsidR="00A541C7" w:rsidRPr="00667CD1">
        <w:rPr>
          <w:sz w:val="20"/>
          <w:szCs w:val="16"/>
        </w:rPr>
        <w:t>1.2</w:t>
      </w:r>
      <w:r w:rsidR="00CD53E5" w:rsidRPr="00667CD1">
        <w:rPr>
          <w:sz w:val="20"/>
          <w:szCs w:val="16"/>
        </w:rPr>
        <w:t xml:space="preserve"> </w:t>
      </w:r>
      <w:r w:rsidR="00A541C7" w:rsidRPr="00667CD1">
        <w:rPr>
          <w:sz w:val="20"/>
          <w:szCs w:val="16"/>
        </w:rPr>
        <w:t>b</w:t>
      </w:r>
      <w:r w:rsidR="00CD53E5" w:rsidRPr="00667CD1">
        <w:rPr>
          <w:sz w:val="20"/>
          <w:szCs w:val="16"/>
        </w:rPr>
        <w:t xml:space="preserve">illion </w:t>
      </w:r>
      <w:r w:rsidR="003558AA" w:rsidRPr="00667CD1">
        <w:rPr>
          <w:sz w:val="20"/>
          <w:szCs w:val="16"/>
        </w:rPr>
        <w:t xml:space="preserve">below </w:t>
      </w:r>
      <w:r w:rsidR="00CD53E5" w:rsidRPr="00667CD1">
        <w:rPr>
          <w:sz w:val="20"/>
          <w:szCs w:val="16"/>
        </w:rPr>
        <w:t>forecast at the 2019-20 Half</w:t>
      </w:r>
      <w:r w:rsidR="001061B5" w:rsidRPr="00667CD1">
        <w:rPr>
          <w:sz w:val="20"/>
          <w:szCs w:val="16"/>
        </w:rPr>
        <w:t>-</w:t>
      </w:r>
      <w:r w:rsidR="00CD53E5" w:rsidRPr="00667CD1">
        <w:rPr>
          <w:sz w:val="20"/>
          <w:szCs w:val="16"/>
        </w:rPr>
        <w:t>Year</w:t>
      </w:r>
      <w:r w:rsidR="001061B5" w:rsidRPr="00667CD1">
        <w:rPr>
          <w:sz w:val="20"/>
          <w:szCs w:val="16"/>
        </w:rPr>
        <w:t>ly</w:t>
      </w:r>
      <w:r w:rsidR="00CD53E5" w:rsidRPr="00667CD1">
        <w:rPr>
          <w:sz w:val="20"/>
          <w:szCs w:val="16"/>
        </w:rPr>
        <w:t xml:space="preserve"> Review</w:t>
      </w:r>
      <w:r w:rsidR="00D014DF" w:rsidRPr="00667CD1">
        <w:rPr>
          <w:sz w:val="20"/>
          <w:szCs w:val="16"/>
        </w:rPr>
        <w:t xml:space="preserve">, it </w:t>
      </w:r>
      <w:r w:rsidR="003D3734" w:rsidRPr="00667CD1">
        <w:rPr>
          <w:sz w:val="20"/>
          <w:szCs w:val="16"/>
        </w:rPr>
        <w:t xml:space="preserve">still </w:t>
      </w:r>
      <w:r w:rsidR="002A77BF" w:rsidRPr="00667CD1">
        <w:rPr>
          <w:sz w:val="20"/>
          <w:szCs w:val="16"/>
        </w:rPr>
        <w:t>represent</w:t>
      </w:r>
      <w:r w:rsidR="003D3734" w:rsidRPr="00667CD1">
        <w:rPr>
          <w:sz w:val="20"/>
          <w:szCs w:val="16"/>
        </w:rPr>
        <w:t>s</w:t>
      </w:r>
      <w:r w:rsidR="002A77BF" w:rsidRPr="00667CD1">
        <w:rPr>
          <w:sz w:val="20"/>
          <w:szCs w:val="16"/>
        </w:rPr>
        <w:t xml:space="preserve"> a growth rate of </w:t>
      </w:r>
      <w:r w:rsidR="00CD53E5" w:rsidRPr="00667CD1">
        <w:rPr>
          <w:sz w:val="20"/>
          <w:szCs w:val="16"/>
        </w:rPr>
        <w:t>1</w:t>
      </w:r>
      <w:r w:rsidR="006628CD" w:rsidRPr="00667CD1">
        <w:rPr>
          <w:sz w:val="20"/>
          <w:szCs w:val="16"/>
        </w:rPr>
        <w:t>4.0</w:t>
      </w:r>
      <w:r w:rsidR="00CD53E5" w:rsidRPr="00667CD1">
        <w:rPr>
          <w:sz w:val="20"/>
          <w:szCs w:val="16"/>
        </w:rPr>
        <w:t xml:space="preserve"> per cent </w:t>
      </w:r>
      <w:r w:rsidR="00B75246" w:rsidRPr="00667CD1">
        <w:rPr>
          <w:sz w:val="20"/>
          <w:szCs w:val="16"/>
        </w:rPr>
        <w:t>relative to</w:t>
      </w:r>
      <w:r w:rsidR="0091307B" w:rsidRPr="00667CD1">
        <w:rPr>
          <w:sz w:val="20"/>
          <w:szCs w:val="16"/>
        </w:rPr>
        <w:t xml:space="preserve"> 2019-20 (when </w:t>
      </w:r>
      <w:r w:rsidR="002A77BF" w:rsidRPr="00667CD1">
        <w:rPr>
          <w:sz w:val="20"/>
          <w:szCs w:val="16"/>
        </w:rPr>
        <w:t>COVID-19 inter</w:t>
      </w:r>
      <w:r w:rsidR="00182528" w:rsidRPr="00667CD1">
        <w:rPr>
          <w:sz w:val="20"/>
          <w:szCs w:val="16"/>
        </w:rPr>
        <w:t>r</w:t>
      </w:r>
      <w:r w:rsidR="002A77BF" w:rsidRPr="00667CD1">
        <w:rPr>
          <w:sz w:val="20"/>
          <w:szCs w:val="16"/>
        </w:rPr>
        <w:t>upted on-site auctions and open house inspections</w:t>
      </w:r>
      <w:r w:rsidR="0091307B" w:rsidRPr="00667CD1">
        <w:rPr>
          <w:sz w:val="20"/>
          <w:szCs w:val="16"/>
        </w:rPr>
        <w:t>)</w:t>
      </w:r>
      <w:r w:rsidR="002A77BF" w:rsidRPr="00667CD1">
        <w:rPr>
          <w:sz w:val="20"/>
          <w:szCs w:val="16"/>
        </w:rPr>
        <w:t xml:space="preserve">. </w:t>
      </w:r>
    </w:p>
    <w:p w14:paraId="716A50A8" w14:textId="0D46708F" w:rsidR="00CD53E5" w:rsidRPr="00667CD1" w:rsidRDefault="00CD53E5" w:rsidP="00DC5EFC">
      <w:pPr>
        <w:pStyle w:val="BodyText"/>
        <w:rPr>
          <w:sz w:val="20"/>
          <w:szCs w:val="16"/>
        </w:rPr>
      </w:pPr>
      <w:r w:rsidRPr="00667CD1">
        <w:rPr>
          <w:sz w:val="20"/>
          <w:szCs w:val="16"/>
        </w:rPr>
        <w:t xml:space="preserve">Residential transfer duty is expected to grow at an average annual rate of </w:t>
      </w:r>
      <w:r w:rsidR="00192105" w:rsidRPr="00667CD1">
        <w:rPr>
          <w:sz w:val="20"/>
          <w:szCs w:val="16"/>
        </w:rPr>
        <w:t>12.0</w:t>
      </w:r>
      <w:r w:rsidRPr="00667CD1">
        <w:rPr>
          <w:sz w:val="20"/>
          <w:szCs w:val="16"/>
        </w:rPr>
        <w:t xml:space="preserve"> per cent over the four years to 2023-24</w:t>
      </w:r>
      <w:r w:rsidR="00015C93" w:rsidRPr="00667CD1">
        <w:rPr>
          <w:sz w:val="20"/>
          <w:szCs w:val="16"/>
        </w:rPr>
        <w:t>, coming off a base for 2019-20 that is almost $400</w:t>
      </w:r>
      <w:r w:rsidR="0061610D" w:rsidRPr="00667CD1">
        <w:rPr>
          <w:sz w:val="20"/>
          <w:szCs w:val="16"/>
        </w:rPr>
        <w:t>.0</w:t>
      </w:r>
      <w:r w:rsidR="00015C93" w:rsidRPr="00667CD1">
        <w:rPr>
          <w:sz w:val="20"/>
          <w:szCs w:val="16"/>
        </w:rPr>
        <w:t xml:space="preserve"> million lower than expected at the 2019-20 Half-Yearly Review</w:t>
      </w:r>
      <w:r w:rsidRPr="00667CD1">
        <w:rPr>
          <w:sz w:val="20"/>
          <w:szCs w:val="16"/>
        </w:rPr>
        <w:t xml:space="preserve">. This forecast is largely driven </w:t>
      </w:r>
      <w:r w:rsidR="00192105" w:rsidRPr="00667CD1">
        <w:rPr>
          <w:sz w:val="20"/>
          <w:szCs w:val="16"/>
        </w:rPr>
        <w:t xml:space="preserve">by historically low interest rates and rising incomes </w:t>
      </w:r>
      <w:r w:rsidR="00E16ADC" w:rsidRPr="00667CD1">
        <w:rPr>
          <w:sz w:val="20"/>
          <w:szCs w:val="16"/>
        </w:rPr>
        <w:t xml:space="preserve">forecast </w:t>
      </w:r>
      <w:r w:rsidR="00192105" w:rsidRPr="00667CD1">
        <w:rPr>
          <w:sz w:val="20"/>
          <w:szCs w:val="16"/>
        </w:rPr>
        <w:t xml:space="preserve">from late 2021, partly offset by </w:t>
      </w:r>
      <w:r w:rsidRPr="00667CD1">
        <w:rPr>
          <w:sz w:val="20"/>
          <w:szCs w:val="16"/>
        </w:rPr>
        <w:t xml:space="preserve">weaker population growth </w:t>
      </w:r>
      <w:r w:rsidR="00DF21B8" w:rsidRPr="00667CD1">
        <w:rPr>
          <w:sz w:val="20"/>
          <w:szCs w:val="16"/>
        </w:rPr>
        <w:t>than previously forecast</w:t>
      </w:r>
      <w:r w:rsidRPr="00667CD1">
        <w:rPr>
          <w:sz w:val="20"/>
          <w:szCs w:val="16"/>
        </w:rPr>
        <w:t xml:space="preserve">. </w:t>
      </w:r>
      <w:r w:rsidR="00192105" w:rsidRPr="00667CD1">
        <w:rPr>
          <w:sz w:val="20"/>
          <w:szCs w:val="16"/>
        </w:rPr>
        <w:t>R</w:t>
      </w:r>
      <w:r w:rsidR="00344362" w:rsidRPr="00667CD1">
        <w:rPr>
          <w:sz w:val="20"/>
          <w:szCs w:val="16"/>
        </w:rPr>
        <w:t xml:space="preserve">esidential property </w:t>
      </w:r>
      <w:r w:rsidR="0029316D" w:rsidRPr="00667CD1">
        <w:rPr>
          <w:sz w:val="20"/>
          <w:szCs w:val="16"/>
        </w:rPr>
        <w:t xml:space="preserve">transactions </w:t>
      </w:r>
      <w:r w:rsidR="00192105" w:rsidRPr="00667CD1">
        <w:rPr>
          <w:sz w:val="20"/>
          <w:szCs w:val="16"/>
        </w:rPr>
        <w:t>are</w:t>
      </w:r>
      <w:r w:rsidR="0029316D" w:rsidRPr="00667CD1">
        <w:rPr>
          <w:sz w:val="20"/>
          <w:szCs w:val="16"/>
        </w:rPr>
        <w:t xml:space="preserve"> expected to rise </w:t>
      </w:r>
      <w:r w:rsidR="00192105" w:rsidRPr="00667CD1">
        <w:rPr>
          <w:sz w:val="20"/>
          <w:szCs w:val="16"/>
        </w:rPr>
        <w:t xml:space="preserve">by </w:t>
      </w:r>
      <w:r w:rsidR="0029316D" w:rsidRPr="00667CD1">
        <w:rPr>
          <w:sz w:val="20"/>
          <w:szCs w:val="16"/>
        </w:rPr>
        <w:t>around 16 per cent in 2020-21</w:t>
      </w:r>
      <w:r w:rsidRPr="00667CD1">
        <w:rPr>
          <w:sz w:val="20"/>
          <w:szCs w:val="16"/>
        </w:rPr>
        <w:t>.</w:t>
      </w:r>
    </w:p>
    <w:p w14:paraId="5E2ED37B" w14:textId="207143FB" w:rsidR="008144E2" w:rsidRPr="00667CD1" w:rsidRDefault="008144E2" w:rsidP="003B4998">
      <w:pPr>
        <w:pStyle w:val="Chart41"/>
        <w:ind w:left="1302" w:hanging="1302"/>
        <w:rPr>
          <w:sz w:val="18"/>
          <w:szCs w:val="16"/>
        </w:rPr>
      </w:pPr>
      <w:r w:rsidRPr="00667CD1">
        <w:rPr>
          <w:sz w:val="18"/>
          <w:szCs w:val="16"/>
        </w:rPr>
        <w:t>Residential transaction volumes (</w:t>
      </w:r>
      <w:r w:rsidR="00CF2151" w:rsidRPr="00667CD1">
        <w:rPr>
          <w:sz w:val="18"/>
          <w:szCs w:val="16"/>
        </w:rPr>
        <w:t>quarterly</w:t>
      </w:r>
      <w:r w:rsidRPr="00667CD1">
        <w:rPr>
          <w:sz w:val="18"/>
          <w:szCs w:val="16"/>
        </w:rPr>
        <w:t>)</w:t>
      </w:r>
    </w:p>
    <w:p w14:paraId="1CA03FA9" w14:textId="78F51636" w:rsidR="056C0521" w:rsidRPr="00667CD1" w:rsidRDefault="00212BFB" w:rsidP="00DC5EFC">
      <w:pPr>
        <w:pStyle w:val="BodyText"/>
        <w:rPr>
          <w:sz w:val="20"/>
          <w:szCs w:val="16"/>
        </w:rPr>
      </w:pPr>
      <w:r w:rsidRPr="00667CD1">
        <w:rPr>
          <w:noProof/>
          <w:sz w:val="20"/>
          <w:szCs w:val="16"/>
        </w:rPr>
        <w:drawing>
          <wp:inline distT="0" distB="0" distL="0" distR="0" wp14:anchorId="6D6212E5" wp14:editId="1E30467B">
            <wp:extent cx="5674601" cy="2708275"/>
            <wp:effectExtent l="0" t="0" r="0" b="0"/>
            <wp:docPr id="4" name="Chart 4" descr="Chart 4.7: Residential transaction volumes (quarterly)">
              <a:extLst xmlns:a="http://schemas.openxmlformats.org/drawingml/2006/main">
                <a:ext uri="{FF2B5EF4-FFF2-40B4-BE49-F238E27FC236}">
                  <a16:creationId xmlns:a16="http://schemas.microsoft.com/office/drawing/2014/main" id="{0C423742-7CC5-4E81-959F-6532BBD550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8346CD5" w14:textId="11954246" w:rsidR="00B259F8" w:rsidRPr="00667CD1" w:rsidRDefault="00C41D89" w:rsidP="00DC5EFC">
      <w:pPr>
        <w:pStyle w:val="BodyText"/>
        <w:rPr>
          <w:sz w:val="20"/>
          <w:szCs w:val="16"/>
        </w:rPr>
      </w:pPr>
      <w:r w:rsidRPr="00667CD1">
        <w:rPr>
          <w:sz w:val="20"/>
          <w:szCs w:val="16"/>
        </w:rPr>
        <w:t>Transfer duty revenue on larger</w:t>
      </w:r>
      <w:r w:rsidR="00B259F8" w:rsidRPr="00667CD1">
        <w:rPr>
          <w:sz w:val="20"/>
          <w:szCs w:val="16"/>
        </w:rPr>
        <w:t xml:space="preserve"> </w:t>
      </w:r>
      <w:r w:rsidR="00D93D21" w:rsidRPr="00667CD1">
        <w:rPr>
          <w:sz w:val="20"/>
          <w:szCs w:val="16"/>
        </w:rPr>
        <w:t>commercial</w:t>
      </w:r>
      <w:r w:rsidR="00B259F8" w:rsidRPr="00667CD1">
        <w:rPr>
          <w:sz w:val="20"/>
          <w:szCs w:val="16"/>
        </w:rPr>
        <w:t xml:space="preserve"> property </w:t>
      </w:r>
      <w:r w:rsidRPr="00667CD1">
        <w:rPr>
          <w:sz w:val="20"/>
          <w:szCs w:val="16"/>
        </w:rPr>
        <w:t xml:space="preserve">transactions is also expected </w:t>
      </w:r>
      <w:r w:rsidR="00401C39" w:rsidRPr="00667CD1">
        <w:rPr>
          <w:sz w:val="20"/>
          <w:szCs w:val="16"/>
        </w:rPr>
        <w:t>to fall</w:t>
      </w:r>
      <w:r w:rsidRPr="00667CD1">
        <w:rPr>
          <w:sz w:val="20"/>
          <w:szCs w:val="16"/>
        </w:rPr>
        <w:t xml:space="preserve"> </w:t>
      </w:r>
      <w:r w:rsidR="00B07C7E" w:rsidRPr="00667CD1">
        <w:rPr>
          <w:sz w:val="20"/>
          <w:szCs w:val="16"/>
        </w:rPr>
        <w:t>by $</w:t>
      </w:r>
      <w:r w:rsidR="00D93D21" w:rsidRPr="00667CD1">
        <w:rPr>
          <w:sz w:val="20"/>
          <w:szCs w:val="16"/>
        </w:rPr>
        <w:t>2</w:t>
      </w:r>
      <w:r w:rsidR="000627DD" w:rsidRPr="00667CD1">
        <w:rPr>
          <w:sz w:val="20"/>
          <w:szCs w:val="16"/>
        </w:rPr>
        <w:t>53.1</w:t>
      </w:r>
      <w:r w:rsidR="00B07C7E" w:rsidRPr="00667CD1">
        <w:rPr>
          <w:sz w:val="20"/>
          <w:szCs w:val="16"/>
        </w:rPr>
        <w:t xml:space="preserve"> million </w:t>
      </w:r>
      <w:r w:rsidRPr="00667CD1">
        <w:rPr>
          <w:sz w:val="20"/>
          <w:szCs w:val="16"/>
        </w:rPr>
        <w:t>in 2020-21</w:t>
      </w:r>
      <w:r w:rsidR="00401C39" w:rsidRPr="00667CD1">
        <w:rPr>
          <w:sz w:val="20"/>
          <w:szCs w:val="16"/>
        </w:rPr>
        <w:t>, before recov</w:t>
      </w:r>
      <w:r w:rsidR="00365140" w:rsidRPr="00667CD1">
        <w:rPr>
          <w:sz w:val="20"/>
          <w:szCs w:val="16"/>
        </w:rPr>
        <w:t>er</w:t>
      </w:r>
      <w:r w:rsidR="00401C39" w:rsidRPr="00667CD1">
        <w:rPr>
          <w:sz w:val="20"/>
          <w:szCs w:val="16"/>
        </w:rPr>
        <w:t xml:space="preserve">ing in 2022-23 and 2023-24 in response to </w:t>
      </w:r>
      <w:r w:rsidR="00365140" w:rsidRPr="00667CD1">
        <w:rPr>
          <w:sz w:val="20"/>
          <w:szCs w:val="16"/>
        </w:rPr>
        <w:t>stronger capital values.</w:t>
      </w:r>
    </w:p>
    <w:p w14:paraId="5C9DFE8C" w14:textId="77777777" w:rsidR="00F34363" w:rsidRPr="00667CD1" w:rsidRDefault="00F34363" w:rsidP="00F34363">
      <w:pPr>
        <w:pStyle w:val="Heading3"/>
        <w:numPr>
          <w:ilvl w:val="0"/>
          <w:numId w:val="0"/>
        </w:numPr>
        <w:ind w:left="720" w:hanging="720"/>
        <w:rPr>
          <w:rFonts w:eastAsiaTheme="minorHAnsi"/>
          <w:sz w:val="22"/>
          <w:szCs w:val="28"/>
        </w:rPr>
      </w:pPr>
      <w:r w:rsidRPr="00667CD1">
        <w:rPr>
          <w:rFonts w:eastAsiaTheme="minorHAnsi"/>
          <w:sz w:val="22"/>
          <w:szCs w:val="28"/>
        </w:rPr>
        <w:t xml:space="preserve">Land tax </w:t>
      </w:r>
    </w:p>
    <w:p w14:paraId="343B184D" w14:textId="75ECD4A9" w:rsidR="00F34363" w:rsidRPr="00667CD1" w:rsidRDefault="00F34363" w:rsidP="00DC5EFC">
      <w:pPr>
        <w:pStyle w:val="BodyText"/>
        <w:rPr>
          <w:sz w:val="20"/>
          <w:szCs w:val="16"/>
        </w:rPr>
      </w:pPr>
      <w:r w:rsidRPr="00667CD1">
        <w:rPr>
          <w:sz w:val="20"/>
          <w:szCs w:val="16"/>
        </w:rPr>
        <w:t>Land tax revenue is expected to be $4.</w:t>
      </w:r>
      <w:r w:rsidR="000627DD" w:rsidRPr="00667CD1">
        <w:rPr>
          <w:sz w:val="20"/>
          <w:szCs w:val="16"/>
        </w:rPr>
        <w:t>6</w:t>
      </w:r>
      <w:r w:rsidRPr="00667CD1">
        <w:rPr>
          <w:sz w:val="20"/>
          <w:szCs w:val="16"/>
        </w:rPr>
        <w:t xml:space="preserve"> billion in 2020-21, $1</w:t>
      </w:r>
      <w:r w:rsidR="3DD8AC58" w:rsidRPr="00667CD1">
        <w:rPr>
          <w:sz w:val="20"/>
          <w:szCs w:val="16"/>
        </w:rPr>
        <w:t>39.4</w:t>
      </w:r>
      <w:r w:rsidRPr="00667CD1">
        <w:rPr>
          <w:sz w:val="20"/>
          <w:szCs w:val="16"/>
        </w:rPr>
        <w:t xml:space="preserve"> million below expectations at </w:t>
      </w:r>
      <w:r w:rsidR="00054BA3" w:rsidRPr="00667CD1">
        <w:rPr>
          <w:sz w:val="20"/>
          <w:szCs w:val="16"/>
        </w:rPr>
        <w:t xml:space="preserve">the </w:t>
      </w:r>
      <w:r w:rsidRPr="00667CD1">
        <w:rPr>
          <w:sz w:val="20"/>
          <w:szCs w:val="16"/>
        </w:rPr>
        <w:t xml:space="preserve">2019-20 Half-Yearly Review. </w:t>
      </w:r>
      <w:r w:rsidR="00543B47" w:rsidRPr="00667CD1">
        <w:rPr>
          <w:sz w:val="20"/>
          <w:szCs w:val="16"/>
        </w:rPr>
        <w:t>The forecast for</w:t>
      </w:r>
      <w:r w:rsidRPr="00667CD1">
        <w:rPr>
          <w:sz w:val="20"/>
          <w:szCs w:val="16"/>
        </w:rPr>
        <w:t xml:space="preserve"> land tax has been reduced by $1.</w:t>
      </w:r>
      <w:r w:rsidR="00CA460E" w:rsidRPr="00667CD1">
        <w:rPr>
          <w:sz w:val="20"/>
          <w:szCs w:val="16"/>
        </w:rPr>
        <w:t>7</w:t>
      </w:r>
      <w:r w:rsidRPr="00667CD1">
        <w:rPr>
          <w:sz w:val="20"/>
          <w:szCs w:val="16"/>
        </w:rPr>
        <w:t xml:space="preserve"> billion over the </w:t>
      </w:r>
      <w:r w:rsidR="004A10F1" w:rsidRPr="00667CD1">
        <w:rPr>
          <w:sz w:val="20"/>
          <w:szCs w:val="16"/>
        </w:rPr>
        <w:t>four</w:t>
      </w:r>
      <w:r w:rsidRPr="00667CD1">
        <w:rPr>
          <w:sz w:val="20"/>
          <w:szCs w:val="16"/>
        </w:rPr>
        <w:t xml:space="preserve"> years to 202</w:t>
      </w:r>
      <w:r w:rsidR="004A10F1" w:rsidRPr="00667CD1">
        <w:rPr>
          <w:sz w:val="20"/>
          <w:szCs w:val="16"/>
        </w:rPr>
        <w:t>3</w:t>
      </w:r>
      <w:r w:rsidR="54200E5E" w:rsidRPr="00667CD1">
        <w:rPr>
          <w:sz w:val="20"/>
          <w:szCs w:val="16"/>
        </w:rPr>
        <w:t>-</w:t>
      </w:r>
      <w:r w:rsidRPr="00667CD1">
        <w:rPr>
          <w:sz w:val="20"/>
          <w:szCs w:val="16"/>
        </w:rPr>
        <w:t>2</w:t>
      </w:r>
      <w:r w:rsidR="004A10F1" w:rsidRPr="00667CD1">
        <w:rPr>
          <w:sz w:val="20"/>
          <w:szCs w:val="16"/>
        </w:rPr>
        <w:t>4</w:t>
      </w:r>
      <w:r w:rsidR="0095644C" w:rsidRPr="00667CD1">
        <w:rPr>
          <w:sz w:val="20"/>
          <w:szCs w:val="16"/>
        </w:rPr>
        <w:t>, reflecting weaker than previously forecast increases in average land values</w:t>
      </w:r>
      <w:r w:rsidRPr="00667CD1">
        <w:rPr>
          <w:sz w:val="20"/>
          <w:szCs w:val="16"/>
        </w:rPr>
        <w:t>.</w:t>
      </w:r>
    </w:p>
    <w:p w14:paraId="5A201AD6" w14:textId="7EC2A2DD" w:rsidR="00F34363" w:rsidRPr="00667CD1" w:rsidRDefault="00F34363" w:rsidP="00DC5EFC">
      <w:pPr>
        <w:pStyle w:val="BodyText"/>
        <w:rPr>
          <w:sz w:val="20"/>
          <w:szCs w:val="16"/>
        </w:rPr>
      </w:pPr>
      <w:r w:rsidRPr="00667CD1">
        <w:rPr>
          <w:sz w:val="20"/>
          <w:szCs w:val="16"/>
        </w:rPr>
        <w:lastRenderedPageBreak/>
        <w:t xml:space="preserve">Residential land values are </w:t>
      </w:r>
      <w:r w:rsidR="0095644C" w:rsidRPr="00667CD1">
        <w:rPr>
          <w:sz w:val="20"/>
          <w:szCs w:val="16"/>
        </w:rPr>
        <w:t xml:space="preserve">now expected </w:t>
      </w:r>
      <w:r w:rsidRPr="00667CD1">
        <w:rPr>
          <w:sz w:val="20"/>
          <w:szCs w:val="16"/>
        </w:rPr>
        <w:t>to rise by 2.0 per cent in 2020, while commercial land values are forecast to remain stationary</w:t>
      </w:r>
      <w:r w:rsidR="008755A4" w:rsidRPr="00667CD1">
        <w:rPr>
          <w:sz w:val="20"/>
          <w:szCs w:val="16"/>
        </w:rPr>
        <w:t>.</w:t>
      </w:r>
    </w:p>
    <w:p w14:paraId="1CB26DEB" w14:textId="2397B600" w:rsidR="00F34363" w:rsidRPr="00667CD1" w:rsidRDefault="00F34363" w:rsidP="00DC5EFC">
      <w:pPr>
        <w:pStyle w:val="BodyText"/>
        <w:rPr>
          <w:sz w:val="20"/>
          <w:szCs w:val="16"/>
        </w:rPr>
      </w:pPr>
      <w:r w:rsidRPr="00667CD1">
        <w:rPr>
          <w:sz w:val="20"/>
          <w:szCs w:val="16"/>
        </w:rPr>
        <w:t>Land tax is forecast to grow by 0.</w:t>
      </w:r>
      <w:r w:rsidR="3C5A923D" w:rsidRPr="00667CD1">
        <w:rPr>
          <w:sz w:val="20"/>
          <w:szCs w:val="16"/>
        </w:rPr>
        <w:t>9</w:t>
      </w:r>
      <w:r w:rsidRPr="00667CD1">
        <w:rPr>
          <w:sz w:val="20"/>
          <w:szCs w:val="16"/>
        </w:rPr>
        <w:t xml:space="preserve"> per cent </w:t>
      </w:r>
      <w:r w:rsidR="00722FAD" w:rsidRPr="00667CD1">
        <w:rPr>
          <w:sz w:val="20"/>
          <w:szCs w:val="16"/>
        </w:rPr>
        <w:t>over</w:t>
      </w:r>
      <w:r w:rsidRPr="00667CD1">
        <w:rPr>
          <w:sz w:val="20"/>
          <w:szCs w:val="16"/>
        </w:rPr>
        <w:t xml:space="preserve"> the four years to 2023-24. </w:t>
      </w:r>
    </w:p>
    <w:p w14:paraId="24DC00E9" w14:textId="3A4141EE" w:rsidR="00B259F8" w:rsidRPr="00667CD1" w:rsidRDefault="00B259F8" w:rsidP="00B259F8">
      <w:pPr>
        <w:pStyle w:val="Heading3"/>
        <w:numPr>
          <w:ilvl w:val="0"/>
          <w:numId w:val="0"/>
        </w:numPr>
        <w:ind w:left="720" w:hanging="720"/>
        <w:rPr>
          <w:sz w:val="22"/>
          <w:szCs w:val="28"/>
        </w:rPr>
      </w:pPr>
      <w:bookmarkStart w:id="9" w:name="_Hlk9948191"/>
      <w:r w:rsidRPr="00667CD1">
        <w:rPr>
          <w:sz w:val="22"/>
          <w:szCs w:val="28"/>
        </w:rPr>
        <w:t>Gambling and betting taxes</w:t>
      </w:r>
    </w:p>
    <w:p w14:paraId="271BA085" w14:textId="3A37F3EB" w:rsidR="00B259F8" w:rsidRPr="00667CD1" w:rsidRDefault="00B259F8" w:rsidP="00DC5EFC">
      <w:pPr>
        <w:pStyle w:val="BodyText"/>
        <w:rPr>
          <w:b/>
          <w:sz w:val="20"/>
          <w:szCs w:val="16"/>
        </w:rPr>
      </w:pPr>
      <w:r w:rsidRPr="00667CD1">
        <w:rPr>
          <w:sz w:val="20"/>
          <w:szCs w:val="16"/>
        </w:rPr>
        <w:t xml:space="preserve">Gambling tax revenue </w:t>
      </w:r>
      <w:r w:rsidR="00966766" w:rsidRPr="00667CD1">
        <w:rPr>
          <w:sz w:val="20"/>
          <w:szCs w:val="16"/>
        </w:rPr>
        <w:t>is expect</w:t>
      </w:r>
      <w:r w:rsidR="00D93D21" w:rsidRPr="00667CD1">
        <w:rPr>
          <w:sz w:val="20"/>
          <w:szCs w:val="16"/>
        </w:rPr>
        <w:t>e</w:t>
      </w:r>
      <w:r w:rsidR="00966766" w:rsidRPr="00667CD1">
        <w:rPr>
          <w:sz w:val="20"/>
          <w:szCs w:val="16"/>
        </w:rPr>
        <w:t>d to be</w:t>
      </w:r>
      <w:r w:rsidRPr="00667CD1">
        <w:rPr>
          <w:sz w:val="20"/>
          <w:szCs w:val="16"/>
        </w:rPr>
        <w:t xml:space="preserve"> $</w:t>
      </w:r>
      <w:r w:rsidR="0095644C" w:rsidRPr="00667CD1">
        <w:rPr>
          <w:sz w:val="20"/>
          <w:szCs w:val="16"/>
        </w:rPr>
        <w:t>2.8</w:t>
      </w:r>
      <w:r w:rsidRPr="00667CD1">
        <w:rPr>
          <w:sz w:val="20"/>
          <w:szCs w:val="16"/>
        </w:rPr>
        <w:t xml:space="preserve"> billion in 20</w:t>
      </w:r>
      <w:r w:rsidR="00966766" w:rsidRPr="00667CD1">
        <w:rPr>
          <w:sz w:val="20"/>
          <w:szCs w:val="16"/>
        </w:rPr>
        <w:t>20</w:t>
      </w:r>
      <w:r w:rsidRPr="00667CD1">
        <w:rPr>
          <w:sz w:val="20"/>
          <w:szCs w:val="16"/>
        </w:rPr>
        <w:t>-2</w:t>
      </w:r>
      <w:r w:rsidR="00966766" w:rsidRPr="00667CD1">
        <w:rPr>
          <w:sz w:val="20"/>
          <w:szCs w:val="16"/>
        </w:rPr>
        <w:t>1</w:t>
      </w:r>
      <w:r w:rsidRPr="00667CD1">
        <w:rPr>
          <w:sz w:val="20"/>
          <w:szCs w:val="16"/>
        </w:rPr>
        <w:t>, a</w:t>
      </w:r>
      <w:r w:rsidR="0095644C" w:rsidRPr="00667CD1">
        <w:rPr>
          <w:sz w:val="20"/>
          <w:szCs w:val="16"/>
        </w:rPr>
        <w:t>n increase of $</w:t>
      </w:r>
      <w:r w:rsidR="00271A45" w:rsidRPr="00667CD1">
        <w:rPr>
          <w:sz w:val="20"/>
          <w:szCs w:val="16"/>
        </w:rPr>
        <w:t>49.7</w:t>
      </w:r>
      <w:r w:rsidRPr="00667CD1">
        <w:rPr>
          <w:sz w:val="20"/>
          <w:szCs w:val="16"/>
        </w:rPr>
        <w:t xml:space="preserve"> million</w:t>
      </w:r>
      <w:r w:rsidR="001A0EDF" w:rsidRPr="00667CD1">
        <w:rPr>
          <w:sz w:val="20"/>
          <w:szCs w:val="16"/>
        </w:rPr>
        <w:t>,</w:t>
      </w:r>
      <w:r w:rsidRPr="00667CD1">
        <w:rPr>
          <w:sz w:val="20"/>
          <w:szCs w:val="16"/>
        </w:rPr>
        <w:t xml:space="preserve"> </w:t>
      </w:r>
      <w:r w:rsidR="002B2393" w:rsidRPr="00667CD1">
        <w:rPr>
          <w:sz w:val="20"/>
          <w:szCs w:val="16"/>
        </w:rPr>
        <w:t xml:space="preserve">or </w:t>
      </w:r>
      <w:r w:rsidR="00E00AEC" w:rsidRPr="00667CD1">
        <w:rPr>
          <w:sz w:val="20"/>
          <w:szCs w:val="16"/>
        </w:rPr>
        <w:t>1.8 per cent</w:t>
      </w:r>
      <w:r w:rsidR="001A0EDF" w:rsidRPr="00667CD1">
        <w:rPr>
          <w:sz w:val="20"/>
          <w:szCs w:val="16"/>
        </w:rPr>
        <w:t>,</w:t>
      </w:r>
      <w:r w:rsidRPr="00667CD1">
        <w:rPr>
          <w:sz w:val="20"/>
          <w:szCs w:val="16"/>
        </w:rPr>
        <w:t xml:space="preserve"> since the 2019-20 Half-Yearly Review. Forecast gambling tax revenue has been revised downwards by $</w:t>
      </w:r>
      <w:r w:rsidR="007D4C3E" w:rsidRPr="00667CD1">
        <w:rPr>
          <w:sz w:val="20"/>
          <w:szCs w:val="16"/>
        </w:rPr>
        <w:t>128.</w:t>
      </w:r>
      <w:r w:rsidR="005F51FC" w:rsidRPr="00667CD1">
        <w:rPr>
          <w:sz w:val="20"/>
          <w:szCs w:val="16"/>
        </w:rPr>
        <w:t>3</w:t>
      </w:r>
      <w:r w:rsidRPr="00667CD1">
        <w:rPr>
          <w:sz w:val="20"/>
          <w:szCs w:val="16"/>
        </w:rPr>
        <w:t xml:space="preserve"> million over the four years to 2023-24.</w:t>
      </w:r>
    </w:p>
    <w:p w14:paraId="4C31A6D0" w14:textId="77777777" w:rsidR="00C9679E" w:rsidRPr="00667CD1" w:rsidRDefault="00B259F8" w:rsidP="00DC5EFC">
      <w:pPr>
        <w:pStyle w:val="BodyText"/>
        <w:rPr>
          <w:sz w:val="20"/>
          <w:szCs w:val="16"/>
        </w:rPr>
      </w:pPr>
      <w:r w:rsidRPr="00667CD1">
        <w:rPr>
          <w:sz w:val="20"/>
          <w:szCs w:val="16"/>
        </w:rPr>
        <w:t>Casino revenue has been revised down by $1</w:t>
      </w:r>
      <w:r w:rsidR="00CE2388" w:rsidRPr="00667CD1">
        <w:rPr>
          <w:sz w:val="20"/>
          <w:szCs w:val="16"/>
        </w:rPr>
        <w:t>90</w:t>
      </w:r>
      <w:r w:rsidRPr="00667CD1">
        <w:rPr>
          <w:sz w:val="20"/>
          <w:szCs w:val="16"/>
        </w:rPr>
        <w:t>.</w:t>
      </w:r>
      <w:r w:rsidR="00352173" w:rsidRPr="00667CD1">
        <w:rPr>
          <w:sz w:val="20"/>
          <w:szCs w:val="16"/>
        </w:rPr>
        <w:t>5</w:t>
      </w:r>
      <w:r w:rsidR="004D1739" w:rsidRPr="00667CD1">
        <w:rPr>
          <w:sz w:val="20"/>
          <w:szCs w:val="16"/>
        </w:rPr>
        <w:t xml:space="preserve"> </w:t>
      </w:r>
      <w:r w:rsidRPr="00667CD1">
        <w:rPr>
          <w:sz w:val="20"/>
          <w:szCs w:val="16"/>
        </w:rPr>
        <w:t xml:space="preserve">million over the four years to 2023-24, reflecting stricter border restrictions resulting from COVID-19. </w:t>
      </w:r>
    </w:p>
    <w:p w14:paraId="69E9D8CB" w14:textId="68C218A4" w:rsidR="00B259F8" w:rsidRPr="00667CD1" w:rsidRDefault="00B259F8" w:rsidP="00DC5EFC">
      <w:pPr>
        <w:pStyle w:val="BodyText"/>
        <w:rPr>
          <w:sz w:val="20"/>
          <w:szCs w:val="16"/>
        </w:rPr>
      </w:pPr>
      <w:r w:rsidRPr="00667CD1">
        <w:rPr>
          <w:sz w:val="20"/>
          <w:szCs w:val="16"/>
        </w:rPr>
        <w:t xml:space="preserve">Hotel and club gaming device revenue </w:t>
      </w:r>
      <w:r w:rsidR="00A70B40" w:rsidRPr="00667CD1">
        <w:rPr>
          <w:sz w:val="20"/>
          <w:szCs w:val="16"/>
        </w:rPr>
        <w:t xml:space="preserve">was $307.6 million lower </w:t>
      </w:r>
      <w:r w:rsidR="00624D43" w:rsidRPr="00667CD1">
        <w:rPr>
          <w:sz w:val="20"/>
          <w:szCs w:val="16"/>
        </w:rPr>
        <w:t>in 2019-20</w:t>
      </w:r>
      <w:r w:rsidR="00A70B40" w:rsidRPr="00667CD1">
        <w:rPr>
          <w:sz w:val="20"/>
          <w:szCs w:val="16"/>
        </w:rPr>
        <w:t xml:space="preserve"> than exp</w:t>
      </w:r>
      <w:r w:rsidR="00387AAE" w:rsidRPr="00667CD1">
        <w:rPr>
          <w:sz w:val="20"/>
          <w:szCs w:val="16"/>
        </w:rPr>
        <w:t>e</w:t>
      </w:r>
      <w:r w:rsidR="00A70B40" w:rsidRPr="00667CD1">
        <w:rPr>
          <w:sz w:val="20"/>
          <w:szCs w:val="16"/>
        </w:rPr>
        <w:t>ct</w:t>
      </w:r>
      <w:r w:rsidR="00387AAE" w:rsidRPr="00667CD1">
        <w:rPr>
          <w:sz w:val="20"/>
          <w:szCs w:val="16"/>
        </w:rPr>
        <w:t>e</w:t>
      </w:r>
      <w:r w:rsidR="00A70B40" w:rsidRPr="00667CD1">
        <w:rPr>
          <w:sz w:val="20"/>
          <w:szCs w:val="16"/>
        </w:rPr>
        <w:t>d at the 2019-20 Half-Yearly Review</w:t>
      </w:r>
      <w:r w:rsidR="00A06076" w:rsidRPr="00667CD1">
        <w:rPr>
          <w:sz w:val="20"/>
          <w:szCs w:val="16"/>
        </w:rPr>
        <w:t>,</w:t>
      </w:r>
      <w:r w:rsidR="00A70B40" w:rsidRPr="00667CD1">
        <w:rPr>
          <w:sz w:val="20"/>
          <w:szCs w:val="16"/>
        </w:rPr>
        <w:t xml:space="preserve"> </w:t>
      </w:r>
      <w:r w:rsidR="009869CB" w:rsidRPr="00667CD1">
        <w:rPr>
          <w:sz w:val="20"/>
          <w:szCs w:val="16"/>
        </w:rPr>
        <w:t xml:space="preserve">due to </w:t>
      </w:r>
      <w:r w:rsidR="004C6D2A" w:rsidRPr="00667CD1">
        <w:rPr>
          <w:sz w:val="20"/>
          <w:szCs w:val="16"/>
        </w:rPr>
        <w:t xml:space="preserve">the closure of </w:t>
      </w:r>
      <w:r w:rsidR="006B7EBD" w:rsidRPr="00667CD1">
        <w:rPr>
          <w:sz w:val="20"/>
          <w:szCs w:val="16"/>
        </w:rPr>
        <w:t>venues</w:t>
      </w:r>
      <w:r w:rsidR="004C6D2A" w:rsidRPr="00667CD1">
        <w:rPr>
          <w:sz w:val="20"/>
          <w:szCs w:val="16"/>
        </w:rPr>
        <w:t xml:space="preserve"> and subsequent</w:t>
      </w:r>
      <w:r w:rsidR="00C9445A" w:rsidRPr="00667CD1">
        <w:rPr>
          <w:sz w:val="20"/>
          <w:szCs w:val="16"/>
        </w:rPr>
        <w:t xml:space="preserve"> restrictions </w:t>
      </w:r>
      <w:r w:rsidR="006B7EBD" w:rsidRPr="00667CD1">
        <w:rPr>
          <w:sz w:val="20"/>
          <w:szCs w:val="16"/>
        </w:rPr>
        <w:t xml:space="preserve">on </w:t>
      </w:r>
      <w:r w:rsidR="004C6D2A" w:rsidRPr="00667CD1">
        <w:rPr>
          <w:sz w:val="20"/>
          <w:szCs w:val="16"/>
        </w:rPr>
        <w:t>activity</w:t>
      </w:r>
      <w:r w:rsidR="003A1E77" w:rsidRPr="00667CD1">
        <w:rPr>
          <w:sz w:val="20"/>
          <w:szCs w:val="16"/>
        </w:rPr>
        <w:t>.</w:t>
      </w:r>
      <w:r w:rsidR="0014601F" w:rsidRPr="00667CD1">
        <w:rPr>
          <w:sz w:val="20"/>
          <w:szCs w:val="16"/>
        </w:rPr>
        <w:t xml:space="preserve"> Hotel and club gaming device revenue has been revised up by $136.8 million in 2020</w:t>
      </w:r>
      <w:r w:rsidR="00BF27B2" w:rsidRPr="00667CD1">
        <w:rPr>
          <w:sz w:val="20"/>
          <w:szCs w:val="16"/>
        </w:rPr>
        <w:noBreakHyphen/>
      </w:r>
      <w:r w:rsidR="0014601F" w:rsidRPr="00667CD1">
        <w:rPr>
          <w:sz w:val="20"/>
          <w:szCs w:val="16"/>
        </w:rPr>
        <w:t>21, reflecting strong receipts since the relaxation of restrictions</w:t>
      </w:r>
      <w:r w:rsidR="00A70B40" w:rsidRPr="00667CD1">
        <w:rPr>
          <w:sz w:val="20"/>
          <w:szCs w:val="16"/>
        </w:rPr>
        <w:t xml:space="preserve"> </w:t>
      </w:r>
      <w:r w:rsidR="00555C8A" w:rsidRPr="00667CD1">
        <w:rPr>
          <w:sz w:val="20"/>
          <w:szCs w:val="16"/>
        </w:rPr>
        <w:t>and are</w:t>
      </w:r>
      <w:r w:rsidRPr="00667CD1">
        <w:rPr>
          <w:sz w:val="20"/>
          <w:szCs w:val="16"/>
        </w:rPr>
        <w:t xml:space="preserve"> expected to be $</w:t>
      </w:r>
      <w:r w:rsidR="007D5198" w:rsidRPr="00667CD1">
        <w:rPr>
          <w:sz w:val="20"/>
          <w:szCs w:val="16"/>
        </w:rPr>
        <w:t>181.6</w:t>
      </w:r>
      <w:r w:rsidRPr="00667CD1">
        <w:rPr>
          <w:sz w:val="20"/>
          <w:szCs w:val="16"/>
        </w:rPr>
        <w:t xml:space="preserve"> million higher over the four years to 2023-24</w:t>
      </w:r>
      <w:r w:rsidR="00292336" w:rsidRPr="00667CD1">
        <w:rPr>
          <w:sz w:val="20"/>
          <w:szCs w:val="16"/>
        </w:rPr>
        <w:t>.</w:t>
      </w:r>
    </w:p>
    <w:p w14:paraId="3FC65D29" w14:textId="77777777" w:rsidR="00B259F8" w:rsidRPr="00667CD1" w:rsidRDefault="00B259F8" w:rsidP="00B259F8">
      <w:pPr>
        <w:pStyle w:val="Heading3"/>
        <w:numPr>
          <w:ilvl w:val="0"/>
          <w:numId w:val="0"/>
        </w:numPr>
        <w:ind w:left="720" w:hanging="720"/>
        <w:rPr>
          <w:rFonts w:eastAsiaTheme="minorHAnsi"/>
          <w:sz w:val="22"/>
          <w:szCs w:val="28"/>
        </w:rPr>
      </w:pPr>
      <w:r w:rsidRPr="00667CD1">
        <w:rPr>
          <w:rFonts w:eastAsiaTheme="minorHAnsi"/>
          <w:sz w:val="22"/>
          <w:szCs w:val="28"/>
        </w:rPr>
        <w:t xml:space="preserve">Taxes on motor vehicle ownership and operation </w:t>
      </w:r>
    </w:p>
    <w:p w14:paraId="37F0D06D" w14:textId="181C79B4" w:rsidR="00B259F8" w:rsidRPr="00667CD1" w:rsidRDefault="00B259F8" w:rsidP="00DC5EFC">
      <w:pPr>
        <w:pStyle w:val="BodyText"/>
        <w:rPr>
          <w:sz w:val="20"/>
          <w:szCs w:val="16"/>
        </w:rPr>
      </w:pPr>
      <w:r w:rsidRPr="00667CD1">
        <w:rPr>
          <w:sz w:val="20"/>
          <w:szCs w:val="16"/>
        </w:rPr>
        <w:t>Motor vehicle taxes are expected to be $</w:t>
      </w:r>
      <w:r w:rsidR="00633A44" w:rsidRPr="00667CD1">
        <w:rPr>
          <w:sz w:val="20"/>
          <w:szCs w:val="16"/>
        </w:rPr>
        <w:t>2.</w:t>
      </w:r>
      <w:r w:rsidR="00830C35" w:rsidRPr="00667CD1">
        <w:rPr>
          <w:sz w:val="20"/>
          <w:szCs w:val="16"/>
        </w:rPr>
        <w:t>4</w:t>
      </w:r>
      <w:r w:rsidRPr="00667CD1">
        <w:rPr>
          <w:sz w:val="20"/>
          <w:szCs w:val="16"/>
        </w:rPr>
        <w:t xml:space="preserve"> billion in 2020-21, $</w:t>
      </w:r>
      <w:r w:rsidR="005F7A8E" w:rsidRPr="00667CD1">
        <w:rPr>
          <w:sz w:val="20"/>
          <w:szCs w:val="16"/>
        </w:rPr>
        <w:t>91.9</w:t>
      </w:r>
      <w:r w:rsidRPr="00667CD1">
        <w:rPr>
          <w:sz w:val="20"/>
          <w:szCs w:val="16"/>
        </w:rPr>
        <w:t xml:space="preserve"> million lower than at the 2019-20 Half-Yearly Review. Forecast motor vehicle taxes have been reduced by $</w:t>
      </w:r>
      <w:r w:rsidR="00F93F05" w:rsidRPr="00667CD1">
        <w:rPr>
          <w:sz w:val="20"/>
          <w:szCs w:val="16"/>
        </w:rPr>
        <w:t>5</w:t>
      </w:r>
      <w:r w:rsidR="00A9221A" w:rsidRPr="00667CD1">
        <w:rPr>
          <w:sz w:val="20"/>
          <w:szCs w:val="16"/>
        </w:rPr>
        <w:t>72.0</w:t>
      </w:r>
      <w:r w:rsidR="00BF27B2" w:rsidRPr="00667CD1">
        <w:rPr>
          <w:sz w:val="20"/>
          <w:szCs w:val="16"/>
        </w:rPr>
        <w:t> </w:t>
      </w:r>
      <w:r w:rsidRPr="00667CD1">
        <w:rPr>
          <w:sz w:val="20"/>
          <w:szCs w:val="16"/>
        </w:rPr>
        <w:t xml:space="preserve">million over the </w:t>
      </w:r>
      <w:r w:rsidR="00FF61A6" w:rsidRPr="00667CD1">
        <w:rPr>
          <w:sz w:val="20"/>
          <w:szCs w:val="16"/>
        </w:rPr>
        <w:t>four</w:t>
      </w:r>
      <w:r w:rsidRPr="00667CD1">
        <w:rPr>
          <w:sz w:val="20"/>
          <w:szCs w:val="16"/>
        </w:rPr>
        <w:t xml:space="preserve"> years to 202</w:t>
      </w:r>
      <w:r w:rsidR="00FF61A6" w:rsidRPr="00667CD1">
        <w:rPr>
          <w:sz w:val="20"/>
          <w:szCs w:val="16"/>
        </w:rPr>
        <w:t>3</w:t>
      </w:r>
      <w:r w:rsidRPr="00667CD1">
        <w:rPr>
          <w:sz w:val="20"/>
          <w:szCs w:val="16"/>
        </w:rPr>
        <w:t>-2</w:t>
      </w:r>
      <w:r w:rsidR="00FF61A6" w:rsidRPr="00667CD1">
        <w:rPr>
          <w:sz w:val="20"/>
          <w:szCs w:val="16"/>
        </w:rPr>
        <w:t>4</w:t>
      </w:r>
      <w:r w:rsidRPr="00667CD1">
        <w:rPr>
          <w:sz w:val="20"/>
          <w:szCs w:val="16"/>
        </w:rPr>
        <w:t xml:space="preserve">, reflecting slower growth in the vehicle stock. </w:t>
      </w:r>
    </w:p>
    <w:p w14:paraId="2C78B9F8" w14:textId="75AA4079" w:rsidR="00B259F8" w:rsidRPr="00667CD1" w:rsidRDefault="00B259F8" w:rsidP="00DC5EFC">
      <w:pPr>
        <w:pStyle w:val="BodyText"/>
        <w:rPr>
          <w:sz w:val="20"/>
          <w:szCs w:val="16"/>
        </w:rPr>
      </w:pPr>
      <w:r w:rsidRPr="00667CD1">
        <w:rPr>
          <w:sz w:val="20"/>
          <w:szCs w:val="16"/>
        </w:rPr>
        <w:t>Motor vehicle taxes are forecast to grow by 2.</w:t>
      </w:r>
      <w:r w:rsidR="5BE8DEA7" w:rsidRPr="00667CD1">
        <w:rPr>
          <w:sz w:val="20"/>
          <w:szCs w:val="16"/>
        </w:rPr>
        <w:t>6</w:t>
      </w:r>
      <w:r w:rsidRPr="00667CD1">
        <w:rPr>
          <w:sz w:val="20"/>
          <w:szCs w:val="16"/>
        </w:rPr>
        <w:t xml:space="preserve"> per cent </w:t>
      </w:r>
      <w:r w:rsidR="00FF61A6" w:rsidRPr="00667CD1">
        <w:rPr>
          <w:sz w:val="20"/>
          <w:szCs w:val="16"/>
        </w:rPr>
        <w:t>over</w:t>
      </w:r>
      <w:r w:rsidRPr="00667CD1">
        <w:rPr>
          <w:sz w:val="20"/>
          <w:szCs w:val="16"/>
        </w:rPr>
        <w:t xml:space="preserve"> the four years to 2023-24.</w:t>
      </w:r>
    </w:p>
    <w:p w14:paraId="0290FD8E" w14:textId="77777777" w:rsidR="00F34363" w:rsidRPr="00667CD1" w:rsidRDefault="00F34363" w:rsidP="00F34363">
      <w:pPr>
        <w:pStyle w:val="Heading3"/>
        <w:numPr>
          <w:ilvl w:val="0"/>
          <w:numId w:val="0"/>
        </w:numPr>
        <w:ind w:left="720" w:hanging="720"/>
        <w:rPr>
          <w:sz w:val="22"/>
          <w:szCs w:val="28"/>
        </w:rPr>
      </w:pPr>
      <w:r w:rsidRPr="00667CD1">
        <w:rPr>
          <w:sz w:val="22"/>
          <w:szCs w:val="28"/>
        </w:rPr>
        <w:t>Other stamp duties</w:t>
      </w:r>
    </w:p>
    <w:p w14:paraId="0F5BDD79" w14:textId="526917B0" w:rsidR="00F34363" w:rsidRPr="00667CD1" w:rsidRDefault="00F34363" w:rsidP="00DC5EFC">
      <w:pPr>
        <w:pStyle w:val="BodyText"/>
        <w:rPr>
          <w:sz w:val="20"/>
          <w:szCs w:val="16"/>
        </w:rPr>
      </w:pPr>
      <w:r w:rsidRPr="00667CD1">
        <w:rPr>
          <w:sz w:val="20"/>
          <w:szCs w:val="16"/>
        </w:rPr>
        <w:t xml:space="preserve">Other stamp duties include insurance duty and motor vehicle registration duty. Revenue from other stamp duties </w:t>
      </w:r>
      <w:r w:rsidR="005578A4" w:rsidRPr="00667CD1">
        <w:rPr>
          <w:sz w:val="20"/>
          <w:szCs w:val="16"/>
        </w:rPr>
        <w:t>is forecast</w:t>
      </w:r>
      <w:r w:rsidRPr="00667CD1">
        <w:rPr>
          <w:sz w:val="20"/>
          <w:szCs w:val="16"/>
        </w:rPr>
        <w:t xml:space="preserve"> to </w:t>
      </w:r>
      <w:r w:rsidR="005578A4" w:rsidRPr="00667CD1">
        <w:rPr>
          <w:sz w:val="20"/>
          <w:szCs w:val="16"/>
        </w:rPr>
        <w:t xml:space="preserve">reach </w:t>
      </w:r>
      <w:r w:rsidRPr="00667CD1">
        <w:rPr>
          <w:sz w:val="20"/>
          <w:szCs w:val="16"/>
        </w:rPr>
        <w:t>$</w:t>
      </w:r>
      <w:r w:rsidR="0009480A" w:rsidRPr="00667CD1">
        <w:rPr>
          <w:sz w:val="20"/>
          <w:szCs w:val="16"/>
        </w:rPr>
        <w:t>2.0</w:t>
      </w:r>
      <w:r w:rsidRPr="00667CD1">
        <w:rPr>
          <w:sz w:val="20"/>
          <w:szCs w:val="16"/>
        </w:rPr>
        <w:t xml:space="preserve"> billion in 20</w:t>
      </w:r>
      <w:r w:rsidR="005578A4" w:rsidRPr="00667CD1">
        <w:rPr>
          <w:sz w:val="20"/>
          <w:szCs w:val="16"/>
        </w:rPr>
        <w:t>20-21</w:t>
      </w:r>
      <w:r w:rsidRPr="00667CD1">
        <w:rPr>
          <w:sz w:val="20"/>
          <w:szCs w:val="16"/>
        </w:rPr>
        <w:t xml:space="preserve"> – </w:t>
      </w:r>
      <w:r w:rsidR="002A0849" w:rsidRPr="00667CD1">
        <w:rPr>
          <w:sz w:val="20"/>
          <w:szCs w:val="16"/>
        </w:rPr>
        <w:t>reflecting</w:t>
      </w:r>
      <w:r w:rsidRPr="00667CD1">
        <w:rPr>
          <w:sz w:val="20"/>
          <w:szCs w:val="16"/>
        </w:rPr>
        <w:t xml:space="preserve"> a </w:t>
      </w:r>
      <w:r w:rsidR="002A0849" w:rsidRPr="00667CD1">
        <w:rPr>
          <w:sz w:val="20"/>
          <w:szCs w:val="16"/>
        </w:rPr>
        <w:t>minor</w:t>
      </w:r>
      <w:r w:rsidRPr="00667CD1">
        <w:rPr>
          <w:sz w:val="20"/>
          <w:szCs w:val="16"/>
        </w:rPr>
        <w:t xml:space="preserve"> downward revision of $</w:t>
      </w:r>
      <w:r w:rsidR="0009480A" w:rsidRPr="00667CD1">
        <w:rPr>
          <w:sz w:val="20"/>
          <w:szCs w:val="16"/>
        </w:rPr>
        <w:t>4.</w:t>
      </w:r>
      <w:r w:rsidR="002237AE" w:rsidRPr="00667CD1">
        <w:rPr>
          <w:sz w:val="20"/>
          <w:szCs w:val="16"/>
        </w:rPr>
        <w:t>6</w:t>
      </w:r>
      <w:r w:rsidRPr="00667CD1">
        <w:rPr>
          <w:sz w:val="20"/>
          <w:szCs w:val="16"/>
        </w:rPr>
        <w:t xml:space="preserve"> million since the 2019-20 </w:t>
      </w:r>
      <w:r w:rsidR="009F7B3E" w:rsidRPr="00667CD1">
        <w:rPr>
          <w:sz w:val="20"/>
          <w:szCs w:val="16"/>
        </w:rPr>
        <w:t>Half-Yearly</w:t>
      </w:r>
      <w:r w:rsidRPr="00667CD1">
        <w:rPr>
          <w:sz w:val="20"/>
          <w:szCs w:val="16"/>
        </w:rPr>
        <w:t xml:space="preserve"> Review. </w:t>
      </w:r>
    </w:p>
    <w:p w14:paraId="524C16DE" w14:textId="194510BB" w:rsidR="00F34363" w:rsidRPr="00667CD1" w:rsidRDefault="00984975" w:rsidP="00DC5EFC">
      <w:pPr>
        <w:pStyle w:val="BodyText"/>
        <w:rPr>
          <w:sz w:val="20"/>
          <w:szCs w:val="16"/>
        </w:rPr>
      </w:pPr>
      <w:r w:rsidRPr="00667CD1">
        <w:rPr>
          <w:sz w:val="20"/>
          <w:szCs w:val="16"/>
        </w:rPr>
        <w:t>Str</w:t>
      </w:r>
      <w:r w:rsidR="00747F63" w:rsidRPr="00667CD1">
        <w:rPr>
          <w:sz w:val="20"/>
          <w:szCs w:val="16"/>
        </w:rPr>
        <w:t>o</w:t>
      </w:r>
      <w:r w:rsidRPr="00667CD1">
        <w:rPr>
          <w:sz w:val="20"/>
          <w:szCs w:val="16"/>
        </w:rPr>
        <w:t>nger-than-expected</w:t>
      </w:r>
      <w:r w:rsidR="00B1736C" w:rsidRPr="00667CD1">
        <w:rPr>
          <w:sz w:val="20"/>
          <w:szCs w:val="16"/>
        </w:rPr>
        <w:t xml:space="preserve"> insurance</w:t>
      </w:r>
      <w:r w:rsidRPr="00667CD1">
        <w:rPr>
          <w:sz w:val="20"/>
          <w:szCs w:val="16"/>
        </w:rPr>
        <w:t xml:space="preserve"> </w:t>
      </w:r>
      <w:r w:rsidR="007A0A7B" w:rsidRPr="00667CD1">
        <w:rPr>
          <w:sz w:val="20"/>
          <w:szCs w:val="16"/>
        </w:rPr>
        <w:t xml:space="preserve">duty revenue in 2019-20 </w:t>
      </w:r>
      <w:r w:rsidR="00B1736C" w:rsidRPr="00667CD1">
        <w:rPr>
          <w:sz w:val="20"/>
          <w:szCs w:val="16"/>
        </w:rPr>
        <w:t>has resulted in forecast duty revenue to be revised up</w:t>
      </w:r>
      <w:r w:rsidR="00F34363" w:rsidRPr="00667CD1" w:rsidDel="001D00CB">
        <w:rPr>
          <w:sz w:val="20"/>
          <w:szCs w:val="16"/>
        </w:rPr>
        <w:t xml:space="preserve"> </w:t>
      </w:r>
      <w:r w:rsidR="00B1736C" w:rsidRPr="00667CD1">
        <w:rPr>
          <w:sz w:val="20"/>
          <w:szCs w:val="16"/>
        </w:rPr>
        <w:t>by</w:t>
      </w:r>
      <w:r w:rsidR="00F34363" w:rsidRPr="00667CD1">
        <w:rPr>
          <w:sz w:val="20"/>
          <w:szCs w:val="16"/>
        </w:rPr>
        <w:t xml:space="preserve"> $1</w:t>
      </w:r>
      <w:r w:rsidR="00D015E2" w:rsidRPr="00667CD1">
        <w:rPr>
          <w:sz w:val="20"/>
          <w:szCs w:val="16"/>
        </w:rPr>
        <w:t>79.2</w:t>
      </w:r>
      <w:r w:rsidR="00F34363" w:rsidRPr="00667CD1">
        <w:rPr>
          <w:sz w:val="20"/>
          <w:szCs w:val="16"/>
        </w:rPr>
        <w:t xml:space="preserve"> million </w:t>
      </w:r>
      <w:r w:rsidR="00D015E2" w:rsidRPr="00667CD1">
        <w:rPr>
          <w:sz w:val="20"/>
          <w:szCs w:val="16"/>
        </w:rPr>
        <w:t>over the four</w:t>
      </w:r>
      <w:r w:rsidR="00F34363" w:rsidRPr="00667CD1">
        <w:rPr>
          <w:sz w:val="20"/>
          <w:szCs w:val="16"/>
        </w:rPr>
        <w:t xml:space="preserve"> years to 202</w:t>
      </w:r>
      <w:r w:rsidR="0013057A" w:rsidRPr="00667CD1">
        <w:rPr>
          <w:sz w:val="20"/>
          <w:szCs w:val="16"/>
        </w:rPr>
        <w:t>3</w:t>
      </w:r>
      <w:r w:rsidR="00F34363" w:rsidRPr="00667CD1">
        <w:rPr>
          <w:sz w:val="20"/>
          <w:szCs w:val="16"/>
        </w:rPr>
        <w:t>-2</w:t>
      </w:r>
      <w:r w:rsidR="0013057A" w:rsidRPr="00667CD1">
        <w:rPr>
          <w:sz w:val="20"/>
          <w:szCs w:val="16"/>
        </w:rPr>
        <w:t>4</w:t>
      </w:r>
      <w:r w:rsidR="00F34363" w:rsidRPr="00667CD1">
        <w:rPr>
          <w:sz w:val="20"/>
          <w:szCs w:val="16"/>
        </w:rPr>
        <w:t>.</w:t>
      </w:r>
    </w:p>
    <w:p w14:paraId="4C161E0F" w14:textId="1FA3CF85" w:rsidR="00F34363" w:rsidRPr="00667CD1" w:rsidRDefault="00F34363" w:rsidP="00DC5EFC">
      <w:pPr>
        <w:pStyle w:val="BodyText"/>
        <w:rPr>
          <w:sz w:val="20"/>
          <w:szCs w:val="16"/>
        </w:rPr>
      </w:pPr>
      <w:r w:rsidRPr="00667CD1">
        <w:rPr>
          <w:sz w:val="20"/>
          <w:szCs w:val="16"/>
        </w:rPr>
        <w:t xml:space="preserve">Motor vehicle registration duty </w:t>
      </w:r>
      <w:r w:rsidR="00D33651" w:rsidRPr="00667CD1">
        <w:rPr>
          <w:sz w:val="20"/>
          <w:szCs w:val="16"/>
        </w:rPr>
        <w:t>has been revised</w:t>
      </w:r>
      <w:r w:rsidRPr="00667CD1">
        <w:rPr>
          <w:sz w:val="20"/>
          <w:szCs w:val="16"/>
        </w:rPr>
        <w:t xml:space="preserve"> downward </w:t>
      </w:r>
      <w:r w:rsidR="00D33651" w:rsidRPr="00667CD1">
        <w:rPr>
          <w:sz w:val="20"/>
          <w:szCs w:val="16"/>
        </w:rPr>
        <w:t>by</w:t>
      </w:r>
      <w:r w:rsidRPr="00667CD1">
        <w:rPr>
          <w:sz w:val="20"/>
          <w:szCs w:val="16"/>
        </w:rPr>
        <w:t xml:space="preserve"> $</w:t>
      </w:r>
      <w:r w:rsidR="00D015E2" w:rsidRPr="00667CD1">
        <w:rPr>
          <w:sz w:val="20"/>
          <w:szCs w:val="16"/>
        </w:rPr>
        <w:t>7.9</w:t>
      </w:r>
      <w:r w:rsidRPr="00667CD1">
        <w:rPr>
          <w:sz w:val="20"/>
          <w:szCs w:val="16"/>
        </w:rPr>
        <w:t xml:space="preserve"> million since the 2019-20 </w:t>
      </w:r>
      <w:r w:rsidR="009F7B3E" w:rsidRPr="00667CD1">
        <w:rPr>
          <w:sz w:val="20"/>
          <w:szCs w:val="16"/>
        </w:rPr>
        <w:t>Half-Yearly</w:t>
      </w:r>
      <w:r w:rsidRPr="00667CD1">
        <w:rPr>
          <w:sz w:val="20"/>
          <w:szCs w:val="16"/>
        </w:rPr>
        <w:t xml:space="preserve"> Review</w:t>
      </w:r>
      <w:r w:rsidR="00D33651" w:rsidRPr="00667CD1">
        <w:rPr>
          <w:sz w:val="20"/>
          <w:szCs w:val="16"/>
        </w:rPr>
        <w:t xml:space="preserve"> to $</w:t>
      </w:r>
      <w:r w:rsidR="21D5B137" w:rsidRPr="00667CD1">
        <w:rPr>
          <w:sz w:val="20"/>
          <w:szCs w:val="16"/>
        </w:rPr>
        <w:t>852.1</w:t>
      </w:r>
      <w:r w:rsidR="00D33651" w:rsidRPr="00667CD1">
        <w:rPr>
          <w:sz w:val="20"/>
          <w:szCs w:val="16"/>
        </w:rPr>
        <w:t xml:space="preserve"> million</w:t>
      </w:r>
      <w:r w:rsidR="00C36577" w:rsidRPr="00667CD1">
        <w:rPr>
          <w:sz w:val="20"/>
          <w:szCs w:val="16"/>
        </w:rPr>
        <w:t xml:space="preserve"> for 2020-21</w:t>
      </w:r>
      <w:r w:rsidR="008C34DA" w:rsidRPr="00667CD1">
        <w:rPr>
          <w:sz w:val="20"/>
          <w:szCs w:val="16"/>
        </w:rPr>
        <w:t>. This</w:t>
      </w:r>
      <w:r w:rsidRPr="00667CD1">
        <w:rPr>
          <w:sz w:val="20"/>
          <w:szCs w:val="16"/>
        </w:rPr>
        <w:t xml:space="preserve"> reflect</w:t>
      </w:r>
      <w:r w:rsidR="008C34DA" w:rsidRPr="00667CD1">
        <w:rPr>
          <w:sz w:val="20"/>
          <w:szCs w:val="16"/>
        </w:rPr>
        <w:t>s</w:t>
      </w:r>
      <w:r w:rsidRPr="00667CD1">
        <w:rPr>
          <w:sz w:val="20"/>
          <w:szCs w:val="16"/>
        </w:rPr>
        <w:t xml:space="preserve"> lower</w:t>
      </w:r>
      <w:r w:rsidR="008C34DA" w:rsidRPr="00667CD1">
        <w:rPr>
          <w:sz w:val="20"/>
          <w:szCs w:val="16"/>
        </w:rPr>
        <w:t xml:space="preserve"> </w:t>
      </w:r>
      <w:r w:rsidRPr="00667CD1">
        <w:rPr>
          <w:sz w:val="20"/>
          <w:szCs w:val="16"/>
        </w:rPr>
        <w:t>than</w:t>
      </w:r>
      <w:r w:rsidR="008C34DA" w:rsidRPr="00667CD1">
        <w:rPr>
          <w:sz w:val="20"/>
          <w:szCs w:val="16"/>
        </w:rPr>
        <w:t xml:space="preserve"> </w:t>
      </w:r>
      <w:r w:rsidRPr="00667CD1">
        <w:rPr>
          <w:sz w:val="20"/>
          <w:szCs w:val="16"/>
        </w:rPr>
        <w:t>expected new vehicle registrations and vehicle price growth. Motor vehicle registration duty has been revised down by $</w:t>
      </w:r>
      <w:r w:rsidR="0009480A" w:rsidRPr="00667CD1">
        <w:rPr>
          <w:sz w:val="20"/>
          <w:szCs w:val="16"/>
        </w:rPr>
        <w:t>1</w:t>
      </w:r>
      <w:r w:rsidR="00D015E2" w:rsidRPr="00667CD1">
        <w:rPr>
          <w:sz w:val="20"/>
          <w:szCs w:val="16"/>
        </w:rPr>
        <w:t>28.5</w:t>
      </w:r>
      <w:r w:rsidRPr="00667CD1">
        <w:rPr>
          <w:sz w:val="20"/>
          <w:szCs w:val="16"/>
        </w:rPr>
        <w:t xml:space="preserve"> million over the </w:t>
      </w:r>
      <w:r w:rsidR="00D33651" w:rsidRPr="00667CD1">
        <w:rPr>
          <w:sz w:val="20"/>
          <w:szCs w:val="16"/>
        </w:rPr>
        <w:t>four</w:t>
      </w:r>
      <w:r w:rsidRPr="00667CD1">
        <w:rPr>
          <w:sz w:val="20"/>
          <w:szCs w:val="16"/>
        </w:rPr>
        <w:t xml:space="preserve"> years to 202</w:t>
      </w:r>
      <w:r w:rsidR="00D33651" w:rsidRPr="00667CD1">
        <w:rPr>
          <w:sz w:val="20"/>
          <w:szCs w:val="16"/>
        </w:rPr>
        <w:t>3</w:t>
      </w:r>
      <w:r w:rsidRPr="00667CD1">
        <w:rPr>
          <w:sz w:val="20"/>
          <w:szCs w:val="16"/>
        </w:rPr>
        <w:t>-2</w:t>
      </w:r>
      <w:r w:rsidR="00D33651" w:rsidRPr="00667CD1">
        <w:rPr>
          <w:sz w:val="20"/>
          <w:szCs w:val="16"/>
        </w:rPr>
        <w:t>4</w:t>
      </w:r>
      <w:r w:rsidR="0009480A" w:rsidRPr="00667CD1">
        <w:rPr>
          <w:sz w:val="20"/>
          <w:szCs w:val="16"/>
        </w:rPr>
        <w:t>,</w:t>
      </w:r>
      <w:r w:rsidRPr="00667CD1">
        <w:rPr>
          <w:sz w:val="20"/>
          <w:szCs w:val="16"/>
        </w:rPr>
        <w:t xml:space="preserve"> reflecting a revised outlook for new vehicle sales.</w:t>
      </w:r>
    </w:p>
    <w:bookmarkEnd w:id="9"/>
    <w:p w14:paraId="718B8119" w14:textId="77777777" w:rsidR="00B259F8" w:rsidRPr="00667CD1" w:rsidRDefault="00B259F8" w:rsidP="00B259F8">
      <w:pPr>
        <w:pStyle w:val="Heading3"/>
        <w:numPr>
          <w:ilvl w:val="0"/>
          <w:numId w:val="0"/>
        </w:numPr>
        <w:ind w:left="720" w:hanging="720"/>
        <w:rPr>
          <w:sz w:val="22"/>
          <w:szCs w:val="28"/>
        </w:rPr>
      </w:pPr>
      <w:r w:rsidRPr="00667CD1">
        <w:rPr>
          <w:sz w:val="22"/>
          <w:szCs w:val="28"/>
        </w:rPr>
        <w:t>Other taxes and levies</w:t>
      </w:r>
    </w:p>
    <w:p w14:paraId="35B24C4A" w14:textId="2D8A5AC3" w:rsidR="00B259F8" w:rsidRPr="00667CD1" w:rsidRDefault="00B259F8" w:rsidP="00DC5EFC">
      <w:pPr>
        <w:pStyle w:val="BodyText"/>
        <w:rPr>
          <w:sz w:val="20"/>
          <w:szCs w:val="16"/>
        </w:rPr>
      </w:pPr>
      <w:r w:rsidRPr="00667CD1">
        <w:rPr>
          <w:sz w:val="20"/>
          <w:szCs w:val="16"/>
        </w:rPr>
        <w:t>Other taxes and levies are expected to provide $3.</w:t>
      </w:r>
      <w:r w:rsidR="67C6D550" w:rsidRPr="00667CD1">
        <w:rPr>
          <w:sz w:val="20"/>
          <w:szCs w:val="16"/>
        </w:rPr>
        <w:t>5</w:t>
      </w:r>
      <w:r w:rsidRPr="00667CD1">
        <w:rPr>
          <w:sz w:val="20"/>
          <w:szCs w:val="16"/>
        </w:rPr>
        <w:t xml:space="preserve"> billion in 20</w:t>
      </w:r>
      <w:r w:rsidR="00D33651" w:rsidRPr="00667CD1">
        <w:rPr>
          <w:sz w:val="20"/>
          <w:szCs w:val="16"/>
        </w:rPr>
        <w:t>20-21</w:t>
      </w:r>
      <w:r w:rsidRPr="00667CD1">
        <w:rPr>
          <w:sz w:val="20"/>
          <w:szCs w:val="16"/>
        </w:rPr>
        <w:t xml:space="preserve">, growing at an average annual rate of </w:t>
      </w:r>
      <w:r w:rsidR="0009480A" w:rsidRPr="00667CD1">
        <w:rPr>
          <w:sz w:val="20"/>
          <w:szCs w:val="16"/>
        </w:rPr>
        <w:t>0.</w:t>
      </w:r>
      <w:r w:rsidR="002835F3" w:rsidRPr="00667CD1">
        <w:rPr>
          <w:sz w:val="20"/>
          <w:szCs w:val="16"/>
        </w:rPr>
        <w:t>7</w:t>
      </w:r>
      <w:r w:rsidR="00535AD7" w:rsidRPr="00667CD1">
        <w:rPr>
          <w:sz w:val="20"/>
          <w:szCs w:val="16"/>
        </w:rPr>
        <w:t xml:space="preserve"> </w:t>
      </w:r>
      <w:r w:rsidRPr="00667CD1">
        <w:rPr>
          <w:sz w:val="20"/>
          <w:szCs w:val="16"/>
        </w:rPr>
        <w:t xml:space="preserve">per cent in the </w:t>
      </w:r>
      <w:r w:rsidR="00D33651" w:rsidRPr="00667CD1">
        <w:rPr>
          <w:sz w:val="20"/>
          <w:szCs w:val="16"/>
        </w:rPr>
        <w:t>four</w:t>
      </w:r>
      <w:r w:rsidRPr="00667CD1">
        <w:rPr>
          <w:sz w:val="20"/>
          <w:szCs w:val="16"/>
        </w:rPr>
        <w:t xml:space="preserve"> years to 202</w:t>
      </w:r>
      <w:r w:rsidR="00D33651" w:rsidRPr="00667CD1">
        <w:rPr>
          <w:sz w:val="20"/>
          <w:szCs w:val="16"/>
        </w:rPr>
        <w:t>3</w:t>
      </w:r>
      <w:r w:rsidRPr="00667CD1">
        <w:rPr>
          <w:sz w:val="20"/>
          <w:szCs w:val="16"/>
        </w:rPr>
        <w:t>-2</w:t>
      </w:r>
      <w:r w:rsidR="00D33651" w:rsidRPr="00667CD1">
        <w:rPr>
          <w:sz w:val="20"/>
          <w:szCs w:val="16"/>
        </w:rPr>
        <w:t>4</w:t>
      </w:r>
      <w:r w:rsidRPr="00667CD1">
        <w:rPr>
          <w:sz w:val="20"/>
          <w:szCs w:val="16"/>
        </w:rPr>
        <w:t xml:space="preserve">. </w:t>
      </w:r>
    </w:p>
    <w:p w14:paraId="3919F244" w14:textId="681C8A17" w:rsidR="00F16F42" w:rsidRPr="00667CD1" w:rsidRDefault="00B259F8" w:rsidP="00DC5EFC">
      <w:pPr>
        <w:pStyle w:val="BodyText"/>
        <w:rPr>
          <w:sz w:val="20"/>
          <w:szCs w:val="16"/>
        </w:rPr>
      </w:pPr>
      <w:r w:rsidRPr="00667CD1">
        <w:rPr>
          <w:sz w:val="20"/>
          <w:szCs w:val="16"/>
        </w:rPr>
        <w:t>Revenue from the Emergency Services Levy (including insurer and council contributions) is forecast to be $1.3 billion in 2020-21 and $4.</w:t>
      </w:r>
      <w:r w:rsidR="1D02DC76" w:rsidRPr="00667CD1">
        <w:rPr>
          <w:sz w:val="20"/>
          <w:szCs w:val="16"/>
        </w:rPr>
        <w:t>9</w:t>
      </w:r>
      <w:r w:rsidRPr="00667CD1">
        <w:rPr>
          <w:sz w:val="20"/>
          <w:szCs w:val="16"/>
        </w:rPr>
        <w:t xml:space="preserve"> billion over the four years to 2023-24. The </w:t>
      </w:r>
      <w:r w:rsidR="0210E594" w:rsidRPr="00667CD1">
        <w:rPr>
          <w:sz w:val="20"/>
          <w:szCs w:val="16"/>
        </w:rPr>
        <w:t>increase</w:t>
      </w:r>
      <w:r w:rsidR="6F4FCBE4" w:rsidRPr="00667CD1">
        <w:rPr>
          <w:sz w:val="20"/>
          <w:szCs w:val="16"/>
        </w:rPr>
        <w:t xml:space="preserve"> over the four years</w:t>
      </w:r>
      <w:r w:rsidRPr="00667CD1">
        <w:rPr>
          <w:sz w:val="20"/>
          <w:szCs w:val="16"/>
        </w:rPr>
        <w:t xml:space="preserve">, relative to the 2019-20 Half-Yearly Review </w:t>
      </w:r>
      <w:r w:rsidR="00D00E31" w:rsidRPr="00667CD1">
        <w:rPr>
          <w:sz w:val="20"/>
          <w:szCs w:val="16"/>
        </w:rPr>
        <w:t>reflects the Gove</w:t>
      </w:r>
      <w:r w:rsidR="00526282" w:rsidRPr="00667CD1">
        <w:rPr>
          <w:sz w:val="20"/>
          <w:szCs w:val="16"/>
        </w:rPr>
        <w:t>r</w:t>
      </w:r>
      <w:r w:rsidR="00D00E31" w:rsidRPr="00667CD1">
        <w:rPr>
          <w:sz w:val="20"/>
          <w:szCs w:val="16"/>
        </w:rPr>
        <w:t>nment’s adoption of recommendations from the NSW independent bushfire review</w:t>
      </w:r>
      <w:r w:rsidR="007A1549" w:rsidRPr="00667CD1">
        <w:rPr>
          <w:sz w:val="20"/>
          <w:szCs w:val="16"/>
        </w:rPr>
        <w:t xml:space="preserve">. </w:t>
      </w:r>
    </w:p>
    <w:p w14:paraId="0FE4929F" w14:textId="1775A76A" w:rsidR="00B259F8" w:rsidRPr="00667CD1" w:rsidRDefault="007A1549" w:rsidP="00DC5EFC">
      <w:pPr>
        <w:pStyle w:val="BodyText"/>
        <w:rPr>
          <w:sz w:val="20"/>
          <w:szCs w:val="16"/>
        </w:rPr>
      </w:pPr>
      <w:r w:rsidRPr="00667CD1">
        <w:rPr>
          <w:sz w:val="20"/>
          <w:szCs w:val="16"/>
        </w:rPr>
        <w:t>They include</w:t>
      </w:r>
      <w:r w:rsidR="00D00E31" w:rsidRPr="00667CD1">
        <w:rPr>
          <w:sz w:val="20"/>
          <w:szCs w:val="16"/>
        </w:rPr>
        <w:t xml:space="preserve"> investment in</w:t>
      </w:r>
      <w:r w:rsidR="00B259F8" w:rsidRPr="00667CD1">
        <w:rPr>
          <w:sz w:val="20"/>
          <w:szCs w:val="16"/>
        </w:rPr>
        <w:t xml:space="preserve"> </w:t>
      </w:r>
      <w:r w:rsidR="0B2B7D17" w:rsidRPr="00667CD1">
        <w:rPr>
          <w:sz w:val="20"/>
          <w:szCs w:val="16"/>
        </w:rPr>
        <w:t xml:space="preserve">the </w:t>
      </w:r>
      <w:r w:rsidR="00AE081C" w:rsidRPr="00667CD1">
        <w:rPr>
          <w:sz w:val="20"/>
          <w:szCs w:val="16"/>
        </w:rPr>
        <w:t xml:space="preserve">State’s </w:t>
      </w:r>
      <w:r w:rsidR="0B2B7D17" w:rsidRPr="00667CD1">
        <w:rPr>
          <w:sz w:val="20"/>
          <w:szCs w:val="16"/>
        </w:rPr>
        <w:t>emergency services agencies</w:t>
      </w:r>
      <w:r w:rsidR="00E5638E" w:rsidRPr="00667CD1">
        <w:rPr>
          <w:sz w:val="20"/>
          <w:szCs w:val="16"/>
        </w:rPr>
        <w:t xml:space="preserve"> and</w:t>
      </w:r>
      <w:r w:rsidR="0B2B7D17" w:rsidRPr="00667CD1">
        <w:rPr>
          <w:sz w:val="20"/>
          <w:szCs w:val="16"/>
        </w:rPr>
        <w:t xml:space="preserve"> </w:t>
      </w:r>
      <w:r w:rsidR="0AF03719" w:rsidRPr="00667CD1">
        <w:rPr>
          <w:sz w:val="20"/>
          <w:szCs w:val="16"/>
        </w:rPr>
        <w:t xml:space="preserve">fleet replacement, personal protective </w:t>
      </w:r>
      <w:r w:rsidR="0054275F" w:rsidRPr="00667CD1">
        <w:rPr>
          <w:sz w:val="20"/>
          <w:szCs w:val="16"/>
        </w:rPr>
        <w:t>equipment</w:t>
      </w:r>
      <w:r w:rsidR="0AF03719" w:rsidRPr="00667CD1">
        <w:rPr>
          <w:sz w:val="20"/>
          <w:szCs w:val="16"/>
        </w:rPr>
        <w:t xml:space="preserve">, mental health </w:t>
      </w:r>
      <w:r w:rsidR="00A254C2" w:rsidRPr="00667CD1">
        <w:rPr>
          <w:sz w:val="20"/>
          <w:szCs w:val="16"/>
        </w:rPr>
        <w:t>support</w:t>
      </w:r>
      <w:r w:rsidR="6053E2DB" w:rsidRPr="00667CD1">
        <w:rPr>
          <w:sz w:val="20"/>
          <w:szCs w:val="16"/>
        </w:rPr>
        <w:t xml:space="preserve"> </w:t>
      </w:r>
      <w:r w:rsidR="6C103AEA" w:rsidRPr="00667CD1">
        <w:rPr>
          <w:sz w:val="20"/>
          <w:szCs w:val="16"/>
        </w:rPr>
        <w:t xml:space="preserve">and aerial </w:t>
      </w:r>
      <w:proofErr w:type="gramStart"/>
      <w:r w:rsidR="6C103AEA" w:rsidRPr="00667CD1">
        <w:rPr>
          <w:sz w:val="20"/>
          <w:szCs w:val="16"/>
        </w:rPr>
        <w:t>fire</w:t>
      </w:r>
      <w:r w:rsidR="00380207" w:rsidRPr="00667CD1">
        <w:rPr>
          <w:sz w:val="20"/>
          <w:szCs w:val="16"/>
        </w:rPr>
        <w:t>-</w:t>
      </w:r>
      <w:r w:rsidR="6C103AEA" w:rsidRPr="00667CD1">
        <w:rPr>
          <w:sz w:val="20"/>
          <w:szCs w:val="16"/>
        </w:rPr>
        <w:t>fighting</w:t>
      </w:r>
      <w:proofErr w:type="gramEnd"/>
      <w:r w:rsidR="6C103AEA" w:rsidRPr="00667CD1">
        <w:rPr>
          <w:sz w:val="20"/>
          <w:szCs w:val="16"/>
        </w:rPr>
        <w:t xml:space="preserve"> and training.</w:t>
      </w:r>
    </w:p>
    <w:p w14:paraId="53D5CF1A" w14:textId="10FFF2F7" w:rsidR="00CF54F6" w:rsidRPr="00667CD1" w:rsidRDefault="00380207" w:rsidP="00DC5EFC">
      <w:pPr>
        <w:pStyle w:val="BodyText"/>
        <w:rPr>
          <w:sz w:val="20"/>
          <w:szCs w:val="16"/>
        </w:rPr>
      </w:pPr>
      <w:r w:rsidRPr="00667CD1">
        <w:rPr>
          <w:sz w:val="20"/>
          <w:szCs w:val="16"/>
        </w:rPr>
        <w:t xml:space="preserve">The </w:t>
      </w:r>
      <w:r w:rsidR="3DDF6F32" w:rsidRPr="00667CD1">
        <w:rPr>
          <w:sz w:val="20"/>
          <w:szCs w:val="16"/>
        </w:rPr>
        <w:t xml:space="preserve">Long Service Levy </w:t>
      </w:r>
      <w:r w:rsidR="7B55B998" w:rsidRPr="00667CD1">
        <w:rPr>
          <w:sz w:val="20"/>
          <w:szCs w:val="16"/>
        </w:rPr>
        <w:t xml:space="preserve">is </w:t>
      </w:r>
      <w:r w:rsidR="43606E42" w:rsidRPr="00667CD1">
        <w:rPr>
          <w:sz w:val="20"/>
          <w:szCs w:val="16"/>
        </w:rPr>
        <w:t xml:space="preserve">paid on building and construction work to make long service payments </w:t>
      </w:r>
      <w:r w:rsidR="002B3448" w:rsidRPr="00667CD1">
        <w:rPr>
          <w:sz w:val="20"/>
          <w:szCs w:val="16"/>
        </w:rPr>
        <w:t xml:space="preserve">available </w:t>
      </w:r>
      <w:r w:rsidR="43606E42" w:rsidRPr="00667CD1">
        <w:rPr>
          <w:sz w:val="20"/>
          <w:szCs w:val="16"/>
        </w:rPr>
        <w:t>to construction worker</w:t>
      </w:r>
      <w:r w:rsidR="2002D5D8" w:rsidRPr="00667CD1">
        <w:rPr>
          <w:sz w:val="20"/>
          <w:szCs w:val="16"/>
        </w:rPr>
        <w:t>s.</w:t>
      </w:r>
      <w:r w:rsidR="43606E42" w:rsidRPr="00667CD1">
        <w:rPr>
          <w:sz w:val="20"/>
          <w:szCs w:val="16"/>
        </w:rPr>
        <w:t xml:space="preserve"> </w:t>
      </w:r>
      <w:r w:rsidR="2DDF01D0" w:rsidRPr="00667CD1">
        <w:rPr>
          <w:sz w:val="20"/>
          <w:szCs w:val="16"/>
        </w:rPr>
        <w:t xml:space="preserve">Revenue from </w:t>
      </w:r>
      <w:r w:rsidR="4496FAC3" w:rsidRPr="00667CD1">
        <w:rPr>
          <w:sz w:val="20"/>
          <w:szCs w:val="16"/>
        </w:rPr>
        <w:t>the levy</w:t>
      </w:r>
      <w:r w:rsidR="2DDF01D0" w:rsidRPr="00667CD1">
        <w:rPr>
          <w:sz w:val="20"/>
          <w:szCs w:val="16"/>
        </w:rPr>
        <w:t xml:space="preserve"> is forecast to </w:t>
      </w:r>
      <w:r w:rsidR="7B55B998" w:rsidRPr="00667CD1">
        <w:rPr>
          <w:sz w:val="20"/>
          <w:szCs w:val="16"/>
        </w:rPr>
        <w:t>be $</w:t>
      </w:r>
      <w:r w:rsidR="00151C58" w:rsidRPr="00667CD1">
        <w:rPr>
          <w:sz w:val="20"/>
          <w:szCs w:val="16"/>
        </w:rPr>
        <w:t>1</w:t>
      </w:r>
      <w:r w:rsidR="28DF7C47" w:rsidRPr="00667CD1">
        <w:rPr>
          <w:sz w:val="20"/>
          <w:szCs w:val="16"/>
        </w:rPr>
        <w:t>52.9</w:t>
      </w:r>
      <w:r w:rsidR="004F0B3E" w:rsidRPr="00667CD1">
        <w:rPr>
          <w:sz w:val="20"/>
          <w:szCs w:val="16"/>
        </w:rPr>
        <w:t> </w:t>
      </w:r>
      <w:r w:rsidR="2DDF01D0" w:rsidRPr="00667CD1">
        <w:rPr>
          <w:sz w:val="20"/>
          <w:szCs w:val="16"/>
        </w:rPr>
        <w:t xml:space="preserve">million </w:t>
      </w:r>
      <w:r w:rsidR="7B55B998" w:rsidRPr="00667CD1">
        <w:rPr>
          <w:sz w:val="20"/>
          <w:szCs w:val="16"/>
        </w:rPr>
        <w:t>lower</w:t>
      </w:r>
      <w:r w:rsidR="51220FD0" w:rsidRPr="00667CD1">
        <w:rPr>
          <w:sz w:val="20"/>
          <w:szCs w:val="16"/>
        </w:rPr>
        <w:t xml:space="preserve"> </w:t>
      </w:r>
      <w:r w:rsidR="69AFBC5A" w:rsidRPr="00667CD1">
        <w:rPr>
          <w:sz w:val="20"/>
          <w:szCs w:val="16"/>
        </w:rPr>
        <w:t xml:space="preserve">over the four years to 2023-24 </w:t>
      </w:r>
      <w:r w:rsidR="51220FD0" w:rsidRPr="00667CD1">
        <w:rPr>
          <w:sz w:val="20"/>
          <w:szCs w:val="16"/>
        </w:rPr>
        <w:t>since the 2019-20 Half-Yearly Review</w:t>
      </w:r>
      <w:r w:rsidR="00FC50C1" w:rsidRPr="00667CD1">
        <w:rPr>
          <w:sz w:val="20"/>
          <w:szCs w:val="16"/>
        </w:rPr>
        <w:t xml:space="preserve">. </w:t>
      </w:r>
      <w:r w:rsidR="00353D6C" w:rsidRPr="00667CD1">
        <w:rPr>
          <w:sz w:val="20"/>
          <w:szCs w:val="16"/>
        </w:rPr>
        <w:t xml:space="preserve">Weaker than previously </w:t>
      </w:r>
      <w:r w:rsidR="00264488" w:rsidRPr="00667CD1">
        <w:rPr>
          <w:sz w:val="20"/>
          <w:szCs w:val="16"/>
        </w:rPr>
        <w:t>forecast</w:t>
      </w:r>
      <w:r w:rsidR="6E70BB0B" w:rsidRPr="00667CD1">
        <w:rPr>
          <w:sz w:val="20"/>
          <w:szCs w:val="16"/>
        </w:rPr>
        <w:t xml:space="preserve"> building activity </w:t>
      </w:r>
      <w:r w:rsidR="004E097E" w:rsidRPr="00667CD1">
        <w:rPr>
          <w:sz w:val="20"/>
          <w:szCs w:val="16"/>
        </w:rPr>
        <w:t xml:space="preserve">over the next four years </w:t>
      </w:r>
      <w:r w:rsidR="00DC30B1" w:rsidRPr="00667CD1">
        <w:rPr>
          <w:sz w:val="20"/>
          <w:szCs w:val="16"/>
        </w:rPr>
        <w:t>is likely to result in</w:t>
      </w:r>
      <w:r w:rsidR="009E185C" w:rsidRPr="00667CD1">
        <w:rPr>
          <w:sz w:val="20"/>
          <w:szCs w:val="16"/>
        </w:rPr>
        <w:t xml:space="preserve"> lower</w:t>
      </w:r>
      <w:r w:rsidR="00DC30B1" w:rsidRPr="00667CD1">
        <w:rPr>
          <w:sz w:val="20"/>
          <w:szCs w:val="16"/>
        </w:rPr>
        <w:t xml:space="preserve"> payments for </w:t>
      </w:r>
      <w:r w:rsidR="00E158A6" w:rsidRPr="00667CD1">
        <w:rPr>
          <w:sz w:val="20"/>
          <w:szCs w:val="16"/>
        </w:rPr>
        <w:t>a smaller</w:t>
      </w:r>
      <w:r w:rsidR="6E70BB0B" w:rsidRPr="00667CD1">
        <w:rPr>
          <w:sz w:val="20"/>
          <w:szCs w:val="16"/>
        </w:rPr>
        <w:t xml:space="preserve"> amount of </w:t>
      </w:r>
      <w:r w:rsidR="0031106E" w:rsidRPr="00667CD1">
        <w:rPr>
          <w:sz w:val="20"/>
          <w:szCs w:val="16"/>
        </w:rPr>
        <w:t>completed work and</w:t>
      </w:r>
      <w:r w:rsidR="007D6377" w:rsidRPr="00667CD1">
        <w:rPr>
          <w:sz w:val="20"/>
          <w:szCs w:val="16"/>
        </w:rPr>
        <w:t xml:space="preserve"> result</w:t>
      </w:r>
      <w:r w:rsidR="00DD30A3" w:rsidRPr="00667CD1">
        <w:rPr>
          <w:sz w:val="20"/>
          <w:szCs w:val="16"/>
        </w:rPr>
        <w:t xml:space="preserve"> </w:t>
      </w:r>
      <w:r w:rsidR="00F1371D" w:rsidRPr="00667CD1">
        <w:rPr>
          <w:sz w:val="20"/>
          <w:szCs w:val="16"/>
        </w:rPr>
        <w:t xml:space="preserve">in </w:t>
      </w:r>
      <w:r w:rsidR="00DD30A3" w:rsidRPr="00667CD1">
        <w:rPr>
          <w:sz w:val="20"/>
          <w:szCs w:val="16"/>
        </w:rPr>
        <w:t>lower</w:t>
      </w:r>
      <w:r w:rsidR="006B38D1" w:rsidRPr="00667CD1">
        <w:rPr>
          <w:sz w:val="20"/>
          <w:szCs w:val="16"/>
        </w:rPr>
        <w:t xml:space="preserve"> total</w:t>
      </w:r>
      <w:r w:rsidR="6E70BB0B" w:rsidRPr="00667CD1">
        <w:rPr>
          <w:sz w:val="20"/>
          <w:szCs w:val="16"/>
        </w:rPr>
        <w:t xml:space="preserve"> levy </w:t>
      </w:r>
      <w:r w:rsidR="00F1371D" w:rsidRPr="00667CD1">
        <w:rPr>
          <w:sz w:val="20"/>
          <w:szCs w:val="16"/>
        </w:rPr>
        <w:t>collections</w:t>
      </w:r>
      <w:r w:rsidR="28C955BC" w:rsidRPr="00667CD1">
        <w:rPr>
          <w:sz w:val="20"/>
          <w:szCs w:val="16"/>
        </w:rPr>
        <w:t>.</w:t>
      </w:r>
    </w:p>
    <w:bookmarkEnd w:id="7"/>
    <w:p w14:paraId="06046EA9" w14:textId="497ABD5B" w:rsidR="000F1C19" w:rsidRPr="00667CD1" w:rsidRDefault="00AF43E0" w:rsidP="00DC5EFC">
      <w:pPr>
        <w:pStyle w:val="BodyText"/>
        <w:rPr>
          <w:sz w:val="20"/>
          <w:szCs w:val="16"/>
        </w:rPr>
      </w:pPr>
      <w:r w:rsidRPr="00667CD1">
        <w:rPr>
          <w:sz w:val="20"/>
          <w:szCs w:val="16"/>
        </w:rPr>
        <w:t>The d</w:t>
      </w:r>
      <w:r w:rsidR="25BF83FE" w:rsidRPr="00667CD1">
        <w:rPr>
          <w:sz w:val="20"/>
          <w:szCs w:val="16"/>
        </w:rPr>
        <w:t xml:space="preserve">ecrease in other taxes and levies is also partly explained by </w:t>
      </w:r>
      <w:r w:rsidR="00E729D2" w:rsidRPr="00667CD1">
        <w:rPr>
          <w:sz w:val="20"/>
          <w:szCs w:val="16"/>
        </w:rPr>
        <w:t>a</w:t>
      </w:r>
      <w:r w:rsidR="25BF83FE" w:rsidRPr="00667CD1">
        <w:rPr>
          <w:sz w:val="20"/>
          <w:szCs w:val="16"/>
        </w:rPr>
        <w:t xml:space="preserve"> lower C</w:t>
      </w:r>
      <w:r w:rsidR="00EB7C7B" w:rsidRPr="00667CD1">
        <w:rPr>
          <w:sz w:val="20"/>
          <w:szCs w:val="16"/>
        </w:rPr>
        <w:t xml:space="preserve">ompulsory </w:t>
      </w:r>
      <w:r w:rsidR="25BF83FE" w:rsidRPr="00667CD1">
        <w:rPr>
          <w:sz w:val="20"/>
          <w:szCs w:val="16"/>
        </w:rPr>
        <w:t>T</w:t>
      </w:r>
      <w:r w:rsidR="00EB7C7B" w:rsidRPr="00667CD1">
        <w:rPr>
          <w:sz w:val="20"/>
          <w:szCs w:val="16"/>
        </w:rPr>
        <w:t xml:space="preserve">hird </w:t>
      </w:r>
      <w:r w:rsidR="25BF83FE" w:rsidRPr="00667CD1">
        <w:rPr>
          <w:sz w:val="20"/>
          <w:szCs w:val="16"/>
        </w:rPr>
        <w:t>P</w:t>
      </w:r>
      <w:r w:rsidR="00EB7C7B" w:rsidRPr="00667CD1">
        <w:rPr>
          <w:sz w:val="20"/>
          <w:szCs w:val="16"/>
        </w:rPr>
        <w:t>arty (</w:t>
      </w:r>
      <w:r w:rsidR="25BF83FE" w:rsidRPr="00667CD1">
        <w:rPr>
          <w:sz w:val="20"/>
          <w:szCs w:val="16"/>
        </w:rPr>
        <w:t>CTP</w:t>
      </w:r>
      <w:r w:rsidR="00EB7C7B" w:rsidRPr="00667CD1">
        <w:rPr>
          <w:sz w:val="20"/>
          <w:szCs w:val="16"/>
        </w:rPr>
        <w:t>)</w:t>
      </w:r>
      <w:r w:rsidR="25BF83FE" w:rsidRPr="00667CD1">
        <w:rPr>
          <w:sz w:val="20"/>
          <w:szCs w:val="16"/>
        </w:rPr>
        <w:t xml:space="preserve"> Premium Levy</w:t>
      </w:r>
      <w:r w:rsidR="00E729D2" w:rsidRPr="00667CD1">
        <w:rPr>
          <w:sz w:val="20"/>
          <w:szCs w:val="16"/>
        </w:rPr>
        <w:t>,</w:t>
      </w:r>
      <w:r w:rsidR="25BF83FE" w:rsidRPr="00667CD1">
        <w:rPr>
          <w:sz w:val="20"/>
          <w:szCs w:val="16"/>
        </w:rPr>
        <w:t xml:space="preserve"> </w:t>
      </w:r>
      <w:r w:rsidR="00F7041A" w:rsidRPr="00667CD1">
        <w:rPr>
          <w:sz w:val="20"/>
          <w:szCs w:val="16"/>
        </w:rPr>
        <w:t xml:space="preserve">due to </w:t>
      </w:r>
      <w:r w:rsidR="78DCD997" w:rsidRPr="00667CD1">
        <w:rPr>
          <w:sz w:val="20"/>
          <w:szCs w:val="16"/>
        </w:rPr>
        <w:t>the State Insurance Regulatory Authority</w:t>
      </w:r>
      <w:r w:rsidR="08362C03" w:rsidRPr="00667CD1">
        <w:rPr>
          <w:sz w:val="20"/>
          <w:szCs w:val="16"/>
        </w:rPr>
        <w:t xml:space="preserve"> </w:t>
      </w:r>
      <w:r w:rsidR="0056356F" w:rsidRPr="00667CD1">
        <w:rPr>
          <w:sz w:val="20"/>
          <w:szCs w:val="16"/>
        </w:rPr>
        <w:t xml:space="preserve">(SIRA) </w:t>
      </w:r>
      <w:r w:rsidR="00A73046" w:rsidRPr="00667CD1">
        <w:rPr>
          <w:sz w:val="20"/>
          <w:szCs w:val="16"/>
        </w:rPr>
        <w:t xml:space="preserve">recognising </w:t>
      </w:r>
      <w:r w:rsidR="08362C03" w:rsidRPr="00667CD1">
        <w:rPr>
          <w:sz w:val="20"/>
          <w:szCs w:val="16"/>
        </w:rPr>
        <w:t xml:space="preserve">unclaimed CTP refunds as revenue. </w:t>
      </w:r>
    </w:p>
    <w:p w14:paraId="338C6C86" w14:textId="03B428A9" w:rsidR="7D2CB578" w:rsidRPr="00667CD1" w:rsidRDefault="48704E60" w:rsidP="00DC5EFC">
      <w:pPr>
        <w:pStyle w:val="BodyText"/>
        <w:rPr>
          <w:sz w:val="20"/>
          <w:szCs w:val="16"/>
        </w:rPr>
      </w:pPr>
      <w:r w:rsidRPr="00667CD1">
        <w:rPr>
          <w:sz w:val="20"/>
          <w:szCs w:val="16"/>
        </w:rPr>
        <w:t xml:space="preserve">In </w:t>
      </w:r>
      <w:r w:rsidR="13A29956" w:rsidRPr="00667CD1">
        <w:rPr>
          <w:sz w:val="20"/>
          <w:szCs w:val="16"/>
        </w:rPr>
        <w:t>addit</w:t>
      </w:r>
      <w:r w:rsidR="36F52D47" w:rsidRPr="00667CD1">
        <w:rPr>
          <w:sz w:val="20"/>
          <w:szCs w:val="16"/>
        </w:rPr>
        <w:t>i</w:t>
      </w:r>
      <w:r w:rsidR="13A29956" w:rsidRPr="00667CD1">
        <w:rPr>
          <w:sz w:val="20"/>
          <w:szCs w:val="16"/>
        </w:rPr>
        <w:t>on</w:t>
      </w:r>
      <w:r w:rsidRPr="00667CD1">
        <w:rPr>
          <w:sz w:val="20"/>
          <w:szCs w:val="16"/>
        </w:rPr>
        <w:t xml:space="preserve">, lower interest rates since the 2019-20 Half-Yearly Review have also contributed to lower Government Guarantee </w:t>
      </w:r>
      <w:r w:rsidR="00684C3D" w:rsidRPr="00667CD1">
        <w:rPr>
          <w:sz w:val="20"/>
          <w:szCs w:val="16"/>
        </w:rPr>
        <w:t>Fee</w:t>
      </w:r>
      <w:r w:rsidRPr="00667CD1">
        <w:rPr>
          <w:sz w:val="20"/>
          <w:szCs w:val="16"/>
        </w:rPr>
        <w:t xml:space="preserve"> being paid by Sydney Water.</w:t>
      </w:r>
    </w:p>
    <w:p w14:paraId="37E05899" w14:textId="4C27E10F" w:rsidR="00A6669E" w:rsidRPr="00667CD1" w:rsidRDefault="00A82C68" w:rsidP="004811E7">
      <w:pPr>
        <w:pStyle w:val="Heading2"/>
        <w:ind w:left="170" w:hanging="170"/>
        <w:rPr>
          <w:sz w:val="24"/>
          <w:szCs w:val="28"/>
        </w:rPr>
      </w:pPr>
      <w:r w:rsidRPr="00667CD1">
        <w:rPr>
          <w:sz w:val="24"/>
          <w:szCs w:val="28"/>
        </w:rPr>
        <w:lastRenderedPageBreak/>
        <w:t xml:space="preserve">Grant </w:t>
      </w:r>
      <w:r w:rsidR="00E34DF2" w:rsidRPr="00667CD1">
        <w:rPr>
          <w:sz w:val="24"/>
          <w:szCs w:val="28"/>
        </w:rPr>
        <w:t>r</w:t>
      </w:r>
      <w:r w:rsidRPr="00667CD1">
        <w:rPr>
          <w:sz w:val="24"/>
          <w:szCs w:val="28"/>
        </w:rPr>
        <w:t>evenue</w:t>
      </w:r>
    </w:p>
    <w:p w14:paraId="4C71669D" w14:textId="1C12D4D3" w:rsidR="00A04BC2" w:rsidRPr="00667CD1" w:rsidRDefault="00AB0A73" w:rsidP="00DC5EFC">
      <w:pPr>
        <w:pStyle w:val="BodyText"/>
        <w:rPr>
          <w:sz w:val="20"/>
          <w:szCs w:val="16"/>
        </w:rPr>
      </w:pPr>
      <w:r w:rsidRPr="00667CD1">
        <w:rPr>
          <w:sz w:val="20"/>
          <w:szCs w:val="16"/>
        </w:rPr>
        <w:t xml:space="preserve">Grant revenue is comprised primarily of </w:t>
      </w:r>
      <w:proofErr w:type="gramStart"/>
      <w:r w:rsidRPr="00667CD1">
        <w:rPr>
          <w:sz w:val="20"/>
          <w:szCs w:val="16"/>
        </w:rPr>
        <w:t>general purpose</w:t>
      </w:r>
      <w:proofErr w:type="gramEnd"/>
      <w:r w:rsidRPr="00667CD1">
        <w:rPr>
          <w:sz w:val="20"/>
          <w:szCs w:val="16"/>
        </w:rPr>
        <w:t xml:space="preserve"> grants (including GST) and specific purpose </w:t>
      </w:r>
      <w:r w:rsidR="00BF5396" w:rsidRPr="00667CD1">
        <w:rPr>
          <w:sz w:val="20"/>
          <w:szCs w:val="16"/>
        </w:rPr>
        <w:t>payments</w:t>
      </w:r>
      <w:r w:rsidRPr="00667CD1">
        <w:rPr>
          <w:sz w:val="20"/>
          <w:szCs w:val="16"/>
        </w:rPr>
        <w:t xml:space="preserve"> in the form of funding under National Agreements and National Partnerships.</w:t>
      </w:r>
      <w:r w:rsidR="004B17E1" w:rsidRPr="00667CD1">
        <w:rPr>
          <w:sz w:val="20"/>
          <w:szCs w:val="16"/>
        </w:rPr>
        <w:t xml:space="preserve"> </w:t>
      </w:r>
      <w:r w:rsidRPr="00667CD1">
        <w:rPr>
          <w:sz w:val="20"/>
          <w:szCs w:val="16"/>
        </w:rPr>
        <w:t xml:space="preserve">Total Commonwealth grant revenue is expected to fall by </w:t>
      </w:r>
      <w:r w:rsidR="00325E85" w:rsidRPr="00667CD1">
        <w:rPr>
          <w:sz w:val="20"/>
          <w:szCs w:val="16"/>
        </w:rPr>
        <w:t>$1.0</w:t>
      </w:r>
      <w:r w:rsidR="006C1332" w:rsidRPr="00667CD1">
        <w:rPr>
          <w:sz w:val="20"/>
          <w:szCs w:val="16"/>
        </w:rPr>
        <w:t xml:space="preserve"> </w:t>
      </w:r>
      <w:r w:rsidR="00325E85" w:rsidRPr="00667CD1">
        <w:rPr>
          <w:sz w:val="20"/>
          <w:szCs w:val="16"/>
        </w:rPr>
        <w:t>b</w:t>
      </w:r>
      <w:r w:rsidR="006C1332" w:rsidRPr="00667CD1">
        <w:rPr>
          <w:sz w:val="20"/>
          <w:szCs w:val="16"/>
        </w:rPr>
        <w:t>illion</w:t>
      </w:r>
      <w:r w:rsidRPr="00667CD1">
        <w:rPr>
          <w:sz w:val="20"/>
          <w:szCs w:val="16"/>
        </w:rPr>
        <w:t xml:space="preserve"> in 2020-21 to $3</w:t>
      </w:r>
      <w:r w:rsidR="00FD54B0" w:rsidRPr="00667CD1">
        <w:rPr>
          <w:sz w:val="20"/>
          <w:szCs w:val="16"/>
        </w:rPr>
        <w:t>2</w:t>
      </w:r>
      <w:r w:rsidRPr="00667CD1">
        <w:rPr>
          <w:sz w:val="20"/>
          <w:szCs w:val="16"/>
        </w:rPr>
        <w:t>.</w:t>
      </w:r>
      <w:r w:rsidR="005E04CC" w:rsidRPr="00667CD1">
        <w:rPr>
          <w:sz w:val="20"/>
          <w:szCs w:val="16"/>
        </w:rPr>
        <w:t>7</w:t>
      </w:r>
      <w:r w:rsidRPr="00667CD1">
        <w:rPr>
          <w:sz w:val="20"/>
          <w:szCs w:val="16"/>
        </w:rPr>
        <w:t xml:space="preserve"> billion, but then rise to $3</w:t>
      </w:r>
      <w:r w:rsidR="005E04CC" w:rsidRPr="00667CD1">
        <w:rPr>
          <w:sz w:val="20"/>
          <w:szCs w:val="16"/>
        </w:rPr>
        <w:t>7.7</w:t>
      </w:r>
      <w:r w:rsidRPr="00667CD1">
        <w:rPr>
          <w:sz w:val="20"/>
          <w:szCs w:val="16"/>
        </w:rPr>
        <w:t xml:space="preserve"> billion by 2023-24.</w:t>
      </w:r>
    </w:p>
    <w:p w14:paraId="56F563DA" w14:textId="483FC3CF" w:rsidR="00AB441E" w:rsidRPr="00667CD1" w:rsidRDefault="00AB441E" w:rsidP="00216F72">
      <w:pPr>
        <w:pStyle w:val="Table4X"/>
        <w:tabs>
          <w:tab w:val="clear" w:pos="1134"/>
          <w:tab w:val="left" w:pos="1276"/>
        </w:tabs>
        <w:ind w:left="1276" w:hanging="1276"/>
        <w:rPr>
          <w:sz w:val="18"/>
          <w:szCs w:val="18"/>
        </w:rPr>
      </w:pPr>
      <w:r w:rsidRPr="00667CD1">
        <w:rPr>
          <w:sz w:val="18"/>
          <w:szCs w:val="18"/>
        </w:rPr>
        <w:t>Grant revenue</w:t>
      </w:r>
    </w:p>
    <w:tbl>
      <w:tblPr>
        <w:tblW w:w="9560" w:type="dxa"/>
        <w:tblLook w:val="04A0" w:firstRow="1" w:lastRow="0" w:firstColumn="1" w:lastColumn="0" w:noHBand="0" w:noVBand="1"/>
        <w:tblCaption w:val="Table 4.6: Grant revenue"/>
        <w:tblDescription w:val="Table 4.6: Grant revenue"/>
      </w:tblPr>
      <w:tblGrid>
        <w:gridCol w:w="3478"/>
        <w:gridCol w:w="856"/>
        <w:gridCol w:w="856"/>
        <w:gridCol w:w="856"/>
        <w:gridCol w:w="856"/>
        <w:gridCol w:w="856"/>
        <w:gridCol w:w="856"/>
        <w:gridCol w:w="946"/>
      </w:tblGrid>
      <w:tr w:rsidR="000726A7" w:rsidRPr="00667CD1" w14:paraId="5FA70A0A" w14:textId="77777777" w:rsidTr="000D46FA">
        <w:trPr>
          <w:trHeight w:val="290"/>
        </w:trPr>
        <w:tc>
          <w:tcPr>
            <w:tcW w:w="3478" w:type="dxa"/>
            <w:tcBorders>
              <w:top w:val="nil"/>
              <w:left w:val="nil"/>
              <w:bottom w:val="nil"/>
              <w:right w:val="nil"/>
            </w:tcBorders>
            <w:shd w:val="clear" w:color="000000" w:fill="008EBA"/>
            <w:vAlign w:val="bottom"/>
            <w:hideMark/>
          </w:tcPr>
          <w:p w14:paraId="2DBDAB0C"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856" w:type="dxa"/>
            <w:tcBorders>
              <w:top w:val="nil"/>
              <w:left w:val="nil"/>
              <w:bottom w:val="nil"/>
              <w:right w:val="nil"/>
            </w:tcBorders>
            <w:shd w:val="clear" w:color="000000" w:fill="008EBA"/>
            <w:noWrap/>
            <w:vAlign w:val="bottom"/>
            <w:hideMark/>
          </w:tcPr>
          <w:p w14:paraId="6057A594"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2018-19</w:t>
            </w:r>
          </w:p>
        </w:tc>
        <w:tc>
          <w:tcPr>
            <w:tcW w:w="856" w:type="dxa"/>
            <w:tcBorders>
              <w:top w:val="nil"/>
              <w:left w:val="nil"/>
              <w:bottom w:val="nil"/>
              <w:right w:val="nil"/>
            </w:tcBorders>
            <w:shd w:val="clear" w:color="000000" w:fill="008EBA"/>
            <w:noWrap/>
            <w:vAlign w:val="bottom"/>
            <w:hideMark/>
          </w:tcPr>
          <w:p w14:paraId="1D77FDC7"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2019-20</w:t>
            </w:r>
          </w:p>
        </w:tc>
        <w:tc>
          <w:tcPr>
            <w:tcW w:w="856" w:type="dxa"/>
            <w:tcBorders>
              <w:top w:val="nil"/>
              <w:left w:val="nil"/>
              <w:bottom w:val="nil"/>
              <w:right w:val="nil"/>
            </w:tcBorders>
            <w:shd w:val="clear" w:color="000000" w:fill="008EBA"/>
            <w:noWrap/>
            <w:vAlign w:val="bottom"/>
            <w:hideMark/>
          </w:tcPr>
          <w:p w14:paraId="1F4F7B0F"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2020-21</w:t>
            </w:r>
          </w:p>
        </w:tc>
        <w:tc>
          <w:tcPr>
            <w:tcW w:w="856" w:type="dxa"/>
            <w:tcBorders>
              <w:top w:val="nil"/>
              <w:left w:val="nil"/>
              <w:bottom w:val="nil"/>
              <w:right w:val="nil"/>
            </w:tcBorders>
            <w:shd w:val="clear" w:color="000000" w:fill="008EBA"/>
            <w:noWrap/>
            <w:vAlign w:val="bottom"/>
            <w:hideMark/>
          </w:tcPr>
          <w:p w14:paraId="4730B807"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2021-22</w:t>
            </w:r>
          </w:p>
        </w:tc>
        <w:tc>
          <w:tcPr>
            <w:tcW w:w="856" w:type="dxa"/>
            <w:tcBorders>
              <w:top w:val="nil"/>
              <w:left w:val="nil"/>
              <w:bottom w:val="nil"/>
              <w:right w:val="nil"/>
            </w:tcBorders>
            <w:shd w:val="clear" w:color="000000" w:fill="008EBA"/>
            <w:noWrap/>
            <w:vAlign w:val="bottom"/>
            <w:hideMark/>
          </w:tcPr>
          <w:p w14:paraId="3310CC9F"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2022-23</w:t>
            </w:r>
          </w:p>
        </w:tc>
        <w:tc>
          <w:tcPr>
            <w:tcW w:w="856" w:type="dxa"/>
            <w:tcBorders>
              <w:top w:val="nil"/>
              <w:left w:val="nil"/>
              <w:bottom w:val="nil"/>
              <w:right w:val="nil"/>
            </w:tcBorders>
            <w:shd w:val="clear" w:color="000000" w:fill="008EBA"/>
            <w:noWrap/>
            <w:vAlign w:val="bottom"/>
            <w:hideMark/>
          </w:tcPr>
          <w:p w14:paraId="2686AEB4"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2023-24</w:t>
            </w:r>
          </w:p>
        </w:tc>
        <w:tc>
          <w:tcPr>
            <w:tcW w:w="946" w:type="dxa"/>
            <w:vMerge w:val="restart"/>
            <w:tcBorders>
              <w:top w:val="nil"/>
              <w:left w:val="nil"/>
              <w:bottom w:val="nil"/>
              <w:right w:val="nil"/>
            </w:tcBorders>
            <w:shd w:val="clear" w:color="000000" w:fill="4F4F4F"/>
            <w:vAlign w:val="center"/>
            <w:hideMark/>
          </w:tcPr>
          <w:p w14:paraId="17E8F90C"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 Average growth p.a.</w:t>
            </w:r>
            <w:r w:rsidRPr="00667CD1">
              <w:rPr>
                <w:rFonts w:ascii="Arial" w:hAnsi="Arial" w:cs="Arial"/>
                <w:color w:val="FFFFFF"/>
                <w:sz w:val="12"/>
                <w:szCs w:val="12"/>
                <w:lang w:eastAsia="en-AU"/>
              </w:rPr>
              <w:br/>
              <w:t xml:space="preserve">2019-20 to </w:t>
            </w:r>
            <w:r w:rsidRPr="00667CD1">
              <w:rPr>
                <w:rFonts w:ascii="Arial" w:hAnsi="Arial" w:cs="Arial"/>
                <w:color w:val="FFFFFF"/>
                <w:sz w:val="12"/>
                <w:szCs w:val="12"/>
                <w:lang w:eastAsia="en-AU"/>
              </w:rPr>
              <w:br/>
              <w:t>2023-24</w:t>
            </w:r>
          </w:p>
        </w:tc>
      </w:tr>
      <w:tr w:rsidR="000726A7" w:rsidRPr="00667CD1" w14:paraId="66D0C666" w14:textId="77777777" w:rsidTr="000D46FA">
        <w:trPr>
          <w:trHeight w:val="290"/>
        </w:trPr>
        <w:tc>
          <w:tcPr>
            <w:tcW w:w="3478" w:type="dxa"/>
            <w:tcBorders>
              <w:top w:val="nil"/>
              <w:left w:val="nil"/>
              <w:right w:val="nil"/>
            </w:tcBorders>
            <w:shd w:val="clear" w:color="000000" w:fill="008EBA"/>
            <w:hideMark/>
          </w:tcPr>
          <w:p w14:paraId="263902D1"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856" w:type="dxa"/>
            <w:tcBorders>
              <w:top w:val="nil"/>
              <w:left w:val="nil"/>
              <w:right w:val="nil"/>
            </w:tcBorders>
            <w:shd w:val="clear" w:color="000000" w:fill="008EBA"/>
            <w:vAlign w:val="center"/>
            <w:hideMark/>
          </w:tcPr>
          <w:p w14:paraId="742DD5F4"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856" w:type="dxa"/>
            <w:tcBorders>
              <w:top w:val="nil"/>
              <w:left w:val="nil"/>
              <w:right w:val="nil"/>
            </w:tcBorders>
            <w:shd w:val="clear" w:color="000000" w:fill="008EBA"/>
            <w:vAlign w:val="center"/>
            <w:hideMark/>
          </w:tcPr>
          <w:p w14:paraId="1D75DD2A"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856" w:type="dxa"/>
            <w:tcBorders>
              <w:top w:val="nil"/>
              <w:left w:val="nil"/>
              <w:right w:val="nil"/>
            </w:tcBorders>
            <w:shd w:val="clear" w:color="000000" w:fill="008EBA"/>
            <w:vAlign w:val="center"/>
            <w:hideMark/>
          </w:tcPr>
          <w:p w14:paraId="4DB260E9"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Budget</w:t>
            </w:r>
          </w:p>
        </w:tc>
        <w:tc>
          <w:tcPr>
            <w:tcW w:w="2568" w:type="dxa"/>
            <w:gridSpan w:val="3"/>
            <w:tcBorders>
              <w:top w:val="nil"/>
              <w:left w:val="nil"/>
              <w:right w:val="nil"/>
            </w:tcBorders>
            <w:shd w:val="clear" w:color="000000" w:fill="008EBA"/>
            <w:vAlign w:val="center"/>
            <w:hideMark/>
          </w:tcPr>
          <w:p w14:paraId="4F3C9D84"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Forward Estimates</w:t>
            </w:r>
          </w:p>
        </w:tc>
        <w:tc>
          <w:tcPr>
            <w:tcW w:w="946" w:type="dxa"/>
            <w:vMerge/>
            <w:tcBorders>
              <w:top w:val="nil"/>
              <w:left w:val="nil"/>
              <w:bottom w:val="nil"/>
              <w:right w:val="nil"/>
            </w:tcBorders>
            <w:vAlign w:val="center"/>
            <w:hideMark/>
          </w:tcPr>
          <w:p w14:paraId="6373A6BF" w14:textId="77777777" w:rsidR="000726A7" w:rsidRPr="00667CD1" w:rsidRDefault="000726A7" w:rsidP="000726A7">
            <w:pPr>
              <w:rPr>
                <w:rFonts w:ascii="Arial" w:hAnsi="Arial" w:cs="Arial"/>
                <w:color w:val="FFFFFF"/>
                <w:sz w:val="12"/>
                <w:szCs w:val="12"/>
                <w:lang w:eastAsia="en-AU"/>
              </w:rPr>
            </w:pPr>
          </w:p>
        </w:tc>
      </w:tr>
      <w:tr w:rsidR="000726A7" w:rsidRPr="00667CD1" w14:paraId="290FC33A" w14:textId="77777777" w:rsidTr="000D46FA">
        <w:trPr>
          <w:trHeight w:val="290"/>
        </w:trPr>
        <w:tc>
          <w:tcPr>
            <w:tcW w:w="3478" w:type="dxa"/>
            <w:tcBorders>
              <w:top w:val="nil"/>
              <w:left w:val="nil"/>
              <w:bottom w:val="nil"/>
              <w:right w:val="nil"/>
            </w:tcBorders>
            <w:shd w:val="clear" w:color="000000" w:fill="00426F"/>
            <w:noWrap/>
            <w:hideMark/>
          </w:tcPr>
          <w:p w14:paraId="72582F29" w14:textId="77777777" w:rsidR="000726A7" w:rsidRPr="00667CD1" w:rsidRDefault="000726A7" w:rsidP="000726A7">
            <w:pPr>
              <w:rPr>
                <w:rFonts w:ascii="Arial" w:hAnsi="Arial" w:cs="Arial"/>
                <w:b/>
                <w:bCs/>
                <w:color w:val="FFFFFF"/>
                <w:sz w:val="12"/>
                <w:szCs w:val="12"/>
                <w:lang w:eastAsia="en-AU"/>
              </w:rPr>
            </w:pPr>
            <w:r w:rsidRPr="00667CD1">
              <w:rPr>
                <w:rFonts w:ascii="Arial" w:hAnsi="Arial" w:cs="Arial"/>
                <w:b/>
                <w:bCs/>
                <w:color w:val="FFFFFF"/>
                <w:sz w:val="12"/>
                <w:szCs w:val="12"/>
                <w:lang w:eastAsia="en-AU"/>
              </w:rPr>
              <w:t> </w:t>
            </w:r>
          </w:p>
        </w:tc>
        <w:tc>
          <w:tcPr>
            <w:tcW w:w="856" w:type="dxa"/>
            <w:tcBorders>
              <w:top w:val="nil"/>
              <w:left w:val="nil"/>
              <w:bottom w:val="nil"/>
              <w:right w:val="nil"/>
            </w:tcBorders>
            <w:shd w:val="clear" w:color="000000" w:fill="00426F"/>
            <w:hideMark/>
          </w:tcPr>
          <w:p w14:paraId="3C163E9E"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56" w:type="dxa"/>
            <w:tcBorders>
              <w:top w:val="nil"/>
              <w:left w:val="nil"/>
              <w:bottom w:val="nil"/>
              <w:right w:val="nil"/>
            </w:tcBorders>
            <w:shd w:val="clear" w:color="000000" w:fill="00426F"/>
            <w:hideMark/>
          </w:tcPr>
          <w:p w14:paraId="3C6CFDA7"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56" w:type="dxa"/>
            <w:tcBorders>
              <w:top w:val="nil"/>
              <w:left w:val="nil"/>
              <w:bottom w:val="nil"/>
              <w:right w:val="nil"/>
            </w:tcBorders>
            <w:shd w:val="clear" w:color="000000" w:fill="00426F"/>
            <w:hideMark/>
          </w:tcPr>
          <w:p w14:paraId="3C4BC9BB"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56" w:type="dxa"/>
            <w:tcBorders>
              <w:top w:val="nil"/>
              <w:left w:val="nil"/>
              <w:bottom w:val="nil"/>
              <w:right w:val="nil"/>
            </w:tcBorders>
            <w:shd w:val="clear" w:color="000000" w:fill="00426F"/>
            <w:hideMark/>
          </w:tcPr>
          <w:p w14:paraId="4286F183"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56" w:type="dxa"/>
            <w:tcBorders>
              <w:top w:val="nil"/>
              <w:left w:val="nil"/>
              <w:bottom w:val="nil"/>
              <w:right w:val="nil"/>
            </w:tcBorders>
            <w:shd w:val="clear" w:color="000000" w:fill="00426F"/>
            <w:hideMark/>
          </w:tcPr>
          <w:p w14:paraId="4DEBFB9E"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56" w:type="dxa"/>
            <w:tcBorders>
              <w:top w:val="nil"/>
              <w:left w:val="nil"/>
              <w:bottom w:val="nil"/>
              <w:right w:val="nil"/>
            </w:tcBorders>
            <w:shd w:val="clear" w:color="000000" w:fill="00426F"/>
            <w:hideMark/>
          </w:tcPr>
          <w:p w14:paraId="7120ABBF"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46" w:type="dxa"/>
            <w:vMerge/>
            <w:tcBorders>
              <w:top w:val="nil"/>
              <w:left w:val="nil"/>
              <w:bottom w:val="nil"/>
              <w:right w:val="nil"/>
            </w:tcBorders>
            <w:vAlign w:val="center"/>
            <w:hideMark/>
          </w:tcPr>
          <w:p w14:paraId="0D69A5F1" w14:textId="77777777" w:rsidR="000726A7" w:rsidRPr="00667CD1" w:rsidRDefault="000726A7" w:rsidP="000726A7">
            <w:pPr>
              <w:rPr>
                <w:rFonts w:ascii="Arial" w:hAnsi="Arial" w:cs="Arial"/>
                <w:color w:val="FFFFFF"/>
                <w:sz w:val="12"/>
                <w:szCs w:val="12"/>
                <w:lang w:eastAsia="en-AU"/>
              </w:rPr>
            </w:pPr>
          </w:p>
        </w:tc>
      </w:tr>
      <w:tr w:rsidR="000726A7" w:rsidRPr="00667CD1" w14:paraId="74A71EDB" w14:textId="77777777" w:rsidTr="000726A7">
        <w:trPr>
          <w:trHeight w:val="73"/>
        </w:trPr>
        <w:tc>
          <w:tcPr>
            <w:tcW w:w="3478" w:type="dxa"/>
            <w:tcBorders>
              <w:top w:val="nil"/>
              <w:left w:val="nil"/>
              <w:bottom w:val="nil"/>
              <w:right w:val="nil"/>
            </w:tcBorders>
            <w:shd w:val="clear" w:color="000000" w:fill="FFFFFF"/>
            <w:noWrap/>
            <w:hideMark/>
          </w:tcPr>
          <w:p w14:paraId="5CC15625" w14:textId="77777777" w:rsidR="000726A7" w:rsidRPr="00667CD1" w:rsidRDefault="000726A7" w:rsidP="000726A7">
            <w:pPr>
              <w:rPr>
                <w:rFonts w:ascii="Arial" w:hAnsi="Arial" w:cs="Arial"/>
                <w:b/>
                <w:bCs/>
                <w:color w:val="FFFFFF"/>
                <w:sz w:val="12"/>
                <w:szCs w:val="12"/>
                <w:lang w:eastAsia="en-AU"/>
              </w:rPr>
            </w:pPr>
            <w:r w:rsidRPr="00667CD1">
              <w:rPr>
                <w:rFonts w:ascii="Arial" w:hAnsi="Arial" w:cs="Arial"/>
                <w:b/>
                <w:bCs/>
                <w:color w:val="FFFFFF"/>
                <w:sz w:val="12"/>
                <w:szCs w:val="12"/>
                <w:lang w:eastAsia="en-AU"/>
              </w:rPr>
              <w:t> </w:t>
            </w:r>
          </w:p>
        </w:tc>
        <w:tc>
          <w:tcPr>
            <w:tcW w:w="856" w:type="dxa"/>
            <w:tcBorders>
              <w:top w:val="nil"/>
              <w:left w:val="nil"/>
              <w:bottom w:val="nil"/>
              <w:right w:val="nil"/>
            </w:tcBorders>
            <w:shd w:val="clear" w:color="000000" w:fill="FFFFFF"/>
            <w:hideMark/>
          </w:tcPr>
          <w:p w14:paraId="0012ADA0"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856" w:type="dxa"/>
            <w:tcBorders>
              <w:top w:val="nil"/>
              <w:left w:val="nil"/>
              <w:bottom w:val="nil"/>
              <w:right w:val="nil"/>
            </w:tcBorders>
            <w:shd w:val="clear" w:color="000000" w:fill="FFFFFF"/>
            <w:hideMark/>
          </w:tcPr>
          <w:p w14:paraId="679B80FB"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856" w:type="dxa"/>
            <w:tcBorders>
              <w:top w:val="nil"/>
              <w:left w:val="nil"/>
              <w:bottom w:val="nil"/>
              <w:right w:val="nil"/>
            </w:tcBorders>
            <w:shd w:val="clear" w:color="000000" w:fill="F2F2F2"/>
            <w:hideMark/>
          </w:tcPr>
          <w:p w14:paraId="53AFFD51"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856" w:type="dxa"/>
            <w:tcBorders>
              <w:top w:val="nil"/>
              <w:left w:val="nil"/>
              <w:bottom w:val="nil"/>
              <w:right w:val="nil"/>
            </w:tcBorders>
            <w:shd w:val="clear" w:color="000000" w:fill="F2F2F2"/>
            <w:hideMark/>
          </w:tcPr>
          <w:p w14:paraId="2195F5A1"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856" w:type="dxa"/>
            <w:tcBorders>
              <w:top w:val="nil"/>
              <w:left w:val="nil"/>
              <w:bottom w:val="nil"/>
              <w:right w:val="nil"/>
            </w:tcBorders>
            <w:shd w:val="clear" w:color="000000" w:fill="F2F2F2"/>
            <w:hideMark/>
          </w:tcPr>
          <w:p w14:paraId="10FCD5DE"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856" w:type="dxa"/>
            <w:tcBorders>
              <w:top w:val="nil"/>
              <w:left w:val="nil"/>
              <w:bottom w:val="nil"/>
              <w:right w:val="nil"/>
            </w:tcBorders>
            <w:shd w:val="clear" w:color="000000" w:fill="F2F2F2"/>
            <w:hideMark/>
          </w:tcPr>
          <w:p w14:paraId="4EA557DA"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946" w:type="dxa"/>
            <w:tcBorders>
              <w:top w:val="nil"/>
              <w:left w:val="nil"/>
              <w:bottom w:val="nil"/>
              <w:right w:val="nil"/>
            </w:tcBorders>
            <w:shd w:val="clear" w:color="000000" w:fill="FFFFFF"/>
            <w:vAlign w:val="center"/>
            <w:hideMark/>
          </w:tcPr>
          <w:p w14:paraId="3828147F" w14:textId="77777777" w:rsidR="000726A7" w:rsidRPr="00667CD1" w:rsidRDefault="000726A7" w:rsidP="000726A7">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r>
      <w:tr w:rsidR="000726A7" w:rsidRPr="00667CD1" w14:paraId="2CA5F2E0" w14:textId="77777777" w:rsidTr="00E26D63">
        <w:trPr>
          <w:trHeight w:val="340"/>
        </w:trPr>
        <w:tc>
          <w:tcPr>
            <w:tcW w:w="3478" w:type="dxa"/>
            <w:tcBorders>
              <w:top w:val="nil"/>
              <w:left w:val="nil"/>
              <w:bottom w:val="nil"/>
              <w:right w:val="nil"/>
            </w:tcBorders>
            <w:shd w:val="clear" w:color="000000" w:fill="FFFFFF"/>
            <w:vAlign w:val="center"/>
            <w:hideMark/>
          </w:tcPr>
          <w:p w14:paraId="4A57A5C7" w14:textId="77777777" w:rsidR="000726A7" w:rsidRPr="00667CD1" w:rsidRDefault="000726A7" w:rsidP="000726A7">
            <w:pPr>
              <w:rPr>
                <w:rFonts w:ascii="Arial" w:hAnsi="Arial" w:cs="Arial"/>
                <w:sz w:val="12"/>
                <w:szCs w:val="12"/>
                <w:lang w:eastAsia="en-AU"/>
              </w:rPr>
            </w:pPr>
            <w:r w:rsidRPr="00667CD1">
              <w:rPr>
                <w:rFonts w:ascii="Arial" w:hAnsi="Arial" w:cs="Arial"/>
                <w:sz w:val="12"/>
                <w:szCs w:val="12"/>
                <w:lang w:eastAsia="en-AU"/>
              </w:rPr>
              <w:t>Commonwealth - general purpose</w:t>
            </w:r>
          </w:p>
        </w:tc>
        <w:tc>
          <w:tcPr>
            <w:tcW w:w="856" w:type="dxa"/>
            <w:tcBorders>
              <w:top w:val="nil"/>
              <w:left w:val="nil"/>
              <w:bottom w:val="nil"/>
              <w:right w:val="nil"/>
            </w:tcBorders>
            <w:shd w:val="clear" w:color="000000" w:fill="FFFFFF"/>
            <w:noWrap/>
            <w:vAlign w:val="center"/>
            <w:hideMark/>
          </w:tcPr>
          <w:p w14:paraId="1F7FA4A1"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17,907</w:t>
            </w:r>
          </w:p>
        </w:tc>
        <w:tc>
          <w:tcPr>
            <w:tcW w:w="856" w:type="dxa"/>
            <w:tcBorders>
              <w:top w:val="nil"/>
              <w:left w:val="nil"/>
              <w:bottom w:val="nil"/>
              <w:right w:val="nil"/>
            </w:tcBorders>
            <w:shd w:val="clear" w:color="000000" w:fill="FFFFFF"/>
            <w:noWrap/>
            <w:vAlign w:val="center"/>
            <w:hideMark/>
          </w:tcPr>
          <w:p w14:paraId="7EDB6616"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18,073</w:t>
            </w:r>
          </w:p>
        </w:tc>
        <w:tc>
          <w:tcPr>
            <w:tcW w:w="856" w:type="dxa"/>
            <w:tcBorders>
              <w:top w:val="nil"/>
              <w:left w:val="nil"/>
              <w:bottom w:val="nil"/>
              <w:right w:val="nil"/>
            </w:tcBorders>
            <w:shd w:val="clear" w:color="000000" w:fill="F2F2F2"/>
            <w:noWrap/>
            <w:vAlign w:val="center"/>
            <w:hideMark/>
          </w:tcPr>
          <w:p w14:paraId="41E863A3"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16,308</w:t>
            </w:r>
          </w:p>
        </w:tc>
        <w:tc>
          <w:tcPr>
            <w:tcW w:w="856" w:type="dxa"/>
            <w:tcBorders>
              <w:top w:val="nil"/>
              <w:left w:val="nil"/>
              <w:bottom w:val="nil"/>
              <w:right w:val="nil"/>
            </w:tcBorders>
            <w:shd w:val="clear" w:color="000000" w:fill="F2F2F2"/>
            <w:noWrap/>
            <w:vAlign w:val="center"/>
            <w:hideMark/>
          </w:tcPr>
          <w:p w14:paraId="0B43319F"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19,612</w:t>
            </w:r>
          </w:p>
        </w:tc>
        <w:tc>
          <w:tcPr>
            <w:tcW w:w="856" w:type="dxa"/>
            <w:tcBorders>
              <w:top w:val="nil"/>
              <w:left w:val="nil"/>
              <w:bottom w:val="nil"/>
              <w:right w:val="nil"/>
            </w:tcBorders>
            <w:shd w:val="clear" w:color="000000" w:fill="F2F2F2"/>
            <w:noWrap/>
            <w:vAlign w:val="center"/>
            <w:hideMark/>
          </w:tcPr>
          <w:p w14:paraId="2BD3463A"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19,913</w:t>
            </w:r>
          </w:p>
        </w:tc>
        <w:tc>
          <w:tcPr>
            <w:tcW w:w="856" w:type="dxa"/>
            <w:tcBorders>
              <w:top w:val="nil"/>
              <w:left w:val="nil"/>
              <w:bottom w:val="nil"/>
              <w:right w:val="nil"/>
            </w:tcBorders>
            <w:shd w:val="clear" w:color="000000" w:fill="F2F2F2"/>
            <w:noWrap/>
            <w:vAlign w:val="center"/>
            <w:hideMark/>
          </w:tcPr>
          <w:p w14:paraId="6339F204"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20,057</w:t>
            </w:r>
          </w:p>
        </w:tc>
        <w:tc>
          <w:tcPr>
            <w:tcW w:w="946" w:type="dxa"/>
            <w:tcBorders>
              <w:top w:val="nil"/>
              <w:left w:val="nil"/>
              <w:bottom w:val="nil"/>
              <w:right w:val="nil"/>
            </w:tcBorders>
            <w:shd w:val="clear" w:color="auto" w:fill="auto"/>
            <w:vAlign w:val="center"/>
            <w:hideMark/>
          </w:tcPr>
          <w:p w14:paraId="41066037" w14:textId="77777777" w:rsidR="000726A7" w:rsidRPr="00667CD1" w:rsidRDefault="000726A7" w:rsidP="000726A7">
            <w:pPr>
              <w:jc w:val="center"/>
              <w:rPr>
                <w:rFonts w:ascii="Arial" w:hAnsi="Arial" w:cs="Arial"/>
                <w:sz w:val="12"/>
                <w:szCs w:val="12"/>
                <w:lang w:eastAsia="en-AU"/>
              </w:rPr>
            </w:pPr>
            <w:r w:rsidRPr="00667CD1">
              <w:rPr>
                <w:rFonts w:ascii="Arial" w:hAnsi="Arial" w:cs="Arial"/>
                <w:sz w:val="12"/>
                <w:szCs w:val="12"/>
                <w:lang w:eastAsia="en-AU"/>
              </w:rPr>
              <w:t>2.6</w:t>
            </w:r>
          </w:p>
        </w:tc>
      </w:tr>
      <w:tr w:rsidR="000726A7" w:rsidRPr="00667CD1" w14:paraId="50A351F9" w14:textId="77777777" w:rsidTr="00E26D63">
        <w:trPr>
          <w:trHeight w:val="340"/>
        </w:trPr>
        <w:tc>
          <w:tcPr>
            <w:tcW w:w="3478" w:type="dxa"/>
            <w:tcBorders>
              <w:top w:val="nil"/>
              <w:left w:val="nil"/>
              <w:bottom w:val="nil"/>
              <w:right w:val="nil"/>
            </w:tcBorders>
            <w:shd w:val="clear" w:color="000000" w:fill="FFFFFF"/>
            <w:vAlign w:val="center"/>
            <w:hideMark/>
          </w:tcPr>
          <w:p w14:paraId="75634D7E" w14:textId="77777777" w:rsidR="000726A7" w:rsidRPr="00667CD1" w:rsidRDefault="000726A7" w:rsidP="000726A7">
            <w:pPr>
              <w:ind w:firstLineChars="200" w:firstLine="240"/>
              <w:rPr>
                <w:rFonts w:ascii="Arial" w:hAnsi="Arial" w:cs="Arial"/>
                <w:sz w:val="12"/>
                <w:szCs w:val="12"/>
                <w:lang w:eastAsia="en-AU"/>
              </w:rPr>
            </w:pPr>
            <w:r w:rsidRPr="00667CD1">
              <w:rPr>
                <w:rFonts w:ascii="Arial" w:hAnsi="Arial" w:cs="Arial"/>
                <w:sz w:val="12"/>
                <w:szCs w:val="12"/>
                <w:lang w:eastAsia="en-AU"/>
              </w:rPr>
              <w:t>GST revenue</w:t>
            </w:r>
          </w:p>
        </w:tc>
        <w:tc>
          <w:tcPr>
            <w:tcW w:w="856" w:type="dxa"/>
            <w:tcBorders>
              <w:top w:val="nil"/>
              <w:left w:val="nil"/>
              <w:bottom w:val="nil"/>
              <w:right w:val="nil"/>
            </w:tcBorders>
            <w:shd w:val="clear" w:color="000000" w:fill="FFFFFF"/>
            <w:noWrap/>
            <w:vAlign w:val="center"/>
            <w:hideMark/>
          </w:tcPr>
          <w:p w14:paraId="7DA0DDF8"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17,851</w:t>
            </w:r>
          </w:p>
        </w:tc>
        <w:tc>
          <w:tcPr>
            <w:tcW w:w="856" w:type="dxa"/>
            <w:tcBorders>
              <w:top w:val="nil"/>
              <w:left w:val="nil"/>
              <w:bottom w:val="nil"/>
              <w:right w:val="nil"/>
            </w:tcBorders>
            <w:shd w:val="clear" w:color="000000" w:fill="FFFFFF"/>
            <w:noWrap/>
            <w:vAlign w:val="center"/>
            <w:hideMark/>
          </w:tcPr>
          <w:p w14:paraId="1F707565"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18,066</w:t>
            </w:r>
          </w:p>
        </w:tc>
        <w:tc>
          <w:tcPr>
            <w:tcW w:w="856" w:type="dxa"/>
            <w:tcBorders>
              <w:top w:val="nil"/>
              <w:left w:val="nil"/>
              <w:bottom w:val="nil"/>
              <w:right w:val="nil"/>
            </w:tcBorders>
            <w:shd w:val="clear" w:color="000000" w:fill="F2F2F2"/>
            <w:noWrap/>
            <w:vAlign w:val="center"/>
            <w:hideMark/>
          </w:tcPr>
          <w:p w14:paraId="385478BC"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16,272</w:t>
            </w:r>
          </w:p>
        </w:tc>
        <w:tc>
          <w:tcPr>
            <w:tcW w:w="856" w:type="dxa"/>
            <w:tcBorders>
              <w:top w:val="nil"/>
              <w:left w:val="nil"/>
              <w:bottom w:val="nil"/>
              <w:right w:val="nil"/>
            </w:tcBorders>
            <w:shd w:val="clear" w:color="000000" w:fill="F2F2F2"/>
            <w:noWrap/>
            <w:vAlign w:val="center"/>
            <w:hideMark/>
          </w:tcPr>
          <w:p w14:paraId="1BA8A45C"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19,554</w:t>
            </w:r>
          </w:p>
        </w:tc>
        <w:tc>
          <w:tcPr>
            <w:tcW w:w="856" w:type="dxa"/>
            <w:tcBorders>
              <w:top w:val="nil"/>
              <w:left w:val="nil"/>
              <w:bottom w:val="nil"/>
              <w:right w:val="nil"/>
            </w:tcBorders>
            <w:shd w:val="clear" w:color="000000" w:fill="F2F2F2"/>
            <w:noWrap/>
            <w:vAlign w:val="center"/>
            <w:hideMark/>
          </w:tcPr>
          <w:p w14:paraId="2FB60BA7"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18,868</w:t>
            </w:r>
          </w:p>
        </w:tc>
        <w:tc>
          <w:tcPr>
            <w:tcW w:w="856" w:type="dxa"/>
            <w:tcBorders>
              <w:top w:val="nil"/>
              <w:left w:val="nil"/>
              <w:bottom w:val="nil"/>
              <w:right w:val="nil"/>
            </w:tcBorders>
            <w:shd w:val="clear" w:color="000000" w:fill="F2F2F2"/>
            <w:noWrap/>
            <w:vAlign w:val="center"/>
            <w:hideMark/>
          </w:tcPr>
          <w:p w14:paraId="75E9E247"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19,125</w:t>
            </w:r>
          </w:p>
        </w:tc>
        <w:tc>
          <w:tcPr>
            <w:tcW w:w="946" w:type="dxa"/>
            <w:tcBorders>
              <w:top w:val="nil"/>
              <w:left w:val="nil"/>
              <w:bottom w:val="nil"/>
              <w:right w:val="nil"/>
            </w:tcBorders>
            <w:shd w:val="clear" w:color="auto" w:fill="auto"/>
            <w:vAlign w:val="center"/>
            <w:hideMark/>
          </w:tcPr>
          <w:p w14:paraId="289AAB1D" w14:textId="77777777" w:rsidR="000726A7" w:rsidRPr="00667CD1" w:rsidRDefault="000726A7" w:rsidP="000726A7">
            <w:pPr>
              <w:jc w:val="center"/>
              <w:rPr>
                <w:rFonts w:ascii="Arial" w:hAnsi="Arial" w:cs="Arial"/>
                <w:sz w:val="12"/>
                <w:szCs w:val="12"/>
                <w:lang w:eastAsia="en-AU"/>
              </w:rPr>
            </w:pPr>
            <w:r w:rsidRPr="00667CD1">
              <w:rPr>
                <w:rFonts w:ascii="Arial" w:hAnsi="Arial" w:cs="Arial"/>
                <w:sz w:val="12"/>
                <w:szCs w:val="12"/>
                <w:lang w:eastAsia="en-AU"/>
              </w:rPr>
              <w:t>1.4</w:t>
            </w:r>
          </w:p>
        </w:tc>
      </w:tr>
      <w:tr w:rsidR="000726A7" w:rsidRPr="00667CD1" w14:paraId="0C2C745C" w14:textId="77777777" w:rsidTr="00E26D63">
        <w:trPr>
          <w:trHeight w:val="340"/>
        </w:trPr>
        <w:tc>
          <w:tcPr>
            <w:tcW w:w="3478" w:type="dxa"/>
            <w:tcBorders>
              <w:top w:val="nil"/>
              <w:left w:val="nil"/>
              <w:bottom w:val="nil"/>
              <w:right w:val="nil"/>
            </w:tcBorders>
            <w:shd w:val="clear" w:color="000000" w:fill="FFFFFF"/>
            <w:vAlign w:val="center"/>
            <w:hideMark/>
          </w:tcPr>
          <w:p w14:paraId="248CA084" w14:textId="77777777" w:rsidR="000726A7" w:rsidRPr="00667CD1" w:rsidRDefault="000726A7" w:rsidP="000726A7">
            <w:pPr>
              <w:ind w:firstLineChars="200" w:firstLine="240"/>
              <w:rPr>
                <w:rFonts w:ascii="Arial" w:hAnsi="Arial" w:cs="Arial"/>
                <w:sz w:val="12"/>
                <w:szCs w:val="12"/>
                <w:lang w:eastAsia="en-AU"/>
              </w:rPr>
            </w:pPr>
            <w:r w:rsidRPr="00667CD1">
              <w:rPr>
                <w:rFonts w:ascii="Arial" w:hAnsi="Arial" w:cs="Arial"/>
                <w:sz w:val="12"/>
                <w:szCs w:val="12"/>
                <w:lang w:eastAsia="en-AU"/>
              </w:rPr>
              <w:t xml:space="preserve">Other </w:t>
            </w:r>
            <w:proofErr w:type="gramStart"/>
            <w:r w:rsidRPr="00667CD1">
              <w:rPr>
                <w:rFonts w:ascii="Arial" w:hAnsi="Arial" w:cs="Arial"/>
                <w:sz w:val="12"/>
                <w:szCs w:val="12"/>
                <w:lang w:eastAsia="en-AU"/>
              </w:rPr>
              <w:t>general purpose</w:t>
            </w:r>
            <w:proofErr w:type="gramEnd"/>
            <w:r w:rsidRPr="00667CD1">
              <w:rPr>
                <w:rFonts w:ascii="Arial" w:hAnsi="Arial" w:cs="Arial"/>
                <w:sz w:val="12"/>
                <w:szCs w:val="12"/>
                <w:lang w:eastAsia="en-AU"/>
              </w:rPr>
              <w:t xml:space="preserve"> grants</w:t>
            </w:r>
          </w:p>
        </w:tc>
        <w:tc>
          <w:tcPr>
            <w:tcW w:w="856" w:type="dxa"/>
            <w:tcBorders>
              <w:top w:val="nil"/>
              <w:left w:val="nil"/>
              <w:bottom w:val="nil"/>
              <w:right w:val="nil"/>
            </w:tcBorders>
            <w:shd w:val="clear" w:color="000000" w:fill="FFFFFF"/>
            <w:noWrap/>
            <w:vAlign w:val="center"/>
            <w:hideMark/>
          </w:tcPr>
          <w:p w14:paraId="41F6A060"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56</w:t>
            </w:r>
          </w:p>
        </w:tc>
        <w:tc>
          <w:tcPr>
            <w:tcW w:w="856" w:type="dxa"/>
            <w:tcBorders>
              <w:top w:val="nil"/>
              <w:left w:val="nil"/>
              <w:bottom w:val="nil"/>
              <w:right w:val="nil"/>
            </w:tcBorders>
            <w:shd w:val="clear" w:color="000000" w:fill="FFFFFF"/>
            <w:noWrap/>
            <w:vAlign w:val="center"/>
            <w:hideMark/>
          </w:tcPr>
          <w:p w14:paraId="2D735419"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8</w:t>
            </w:r>
          </w:p>
        </w:tc>
        <w:tc>
          <w:tcPr>
            <w:tcW w:w="856" w:type="dxa"/>
            <w:tcBorders>
              <w:top w:val="nil"/>
              <w:left w:val="nil"/>
              <w:bottom w:val="nil"/>
              <w:right w:val="nil"/>
            </w:tcBorders>
            <w:shd w:val="clear" w:color="000000" w:fill="F2F2F2"/>
            <w:noWrap/>
            <w:vAlign w:val="center"/>
            <w:hideMark/>
          </w:tcPr>
          <w:p w14:paraId="3C6E1906"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36</w:t>
            </w:r>
          </w:p>
        </w:tc>
        <w:tc>
          <w:tcPr>
            <w:tcW w:w="856" w:type="dxa"/>
            <w:tcBorders>
              <w:top w:val="nil"/>
              <w:left w:val="nil"/>
              <w:bottom w:val="nil"/>
              <w:right w:val="nil"/>
            </w:tcBorders>
            <w:shd w:val="clear" w:color="000000" w:fill="F2F2F2"/>
            <w:noWrap/>
            <w:vAlign w:val="center"/>
            <w:hideMark/>
          </w:tcPr>
          <w:p w14:paraId="66C2E221"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58</w:t>
            </w:r>
          </w:p>
        </w:tc>
        <w:tc>
          <w:tcPr>
            <w:tcW w:w="856" w:type="dxa"/>
            <w:tcBorders>
              <w:top w:val="nil"/>
              <w:left w:val="nil"/>
              <w:bottom w:val="nil"/>
              <w:right w:val="nil"/>
            </w:tcBorders>
            <w:shd w:val="clear" w:color="000000" w:fill="F2F2F2"/>
            <w:noWrap/>
            <w:vAlign w:val="center"/>
            <w:hideMark/>
          </w:tcPr>
          <w:p w14:paraId="5D69FBDB"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1,045</w:t>
            </w:r>
          </w:p>
        </w:tc>
        <w:tc>
          <w:tcPr>
            <w:tcW w:w="856" w:type="dxa"/>
            <w:tcBorders>
              <w:top w:val="nil"/>
              <w:left w:val="nil"/>
              <w:bottom w:val="nil"/>
              <w:right w:val="nil"/>
            </w:tcBorders>
            <w:shd w:val="clear" w:color="000000" w:fill="F2F2F2"/>
            <w:noWrap/>
            <w:vAlign w:val="center"/>
            <w:hideMark/>
          </w:tcPr>
          <w:p w14:paraId="45EFE1AA"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932</w:t>
            </w:r>
          </w:p>
        </w:tc>
        <w:tc>
          <w:tcPr>
            <w:tcW w:w="946" w:type="dxa"/>
            <w:tcBorders>
              <w:top w:val="nil"/>
              <w:left w:val="nil"/>
              <w:bottom w:val="nil"/>
              <w:right w:val="nil"/>
            </w:tcBorders>
            <w:shd w:val="clear" w:color="auto" w:fill="auto"/>
            <w:vAlign w:val="center"/>
            <w:hideMark/>
          </w:tcPr>
          <w:p w14:paraId="1EB1202F" w14:textId="77777777" w:rsidR="000726A7" w:rsidRPr="00667CD1" w:rsidRDefault="000726A7" w:rsidP="000726A7">
            <w:pPr>
              <w:jc w:val="center"/>
              <w:rPr>
                <w:rFonts w:ascii="Arial" w:hAnsi="Arial" w:cs="Arial"/>
                <w:sz w:val="12"/>
                <w:szCs w:val="12"/>
                <w:lang w:eastAsia="en-AU"/>
              </w:rPr>
            </w:pPr>
            <w:r w:rsidRPr="00667CD1">
              <w:rPr>
                <w:rFonts w:ascii="Arial" w:hAnsi="Arial" w:cs="Arial"/>
                <w:sz w:val="12"/>
                <w:szCs w:val="12"/>
                <w:lang w:eastAsia="en-AU"/>
              </w:rPr>
              <w:t>232.9</w:t>
            </w:r>
          </w:p>
        </w:tc>
      </w:tr>
      <w:tr w:rsidR="000726A7" w:rsidRPr="00667CD1" w14:paraId="1994A5DF" w14:textId="77777777" w:rsidTr="00E26D63">
        <w:trPr>
          <w:trHeight w:val="340"/>
        </w:trPr>
        <w:tc>
          <w:tcPr>
            <w:tcW w:w="3478" w:type="dxa"/>
            <w:tcBorders>
              <w:top w:val="nil"/>
              <w:left w:val="nil"/>
              <w:bottom w:val="nil"/>
              <w:right w:val="nil"/>
            </w:tcBorders>
            <w:shd w:val="clear" w:color="000000" w:fill="FFFFFF"/>
            <w:vAlign w:val="center"/>
            <w:hideMark/>
          </w:tcPr>
          <w:p w14:paraId="20789343" w14:textId="77777777" w:rsidR="000726A7" w:rsidRPr="00667CD1" w:rsidRDefault="000726A7" w:rsidP="000726A7">
            <w:pPr>
              <w:rPr>
                <w:rFonts w:ascii="Arial" w:hAnsi="Arial" w:cs="Arial"/>
                <w:sz w:val="12"/>
                <w:szCs w:val="12"/>
                <w:lang w:eastAsia="en-AU"/>
              </w:rPr>
            </w:pPr>
            <w:r w:rsidRPr="00667CD1">
              <w:rPr>
                <w:rFonts w:ascii="Arial" w:hAnsi="Arial" w:cs="Arial"/>
                <w:sz w:val="12"/>
                <w:szCs w:val="12"/>
                <w:lang w:eastAsia="en-AU"/>
              </w:rPr>
              <w:t>Commonwealth - National Agreements</w:t>
            </w:r>
          </w:p>
        </w:tc>
        <w:tc>
          <w:tcPr>
            <w:tcW w:w="856" w:type="dxa"/>
            <w:tcBorders>
              <w:top w:val="nil"/>
              <w:left w:val="nil"/>
              <w:bottom w:val="nil"/>
              <w:right w:val="nil"/>
            </w:tcBorders>
            <w:shd w:val="clear" w:color="000000" w:fill="FFFFFF"/>
            <w:noWrap/>
            <w:vAlign w:val="center"/>
            <w:hideMark/>
          </w:tcPr>
          <w:p w14:paraId="4CB640C3"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10,224</w:t>
            </w:r>
          </w:p>
        </w:tc>
        <w:tc>
          <w:tcPr>
            <w:tcW w:w="856" w:type="dxa"/>
            <w:tcBorders>
              <w:top w:val="nil"/>
              <w:left w:val="nil"/>
              <w:bottom w:val="nil"/>
              <w:right w:val="nil"/>
            </w:tcBorders>
            <w:shd w:val="clear" w:color="000000" w:fill="FFFFFF"/>
            <w:noWrap/>
            <w:vAlign w:val="center"/>
            <w:hideMark/>
          </w:tcPr>
          <w:p w14:paraId="06DF675D"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11,278</w:t>
            </w:r>
          </w:p>
        </w:tc>
        <w:tc>
          <w:tcPr>
            <w:tcW w:w="856" w:type="dxa"/>
            <w:tcBorders>
              <w:top w:val="nil"/>
              <w:left w:val="nil"/>
              <w:bottom w:val="nil"/>
              <w:right w:val="nil"/>
            </w:tcBorders>
            <w:shd w:val="clear" w:color="000000" w:fill="F2F2F2"/>
            <w:noWrap/>
            <w:vAlign w:val="center"/>
            <w:hideMark/>
          </w:tcPr>
          <w:p w14:paraId="438D0B30"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11,740</w:t>
            </w:r>
          </w:p>
        </w:tc>
        <w:tc>
          <w:tcPr>
            <w:tcW w:w="856" w:type="dxa"/>
            <w:tcBorders>
              <w:top w:val="nil"/>
              <w:left w:val="nil"/>
              <w:bottom w:val="nil"/>
              <w:right w:val="nil"/>
            </w:tcBorders>
            <w:shd w:val="clear" w:color="000000" w:fill="F2F2F2"/>
            <w:noWrap/>
            <w:vAlign w:val="center"/>
            <w:hideMark/>
          </w:tcPr>
          <w:p w14:paraId="14F31751"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11,721</w:t>
            </w:r>
          </w:p>
        </w:tc>
        <w:tc>
          <w:tcPr>
            <w:tcW w:w="856" w:type="dxa"/>
            <w:tcBorders>
              <w:top w:val="nil"/>
              <w:left w:val="nil"/>
              <w:bottom w:val="nil"/>
              <w:right w:val="nil"/>
            </w:tcBorders>
            <w:shd w:val="clear" w:color="000000" w:fill="F2F2F2"/>
            <w:noWrap/>
            <w:vAlign w:val="center"/>
            <w:hideMark/>
          </w:tcPr>
          <w:p w14:paraId="4CD240F6"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12,385</w:t>
            </w:r>
          </w:p>
        </w:tc>
        <w:tc>
          <w:tcPr>
            <w:tcW w:w="856" w:type="dxa"/>
            <w:tcBorders>
              <w:top w:val="nil"/>
              <w:left w:val="nil"/>
              <w:bottom w:val="nil"/>
              <w:right w:val="nil"/>
            </w:tcBorders>
            <w:shd w:val="clear" w:color="000000" w:fill="F2F2F2"/>
            <w:noWrap/>
            <w:vAlign w:val="center"/>
            <w:hideMark/>
          </w:tcPr>
          <w:p w14:paraId="39130299"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13,053</w:t>
            </w:r>
          </w:p>
        </w:tc>
        <w:tc>
          <w:tcPr>
            <w:tcW w:w="946" w:type="dxa"/>
            <w:tcBorders>
              <w:top w:val="nil"/>
              <w:left w:val="nil"/>
              <w:bottom w:val="nil"/>
              <w:right w:val="nil"/>
            </w:tcBorders>
            <w:shd w:val="clear" w:color="auto" w:fill="auto"/>
            <w:vAlign w:val="center"/>
            <w:hideMark/>
          </w:tcPr>
          <w:p w14:paraId="29576A45" w14:textId="77777777" w:rsidR="000726A7" w:rsidRPr="00667CD1" w:rsidRDefault="000726A7" w:rsidP="000726A7">
            <w:pPr>
              <w:jc w:val="center"/>
              <w:rPr>
                <w:rFonts w:ascii="Arial" w:hAnsi="Arial" w:cs="Arial"/>
                <w:sz w:val="12"/>
                <w:szCs w:val="12"/>
                <w:lang w:eastAsia="en-AU"/>
              </w:rPr>
            </w:pPr>
            <w:r w:rsidRPr="00667CD1">
              <w:rPr>
                <w:rFonts w:ascii="Arial" w:hAnsi="Arial" w:cs="Arial"/>
                <w:sz w:val="12"/>
                <w:szCs w:val="12"/>
                <w:lang w:eastAsia="en-AU"/>
              </w:rPr>
              <w:t>3.7</w:t>
            </w:r>
          </w:p>
        </w:tc>
      </w:tr>
      <w:tr w:rsidR="000726A7" w:rsidRPr="00667CD1" w14:paraId="179B358B" w14:textId="77777777" w:rsidTr="00E26D63">
        <w:trPr>
          <w:trHeight w:val="340"/>
        </w:trPr>
        <w:tc>
          <w:tcPr>
            <w:tcW w:w="3478" w:type="dxa"/>
            <w:tcBorders>
              <w:top w:val="nil"/>
              <w:left w:val="nil"/>
              <w:bottom w:val="nil"/>
              <w:right w:val="nil"/>
            </w:tcBorders>
            <w:shd w:val="clear" w:color="000000" w:fill="FFFFFF"/>
            <w:vAlign w:val="center"/>
            <w:hideMark/>
          </w:tcPr>
          <w:p w14:paraId="76AC1674" w14:textId="77777777" w:rsidR="000726A7" w:rsidRPr="00667CD1" w:rsidRDefault="000726A7" w:rsidP="000726A7">
            <w:pPr>
              <w:rPr>
                <w:rFonts w:ascii="Arial" w:hAnsi="Arial" w:cs="Arial"/>
                <w:sz w:val="12"/>
                <w:szCs w:val="12"/>
                <w:lang w:eastAsia="en-AU"/>
              </w:rPr>
            </w:pPr>
            <w:r w:rsidRPr="00667CD1">
              <w:rPr>
                <w:rFonts w:ascii="Arial" w:hAnsi="Arial" w:cs="Arial"/>
                <w:sz w:val="12"/>
                <w:szCs w:val="12"/>
                <w:lang w:eastAsia="en-AU"/>
              </w:rPr>
              <w:t>Commonwealth - National Partnerships</w:t>
            </w:r>
          </w:p>
        </w:tc>
        <w:tc>
          <w:tcPr>
            <w:tcW w:w="856" w:type="dxa"/>
            <w:tcBorders>
              <w:top w:val="nil"/>
              <w:left w:val="nil"/>
              <w:bottom w:val="nil"/>
              <w:right w:val="nil"/>
            </w:tcBorders>
            <w:shd w:val="clear" w:color="000000" w:fill="FFFFFF"/>
            <w:noWrap/>
            <w:vAlign w:val="center"/>
            <w:hideMark/>
          </w:tcPr>
          <w:p w14:paraId="42E6540E"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2,737</w:t>
            </w:r>
          </w:p>
        </w:tc>
        <w:tc>
          <w:tcPr>
            <w:tcW w:w="856" w:type="dxa"/>
            <w:tcBorders>
              <w:top w:val="nil"/>
              <w:left w:val="nil"/>
              <w:bottom w:val="nil"/>
              <w:right w:val="nil"/>
            </w:tcBorders>
            <w:shd w:val="clear" w:color="000000" w:fill="FFFFFF"/>
            <w:noWrap/>
            <w:vAlign w:val="center"/>
            <w:hideMark/>
          </w:tcPr>
          <w:p w14:paraId="193376ED"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3,886</w:t>
            </w:r>
          </w:p>
        </w:tc>
        <w:tc>
          <w:tcPr>
            <w:tcW w:w="856" w:type="dxa"/>
            <w:tcBorders>
              <w:top w:val="nil"/>
              <w:left w:val="nil"/>
              <w:bottom w:val="nil"/>
              <w:right w:val="nil"/>
            </w:tcBorders>
            <w:shd w:val="clear" w:color="000000" w:fill="F2F2F2"/>
            <w:noWrap/>
            <w:vAlign w:val="center"/>
            <w:hideMark/>
          </w:tcPr>
          <w:p w14:paraId="666633C4"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3,996</w:t>
            </w:r>
          </w:p>
        </w:tc>
        <w:tc>
          <w:tcPr>
            <w:tcW w:w="856" w:type="dxa"/>
            <w:tcBorders>
              <w:top w:val="nil"/>
              <w:left w:val="nil"/>
              <w:bottom w:val="nil"/>
              <w:right w:val="nil"/>
            </w:tcBorders>
            <w:shd w:val="clear" w:color="000000" w:fill="F2F2F2"/>
            <w:noWrap/>
            <w:vAlign w:val="center"/>
            <w:hideMark/>
          </w:tcPr>
          <w:p w14:paraId="79DCE5F4"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4,166</w:t>
            </w:r>
          </w:p>
        </w:tc>
        <w:tc>
          <w:tcPr>
            <w:tcW w:w="856" w:type="dxa"/>
            <w:tcBorders>
              <w:top w:val="nil"/>
              <w:left w:val="nil"/>
              <w:bottom w:val="nil"/>
              <w:right w:val="nil"/>
            </w:tcBorders>
            <w:shd w:val="clear" w:color="000000" w:fill="F2F2F2"/>
            <w:noWrap/>
            <w:vAlign w:val="center"/>
            <w:hideMark/>
          </w:tcPr>
          <w:p w14:paraId="2A6EB63B"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3,955</w:t>
            </w:r>
          </w:p>
        </w:tc>
        <w:tc>
          <w:tcPr>
            <w:tcW w:w="856" w:type="dxa"/>
            <w:tcBorders>
              <w:top w:val="nil"/>
              <w:left w:val="nil"/>
              <w:bottom w:val="nil"/>
              <w:right w:val="nil"/>
            </w:tcBorders>
            <w:shd w:val="clear" w:color="000000" w:fill="F2F2F2"/>
            <w:noWrap/>
            <w:vAlign w:val="center"/>
            <w:hideMark/>
          </w:tcPr>
          <w:p w14:paraId="7451C12F"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3,984</w:t>
            </w:r>
          </w:p>
        </w:tc>
        <w:tc>
          <w:tcPr>
            <w:tcW w:w="946" w:type="dxa"/>
            <w:tcBorders>
              <w:top w:val="nil"/>
              <w:left w:val="nil"/>
              <w:bottom w:val="nil"/>
              <w:right w:val="nil"/>
            </w:tcBorders>
            <w:shd w:val="clear" w:color="auto" w:fill="auto"/>
            <w:vAlign w:val="center"/>
            <w:hideMark/>
          </w:tcPr>
          <w:p w14:paraId="7F6D1A69" w14:textId="77777777" w:rsidR="000726A7" w:rsidRPr="00667CD1" w:rsidRDefault="000726A7" w:rsidP="000726A7">
            <w:pPr>
              <w:jc w:val="center"/>
              <w:rPr>
                <w:rFonts w:ascii="Arial" w:hAnsi="Arial" w:cs="Arial"/>
                <w:sz w:val="12"/>
                <w:szCs w:val="12"/>
                <w:lang w:eastAsia="en-AU"/>
              </w:rPr>
            </w:pPr>
            <w:r w:rsidRPr="00667CD1">
              <w:rPr>
                <w:rFonts w:ascii="Arial" w:hAnsi="Arial" w:cs="Arial"/>
                <w:sz w:val="12"/>
                <w:szCs w:val="12"/>
                <w:lang w:eastAsia="en-AU"/>
              </w:rPr>
              <w:t>0.6</w:t>
            </w:r>
          </w:p>
        </w:tc>
      </w:tr>
      <w:tr w:rsidR="000726A7" w:rsidRPr="00667CD1" w14:paraId="515242FD" w14:textId="77777777" w:rsidTr="00E26D63">
        <w:trPr>
          <w:trHeight w:val="340"/>
        </w:trPr>
        <w:tc>
          <w:tcPr>
            <w:tcW w:w="3478" w:type="dxa"/>
            <w:tcBorders>
              <w:top w:val="nil"/>
              <w:left w:val="nil"/>
              <w:bottom w:val="nil"/>
              <w:right w:val="nil"/>
            </w:tcBorders>
            <w:shd w:val="clear" w:color="000000" w:fill="FFFFFF"/>
            <w:vAlign w:val="center"/>
            <w:hideMark/>
          </w:tcPr>
          <w:p w14:paraId="3861D1AA" w14:textId="77777777" w:rsidR="000726A7" w:rsidRPr="00667CD1" w:rsidRDefault="000726A7" w:rsidP="000726A7">
            <w:pPr>
              <w:rPr>
                <w:rFonts w:ascii="Arial" w:hAnsi="Arial" w:cs="Arial"/>
                <w:sz w:val="12"/>
                <w:szCs w:val="12"/>
                <w:lang w:eastAsia="en-AU"/>
              </w:rPr>
            </w:pPr>
            <w:r w:rsidRPr="00667CD1">
              <w:rPr>
                <w:rFonts w:ascii="Arial" w:hAnsi="Arial" w:cs="Arial"/>
                <w:sz w:val="12"/>
                <w:szCs w:val="12"/>
                <w:lang w:eastAsia="en-AU"/>
              </w:rPr>
              <w:t xml:space="preserve">Other Commonwealth payments </w:t>
            </w:r>
          </w:p>
        </w:tc>
        <w:tc>
          <w:tcPr>
            <w:tcW w:w="856" w:type="dxa"/>
            <w:tcBorders>
              <w:top w:val="nil"/>
              <w:left w:val="nil"/>
              <w:bottom w:val="nil"/>
              <w:right w:val="nil"/>
            </w:tcBorders>
            <w:shd w:val="clear" w:color="000000" w:fill="FFFFFF"/>
            <w:noWrap/>
            <w:vAlign w:val="center"/>
            <w:hideMark/>
          </w:tcPr>
          <w:p w14:paraId="1BB53B21"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414</w:t>
            </w:r>
          </w:p>
        </w:tc>
        <w:tc>
          <w:tcPr>
            <w:tcW w:w="856" w:type="dxa"/>
            <w:tcBorders>
              <w:top w:val="nil"/>
              <w:left w:val="nil"/>
              <w:bottom w:val="nil"/>
              <w:right w:val="nil"/>
            </w:tcBorders>
            <w:shd w:val="clear" w:color="000000" w:fill="FFFFFF"/>
            <w:noWrap/>
            <w:vAlign w:val="center"/>
            <w:hideMark/>
          </w:tcPr>
          <w:p w14:paraId="12AA28B3"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455</w:t>
            </w:r>
          </w:p>
        </w:tc>
        <w:tc>
          <w:tcPr>
            <w:tcW w:w="856" w:type="dxa"/>
            <w:tcBorders>
              <w:top w:val="nil"/>
              <w:left w:val="nil"/>
              <w:bottom w:val="nil"/>
              <w:right w:val="nil"/>
            </w:tcBorders>
            <w:shd w:val="clear" w:color="000000" w:fill="F2F2F2"/>
            <w:noWrap/>
            <w:vAlign w:val="center"/>
            <w:hideMark/>
          </w:tcPr>
          <w:p w14:paraId="24E807FC"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644</w:t>
            </w:r>
          </w:p>
        </w:tc>
        <w:tc>
          <w:tcPr>
            <w:tcW w:w="856" w:type="dxa"/>
            <w:tcBorders>
              <w:top w:val="nil"/>
              <w:left w:val="nil"/>
              <w:bottom w:val="nil"/>
              <w:right w:val="nil"/>
            </w:tcBorders>
            <w:shd w:val="clear" w:color="000000" w:fill="F2F2F2"/>
            <w:noWrap/>
            <w:vAlign w:val="center"/>
            <w:hideMark/>
          </w:tcPr>
          <w:p w14:paraId="748727C9"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687</w:t>
            </w:r>
          </w:p>
        </w:tc>
        <w:tc>
          <w:tcPr>
            <w:tcW w:w="856" w:type="dxa"/>
            <w:tcBorders>
              <w:top w:val="nil"/>
              <w:left w:val="nil"/>
              <w:bottom w:val="nil"/>
              <w:right w:val="nil"/>
            </w:tcBorders>
            <w:shd w:val="clear" w:color="000000" w:fill="F2F2F2"/>
            <w:noWrap/>
            <w:vAlign w:val="center"/>
            <w:hideMark/>
          </w:tcPr>
          <w:p w14:paraId="000E30AD"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535</w:t>
            </w:r>
          </w:p>
        </w:tc>
        <w:tc>
          <w:tcPr>
            <w:tcW w:w="856" w:type="dxa"/>
            <w:tcBorders>
              <w:top w:val="nil"/>
              <w:left w:val="nil"/>
              <w:bottom w:val="nil"/>
              <w:right w:val="nil"/>
            </w:tcBorders>
            <w:shd w:val="clear" w:color="000000" w:fill="F2F2F2"/>
            <w:noWrap/>
            <w:vAlign w:val="center"/>
            <w:hideMark/>
          </w:tcPr>
          <w:p w14:paraId="3B6E0AA1"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572</w:t>
            </w:r>
          </w:p>
        </w:tc>
        <w:tc>
          <w:tcPr>
            <w:tcW w:w="946" w:type="dxa"/>
            <w:tcBorders>
              <w:top w:val="nil"/>
              <w:left w:val="nil"/>
              <w:bottom w:val="nil"/>
              <w:right w:val="nil"/>
            </w:tcBorders>
            <w:shd w:val="clear" w:color="auto" w:fill="auto"/>
            <w:vAlign w:val="center"/>
            <w:hideMark/>
          </w:tcPr>
          <w:p w14:paraId="079A9BA8" w14:textId="77777777" w:rsidR="000726A7" w:rsidRPr="00667CD1" w:rsidRDefault="000726A7" w:rsidP="000726A7">
            <w:pPr>
              <w:jc w:val="center"/>
              <w:rPr>
                <w:rFonts w:ascii="Arial" w:hAnsi="Arial" w:cs="Arial"/>
                <w:sz w:val="12"/>
                <w:szCs w:val="12"/>
                <w:lang w:eastAsia="en-AU"/>
              </w:rPr>
            </w:pPr>
            <w:r w:rsidRPr="00667CD1">
              <w:rPr>
                <w:rFonts w:ascii="Arial" w:hAnsi="Arial" w:cs="Arial"/>
                <w:sz w:val="12"/>
                <w:szCs w:val="12"/>
                <w:lang w:eastAsia="en-AU"/>
              </w:rPr>
              <w:t>5.8</w:t>
            </w:r>
          </w:p>
        </w:tc>
      </w:tr>
      <w:tr w:rsidR="000726A7" w:rsidRPr="00667CD1" w14:paraId="38C662C3" w14:textId="77777777" w:rsidTr="00E26D63">
        <w:trPr>
          <w:trHeight w:val="340"/>
        </w:trPr>
        <w:tc>
          <w:tcPr>
            <w:tcW w:w="3478" w:type="dxa"/>
            <w:tcBorders>
              <w:top w:val="nil"/>
              <w:left w:val="nil"/>
              <w:bottom w:val="nil"/>
              <w:right w:val="nil"/>
            </w:tcBorders>
            <w:shd w:val="clear" w:color="000000" w:fill="FFFFFF"/>
            <w:vAlign w:val="center"/>
            <w:hideMark/>
          </w:tcPr>
          <w:p w14:paraId="5BE0BE46" w14:textId="77777777" w:rsidR="000726A7" w:rsidRPr="00667CD1" w:rsidRDefault="000726A7" w:rsidP="000726A7">
            <w:pPr>
              <w:rPr>
                <w:rFonts w:ascii="Arial" w:hAnsi="Arial" w:cs="Arial"/>
                <w:b/>
                <w:bCs/>
                <w:color w:val="008EBA"/>
                <w:sz w:val="12"/>
                <w:szCs w:val="12"/>
                <w:lang w:eastAsia="en-AU"/>
              </w:rPr>
            </w:pPr>
            <w:r w:rsidRPr="00667CD1">
              <w:rPr>
                <w:rFonts w:ascii="Arial" w:hAnsi="Arial" w:cs="Arial"/>
                <w:b/>
                <w:bCs/>
                <w:color w:val="008EBA"/>
                <w:sz w:val="12"/>
                <w:szCs w:val="12"/>
                <w:lang w:eastAsia="en-AU"/>
              </w:rPr>
              <w:t>Total Commonwealth grants</w:t>
            </w:r>
          </w:p>
        </w:tc>
        <w:tc>
          <w:tcPr>
            <w:tcW w:w="856" w:type="dxa"/>
            <w:tcBorders>
              <w:top w:val="nil"/>
              <w:left w:val="nil"/>
              <w:bottom w:val="nil"/>
              <w:right w:val="nil"/>
            </w:tcBorders>
            <w:shd w:val="clear" w:color="000000" w:fill="FFFFFF"/>
            <w:noWrap/>
            <w:vAlign w:val="center"/>
            <w:hideMark/>
          </w:tcPr>
          <w:p w14:paraId="57F05F84" w14:textId="77777777" w:rsidR="000726A7" w:rsidRPr="00667CD1" w:rsidRDefault="000726A7" w:rsidP="00E26D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31,282</w:t>
            </w:r>
          </w:p>
        </w:tc>
        <w:tc>
          <w:tcPr>
            <w:tcW w:w="856" w:type="dxa"/>
            <w:tcBorders>
              <w:top w:val="nil"/>
              <w:left w:val="nil"/>
              <w:bottom w:val="nil"/>
              <w:right w:val="nil"/>
            </w:tcBorders>
            <w:shd w:val="clear" w:color="000000" w:fill="FFFFFF"/>
            <w:noWrap/>
            <w:vAlign w:val="center"/>
            <w:hideMark/>
          </w:tcPr>
          <w:p w14:paraId="3B8D2DDC" w14:textId="77777777" w:rsidR="000726A7" w:rsidRPr="00667CD1" w:rsidRDefault="000726A7" w:rsidP="00E26D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33,694</w:t>
            </w:r>
          </w:p>
        </w:tc>
        <w:tc>
          <w:tcPr>
            <w:tcW w:w="856" w:type="dxa"/>
            <w:tcBorders>
              <w:top w:val="nil"/>
              <w:left w:val="nil"/>
              <w:bottom w:val="nil"/>
              <w:right w:val="nil"/>
            </w:tcBorders>
            <w:shd w:val="clear" w:color="000000" w:fill="F2F2F2"/>
            <w:noWrap/>
            <w:vAlign w:val="center"/>
            <w:hideMark/>
          </w:tcPr>
          <w:p w14:paraId="322521C5" w14:textId="77777777" w:rsidR="000726A7" w:rsidRPr="00667CD1" w:rsidRDefault="000726A7" w:rsidP="00E26D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32,687</w:t>
            </w:r>
          </w:p>
        </w:tc>
        <w:tc>
          <w:tcPr>
            <w:tcW w:w="856" w:type="dxa"/>
            <w:tcBorders>
              <w:top w:val="nil"/>
              <w:left w:val="nil"/>
              <w:bottom w:val="nil"/>
              <w:right w:val="nil"/>
            </w:tcBorders>
            <w:shd w:val="clear" w:color="000000" w:fill="F2F2F2"/>
            <w:noWrap/>
            <w:vAlign w:val="center"/>
            <w:hideMark/>
          </w:tcPr>
          <w:p w14:paraId="558D5C08" w14:textId="77777777" w:rsidR="000726A7" w:rsidRPr="00667CD1" w:rsidRDefault="000726A7" w:rsidP="00E26D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36,185</w:t>
            </w:r>
          </w:p>
        </w:tc>
        <w:tc>
          <w:tcPr>
            <w:tcW w:w="856" w:type="dxa"/>
            <w:tcBorders>
              <w:top w:val="nil"/>
              <w:left w:val="nil"/>
              <w:bottom w:val="nil"/>
              <w:right w:val="nil"/>
            </w:tcBorders>
            <w:shd w:val="clear" w:color="000000" w:fill="F2F2F2"/>
            <w:noWrap/>
            <w:vAlign w:val="center"/>
            <w:hideMark/>
          </w:tcPr>
          <w:p w14:paraId="2B10741A" w14:textId="77777777" w:rsidR="000726A7" w:rsidRPr="00667CD1" w:rsidRDefault="000726A7" w:rsidP="00E26D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36,788</w:t>
            </w:r>
          </w:p>
        </w:tc>
        <w:tc>
          <w:tcPr>
            <w:tcW w:w="856" w:type="dxa"/>
            <w:tcBorders>
              <w:top w:val="nil"/>
              <w:left w:val="nil"/>
              <w:bottom w:val="nil"/>
              <w:right w:val="nil"/>
            </w:tcBorders>
            <w:shd w:val="clear" w:color="000000" w:fill="F2F2F2"/>
            <w:noWrap/>
            <w:vAlign w:val="center"/>
            <w:hideMark/>
          </w:tcPr>
          <w:p w14:paraId="3142D114" w14:textId="77777777" w:rsidR="000726A7" w:rsidRPr="00667CD1" w:rsidRDefault="000726A7" w:rsidP="00E26D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37,665</w:t>
            </w:r>
          </w:p>
        </w:tc>
        <w:tc>
          <w:tcPr>
            <w:tcW w:w="946" w:type="dxa"/>
            <w:tcBorders>
              <w:top w:val="nil"/>
              <w:left w:val="nil"/>
              <w:bottom w:val="nil"/>
              <w:right w:val="nil"/>
            </w:tcBorders>
            <w:shd w:val="clear" w:color="auto" w:fill="auto"/>
            <w:noWrap/>
            <w:vAlign w:val="center"/>
            <w:hideMark/>
          </w:tcPr>
          <w:p w14:paraId="6B5BB89E" w14:textId="77777777" w:rsidR="000726A7" w:rsidRPr="00667CD1" w:rsidRDefault="000726A7" w:rsidP="000726A7">
            <w:pPr>
              <w:jc w:val="center"/>
              <w:rPr>
                <w:rFonts w:ascii="Arial" w:hAnsi="Arial" w:cs="Arial"/>
                <w:b/>
                <w:bCs/>
                <w:color w:val="008EBA"/>
                <w:sz w:val="12"/>
                <w:szCs w:val="12"/>
                <w:lang w:eastAsia="en-AU"/>
              </w:rPr>
            </w:pPr>
            <w:r w:rsidRPr="00667CD1">
              <w:rPr>
                <w:rFonts w:ascii="Arial" w:hAnsi="Arial" w:cs="Arial"/>
                <w:b/>
                <w:bCs/>
                <w:color w:val="008EBA"/>
                <w:sz w:val="12"/>
                <w:szCs w:val="12"/>
                <w:lang w:eastAsia="en-AU"/>
              </w:rPr>
              <w:t>2.8</w:t>
            </w:r>
          </w:p>
        </w:tc>
      </w:tr>
      <w:tr w:rsidR="000726A7" w:rsidRPr="00667CD1" w14:paraId="0FFA6367" w14:textId="77777777" w:rsidTr="00E26D63">
        <w:trPr>
          <w:trHeight w:val="340"/>
        </w:trPr>
        <w:tc>
          <w:tcPr>
            <w:tcW w:w="3478" w:type="dxa"/>
            <w:tcBorders>
              <w:top w:val="nil"/>
              <w:left w:val="nil"/>
              <w:bottom w:val="nil"/>
              <w:right w:val="nil"/>
            </w:tcBorders>
            <w:shd w:val="clear" w:color="000000" w:fill="FFFFFF"/>
            <w:vAlign w:val="bottom"/>
            <w:hideMark/>
          </w:tcPr>
          <w:p w14:paraId="2DC792E8" w14:textId="77777777" w:rsidR="000726A7" w:rsidRPr="00667CD1" w:rsidRDefault="000726A7" w:rsidP="000726A7">
            <w:pPr>
              <w:rPr>
                <w:rFonts w:ascii="Arial" w:hAnsi="Arial" w:cs="Arial"/>
                <w:i/>
                <w:iCs/>
                <w:sz w:val="12"/>
                <w:szCs w:val="12"/>
                <w:lang w:eastAsia="en-AU"/>
              </w:rPr>
            </w:pPr>
            <w:r w:rsidRPr="00667CD1">
              <w:rPr>
                <w:rFonts w:ascii="Arial" w:hAnsi="Arial" w:cs="Arial"/>
                <w:i/>
                <w:iCs/>
                <w:sz w:val="12"/>
                <w:szCs w:val="12"/>
                <w:lang w:eastAsia="en-AU"/>
              </w:rPr>
              <w:t>Annual change in Commonwealth grants</w:t>
            </w:r>
          </w:p>
        </w:tc>
        <w:tc>
          <w:tcPr>
            <w:tcW w:w="856" w:type="dxa"/>
            <w:tcBorders>
              <w:top w:val="nil"/>
              <w:left w:val="nil"/>
              <w:bottom w:val="nil"/>
              <w:right w:val="nil"/>
            </w:tcBorders>
            <w:shd w:val="clear" w:color="auto" w:fill="auto"/>
            <w:noWrap/>
            <w:vAlign w:val="center"/>
            <w:hideMark/>
          </w:tcPr>
          <w:p w14:paraId="5C5B8D5F" w14:textId="77777777" w:rsidR="000726A7" w:rsidRPr="00667CD1" w:rsidRDefault="000726A7" w:rsidP="00E26D63">
            <w:pPr>
              <w:jc w:val="right"/>
              <w:rPr>
                <w:rFonts w:ascii="Arial" w:hAnsi="Arial" w:cs="Arial"/>
                <w:i/>
                <w:iCs/>
                <w:sz w:val="12"/>
                <w:szCs w:val="12"/>
                <w:lang w:eastAsia="en-AU"/>
              </w:rPr>
            </w:pPr>
            <w:r w:rsidRPr="00667CD1">
              <w:rPr>
                <w:rFonts w:ascii="Arial" w:hAnsi="Arial" w:cs="Arial"/>
                <w:i/>
                <w:iCs/>
                <w:sz w:val="12"/>
                <w:szCs w:val="12"/>
                <w:lang w:eastAsia="en-AU"/>
              </w:rPr>
              <w:t>1.7%</w:t>
            </w:r>
          </w:p>
        </w:tc>
        <w:tc>
          <w:tcPr>
            <w:tcW w:w="856" w:type="dxa"/>
            <w:tcBorders>
              <w:top w:val="nil"/>
              <w:left w:val="nil"/>
              <w:bottom w:val="nil"/>
              <w:right w:val="nil"/>
            </w:tcBorders>
            <w:shd w:val="clear" w:color="000000" w:fill="FFFFFF"/>
            <w:noWrap/>
            <w:vAlign w:val="center"/>
            <w:hideMark/>
          </w:tcPr>
          <w:p w14:paraId="3F4B4D1A" w14:textId="77777777" w:rsidR="000726A7" w:rsidRPr="00667CD1" w:rsidRDefault="000726A7" w:rsidP="00E26D63">
            <w:pPr>
              <w:jc w:val="right"/>
              <w:rPr>
                <w:rFonts w:ascii="Arial" w:hAnsi="Arial" w:cs="Arial"/>
                <w:i/>
                <w:iCs/>
                <w:sz w:val="12"/>
                <w:szCs w:val="12"/>
                <w:lang w:eastAsia="en-AU"/>
              </w:rPr>
            </w:pPr>
            <w:r w:rsidRPr="00667CD1">
              <w:rPr>
                <w:rFonts w:ascii="Arial" w:hAnsi="Arial" w:cs="Arial"/>
                <w:i/>
                <w:iCs/>
                <w:sz w:val="12"/>
                <w:szCs w:val="12"/>
                <w:lang w:eastAsia="en-AU"/>
              </w:rPr>
              <w:t>7.7%</w:t>
            </w:r>
          </w:p>
        </w:tc>
        <w:tc>
          <w:tcPr>
            <w:tcW w:w="856" w:type="dxa"/>
            <w:tcBorders>
              <w:top w:val="nil"/>
              <w:left w:val="nil"/>
              <w:bottom w:val="nil"/>
              <w:right w:val="nil"/>
            </w:tcBorders>
            <w:shd w:val="clear" w:color="000000" w:fill="F2F2F2"/>
            <w:noWrap/>
            <w:vAlign w:val="center"/>
            <w:hideMark/>
          </w:tcPr>
          <w:p w14:paraId="46D9C53F" w14:textId="77777777" w:rsidR="000726A7" w:rsidRPr="00667CD1" w:rsidRDefault="000726A7" w:rsidP="00E26D63">
            <w:pPr>
              <w:jc w:val="right"/>
              <w:rPr>
                <w:rFonts w:ascii="Arial" w:hAnsi="Arial" w:cs="Arial"/>
                <w:i/>
                <w:iCs/>
                <w:sz w:val="12"/>
                <w:szCs w:val="12"/>
                <w:lang w:eastAsia="en-AU"/>
              </w:rPr>
            </w:pPr>
            <w:r w:rsidRPr="00667CD1">
              <w:rPr>
                <w:rFonts w:ascii="Arial" w:hAnsi="Arial" w:cs="Arial"/>
                <w:i/>
                <w:iCs/>
                <w:sz w:val="12"/>
                <w:szCs w:val="12"/>
                <w:lang w:eastAsia="en-AU"/>
              </w:rPr>
              <w:t>-3.0%</w:t>
            </w:r>
          </w:p>
        </w:tc>
        <w:tc>
          <w:tcPr>
            <w:tcW w:w="856" w:type="dxa"/>
            <w:tcBorders>
              <w:top w:val="nil"/>
              <w:left w:val="nil"/>
              <w:bottom w:val="nil"/>
              <w:right w:val="nil"/>
            </w:tcBorders>
            <w:shd w:val="clear" w:color="000000" w:fill="F2F2F2"/>
            <w:noWrap/>
            <w:vAlign w:val="center"/>
            <w:hideMark/>
          </w:tcPr>
          <w:p w14:paraId="2B70E3D2" w14:textId="77777777" w:rsidR="000726A7" w:rsidRPr="00667CD1" w:rsidRDefault="000726A7" w:rsidP="00E26D63">
            <w:pPr>
              <w:jc w:val="right"/>
              <w:rPr>
                <w:rFonts w:ascii="Arial" w:hAnsi="Arial" w:cs="Arial"/>
                <w:i/>
                <w:iCs/>
                <w:sz w:val="12"/>
                <w:szCs w:val="12"/>
                <w:lang w:eastAsia="en-AU"/>
              </w:rPr>
            </w:pPr>
            <w:r w:rsidRPr="00667CD1">
              <w:rPr>
                <w:rFonts w:ascii="Arial" w:hAnsi="Arial" w:cs="Arial"/>
                <w:i/>
                <w:iCs/>
                <w:sz w:val="12"/>
                <w:szCs w:val="12"/>
                <w:lang w:eastAsia="en-AU"/>
              </w:rPr>
              <w:t>10.7%</w:t>
            </w:r>
          </w:p>
        </w:tc>
        <w:tc>
          <w:tcPr>
            <w:tcW w:w="856" w:type="dxa"/>
            <w:tcBorders>
              <w:top w:val="nil"/>
              <w:left w:val="nil"/>
              <w:bottom w:val="nil"/>
              <w:right w:val="nil"/>
            </w:tcBorders>
            <w:shd w:val="clear" w:color="000000" w:fill="F2F2F2"/>
            <w:noWrap/>
            <w:vAlign w:val="center"/>
            <w:hideMark/>
          </w:tcPr>
          <w:p w14:paraId="24E0B247" w14:textId="77777777" w:rsidR="000726A7" w:rsidRPr="00667CD1" w:rsidRDefault="000726A7" w:rsidP="00E26D63">
            <w:pPr>
              <w:jc w:val="right"/>
              <w:rPr>
                <w:rFonts w:ascii="Arial" w:hAnsi="Arial" w:cs="Arial"/>
                <w:i/>
                <w:iCs/>
                <w:sz w:val="12"/>
                <w:szCs w:val="12"/>
                <w:lang w:eastAsia="en-AU"/>
              </w:rPr>
            </w:pPr>
            <w:r w:rsidRPr="00667CD1">
              <w:rPr>
                <w:rFonts w:ascii="Arial" w:hAnsi="Arial" w:cs="Arial"/>
                <w:i/>
                <w:iCs/>
                <w:sz w:val="12"/>
                <w:szCs w:val="12"/>
                <w:lang w:eastAsia="en-AU"/>
              </w:rPr>
              <w:t>1.7%</w:t>
            </w:r>
          </w:p>
        </w:tc>
        <w:tc>
          <w:tcPr>
            <w:tcW w:w="856" w:type="dxa"/>
            <w:tcBorders>
              <w:top w:val="nil"/>
              <w:left w:val="nil"/>
              <w:bottom w:val="nil"/>
              <w:right w:val="nil"/>
            </w:tcBorders>
            <w:shd w:val="clear" w:color="000000" w:fill="F2F2F2"/>
            <w:noWrap/>
            <w:vAlign w:val="center"/>
            <w:hideMark/>
          </w:tcPr>
          <w:p w14:paraId="5B24101A" w14:textId="77777777" w:rsidR="000726A7" w:rsidRPr="00667CD1" w:rsidRDefault="000726A7" w:rsidP="00E26D63">
            <w:pPr>
              <w:jc w:val="right"/>
              <w:rPr>
                <w:rFonts w:ascii="Arial" w:hAnsi="Arial" w:cs="Arial"/>
                <w:i/>
                <w:iCs/>
                <w:sz w:val="12"/>
                <w:szCs w:val="12"/>
                <w:lang w:eastAsia="en-AU"/>
              </w:rPr>
            </w:pPr>
            <w:r w:rsidRPr="00667CD1">
              <w:rPr>
                <w:rFonts w:ascii="Arial" w:hAnsi="Arial" w:cs="Arial"/>
                <w:i/>
                <w:iCs/>
                <w:sz w:val="12"/>
                <w:szCs w:val="12"/>
                <w:lang w:eastAsia="en-AU"/>
              </w:rPr>
              <w:t>2.4%</w:t>
            </w:r>
          </w:p>
        </w:tc>
        <w:tc>
          <w:tcPr>
            <w:tcW w:w="946" w:type="dxa"/>
            <w:tcBorders>
              <w:top w:val="nil"/>
              <w:left w:val="nil"/>
              <w:bottom w:val="nil"/>
              <w:right w:val="nil"/>
            </w:tcBorders>
            <w:shd w:val="clear" w:color="auto" w:fill="auto"/>
            <w:noWrap/>
            <w:vAlign w:val="bottom"/>
            <w:hideMark/>
          </w:tcPr>
          <w:p w14:paraId="118AAC23" w14:textId="77777777" w:rsidR="000726A7" w:rsidRPr="00667CD1" w:rsidRDefault="000726A7" w:rsidP="000726A7">
            <w:pPr>
              <w:jc w:val="center"/>
              <w:rPr>
                <w:rFonts w:ascii="Arial" w:hAnsi="Arial" w:cs="Arial"/>
                <w:i/>
                <w:iCs/>
                <w:sz w:val="12"/>
                <w:szCs w:val="12"/>
                <w:lang w:eastAsia="en-AU"/>
              </w:rPr>
            </w:pPr>
          </w:p>
        </w:tc>
      </w:tr>
      <w:tr w:rsidR="000726A7" w:rsidRPr="00667CD1" w14:paraId="4B0B3624" w14:textId="77777777" w:rsidTr="00E26D63">
        <w:trPr>
          <w:trHeight w:val="340"/>
        </w:trPr>
        <w:tc>
          <w:tcPr>
            <w:tcW w:w="3478" w:type="dxa"/>
            <w:tcBorders>
              <w:top w:val="nil"/>
              <w:left w:val="nil"/>
              <w:bottom w:val="nil"/>
              <w:right w:val="nil"/>
            </w:tcBorders>
            <w:shd w:val="clear" w:color="000000" w:fill="FFFFFF"/>
            <w:vAlign w:val="center"/>
            <w:hideMark/>
          </w:tcPr>
          <w:p w14:paraId="13C43219" w14:textId="77777777" w:rsidR="000726A7" w:rsidRPr="00667CD1" w:rsidRDefault="000726A7" w:rsidP="000726A7">
            <w:pPr>
              <w:rPr>
                <w:rFonts w:ascii="Arial" w:hAnsi="Arial" w:cs="Arial"/>
                <w:sz w:val="12"/>
                <w:szCs w:val="12"/>
                <w:lang w:eastAsia="en-AU"/>
              </w:rPr>
            </w:pPr>
            <w:r w:rsidRPr="00667CD1">
              <w:rPr>
                <w:rFonts w:ascii="Arial" w:hAnsi="Arial" w:cs="Arial"/>
                <w:sz w:val="12"/>
                <w:szCs w:val="12"/>
                <w:lang w:eastAsia="en-AU"/>
              </w:rPr>
              <w:t xml:space="preserve">Other grants </w:t>
            </w:r>
          </w:p>
        </w:tc>
        <w:tc>
          <w:tcPr>
            <w:tcW w:w="856" w:type="dxa"/>
            <w:tcBorders>
              <w:top w:val="nil"/>
              <w:left w:val="nil"/>
              <w:bottom w:val="nil"/>
              <w:right w:val="nil"/>
            </w:tcBorders>
            <w:shd w:val="clear" w:color="000000" w:fill="FFFFFF"/>
            <w:noWrap/>
            <w:vAlign w:val="center"/>
            <w:hideMark/>
          </w:tcPr>
          <w:p w14:paraId="68C2AE17"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567</w:t>
            </w:r>
          </w:p>
        </w:tc>
        <w:tc>
          <w:tcPr>
            <w:tcW w:w="856" w:type="dxa"/>
            <w:tcBorders>
              <w:top w:val="nil"/>
              <w:left w:val="nil"/>
              <w:bottom w:val="nil"/>
              <w:right w:val="nil"/>
            </w:tcBorders>
            <w:shd w:val="clear" w:color="000000" w:fill="FFFFFF"/>
            <w:noWrap/>
            <w:vAlign w:val="center"/>
            <w:hideMark/>
          </w:tcPr>
          <w:p w14:paraId="0F9D8D5D"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613</w:t>
            </w:r>
          </w:p>
        </w:tc>
        <w:tc>
          <w:tcPr>
            <w:tcW w:w="856" w:type="dxa"/>
            <w:tcBorders>
              <w:top w:val="nil"/>
              <w:left w:val="nil"/>
              <w:bottom w:val="nil"/>
              <w:right w:val="nil"/>
            </w:tcBorders>
            <w:shd w:val="clear" w:color="000000" w:fill="F2F2F2"/>
            <w:noWrap/>
            <w:vAlign w:val="center"/>
            <w:hideMark/>
          </w:tcPr>
          <w:p w14:paraId="2A44D691"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638</w:t>
            </w:r>
          </w:p>
        </w:tc>
        <w:tc>
          <w:tcPr>
            <w:tcW w:w="856" w:type="dxa"/>
            <w:tcBorders>
              <w:top w:val="nil"/>
              <w:left w:val="nil"/>
              <w:bottom w:val="nil"/>
              <w:right w:val="nil"/>
            </w:tcBorders>
            <w:shd w:val="clear" w:color="000000" w:fill="F2F2F2"/>
            <w:noWrap/>
            <w:vAlign w:val="center"/>
            <w:hideMark/>
          </w:tcPr>
          <w:p w14:paraId="2DE851D8"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604</w:t>
            </w:r>
          </w:p>
        </w:tc>
        <w:tc>
          <w:tcPr>
            <w:tcW w:w="856" w:type="dxa"/>
            <w:tcBorders>
              <w:top w:val="nil"/>
              <w:left w:val="nil"/>
              <w:bottom w:val="nil"/>
              <w:right w:val="nil"/>
            </w:tcBorders>
            <w:shd w:val="clear" w:color="000000" w:fill="F2F2F2"/>
            <w:noWrap/>
            <w:vAlign w:val="center"/>
            <w:hideMark/>
          </w:tcPr>
          <w:p w14:paraId="449884CA"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612</w:t>
            </w:r>
          </w:p>
        </w:tc>
        <w:tc>
          <w:tcPr>
            <w:tcW w:w="856" w:type="dxa"/>
            <w:tcBorders>
              <w:top w:val="nil"/>
              <w:left w:val="nil"/>
              <w:bottom w:val="nil"/>
              <w:right w:val="nil"/>
            </w:tcBorders>
            <w:shd w:val="clear" w:color="000000" w:fill="F2F2F2"/>
            <w:noWrap/>
            <w:vAlign w:val="center"/>
            <w:hideMark/>
          </w:tcPr>
          <w:p w14:paraId="2A2B1180" w14:textId="77777777" w:rsidR="000726A7" w:rsidRPr="00667CD1" w:rsidRDefault="000726A7" w:rsidP="00E26D63">
            <w:pPr>
              <w:jc w:val="right"/>
              <w:rPr>
                <w:rFonts w:ascii="Arial" w:hAnsi="Arial" w:cs="Arial"/>
                <w:sz w:val="12"/>
                <w:szCs w:val="12"/>
                <w:lang w:eastAsia="en-AU"/>
              </w:rPr>
            </w:pPr>
            <w:r w:rsidRPr="00667CD1">
              <w:rPr>
                <w:rFonts w:ascii="Arial" w:hAnsi="Arial" w:cs="Arial"/>
                <w:sz w:val="12"/>
                <w:szCs w:val="12"/>
                <w:lang w:eastAsia="en-AU"/>
              </w:rPr>
              <w:t>657</w:t>
            </w:r>
          </w:p>
        </w:tc>
        <w:tc>
          <w:tcPr>
            <w:tcW w:w="946" w:type="dxa"/>
            <w:tcBorders>
              <w:top w:val="nil"/>
              <w:left w:val="nil"/>
              <w:bottom w:val="nil"/>
              <w:right w:val="nil"/>
            </w:tcBorders>
            <w:shd w:val="clear" w:color="auto" w:fill="auto"/>
            <w:vAlign w:val="center"/>
            <w:hideMark/>
          </w:tcPr>
          <w:p w14:paraId="514B265A" w14:textId="77777777" w:rsidR="000726A7" w:rsidRPr="00667CD1" w:rsidRDefault="000726A7" w:rsidP="000726A7">
            <w:pPr>
              <w:jc w:val="center"/>
              <w:rPr>
                <w:rFonts w:ascii="Arial" w:hAnsi="Arial" w:cs="Arial"/>
                <w:sz w:val="12"/>
                <w:szCs w:val="12"/>
                <w:lang w:eastAsia="en-AU"/>
              </w:rPr>
            </w:pPr>
            <w:r w:rsidRPr="00667CD1">
              <w:rPr>
                <w:rFonts w:ascii="Arial" w:hAnsi="Arial" w:cs="Arial"/>
                <w:sz w:val="12"/>
                <w:szCs w:val="12"/>
                <w:lang w:eastAsia="en-AU"/>
              </w:rPr>
              <w:t>1.8</w:t>
            </w:r>
          </w:p>
        </w:tc>
      </w:tr>
      <w:tr w:rsidR="00E26D63" w:rsidRPr="00667CD1" w14:paraId="54A8374A" w14:textId="77777777" w:rsidTr="00E26D63">
        <w:trPr>
          <w:trHeight w:val="340"/>
        </w:trPr>
        <w:tc>
          <w:tcPr>
            <w:tcW w:w="3478" w:type="dxa"/>
            <w:tcBorders>
              <w:top w:val="single" w:sz="4" w:space="0" w:color="auto"/>
              <w:left w:val="nil"/>
              <w:bottom w:val="single" w:sz="4" w:space="0" w:color="auto"/>
              <w:right w:val="nil"/>
            </w:tcBorders>
            <w:shd w:val="clear" w:color="000000" w:fill="FFFFFF"/>
            <w:noWrap/>
            <w:vAlign w:val="center"/>
            <w:hideMark/>
          </w:tcPr>
          <w:p w14:paraId="0828EF0E" w14:textId="77777777" w:rsidR="000726A7" w:rsidRPr="00667CD1" w:rsidRDefault="000726A7" w:rsidP="000726A7">
            <w:pPr>
              <w:rPr>
                <w:rFonts w:ascii="Arial" w:hAnsi="Arial" w:cs="Arial"/>
                <w:b/>
                <w:bCs/>
                <w:color w:val="008EBA"/>
                <w:sz w:val="12"/>
                <w:szCs w:val="12"/>
                <w:lang w:eastAsia="en-AU"/>
              </w:rPr>
            </w:pPr>
            <w:r w:rsidRPr="00667CD1">
              <w:rPr>
                <w:rFonts w:ascii="Arial" w:hAnsi="Arial" w:cs="Arial"/>
                <w:b/>
                <w:bCs/>
                <w:color w:val="008EBA"/>
                <w:sz w:val="12"/>
                <w:szCs w:val="12"/>
                <w:lang w:eastAsia="en-AU"/>
              </w:rPr>
              <w:t>Total grant revenue</w:t>
            </w:r>
          </w:p>
        </w:tc>
        <w:tc>
          <w:tcPr>
            <w:tcW w:w="856" w:type="dxa"/>
            <w:tcBorders>
              <w:top w:val="single" w:sz="4" w:space="0" w:color="auto"/>
              <w:left w:val="nil"/>
              <w:bottom w:val="single" w:sz="4" w:space="0" w:color="auto"/>
              <w:right w:val="nil"/>
            </w:tcBorders>
            <w:shd w:val="clear" w:color="000000" w:fill="FFFFFF"/>
            <w:noWrap/>
            <w:vAlign w:val="center"/>
            <w:hideMark/>
          </w:tcPr>
          <w:p w14:paraId="256795BF" w14:textId="77777777" w:rsidR="000726A7" w:rsidRPr="00667CD1" w:rsidRDefault="000726A7" w:rsidP="00E26D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31,848</w:t>
            </w:r>
          </w:p>
        </w:tc>
        <w:tc>
          <w:tcPr>
            <w:tcW w:w="856" w:type="dxa"/>
            <w:tcBorders>
              <w:top w:val="single" w:sz="4" w:space="0" w:color="auto"/>
              <w:left w:val="nil"/>
              <w:bottom w:val="single" w:sz="4" w:space="0" w:color="auto"/>
              <w:right w:val="nil"/>
            </w:tcBorders>
            <w:shd w:val="clear" w:color="000000" w:fill="FFFFFF"/>
            <w:noWrap/>
            <w:vAlign w:val="center"/>
            <w:hideMark/>
          </w:tcPr>
          <w:p w14:paraId="11E899EE" w14:textId="77777777" w:rsidR="000726A7" w:rsidRPr="00667CD1" w:rsidRDefault="000726A7" w:rsidP="00E26D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34,306</w:t>
            </w:r>
          </w:p>
        </w:tc>
        <w:tc>
          <w:tcPr>
            <w:tcW w:w="856" w:type="dxa"/>
            <w:tcBorders>
              <w:top w:val="single" w:sz="4" w:space="0" w:color="auto"/>
              <w:left w:val="nil"/>
              <w:bottom w:val="single" w:sz="4" w:space="0" w:color="auto"/>
              <w:right w:val="nil"/>
            </w:tcBorders>
            <w:shd w:val="clear" w:color="000000" w:fill="F2F2F2"/>
            <w:noWrap/>
            <w:vAlign w:val="center"/>
            <w:hideMark/>
          </w:tcPr>
          <w:p w14:paraId="2365F543" w14:textId="77777777" w:rsidR="000726A7" w:rsidRPr="00667CD1" w:rsidRDefault="000726A7" w:rsidP="00E26D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33,325</w:t>
            </w:r>
          </w:p>
        </w:tc>
        <w:tc>
          <w:tcPr>
            <w:tcW w:w="856" w:type="dxa"/>
            <w:tcBorders>
              <w:top w:val="single" w:sz="4" w:space="0" w:color="auto"/>
              <w:left w:val="nil"/>
              <w:bottom w:val="single" w:sz="4" w:space="0" w:color="auto"/>
              <w:right w:val="nil"/>
            </w:tcBorders>
            <w:shd w:val="clear" w:color="000000" w:fill="F2F2F2"/>
            <w:noWrap/>
            <w:vAlign w:val="center"/>
            <w:hideMark/>
          </w:tcPr>
          <w:p w14:paraId="197ECEDA" w14:textId="77777777" w:rsidR="000726A7" w:rsidRPr="00667CD1" w:rsidRDefault="000726A7" w:rsidP="00E26D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36,788</w:t>
            </w:r>
          </w:p>
        </w:tc>
        <w:tc>
          <w:tcPr>
            <w:tcW w:w="856" w:type="dxa"/>
            <w:tcBorders>
              <w:top w:val="single" w:sz="4" w:space="0" w:color="auto"/>
              <w:left w:val="nil"/>
              <w:bottom w:val="single" w:sz="4" w:space="0" w:color="auto"/>
              <w:right w:val="nil"/>
            </w:tcBorders>
            <w:shd w:val="clear" w:color="000000" w:fill="F2F2F2"/>
            <w:noWrap/>
            <w:vAlign w:val="center"/>
            <w:hideMark/>
          </w:tcPr>
          <w:p w14:paraId="30D24DEC" w14:textId="77777777" w:rsidR="000726A7" w:rsidRPr="00667CD1" w:rsidRDefault="000726A7" w:rsidP="00E26D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37,399</w:t>
            </w:r>
          </w:p>
        </w:tc>
        <w:tc>
          <w:tcPr>
            <w:tcW w:w="856" w:type="dxa"/>
            <w:tcBorders>
              <w:top w:val="single" w:sz="4" w:space="0" w:color="auto"/>
              <w:left w:val="nil"/>
              <w:bottom w:val="single" w:sz="4" w:space="0" w:color="auto"/>
              <w:right w:val="nil"/>
            </w:tcBorders>
            <w:shd w:val="clear" w:color="000000" w:fill="F2F2F2"/>
            <w:noWrap/>
            <w:vAlign w:val="center"/>
            <w:hideMark/>
          </w:tcPr>
          <w:p w14:paraId="0F043094" w14:textId="77777777" w:rsidR="000726A7" w:rsidRPr="00667CD1" w:rsidRDefault="000726A7" w:rsidP="00E26D63">
            <w:pPr>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38,323</w:t>
            </w:r>
          </w:p>
        </w:tc>
        <w:tc>
          <w:tcPr>
            <w:tcW w:w="946" w:type="dxa"/>
            <w:tcBorders>
              <w:top w:val="single" w:sz="4" w:space="0" w:color="auto"/>
              <w:left w:val="nil"/>
              <w:bottom w:val="single" w:sz="4" w:space="0" w:color="auto"/>
              <w:right w:val="nil"/>
            </w:tcBorders>
            <w:shd w:val="clear" w:color="auto" w:fill="auto"/>
            <w:noWrap/>
            <w:vAlign w:val="center"/>
            <w:hideMark/>
          </w:tcPr>
          <w:p w14:paraId="2EC84913" w14:textId="77777777" w:rsidR="000726A7" w:rsidRPr="00667CD1" w:rsidRDefault="000726A7" w:rsidP="000726A7">
            <w:pPr>
              <w:jc w:val="center"/>
              <w:rPr>
                <w:rFonts w:ascii="Arial" w:hAnsi="Arial" w:cs="Arial"/>
                <w:b/>
                <w:bCs/>
                <w:color w:val="008EBA"/>
                <w:sz w:val="12"/>
                <w:szCs w:val="12"/>
                <w:lang w:eastAsia="en-AU"/>
              </w:rPr>
            </w:pPr>
            <w:r w:rsidRPr="00667CD1">
              <w:rPr>
                <w:rFonts w:ascii="Arial" w:hAnsi="Arial" w:cs="Arial"/>
                <w:b/>
                <w:bCs/>
                <w:color w:val="008EBA"/>
                <w:sz w:val="12"/>
                <w:szCs w:val="12"/>
                <w:lang w:eastAsia="en-AU"/>
              </w:rPr>
              <w:t>2.8</w:t>
            </w:r>
          </w:p>
        </w:tc>
      </w:tr>
    </w:tbl>
    <w:p w14:paraId="1F047ECF" w14:textId="1F4AB4DB" w:rsidR="00AB441E" w:rsidRPr="00667CD1" w:rsidRDefault="00AB441E" w:rsidP="00081A92">
      <w:pPr>
        <w:rPr>
          <w:sz w:val="16"/>
          <w:szCs w:val="16"/>
        </w:rPr>
      </w:pPr>
    </w:p>
    <w:p w14:paraId="0A819229" w14:textId="77777777" w:rsidR="00AB441E" w:rsidRPr="00667CD1" w:rsidDel="00563E70" w:rsidRDefault="00AB441E" w:rsidP="00AB441E">
      <w:pPr>
        <w:pStyle w:val="Heading3"/>
        <w:numPr>
          <w:ilvl w:val="0"/>
          <w:numId w:val="0"/>
        </w:numPr>
        <w:ind w:left="720" w:hanging="720"/>
        <w:rPr>
          <w:rFonts w:eastAsia="Arial Unicode MS"/>
          <w:sz w:val="22"/>
          <w:szCs w:val="28"/>
        </w:rPr>
      </w:pPr>
      <w:r w:rsidRPr="00667CD1">
        <w:rPr>
          <w:rFonts w:eastAsia="Arial Unicode MS"/>
          <w:sz w:val="22"/>
          <w:szCs w:val="28"/>
        </w:rPr>
        <w:t>General purpose grants</w:t>
      </w:r>
    </w:p>
    <w:p w14:paraId="3241C5DA" w14:textId="61FDF18C" w:rsidR="00F6485F" w:rsidRPr="00667CD1" w:rsidRDefault="00F6485F" w:rsidP="00DC5EFC">
      <w:pPr>
        <w:pStyle w:val="BodyText"/>
        <w:rPr>
          <w:sz w:val="20"/>
          <w:szCs w:val="16"/>
        </w:rPr>
      </w:pPr>
      <w:r w:rsidRPr="00667CD1">
        <w:rPr>
          <w:sz w:val="20"/>
          <w:szCs w:val="16"/>
        </w:rPr>
        <w:t>The pandemic is expected to significantly reduce New South Wales</w:t>
      </w:r>
      <w:r w:rsidR="00625DCA" w:rsidRPr="00667CD1">
        <w:rPr>
          <w:sz w:val="20"/>
          <w:szCs w:val="16"/>
        </w:rPr>
        <w:t>’</w:t>
      </w:r>
      <w:r w:rsidRPr="00667CD1">
        <w:rPr>
          <w:sz w:val="20"/>
          <w:szCs w:val="16"/>
        </w:rPr>
        <w:t xml:space="preserve"> GST</w:t>
      </w:r>
      <w:r w:rsidR="00054BA3" w:rsidRPr="00667CD1">
        <w:rPr>
          <w:sz w:val="20"/>
          <w:szCs w:val="16"/>
        </w:rPr>
        <w:t xml:space="preserve">-derived revenue </w:t>
      </w:r>
      <w:r w:rsidRPr="00667CD1">
        <w:rPr>
          <w:sz w:val="20"/>
          <w:szCs w:val="16"/>
        </w:rPr>
        <w:t>over the coming years.</w:t>
      </w:r>
    </w:p>
    <w:p w14:paraId="2E8EC263" w14:textId="443F42E0" w:rsidR="00B21450" w:rsidRPr="00667CD1" w:rsidRDefault="00275D26" w:rsidP="00DC5EFC">
      <w:pPr>
        <w:pStyle w:val="BodyText"/>
        <w:rPr>
          <w:sz w:val="20"/>
          <w:szCs w:val="16"/>
        </w:rPr>
      </w:pPr>
      <w:r w:rsidRPr="00667CD1">
        <w:rPr>
          <w:sz w:val="20"/>
          <w:szCs w:val="16"/>
        </w:rPr>
        <w:t>New South Wales GST revenue</w:t>
      </w:r>
      <w:r w:rsidR="00882696" w:rsidRPr="00667CD1">
        <w:rPr>
          <w:sz w:val="20"/>
          <w:szCs w:val="16"/>
        </w:rPr>
        <w:t xml:space="preserve"> (including </w:t>
      </w:r>
      <w:r w:rsidR="00721169" w:rsidRPr="00667CD1">
        <w:rPr>
          <w:sz w:val="20"/>
          <w:szCs w:val="16"/>
        </w:rPr>
        <w:t>“</w:t>
      </w:r>
      <w:r w:rsidR="00882696" w:rsidRPr="00667CD1">
        <w:rPr>
          <w:sz w:val="20"/>
          <w:szCs w:val="16"/>
        </w:rPr>
        <w:t>no worse off</w:t>
      </w:r>
      <w:r w:rsidR="00721169" w:rsidRPr="00667CD1">
        <w:rPr>
          <w:sz w:val="20"/>
          <w:szCs w:val="16"/>
        </w:rPr>
        <w:t>”</w:t>
      </w:r>
      <w:r w:rsidR="00882696" w:rsidRPr="00667CD1">
        <w:rPr>
          <w:sz w:val="20"/>
          <w:szCs w:val="16"/>
        </w:rPr>
        <w:t xml:space="preserve"> payments)</w:t>
      </w:r>
      <w:r w:rsidRPr="00667CD1">
        <w:rPr>
          <w:sz w:val="20"/>
          <w:szCs w:val="16"/>
        </w:rPr>
        <w:t xml:space="preserve"> is e</w:t>
      </w:r>
      <w:r w:rsidR="00854F6C" w:rsidRPr="00667CD1">
        <w:rPr>
          <w:sz w:val="20"/>
          <w:szCs w:val="16"/>
        </w:rPr>
        <w:t>xpected</w:t>
      </w:r>
      <w:r w:rsidRPr="00667CD1">
        <w:rPr>
          <w:sz w:val="20"/>
          <w:szCs w:val="16"/>
        </w:rPr>
        <w:t xml:space="preserve"> to be $16.</w:t>
      </w:r>
      <w:r w:rsidR="00897898" w:rsidRPr="00667CD1">
        <w:rPr>
          <w:sz w:val="20"/>
          <w:szCs w:val="16"/>
        </w:rPr>
        <w:t>3</w:t>
      </w:r>
      <w:r w:rsidR="00261929" w:rsidRPr="00667CD1">
        <w:rPr>
          <w:sz w:val="20"/>
          <w:szCs w:val="16"/>
        </w:rPr>
        <w:t> </w:t>
      </w:r>
      <w:r w:rsidRPr="00667CD1">
        <w:rPr>
          <w:sz w:val="20"/>
          <w:szCs w:val="16"/>
        </w:rPr>
        <w:t xml:space="preserve">billion in 2020-21, 9.9 per cent lower than in 2019-20. </w:t>
      </w:r>
      <w:r w:rsidR="00AB441E" w:rsidRPr="00667CD1">
        <w:rPr>
          <w:sz w:val="20"/>
          <w:szCs w:val="16"/>
        </w:rPr>
        <w:t>Over the four years to 202</w:t>
      </w:r>
      <w:r w:rsidR="00504349" w:rsidRPr="00667CD1">
        <w:rPr>
          <w:sz w:val="20"/>
          <w:szCs w:val="16"/>
        </w:rPr>
        <w:t>3</w:t>
      </w:r>
      <w:r w:rsidR="00AB441E" w:rsidRPr="00667CD1">
        <w:rPr>
          <w:sz w:val="20"/>
          <w:szCs w:val="16"/>
        </w:rPr>
        <w:t>-2</w:t>
      </w:r>
      <w:r w:rsidR="00504349" w:rsidRPr="00667CD1">
        <w:rPr>
          <w:sz w:val="20"/>
          <w:szCs w:val="16"/>
        </w:rPr>
        <w:t>4</w:t>
      </w:r>
      <w:r w:rsidR="00AB441E" w:rsidRPr="00667CD1">
        <w:rPr>
          <w:sz w:val="20"/>
          <w:szCs w:val="16"/>
        </w:rPr>
        <w:t xml:space="preserve">, GST revenue </w:t>
      </w:r>
      <w:r w:rsidR="00882696" w:rsidRPr="00667CD1">
        <w:rPr>
          <w:sz w:val="20"/>
          <w:szCs w:val="16"/>
        </w:rPr>
        <w:t>is forecast to grow by an average of 2.</w:t>
      </w:r>
      <w:r w:rsidR="00122A44" w:rsidRPr="00667CD1">
        <w:rPr>
          <w:sz w:val="20"/>
          <w:szCs w:val="16"/>
        </w:rPr>
        <w:t>6</w:t>
      </w:r>
      <w:r w:rsidR="00882696" w:rsidRPr="00667CD1">
        <w:rPr>
          <w:sz w:val="20"/>
          <w:szCs w:val="16"/>
        </w:rPr>
        <w:t xml:space="preserve"> per cent</w:t>
      </w:r>
      <w:r w:rsidR="002269D9" w:rsidRPr="00667CD1">
        <w:rPr>
          <w:sz w:val="20"/>
          <w:szCs w:val="16"/>
        </w:rPr>
        <w:t xml:space="preserve"> </w:t>
      </w:r>
      <w:r w:rsidR="00854F6C" w:rsidRPr="00667CD1">
        <w:rPr>
          <w:sz w:val="20"/>
          <w:szCs w:val="16"/>
        </w:rPr>
        <w:t xml:space="preserve">per year </w:t>
      </w:r>
      <w:r w:rsidR="002269D9" w:rsidRPr="00667CD1">
        <w:rPr>
          <w:sz w:val="20"/>
          <w:szCs w:val="16"/>
        </w:rPr>
        <w:t>and be $8.7 billion lower</w:t>
      </w:r>
      <w:r w:rsidR="003B1CDD" w:rsidRPr="00667CD1">
        <w:rPr>
          <w:sz w:val="20"/>
          <w:szCs w:val="16"/>
        </w:rPr>
        <w:t xml:space="preserve"> </w:t>
      </w:r>
      <w:r w:rsidR="002269D9" w:rsidRPr="00667CD1">
        <w:rPr>
          <w:sz w:val="20"/>
          <w:szCs w:val="16"/>
        </w:rPr>
        <w:t>than</w:t>
      </w:r>
      <w:r w:rsidR="003B1CDD" w:rsidRPr="00667CD1">
        <w:rPr>
          <w:sz w:val="20"/>
          <w:szCs w:val="16"/>
        </w:rPr>
        <w:t xml:space="preserve"> </w:t>
      </w:r>
      <w:r w:rsidR="002269D9" w:rsidRPr="00667CD1">
        <w:rPr>
          <w:sz w:val="20"/>
          <w:szCs w:val="16"/>
        </w:rPr>
        <w:t xml:space="preserve">expected at the </w:t>
      </w:r>
      <w:r w:rsidR="00AB441E" w:rsidRPr="00667CD1">
        <w:rPr>
          <w:sz w:val="20"/>
          <w:szCs w:val="16"/>
        </w:rPr>
        <w:t xml:space="preserve">2019-20 </w:t>
      </w:r>
      <w:r w:rsidR="009F7B3E" w:rsidRPr="00667CD1">
        <w:rPr>
          <w:sz w:val="20"/>
          <w:szCs w:val="16"/>
        </w:rPr>
        <w:t>Half-Yearly</w:t>
      </w:r>
      <w:r w:rsidR="00AB441E" w:rsidRPr="00667CD1">
        <w:rPr>
          <w:sz w:val="20"/>
          <w:szCs w:val="16"/>
        </w:rPr>
        <w:t xml:space="preserve"> Review.</w:t>
      </w:r>
    </w:p>
    <w:p w14:paraId="1A376C75" w14:textId="77777777" w:rsidR="00C055C1" w:rsidRPr="00667CD1" w:rsidRDefault="00C055C1">
      <w:pPr>
        <w:spacing w:after="200" w:line="276" w:lineRule="auto"/>
        <w:rPr>
          <w:rFonts w:ascii="Arial" w:eastAsiaTheme="minorHAnsi" w:hAnsi="Arial" w:cs="Arial"/>
          <w:bCs/>
          <w:szCs w:val="16"/>
        </w:rPr>
      </w:pPr>
      <w:r w:rsidRPr="00667CD1">
        <w:rPr>
          <w:sz w:val="16"/>
          <w:szCs w:val="16"/>
        </w:rPr>
        <w:br w:type="page"/>
      </w:r>
    </w:p>
    <w:p w14:paraId="04DB9965" w14:textId="1C2D8AED" w:rsidR="00AB441E" w:rsidRPr="00667CD1" w:rsidRDefault="002269D9" w:rsidP="00DC5EFC">
      <w:pPr>
        <w:pStyle w:val="BodyText"/>
        <w:rPr>
          <w:sz w:val="20"/>
          <w:szCs w:val="16"/>
        </w:rPr>
      </w:pPr>
      <w:r w:rsidRPr="00667CD1">
        <w:rPr>
          <w:sz w:val="20"/>
          <w:szCs w:val="16"/>
        </w:rPr>
        <w:lastRenderedPageBreak/>
        <w:t xml:space="preserve">The main </w:t>
      </w:r>
      <w:r w:rsidR="00E15564" w:rsidRPr="00667CD1">
        <w:rPr>
          <w:sz w:val="20"/>
          <w:szCs w:val="16"/>
        </w:rPr>
        <w:t>cause of the downgrade is a weaker national GST pool, which is</w:t>
      </w:r>
      <w:r w:rsidR="001C3BB9" w:rsidRPr="00667CD1">
        <w:rPr>
          <w:sz w:val="20"/>
          <w:szCs w:val="16"/>
        </w:rPr>
        <w:t xml:space="preserve"> </w:t>
      </w:r>
      <w:r w:rsidR="00AB441E" w:rsidRPr="00667CD1">
        <w:rPr>
          <w:sz w:val="20"/>
          <w:szCs w:val="16"/>
        </w:rPr>
        <w:t>forecast to be $</w:t>
      </w:r>
      <w:r w:rsidR="00B03DCF" w:rsidRPr="00667CD1">
        <w:rPr>
          <w:sz w:val="20"/>
          <w:szCs w:val="16"/>
        </w:rPr>
        <w:t>32</w:t>
      </w:r>
      <w:r w:rsidR="00AB441E" w:rsidRPr="00667CD1">
        <w:rPr>
          <w:sz w:val="20"/>
          <w:szCs w:val="16"/>
        </w:rPr>
        <w:t>.</w:t>
      </w:r>
      <w:r w:rsidR="00BA1260" w:rsidRPr="00667CD1">
        <w:rPr>
          <w:sz w:val="20"/>
          <w:szCs w:val="16"/>
        </w:rPr>
        <w:t xml:space="preserve">5 </w:t>
      </w:r>
      <w:r w:rsidR="00AB441E" w:rsidRPr="00667CD1">
        <w:rPr>
          <w:sz w:val="20"/>
          <w:szCs w:val="16"/>
        </w:rPr>
        <w:t>billion lower over the four years to 202</w:t>
      </w:r>
      <w:r w:rsidR="00504349" w:rsidRPr="00667CD1">
        <w:rPr>
          <w:sz w:val="20"/>
          <w:szCs w:val="16"/>
        </w:rPr>
        <w:t>3</w:t>
      </w:r>
      <w:r w:rsidR="00AB441E" w:rsidRPr="00667CD1">
        <w:rPr>
          <w:sz w:val="20"/>
          <w:szCs w:val="16"/>
        </w:rPr>
        <w:t>-2</w:t>
      </w:r>
      <w:r w:rsidR="00504349" w:rsidRPr="00667CD1">
        <w:rPr>
          <w:sz w:val="20"/>
          <w:szCs w:val="16"/>
        </w:rPr>
        <w:t>4</w:t>
      </w:r>
      <w:r w:rsidR="006656A2" w:rsidRPr="00667CD1">
        <w:rPr>
          <w:sz w:val="20"/>
          <w:szCs w:val="16"/>
        </w:rPr>
        <w:t xml:space="preserve"> than expected at the 2019-20 Half-Yearly Review</w:t>
      </w:r>
      <w:r w:rsidR="008951F6" w:rsidRPr="00667CD1">
        <w:rPr>
          <w:sz w:val="20"/>
          <w:szCs w:val="16"/>
        </w:rPr>
        <w:t xml:space="preserve"> (see </w:t>
      </w:r>
      <w:r w:rsidR="006656A2" w:rsidRPr="00667CD1">
        <w:rPr>
          <w:sz w:val="20"/>
          <w:szCs w:val="16"/>
        </w:rPr>
        <w:t>B</w:t>
      </w:r>
      <w:r w:rsidR="008951F6" w:rsidRPr="00667CD1">
        <w:rPr>
          <w:sz w:val="20"/>
          <w:szCs w:val="16"/>
        </w:rPr>
        <w:t>ox 4.2)</w:t>
      </w:r>
      <w:r w:rsidR="00D8711B" w:rsidRPr="00667CD1">
        <w:rPr>
          <w:sz w:val="20"/>
          <w:szCs w:val="16"/>
        </w:rPr>
        <w:t xml:space="preserve">. </w:t>
      </w:r>
      <w:r w:rsidR="008951F6" w:rsidRPr="00667CD1">
        <w:rPr>
          <w:sz w:val="20"/>
          <w:szCs w:val="16"/>
        </w:rPr>
        <w:t xml:space="preserve">This downgrade is driven by </w:t>
      </w:r>
      <w:r w:rsidR="00AB441E" w:rsidRPr="00667CD1">
        <w:rPr>
          <w:sz w:val="20"/>
          <w:szCs w:val="16"/>
        </w:rPr>
        <w:t>large downward revisions to forecasts for taxable consumption</w:t>
      </w:r>
      <w:r w:rsidR="00572E9E" w:rsidRPr="00667CD1">
        <w:rPr>
          <w:sz w:val="20"/>
          <w:szCs w:val="16"/>
        </w:rPr>
        <w:t xml:space="preserve"> and private dwelling investment</w:t>
      </w:r>
      <w:r w:rsidR="006656A2" w:rsidRPr="00667CD1">
        <w:rPr>
          <w:sz w:val="20"/>
          <w:szCs w:val="16"/>
        </w:rPr>
        <w:t>.</w:t>
      </w:r>
      <w:r w:rsidR="00572E9E" w:rsidRPr="00667CD1">
        <w:rPr>
          <w:sz w:val="20"/>
          <w:szCs w:val="16"/>
        </w:rPr>
        <w:t xml:space="preserve"> </w:t>
      </w:r>
      <w:r w:rsidR="00AB441E" w:rsidRPr="00667CD1">
        <w:rPr>
          <w:sz w:val="20"/>
          <w:szCs w:val="16"/>
        </w:rPr>
        <w:t xml:space="preserve">In addition, unpaid GST debt </w:t>
      </w:r>
      <w:r w:rsidR="00625DCA" w:rsidRPr="00667CD1">
        <w:rPr>
          <w:sz w:val="20"/>
          <w:szCs w:val="16"/>
        </w:rPr>
        <w:t xml:space="preserve">(GST collected by businesses but not yet </w:t>
      </w:r>
      <w:r w:rsidR="00474FC1" w:rsidRPr="00667CD1">
        <w:rPr>
          <w:sz w:val="20"/>
          <w:szCs w:val="16"/>
        </w:rPr>
        <w:t>paid</w:t>
      </w:r>
      <w:r w:rsidR="00625DCA" w:rsidRPr="00667CD1">
        <w:rPr>
          <w:sz w:val="20"/>
          <w:szCs w:val="16"/>
        </w:rPr>
        <w:t xml:space="preserve"> to the Australian Tax Office) </w:t>
      </w:r>
      <w:r w:rsidR="00AB441E" w:rsidRPr="00667CD1">
        <w:rPr>
          <w:sz w:val="20"/>
          <w:szCs w:val="16"/>
        </w:rPr>
        <w:t>was much higher than expected in 2019-20, which has also reduced the GST pool.</w:t>
      </w:r>
    </w:p>
    <w:p w14:paraId="0E6C9834" w14:textId="37482F0B" w:rsidR="00AB441E" w:rsidRPr="00667CD1" w:rsidRDefault="00AB441E" w:rsidP="00DC5EFC">
      <w:pPr>
        <w:pStyle w:val="BodyText"/>
        <w:rPr>
          <w:sz w:val="20"/>
          <w:szCs w:val="16"/>
        </w:rPr>
      </w:pPr>
      <w:r w:rsidRPr="00667CD1">
        <w:rPr>
          <w:sz w:val="20"/>
          <w:szCs w:val="16"/>
        </w:rPr>
        <w:t xml:space="preserve">Weaker forecasts for the GST pool will be partly offset by an increase in New South Wales’ </w:t>
      </w:r>
      <w:r w:rsidR="00D77438" w:rsidRPr="00667CD1">
        <w:rPr>
          <w:sz w:val="20"/>
          <w:szCs w:val="16"/>
        </w:rPr>
        <w:t>forecast</w:t>
      </w:r>
      <w:r w:rsidRPr="00667CD1">
        <w:rPr>
          <w:sz w:val="20"/>
          <w:szCs w:val="16"/>
        </w:rPr>
        <w:t xml:space="preserve"> relativ</w:t>
      </w:r>
      <w:r w:rsidR="00D77438" w:rsidRPr="00667CD1">
        <w:rPr>
          <w:sz w:val="20"/>
          <w:szCs w:val="16"/>
        </w:rPr>
        <w:t>e GST share following completion of the Commonwealth Grant</w:t>
      </w:r>
      <w:r w:rsidR="00CC7589" w:rsidRPr="00667CD1">
        <w:rPr>
          <w:sz w:val="20"/>
          <w:szCs w:val="16"/>
        </w:rPr>
        <w:t xml:space="preserve">s Commission </w:t>
      </w:r>
      <w:r w:rsidR="00F978BE" w:rsidRPr="00667CD1">
        <w:rPr>
          <w:sz w:val="20"/>
          <w:szCs w:val="16"/>
        </w:rPr>
        <w:t>2020 Review</w:t>
      </w:r>
      <w:r w:rsidR="00A82B92" w:rsidRPr="00667CD1">
        <w:rPr>
          <w:sz w:val="20"/>
          <w:szCs w:val="16"/>
        </w:rPr>
        <w:t xml:space="preserve"> and strong Western Australian </w:t>
      </w:r>
      <w:proofErr w:type="gramStart"/>
      <w:r w:rsidR="00A82B92" w:rsidRPr="00667CD1">
        <w:rPr>
          <w:sz w:val="20"/>
          <w:szCs w:val="16"/>
        </w:rPr>
        <w:t>royalties</w:t>
      </w:r>
      <w:proofErr w:type="gramEnd"/>
      <w:r w:rsidR="00A82B92" w:rsidRPr="00667CD1">
        <w:rPr>
          <w:sz w:val="20"/>
          <w:szCs w:val="16"/>
        </w:rPr>
        <w:t xml:space="preserve"> revenue</w:t>
      </w:r>
      <w:r w:rsidR="0084023F" w:rsidRPr="00667CD1">
        <w:rPr>
          <w:sz w:val="20"/>
          <w:szCs w:val="16"/>
        </w:rPr>
        <w:t>.</w:t>
      </w:r>
    </w:p>
    <w:p w14:paraId="4497FA7A" w14:textId="56A5C6FD" w:rsidR="00445942" w:rsidRPr="00667CD1" w:rsidRDefault="00445942" w:rsidP="004811E7">
      <w:pPr>
        <w:pStyle w:val="Table4X"/>
        <w:tabs>
          <w:tab w:val="clear" w:pos="1134"/>
          <w:tab w:val="left" w:pos="1304"/>
        </w:tabs>
        <w:ind w:left="0" w:firstLine="0"/>
        <w:rPr>
          <w:sz w:val="18"/>
          <w:szCs w:val="18"/>
        </w:rPr>
      </w:pPr>
      <w:r w:rsidRPr="00667CD1">
        <w:rPr>
          <w:sz w:val="18"/>
          <w:szCs w:val="18"/>
        </w:rPr>
        <w:t xml:space="preserve">GST (including </w:t>
      </w:r>
      <w:r w:rsidR="00721169" w:rsidRPr="00667CD1">
        <w:rPr>
          <w:sz w:val="18"/>
          <w:szCs w:val="18"/>
        </w:rPr>
        <w:t>“</w:t>
      </w:r>
      <w:r w:rsidRPr="00667CD1">
        <w:rPr>
          <w:sz w:val="18"/>
          <w:szCs w:val="18"/>
        </w:rPr>
        <w:t>no worse off</w:t>
      </w:r>
      <w:r w:rsidR="00721169" w:rsidRPr="00667CD1">
        <w:rPr>
          <w:sz w:val="18"/>
          <w:szCs w:val="18"/>
        </w:rPr>
        <w:t>”</w:t>
      </w:r>
      <w:r w:rsidRPr="00667CD1">
        <w:rPr>
          <w:sz w:val="18"/>
          <w:szCs w:val="18"/>
        </w:rPr>
        <w:t>) revenues</w:t>
      </w:r>
      <w:r w:rsidR="00032B2A" w:rsidRPr="00667CD1">
        <w:rPr>
          <w:sz w:val="18"/>
          <w:szCs w:val="18"/>
        </w:rPr>
        <w:t xml:space="preserve"> to N</w:t>
      </w:r>
      <w:r w:rsidR="00684C3D" w:rsidRPr="00667CD1">
        <w:rPr>
          <w:sz w:val="18"/>
          <w:szCs w:val="18"/>
        </w:rPr>
        <w:t>SW</w:t>
      </w:r>
      <w:r w:rsidR="00032B2A" w:rsidRPr="00667CD1">
        <w:rPr>
          <w:sz w:val="18"/>
          <w:szCs w:val="18"/>
        </w:rPr>
        <w:t xml:space="preserve"> – reconciliation statement</w:t>
      </w:r>
      <w:r w:rsidR="00032B2A" w:rsidRPr="00667CD1">
        <w:rPr>
          <w:sz w:val="18"/>
          <w:szCs w:val="18"/>
          <w:vertAlign w:val="superscript"/>
        </w:rPr>
        <w:t>(a)</w:t>
      </w:r>
    </w:p>
    <w:tbl>
      <w:tblPr>
        <w:tblW w:w="9540" w:type="dxa"/>
        <w:tblLook w:val="04A0" w:firstRow="1" w:lastRow="0" w:firstColumn="1" w:lastColumn="0" w:noHBand="0" w:noVBand="1"/>
        <w:tblCaption w:val="Table 4.7: GST (including “no worse off”) revenues to NSW – reconciliation statement(a)"/>
        <w:tblDescription w:val="Table 4.7: GST (including “no worse off”) revenues to NSW – reconciliation statement(a)"/>
      </w:tblPr>
      <w:tblGrid>
        <w:gridCol w:w="4220"/>
        <w:gridCol w:w="1280"/>
        <w:gridCol w:w="1160"/>
        <w:gridCol w:w="960"/>
        <w:gridCol w:w="960"/>
        <w:gridCol w:w="960"/>
      </w:tblGrid>
      <w:tr w:rsidR="001E1DF0" w:rsidRPr="00667CD1" w14:paraId="100E6A27" w14:textId="77777777" w:rsidTr="000D46FA">
        <w:trPr>
          <w:trHeight w:val="300"/>
        </w:trPr>
        <w:tc>
          <w:tcPr>
            <w:tcW w:w="4220" w:type="dxa"/>
            <w:tcBorders>
              <w:top w:val="nil"/>
              <w:left w:val="nil"/>
              <w:bottom w:val="nil"/>
              <w:right w:val="nil"/>
            </w:tcBorders>
            <w:shd w:val="clear" w:color="000000" w:fill="008EBA"/>
            <w:vAlign w:val="center"/>
            <w:hideMark/>
          </w:tcPr>
          <w:p w14:paraId="6C3E46A0" w14:textId="77777777" w:rsidR="001E1DF0" w:rsidRPr="00667CD1" w:rsidRDefault="001E1DF0"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1280" w:type="dxa"/>
            <w:tcBorders>
              <w:top w:val="nil"/>
              <w:left w:val="nil"/>
              <w:bottom w:val="nil"/>
              <w:right w:val="nil"/>
            </w:tcBorders>
            <w:shd w:val="clear" w:color="000000" w:fill="008EBA"/>
            <w:vAlign w:val="center"/>
            <w:hideMark/>
          </w:tcPr>
          <w:p w14:paraId="2C285380" w14:textId="77777777" w:rsidR="001E1DF0" w:rsidRPr="00667CD1" w:rsidRDefault="001E1DF0"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2019-20</w:t>
            </w:r>
          </w:p>
        </w:tc>
        <w:tc>
          <w:tcPr>
            <w:tcW w:w="1160" w:type="dxa"/>
            <w:tcBorders>
              <w:top w:val="nil"/>
              <w:left w:val="nil"/>
              <w:bottom w:val="nil"/>
              <w:right w:val="nil"/>
            </w:tcBorders>
            <w:shd w:val="clear" w:color="000000" w:fill="008EBA"/>
            <w:vAlign w:val="center"/>
            <w:hideMark/>
          </w:tcPr>
          <w:p w14:paraId="22181438" w14:textId="77777777" w:rsidR="001E1DF0" w:rsidRPr="00667CD1" w:rsidRDefault="001E1DF0"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2020-21</w:t>
            </w:r>
          </w:p>
        </w:tc>
        <w:tc>
          <w:tcPr>
            <w:tcW w:w="960" w:type="dxa"/>
            <w:tcBorders>
              <w:top w:val="nil"/>
              <w:left w:val="nil"/>
              <w:bottom w:val="nil"/>
              <w:right w:val="nil"/>
            </w:tcBorders>
            <w:shd w:val="clear" w:color="000000" w:fill="008EBA"/>
            <w:vAlign w:val="center"/>
            <w:hideMark/>
          </w:tcPr>
          <w:p w14:paraId="10CC5D19" w14:textId="77777777" w:rsidR="001E1DF0" w:rsidRPr="00667CD1" w:rsidRDefault="001E1DF0"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2021-22</w:t>
            </w:r>
          </w:p>
        </w:tc>
        <w:tc>
          <w:tcPr>
            <w:tcW w:w="960" w:type="dxa"/>
            <w:tcBorders>
              <w:top w:val="nil"/>
              <w:left w:val="nil"/>
              <w:bottom w:val="nil"/>
              <w:right w:val="nil"/>
            </w:tcBorders>
            <w:shd w:val="clear" w:color="000000" w:fill="008EBA"/>
            <w:vAlign w:val="center"/>
            <w:hideMark/>
          </w:tcPr>
          <w:p w14:paraId="0B1C36C4" w14:textId="77777777" w:rsidR="001E1DF0" w:rsidRPr="00667CD1" w:rsidRDefault="001E1DF0"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2022-23</w:t>
            </w:r>
          </w:p>
        </w:tc>
        <w:tc>
          <w:tcPr>
            <w:tcW w:w="960" w:type="dxa"/>
            <w:vMerge w:val="restart"/>
            <w:tcBorders>
              <w:top w:val="nil"/>
              <w:left w:val="nil"/>
              <w:bottom w:val="nil"/>
              <w:right w:val="nil"/>
            </w:tcBorders>
            <w:shd w:val="clear" w:color="auto" w:fill="008EBA"/>
            <w:vAlign w:val="center"/>
            <w:hideMark/>
          </w:tcPr>
          <w:p w14:paraId="546DB6E6" w14:textId="49F552EE" w:rsidR="001E1DF0" w:rsidRPr="00667CD1" w:rsidRDefault="00A10726"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Four-year</w:t>
            </w:r>
            <w:r w:rsidR="001E1DF0" w:rsidRPr="00667CD1">
              <w:rPr>
                <w:rFonts w:ascii="Arial" w:hAnsi="Arial" w:cs="Arial"/>
                <w:color w:val="FFFFFF"/>
                <w:sz w:val="12"/>
                <w:szCs w:val="12"/>
                <w:lang w:eastAsia="en-AU"/>
              </w:rPr>
              <w:t xml:space="preserve"> total</w:t>
            </w:r>
          </w:p>
        </w:tc>
      </w:tr>
      <w:tr w:rsidR="001E1DF0" w:rsidRPr="00667CD1" w14:paraId="2B8A6E4C" w14:textId="77777777" w:rsidTr="000D46FA">
        <w:trPr>
          <w:trHeight w:val="290"/>
        </w:trPr>
        <w:tc>
          <w:tcPr>
            <w:tcW w:w="4220" w:type="dxa"/>
            <w:tcBorders>
              <w:top w:val="nil"/>
              <w:left w:val="nil"/>
              <w:right w:val="nil"/>
            </w:tcBorders>
            <w:shd w:val="clear" w:color="000000" w:fill="008EBA"/>
            <w:vAlign w:val="center"/>
            <w:hideMark/>
          </w:tcPr>
          <w:p w14:paraId="140B106B" w14:textId="77777777" w:rsidR="001E1DF0" w:rsidRPr="00667CD1" w:rsidRDefault="001E1DF0"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1280" w:type="dxa"/>
            <w:tcBorders>
              <w:top w:val="nil"/>
              <w:left w:val="nil"/>
              <w:right w:val="nil"/>
            </w:tcBorders>
            <w:shd w:val="clear" w:color="000000" w:fill="008EBA"/>
            <w:vAlign w:val="center"/>
            <w:hideMark/>
          </w:tcPr>
          <w:p w14:paraId="07819FD5" w14:textId="77777777" w:rsidR="001E1DF0" w:rsidRPr="00667CD1" w:rsidRDefault="001E1DF0"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1160" w:type="dxa"/>
            <w:tcBorders>
              <w:top w:val="nil"/>
              <w:left w:val="nil"/>
              <w:right w:val="nil"/>
            </w:tcBorders>
            <w:shd w:val="clear" w:color="000000" w:fill="008EBA"/>
            <w:vAlign w:val="center"/>
            <w:hideMark/>
          </w:tcPr>
          <w:p w14:paraId="12DD6262" w14:textId="77777777" w:rsidR="001E1DF0" w:rsidRPr="00667CD1" w:rsidRDefault="001E1DF0"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Budget</w:t>
            </w:r>
          </w:p>
        </w:tc>
        <w:tc>
          <w:tcPr>
            <w:tcW w:w="1920" w:type="dxa"/>
            <w:gridSpan w:val="2"/>
            <w:tcBorders>
              <w:top w:val="nil"/>
              <w:left w:val="nil"/>
              <w:right w:val="nil"/>
            </w:tcBorders>
            <w:shd w:val="clear" w:color="000000" w:fill="008EBA"/>
            <w:vAlign w:val="center"/>
            <w:hideMark/>
          </w:tcPr>
          <w:p w14:paraId="5213FF53" w14:textId="77777777" w:rsidR="001E1DF0" w:rsidRPr="00667CD1" w:rsidRDefault="001E1DF0"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Forward Estimates</w:t>
            </w:r>
          </w:p>
        </w:tc>
        <w:tc>
          <w:tcPr>
            <w:tcW w:w="960" w:type="dxa"/>
            <w:vMerge/>
            <w:tcBorders>
              <w:top w:val="nil"/>
              <w:left w:val="nil"/>
              <w:right w:val="nil"/>
            </w:tcBorders>
            <w:shd w:val="clear" w:color="auto" w:fill="008EBA"/>
            <w:vAlign w:val="center"/>
            <w:hideMark/>
          </w:tcPr>
          <w:p w14:paraId="6436F60E" w14:textId="77777777" w:rsidR="001E1DF0" w:rsidRPr="00667CD1" w:rsidRDefault="001E1DF0" w:rsidP="001E1DF0">
            <w:pPr>
              <w:rPr>
                <w:rFonts w:ascii="Arial" w:hAnsi="Arial" w:cs="Arial"/>
                <w:color w:val="FFFFFF"/>
                <w:sz w:val="12"/>
                <w:szCs w:val="12"/>
                <w:lang w:eastAsia="en-AU"/>
              </w:rPr>
            </w:pPr>
          </w:p>
        </w:tc>
      </w:tr>
      <w:tr w:rsidR="001E1DF0" w:rsidRPr="00667CD1" w14:paraId="1C9D833A" w14:textId="77777777" w:rsidTr="000D46FA">
        <w:trPr>
          <w:trHeight w:val="290"/>
        </w:trPr>
        <w:tc>
          <w:tcPr>
            <w:tcW w:w="4220" w:type="dxa"/>
            <w:tcBorders>
              <w:top w:val="nil"/>
              <w:left w:val="nil"/>
              <w:right w:val="nil"/>
            </w:tcBorders>
            <w:shd w:val="clear" w:color="000000" w:fill="00426F"/>
            <w:noWrap/>
            <w:vAlign w:val="center"/>
            <w:hideMark/>
          </w:tcPr>
          <w:p w14:paraId="78B63312" w14:textId="77777777" w:rsidR="001E1DF0" w:rsidRPr="00667CD1" w:rsidRDefault="001E1DF0" w:rsidP="001E1DF0">
            <w:pP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1280" w:type="dxa"/>
            <w:tcBorders>
              <w:top w:val="nil"/>
              <w:left w:val="nil"/>
              <w:right w:val="nil"/>
            </w:tcBorders>
            <w:shd w:val="clear" w:color="000000" w:fill="00426F"/>
            <w:noWrap/>
            <w:vAlign w:val="center"/>
            <w:hideMark/>
          </w:tcPr>
          <w:p w14:paraId="00D2351A" w14:textId="77777777" w:rsidR="001E1DF0" w:rsidRPr="00667CD1" w:rsidRDefault="001E1DF0"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1160" w:type="dxa"/>
            <w:tcBorders>
              <w:top w:val="nil"/>
              <w:left w:val="nil"/>
              <w:right w:val="nil"/>
            </w:tcBorders>
            <w:shd w:val="clear" w:color="000000" w:fill="00426F"/>
            <w:noWrap/>
            <w:vAlign w:val="center"/>
            <w:hideMark/>
          </w:tcPr>
          <w:p w14:paraId="1B4BC7CA" w14:textId="77777777" w:rsidR="001E1DF0" w:rsidRPr="00667CD1" w:rsidRDefault="001E1DF0"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60" w:type="dxa"/>
            <w:tcBorders>
              <w:top w:val="nil"/>
              <w:left w:val="nil"/>
              <w:right w:val="nil"/>
            </w:tcBorders>
            <w:shd w:val="clear" w:color="000000" w:fill="00426F"/>
            <w:noWrap/>
            <w:vAlign w:val="center"/>
            <w:hideMark/>
          </w:tcPr>
          <w:p w14:paraId="453C63B4" w14:textId="77777777" w:rsidR="001E1DF0" w:rsidRPr="00667CD1" w:rsidRDefault="001E1DF0"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60" w:type="dxa"/>
            <w:tcBorders>
              <w:top w:val="nil"/>
              <w:left w:val="nil"/>
              <w:right w:val="nil"/>
            </w:tcBorders>
            <w:shd w:val="clear" w:color="000000" w:fill="00426F"/>
            <w:noWrap/>
            <w:vAlign w:val="center"/>
            <w:hideMark/>
          </w:tcPr>
          <w:p w14:paraId="38C9D522" w14:textId="77777777" w:rsidR="001E1DF0" w:rsidRPr="00667CD1" w:rsidRDefault="001E1DF0"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60" w:type="dxa"/>
            <w:tcBorders>
              <w:top w:val="nil"/>
              <w:left w:val="nil"/>
              <w:right w:val="nil"/>
            </w:tcBorders>
            <w:shd w:val="clear" w:color="000000" w:fill="00426F"/>
            <w:noWrap/>
            <w:vAlign w:val="center"/>
            <w:hideMark/>
          </w:tcPr>
          <w:p w14:paraId="32024854" w14:textId="77777777" w:rsidR="001E1DF0" w:rsidRPr="00667CD1" w:rsidRDefault="001E1DF0" w:rsidP="001E1DF0">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r>
      <w:tr w:rsidR="00C055C1" w:rsidRPr="00667CD1" w14:paraId="661D45A1" w14:textId="77777777" w:rsidTr="00C055C1">
        <w:trPr>
          <w:trHeight w:val="290"/>
        </w:trPr>
        <w:tc>
          <w:tcPr>
            <w:tcW w:w="4220" w:type="dxa"/>
            <w:tcBorders>
              <w:left w:val="nil"/>
              <w:bottom w:val="single" w:sz="4" w:space="0" w:color="auto"/>
              <w:right w:val="nil"/>
            </w:tcBorders>
            <w:shd w:val="clear" w:color="auto" w:fill="auto"/>
            <w:vAlign w:val="center"/>
            <w:hideMark/>
          </w:tcPr>
          <w:p w14:paraId="61C01133" w14:textId="77777777" w:rsidR="001E1DF0" w:rsidRPr="00667CD1" w:rsidRDefault="001E1DF0" w:rsidP="001E1DF0">
            <w:pPr>
              <w:rPr>
                <w:rFonts w:ascii="Arial" w:hAnsi="Arial" w:cs="Arial"/>
                <w:b/>
                <w:bCs/>
                <w:color w:val="008EBA"/>
                <w:sz w:val="12"/>
                <w:szCs w:val="12"/>
                <w:lang w:eastAsia="en-AU"/>
              </w:rPr>
            </w:pPr>
            <w:r w:rsidRPr="00667CD1">
              <w:rPr>
                <w:rFonts w:ascii="Arial" w:hAnsi="Arial" w:cs="Arial"/>
                <w:b/>
                <w:bCs/>
                <w:color w:val="008EBA"/>
                <w:sz w:val="12"/>
                <w:szCs w:val="12"/>
                <w:lang w:eastAsia="en-AU"/>
              </w:rPr>
              <w:t>2019-20 Budget</w:t>
            </w:r>
          </w:p>
        </w:tc>
        <w:tc>
          <w:tcPr>
            <w:tcW w:w="1280" w:type="dxa"/>
            <w:tcBorders>
              <w:left w:val="nil"/>
              <w:bottom w:val="single" w:sz="4" w:space="0" w:color="auto"/>
              <w:right w:val="nil"/>
            </w:tcBorders>
            <w:shd w:val="clear" w:color="auto" w:fill="auto"/>
            <w:noWrap/>
            <w:vAlign w:val="center"/>
            <w:hideMark/>
          </w:tcPr>
          <w:p w14:paraId="2060B629" w14:textId="77777777" w:rsidR="001E1DF0" w:rsidRPr="00667CD1" w:rsidRDefault="001E1DF0" w:rsidP="00C055C1">
            <w:pPr>
              <w:ind w:right="241"/>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18,684 </w:t>
            </w:r>
          </w:p>
        </w:tc>
        <w:tc>
          <w:tcPr>
            <w:tcW w:w="1160" w:type="dxa"/>
            <w:tcBorders>
              <w:left w:val="nil"/>
              <w:bottom w:val="single" w:sz="4" w:space="0" w:color="auto"/>
              <w:right w:val="nil"/>
            </w:tcBorders>
            <w:shd w:val="clear" w:color="000000" w:fill="F2F2F2"/>
            <w:noWrap/>
            <w:vAlign w:val="center"/>
            <w:hideMark/>
          </w:tcPr>
          <w:p w14:paraId="3938F433"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19,789 </w:t>
            </w:r>
          </w:p>
        </w:tc>
        <w:tc>
          <w:tcPr>
            <w:tcW w:w="960" w:type="dxa"/>
            <w:tcBorders>
              <w:left w:val="nil"/>
              <w:bottom w:val="single" w:sz="4" w:space="0" w:color="auto"/>
              <w:right w:val="nil"/>
            </w:tcBorders>
            <w:shd w:val="clear" w:color="000000" w:fill="F2F2F2"/>
            <w:noWrap/>
            <w:vAlign w:val="center"/>
            <w:hideMark/>
          </w:tcPr>
          <w:p w14:paraId="58FD0FEF"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20,953 </w:t>
            </w:r>
          </w:p>
        </w:tc>
        <w:tc>
          <w:tcPr>
            <w:tcW w:w="960" w:type="dxa"/>
            <w:tcBorders>
              <w:left w:val="nil"/>
              <w:bottom w:val="single" w:sz="4" w:space="0" w:color="auto"/>
              <w:right w:val="nil"/>
            </w:tcBorders>
            <w:shd w:val="clear" w:color="000000" w:fill="F2F2F2"/>
            <w:noWrap/>
            <w:vAlign w:val="center"/>
            <w:hideMark/>
          </w:tcPr>
          <w:p w14:paraId="7F5921A2"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21,981 </w:t>
            </w:r>
          </w:p>
        </w:tc>
        <w:tc>
          <w:tcPr>
            <w:tcW w:w="960" w:type="dxa"/>
            <w:tcBorders>
              <w:left w:val="nil"/>
              <w:bottom w:val="single" w:sz="4" w:space="0" w:color="auto"/>
              <w:right w:val="nil"/>
            </w:tcBorders>
            <w:shd w:val="clear" w:color="auto" w:fill="auto"/>
            <w:noWrap/>
            <w:vAlign w:val="center"/>
            <w:hideMark/>
          </w:tcPr>
          <w:p w14:paraId="196C2D94"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81,407 </w:t>
            </w:r>
          </w:p>
        </w:tc>
      </w:tr>
      <w:tr w:rsidR="001E1DF0" w:rsidRPr="00667CD1" w14:paraId="5D9DC2CD" w14:textId="77777777" w:rsidTr="00C055C1">
        <w:trPr>
          <w:trHeight w:val="290"/>
        </w:trPr>
        <w:tc>
          <w:tcPr>
            <w:tcW w:w="4220" w:type="dxa"/>
            <w:tcBorders>
              <w:top w:val="nil"/>
              <w:left w:val="nil"/>
              <w:bottom w:val="nil"/>
              <w:right w:val="nil"/>
            </w:tcBorders>
            <w:shd w:val="clear" w:color="auto" w:fill="auto"/>
            <w:noWrap/>
            <w:vAlign w:val="center"/>
            <w:hideMark/>
          </w:tcPr>
          <w:p w14:paraId="0C051A8B" w14:textId="77777777" w:rsidR="001E1DF0" w:rsidRPr="00667CD1" w:rsidRDefault="001E1DF0" w:rsidP="001E1DF0">
            <w:pPr>
              <w:rPr>
                <w:rFonts w:ascii="Arial" w:hAnsi="Arial" w:cs="Arial"/>
                <w:color w:val="000000"/>
                <w:sz w:val="12"/>
                <w:szCs w:val="12"/>
                <w:lang w:eastAsia="en-AU"/>
              </w:rPr>
            </w:pPr>
            <w:r w:rsidRPr="00667CD1">
              <w:rPr>
                <w:rFonts w:ascii="Arial" w:hAnsi="Arial" w:cs="Arial"/>
                <w:color w:val="000000"/>
                <w:sz w:val="12"/>
                <w:szCs w:val="12"/>
                <w:lang w:eastAsia="en-AU"/>
              </w:rPr>
              <w:t>Change due to:</w:t>
            </w:r>
          </w:p>
        </w:tc>
        <w:tc>
          <w:tcPr>
            <w:tcW w:w="1280" w:type="dxa"/>
            <w:tcBorders>
              <w:top w:val="nil"/>
              <w:left w:val="nil"/>
              <w:bottom w:val="nil"/>
              <w:right w:val="nil"/>
            </w:tcBorders>
            <w:shd w:val="clear" w:color="000000" w:fill="FFFFFF"/>
            <w:noWrap/>
            <w:vAlign w:val="center"/>
            <w:hideMark/>
          </w:tcPr>
          <w:p w14:paraId="3AD7ECEF" w14:textId="77777777" w:rsidR="001E1DF0" w:rsidRPr="00667CD1" w:rsidRDefault="001E1DF0" w:rsidP="00C055C1">
            <w:pPr>
              <w:ind w:right="241"/>
              <w:jc w:val="right"/>
              <w:rPr>
                <w:rFonts w:ascii="Arial" w:hAnsi="Arial" w:cs="Arial"/>
                <w:color w:val="000000"/>
                <w:sz w:val="12"/>
                <w:szCs w:val="12"/>
                <w:lang w:eastAsia="en-AU"/>
              </w:rPr>
            </w:pPr>
            <w:r w:rsidRPr="00667CD1">
              <w:rPr>
                <w:rFonts w:ascii="Arial" w:hAnsi="Arial" w:cs="Arial"/>
                <w:color w:val="000000"/>
                <w:sz w:val="12"/>
                <w:szCs w:val="12"/>
                <w:lang w:eastAsia="en-AU"/>
              </w:rPr>
              <w:t> </w:t>
            </w:r>
          </w:p>
        </w:tc>
        <w:tc>
          <w:tcPr>
            <w:tcW w:w="1160" w:type="dxa"/>
            <w:tcBorders>
              <w:top w:val="nil"/>
              <w:left w:val="nil"/>
              <w:bottom w:val="nil"/>
              <w:right w:val="nil"/>
            </w:tcBorders>
            <w:shd w:val="clear" w:color="000000" w:fill="F2F2F2"/>
            <w:noWrap/>
            <w:vAlign w:val="center"/>
            <w:hideMark/>
          </w:tcPr>
          <w:p w14:paraId="08A96DA3"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w:t>
            </w:r>
          </w:p>
        </w:tc>
        <w:tc>
          <w:tcPr>
            <w:tcW w:w="960" w:type="dxa"/>
            <w:tcBorders>
              <w:top w:val="nil"/>
              <w:left w:val="nil"/>
              <w:bottom w:val="nil"/>
              <w:right w:val="nil"/>
            </w:tcBorders>
            <w:shd w:val="clear" w:color="000000" w:fill="F2F2F2"/>
            <w:noWrap/>
            <w:vAlign w:val="center"/>
            <w:hideMark/>
          </w:tcPr>
          <w:p w14:paraId="66DFAD66"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w:t>
            </w:r>
          </w:p>
        </w:tc>
        <w:tc>
          <w:tcPr>
            <w:tcW w:w="960" w:type="dxa"/>
            <w:tcBorders>
              <w:top w:val="nil"/>
              <w:left w:val="nil"/>
              <w:bottom w:val="nil"/>
              <w:right w:val="nil"/>
            </w:tcBorders>
            <w:shd w:val="clear" w:color="000000" w:fill="F2F2F2"/>
            <w:noWrap/>
            <w:vAlign w:val="center"/>
            <w:hideMark/>
          </w:tcPr>
          <w:p w14:paraId="2E0C222F"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w:t>
            </w:r>
          </w:p>
        </w:tc>
        <w:tc>
          <w:tcPr>
            <w:tcW w:w="960" w:type="dxa"/>
            <w:tcBorders>
              <w:top w:val="nil"/>
              <w:left w:val="nil"/>
              <w:bottom w:val="nil"/>
              <w:right w:val="nil"/>
            </w:tcBorders>
            <w:shd w:val="clear" w:color="auto" w:fill="auto"/>
            <w:noWrap/>
            <w:vAlign w:val="center"/>
            <w:hideMark/>
          </w:tcPr>
          <w:p w14:paraId="22882FC8" w14:textId="77777777" w:rsidR="001E1DF0" w:rsidRPr="00667CD1" w:rsidRDefault="001E1DF0" w:rsidP="00D94E1C">
            <w:pPr>
              <w:ind w:right="113"/>
              <w:jc w:val="right"/>
              <w:rPr>
                <w:rFonts w:ascii="Arial" w:hAnsi="Arial" w:cs="Arial"/>
                <w:color w:val="000000"/>
                <w:sz w:val="12"/>
                <w:szCs w:val="12"/>
                <w:lang w:eastAsia="en-AU"/>
              </w:rPr>
            </w:pPr>
          </w:p>
        </w:tc>
      </w:tr>
      <w:tr w:rsidR="001E1DF0" w:rsidRPr="00667CD1" w14:paraId="16DF524D" w14:textId="77777777" w:rsidTr="00C055C1">
        <w:trPr>
          <w:trHeight w:val="290"/>
        </w:trPr>
        <w:tc>
          <w:tcPr>
            <w:tcW w:w="4220" w:type="dxa"/>
            <w:tcBorders>
              <w:top w:val="nil"/>
              <w:left w:val="nil"/>
              <w:bottom w:val="nil"/>
              <w:right w:val="nil"/>
            </w:tcBorders>
            <w:shd w:val="clear" w:color="auto" w:fill="auto"/>
            <w:noWrap/>
            <w:vAlign w:val="bottom"/>
            <w:hideMark/>
          </w:tcPr>
          <w:p w14:paraId="084726B1" w14:textId="77777777" w:rsidR="001E1DF0" w:rsidRPr="00667CD1" w:rsidRDefault="001E1DF0" w:rsidP="001E1DF0">
            <w:pPr>
              <w:ind w:firstLineChars="100" w:firstLine="120"/>
              <w:rPr>
                <w:rFonts w:ascii="Arial" w:hAnsi="Arial" w:cs="Arial"/>
                <w:color w:val="000000"/>
                <w:sz w:val="12"/>
                <w:szCs w:val="12"/>
                <w:lang w:eastAsia="en-AU"/>
              </w:rPr>
            </w:pPr>
            <w:r w:rsidRPr="00667CD1">
              <w:rPr>
                <w:rFonts w:ascii="Arial" w:hAnsi="Arial" w:cs="Arial"/>
                <w:color w:val="000000"/>
                <w:sz w:val="12"/>
                <w:szCs w:val="12"/>
                <w:lang w:eastAsia="en-AU"/>
              </w:rPr>
              <w:t>2019-20 adjustment</w:t>
            </w:r>
          </w:p>
        </w:tc>
        <w:tc>
          <w:tcPr>
            <w:tcW w:w="1280" w:type="dxa"/>
            <w:tcBorders>
              <w:top w:val="nil"/>
              <w:left w:val="nil"/>
              <w:bottom w:val="nil"/>
              <w:right w:val="nil"/>
            </w:tcBorders>
            <w:shd w:val="clear" w:color="auto" w:fill="auto"/>
            <w:noWrap/>
            <w:vAlign w:val="center"/>
            <w:hideMark/>
          </w:tcPr>
          <w:p w14:paraId="2CA3FD37" w14:textId="77777777" w:rsidR="001E1DF0" w:rsidRPr="00667CD1" w:rsidRDefault="001E1DF0" w:rsidP="00C055C1">
            <w:pPr>
              <w:ind w:right="241"/>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(126) </w:t>
            </w:r>
          </w:p>
        </w:tc>
        <w:tc>
          <w:tcPr>
            <w:tcW w:w="1160" w:type="dxa"/>
            <w:tcBorders>
              <w:top w:val="nil"/>
              <w:left w:val="nil"/>
              <w:bottom w:val="nil"/>
              <w:right w:val="nil"/>
            </w:tcBorders>
            <w:shd w:val="clear" w:color="000000" w:fill="F2F2F2"/>
            <w:noWrap/>
            <w:vAlign w:val="center"/>
            <w:hideMark/>
          </w:tcPr>
          <w:p w14:paraId="2A35E134"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w:t>
            </w:r>
          </w:p>
        </w:tc>
        <w:tc>
          <w:tcPr>
            <w:tcW w:w="960" w:type="dxa"/>
            <w:tcBorders>
              <w:top w:val="nil"/>
              <w:left w:val="nil"/>
              <w:bottom w:val="nil"/>
              <w:right w:val="nil"/>
            </w:tcBorders>
            <w:shd w:val="clear" w:color="000000" w:fill="F2F2F2"/>
            <w:noWrap/>
            <w:vAlign w:val="center"/>
            <w:hideMark/>
          </w:tcPr>
          <w:p w14:paraId="700D4089"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w:t>
            </w:r>
          </w:p>
        </w:tc>
        <w:tc>
          <w:tcPr>
            <w:tcW w:w="960" w:type="dxa"/>
            <w:tcBorders>
              <w:top w:val="nil"/>
              <w:left w:val="nil"/>
              <w:bottom w:val="nil"/>
              <w:right w:val="nil"/>
            </w:tcBorders>
            <w:shd w:val="clear" w:color="000000" w:fill="F2F2F2"/>
            <w:noWrap/>
            <w:vAlign w:val="center"/>
            <w:hideMark/>
          </w:tcPr>
          <w:p w14:paraId="4771ADE6"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w:t>
            </w:r>
          </w:p>
        </w:tc>
        <w:tc>
          <w:tcPr>
            <w:tcW w:w="960" w:type="dxa"/>
            <w:tcBorders>
              <w:top w:val="nil"/>
              <w:left w:val="nil"/>
              <w:bottom w:val="nil"/>
              <w:right w:val="nil"/>
            </w:tcBorders>
            <w:shd w:val="clear" w:color="auto" w:fill="auto"/>
            <w:noWrap/>
            <w:vAlign w:val="center"/>
            <w:hideMark/>
          </w:tcPr>
          <w:p w14:paraId="6F291A35"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(126) </w:t>
            </w:r>
          </w:p>
        </w:tc>
      </w:tr>
      <w:tr w:rsidR="001E1DF0" w:rsidRPr="00667CD1" w14:paraId="729841EB" w14:textId="77777777" w:rsidTr="00C055C1">
        <w:trPr>
          <w:trHeight w:val="290"/>
        </w:trPr>
        <w:tc>
          <w:tcPr>
            <w:tcW w:w="4220" w:type="dxa"/>
            <w:tcBorders>
              <w:top w:val="nil"/>
              <w:left w:val="nil"/>
              <w:bottom w:val="nil"/>
              <w:right w:val="nil"/>
            </w:tcBorders>
            <w:shd w:val="clear" w:color="auto" w:fill="auto"/>
            <w:noWrap/>
            <w:vAlign w:val="bottom"/>
            <w:hideMark/>
          </w:tcPr>
          <w:p w14:paraId="10650EF2" w14:textId="77777777" w:rsidR="001E1DF0" w:rsidRPr="00667CD1" w:rsidRDefault="001E1DF0" w:rsidP="001E1DF0">
            <w:pPr>
              <w:ind w:firstLineChars="100" w:firstLine="120"/>
              <w:rPr>
                <w:rFonts w:ascii="Arial" w:hAnsi="Arial" w:cs="Arial"/>
                <w:color w:val="000000"/>
                <w:sz w:val="12"/>
                <w:szCs w:val="12"/>
                <w:lang w:eastAsia="en-AU"/>
              </w:rPr>
            </w:pPr>
            <w:r w:rsidRPr="00667CD1">
              <w:rPr>
                <w:rFonts w:ascii="Arial" w:hAnsi="Arial" w:cs="Arial"/>
                <w:color w:val="000000"/>
                <w:sz w:val="12"/>
                <w:szCs w:val="12"/>
                <w:lang w:eastAsia="en-AU"/>
              </w:rPr>
              <w:t>Change in population</w:t>
            </w:r>
          </w:p>
        </w:tc>
        <w:tc>
          <w:tcPr>
            <w:tcW w:w="1280" w:type="dxa"/>
            <w:tcBorders>
              <w:top w:val="nil"/>
              <w:left w:val="nil"/>
              <w:bottom w:val="nil"/>
              <w:right w:val="nil"/>
            </w:tcBorders>
            <w:shd w:val="clear" w:color="auto" w:fill="auto"/>
            <w:noWrap/>
            <w:vAlign w:val="center"/>
            <w:hideMark/>
          </w:tcPr>
          <w:p w14:paraId="0FFB0B85" w14:textId="77777777" w:rsidR="001E1DF0" w:rsidRPr="00667CD1" w:rsidRDefault="001E1DF0" w:rsidP="00C055C1">
            <w:pPr>
              <w:ind w:right="241"/>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30 </w:t>
            </w:r>
          </w:p>
        </w:tc>
        <w:tc>
          <w:tcPr>
            <w:tcW w:w="1160" w:type="dxa"/>
            <w:tcBorders>
              <w:top w:val="nil"/>
              <w:left w:val="nil"/>
              <w:bottom w:val="nil"/>
              <w:right w:val="nil"/>
            </w:tcBorders>
            <w:shd w:val="clear" w:color="000000" w:fill="F2F2F2"/>
            <w:noWrap/>
            <w:vAlign w:val="center"/>
            <w:hideMark/>
          </w:tcPr>
          <w:p w14:paraId="2CF5AA3C"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49 </w:t>
            </w:r>
          </w:p>
        </w:tc>
        <w:tc>
          <w:tcPr>
            <w:tcW w:w="960" w:type="dxa"/>
            <w:tcBorders>
              <w:top w:val="nil"/>
              <w:left w:val="nil"/>
              <w:bottom w:val="nil"/>
              <w:right w:val="nil"/>
            </w:tcBorders>
            <w:shd w:val="clear" w:color="000000" w:fill="F2F2F2"/>
            <w:noWrap/>
            <w:vAlign w:val="center"/>
            <w:hideMark/>
          </w:tcPr>
          <w:p w14:paraId="67908D1F"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65 </w:t>
            </w:r>
          </w:p>
        </w:tc>
        <w:tc>
          <w:tcPr>
            <w:tcW w:w="960" w:type="dxa"/>
            <w:tcBorders>
              <w:top w:val="nil"/>
              <w:left w:val="nil"/>
              <w:bottom w:val="nil"/>
              <w:right w:val="nil"/>
            </w:tcBorders>
            <w:shd w:val="clear" w:color="000000" w:fill="F2F2F2"/>
            <w:noWrap/>
            <w:vAlign w:val="center"/>
            <w:hideMark/>
          </w:tcPr>
          <w:p w14:paraId="2F82C97C"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85 </w:t>
            </w:r>
          </w:p>
        </w:tc>
        <w:tc>
          <w:tcPr>
            <w:tcW w:w="960" w:type="dxa"/>
            <w:tcBorders>
              <w:top w:val="nil"/>
              <w:left w:val="nil"/>
              <w:bottom w:val="nil"/>
              <w:right w:val="nil"/>
            </w:tcBorders>
            <w:shd w:val="clear" w:color="auto" w:fill="auto"/>
            <w:noWrap/>
            <w:vAlign w:val="center"/>
            <w:hideMark/>
          </w:tcPr>
          <w:p w14:paraId="4778711D"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228 </w:t>
            </w:r>
          </w:p>
        </w:tc>
      </w:tr>
      <w:tr w:rsidR="001E1DF0" w:rsidRPr="00667CD1" w14:paraId="4410F7AB" w14:textId="77777777" w:rsidTr="00C055C1">
        <w:trPr>
          <w:trHeight w:val="290"/>
        </w:trPr>
        <w:tc>
          <w:tcPr>
            <w:tcW w:w="4220" w:type="dxa"/>
            <w:tcBorders>
              <w:top w:val="nil"/>
              <w:left w:val="nil"/>
              <w:bottom w:val="nil"/>
              <w:right w:val="nil"/>
            </w:tcBorders>
            <w:shd w:val="clear" w:color="auto" w:fill="auto"/>
            <w:noWrap/>
            <w:vAlign w:val="bottom"/>
            <w:hideMark/>
          </w:tcPr>
          <w:p w14:paraId="5625D326" w14:textId="77777777" w:rsidR="001E1DF0" w:rsidRPr="00667CD1" w:rsidRDefault="001E1DF0" w:rsidP="001E1DF0">
            <w:pPr>
              <w:ind w:firstLineChars="100" w:firstLine="120"/>
              <w:rPr>
                <w:rFonts w:ascii="Arial" w:hAnsi="Arial" w:cs="Arial"/>
                <w:color w:val="000000"/>
                <w:sz w:val="12"/>
                <w:szCs w:val="12"/>
                <w:lang w:eastAsia="en-AU"/>
              </w:rPr>
            </w:pPr>
            <w:r w:rsidRPr="00667CD1">
              <w:rPr>
                <w:rFonts w:ascii="Arial" w:hAnsi="Arial" w:cs="Arial"/>
                <w:color w:val="000000"/>
                <w:sz w:val="12"/>
                <w:szCs w:val="12"/>
                <w:lang w:eastAsia="en-AU"/>
              </w:rPr>
              <w:t>Change in pool</w:t>
            </w:r>
          </w:p>
        </w:tc>
        <w:tc>
          <w:tcPr>
            <w:tcW w:w="1280" w:type="dxa"/>
            <w:tcBorders>
              <w:top w:val="nil"/>
              <w:left w:val="nil"/>
              <w:bottom w:val="nil"/>
              <w:right w:val="nil"/>
            </w:tcBorders>
            <w:shd w:val="clear" w:color="auto" w:fill="auto"/>
            <w:noWrap/>
            <w:vAlign w:val="center"/>
            <w:hideMark/>
          </w:tcPr>
          <w:p w14:paraId="04223F89" w14:textId="77777777" w:rsidR="001E1DF0" w:rsidRPr="00667CD1" w:rsidRDefault="001E1DF0" w:rsidP="00C055C1">
            <w:pPr>
              <w:ind w:right="241"/>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(255) </w:t>
            </w:r>
          </w:p>
        </w:tc>
        <w:tc>
          <w:tcPr>
            <w:tcW w:w="1160" w:type="dxa"/>
            <w:tcBorders>
              <w:top w:val="nil"/>
              <w:left w:val="nil"/>
              <w:bottom w:val="nil"/>
              <w:right w:val="nil"/>
            </w:tcBorders>
            <w:shd w:val="clear" w:color="000000" w:fill="F2F2F2"/>
            <w:noWrap/>
            <w:vAlign w:val="center"/>
            <w:hideMark/>
          </w:tcPr>
          <w:p w14:paraId="30EC1F5F"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(365) </w:t>
            </w:r>
          </w:p>
        </w:tc>
        <w:tc>
          <w:tcPr>
            <w:tcW w:w="960" w:type="dxa"/>
            <w:tcBorders>
              <w:top w:val="nil"/>
              <w:left w:val="nil"/>
              <w:bottom w:val="nil"/>
              <w:right w:val="nil"/>
            </w:tcBorders>
            <w:shd w:val="clear" w:color="000000" w:fill="F2F2F2"/>
            <w:noWrap/>
            <w:vAlign w:val="center"/>
            <w:hideMark/>
          </w:tcPr>
          <w:p w14:paraId="6D7C469E"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(456) </w:t>
            </w:r>
          </w:p>
        </w:tc>
        <w:tc>
          <w:tcPr>
            <w:tcW w:w="960" w:type="dxa"/>
            <w:tcBorders>
              <w:top w:val="nil"/>
              <w:left w:val="nil"/>
              <w:bottom w:val="nil"/>
              <w:right w:val="nil"/>
            </w:tcBorders>
            <w:shd w:val="clear" w:color="000000" w:fill="F2F2F2"/>
            <w:noWrap/>
            <w:vAlign w:val="center"/>
            <w:hideMark/>
          </w:tcPr>
          <w:p w14:paraId="53AE03B3"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(579) </w:t>
            </w:r>
          </w:p>
        </w:tc>
        <w:tc>
          <w:tcPr>
            <w:tcW w:w="960" w:type="dxa"/>
            <w:tcBorders>
              <w:top w:val="nil"/>
              <w:left w:val="nil"/>
              <w:bottom w:val="nil"/>
              <w:right w:val="nil"/>
            </w:tcBorders>
            <w:shd w:val="clear" w:color="auto" w:fill="auto"/>
            <w:noWrap/>
            <w:vAlign w:val="center"/>
            <w:hideMark/>
          </w:tcPr>
          <w:p w14:paraId="55D0BDDF"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(1,654) </w:t>
            </w:r>
          </w:p>
        </w:tc>
      </w:tr>
      <w:tr w:rsidR="001E1DF0" w:rsidRPr="00667CD1" w14:paraId="6C118328" w14:textId="77777777" w:rsidTr="00C055C1">
        <w:trPr>
          <w:trHeight w:val="290"/>
        </w:trPr>
        <w:tc>
          <w:tcPr>
            <w:tcW w:w="4220" w:type="dxa"/>
            <w:tcBorders>
              <w:top w:val="nil"/>
              <w:left w:val="nil"/>
              <w:bottom w:val="nil"/>
              <w:right w:val="nil"/>
            </w:tcBorders>
            <w:shd w:val="clear" w:color="auto" w:fill="auto"/>
            <w:noWrap/>
            <w:vAlign w:val="bottom"/>
            <w:hideMark/>
          </w:tcPr>
          <w:p w14:paraId="59FA24ED" w14:textId="77777777" w:rsidR="001E1DF0" w:rsidRPr="00667CD1" w:rsidRDefault="001E1DF0" w:rsidP="001E1DF0">
            <w:pPr>
              <w:ind w:firstLineChars="100" w:firstLine="120"/>
              <w:rPr>
                <w:rFonts w:ascii="Arial" w:hAnsi="Arial" w:cs="Arial"/>
                <w:color w:val="000000"/>
                <w:sz w:val="12"/>
                <w:szCs w:val="12"/>
                <w:lang w:eastAsia="en-AU"/>
              </w:rPr>
            </w:pPr>
            <w:r w:rsidRPr="00667CD1">
              <w:rPr>
                <w:rFonts w:ascii="Arial" w:hAnsi="Arial" w:cs="Arial"/>
                <w:color w:val="000000"/>
                <w:sz w:val="12"/>
                <w:szCs w:val="12"/>
                <w:lang w:eastAsia="en-AU"/>
              </w:rPr>
              <w:t>Change in relativities</w:t>
            </w:r>
          </w:p>
        </w:tc>
        <w:tc>
          <w:tcPr>
            <w:tcW w:w="1280" w:type="dxa"/>
            <w:tcBorders>
              <w:top w:val="nil"/>
              <w:left w:val="nil"/>
              <w:bottom w:val="nil"/>
              <w:right w:val="nil"/>
            </w:tcBorders>
            <w:shd w:val="clear" w:color="auto" w:fill="auto"/>
            <w:noWrap/>
            <w:vAlign w:val="center"/>
            <w:hideMark/>
          </w:tcPr>
          <w:p w14:paraId="6C676EB6" w14:textId="77777777" w:rsidR="001E1DF0" w:rsidRPr="00667CD1" w:rsidRDefault="001E1DF0" w:rsidP="00C055C1">
            <w:pPr>
              <w:ind w:right="241"/>
              <w:jc w:val="right"/>
              <w:rPr>
                <w:rFonts w:ascii="Arial" w:hAnsi="Arial" w:cs="Arial"/>
                <w:color w:val="000000"/>
                <w:sz w:val="12"/>
                <w:szCs w:val="12"/>
                <w:lang w:eastAsia="en-AU"/>
              </w:rPr>
            </w:pPr>
            <w:r w:rsidRPr="00667CD1">
              <w:rPr>
                <w:rFonts w:ascii="Arial" w:hAnsi="Arial" w:cs="Arial"/>
                <w:color w:val="000000"/>
                <w:sz w:val="12"/>
                <w:szCs w:val="12"/>
                <w:lang w:eastAsia="en-AU"/>
              </w:rPr>
              <w:t>…</w:t>
            </w:r>
          </w:p>
        </w:tc>
        <w:tc>
          <w:tcPr>
            <w:tcW w:w="1160" w:type="dxa"/>
            <w:tcBorders>
              <w:top w:val="nil"/>
              <w:left w:val="nil"/>
              <w:bottom w:val="nil"/>
              <w:right w:val="nil"/>
            </w:tcBorders>
            <w:shd w:val="clear" w:color="000000" w:fill="F2F2F2"/>
            <w:noWrap/>
            <w:vAlign w:val="center"/>
            <w:hideMark/>
          </w:tcPr>
          <w:p w14:paraId="570F3B6B"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(1) </w:t>
            </w:r>
          </w:p>
        </w:tc>
        <w:tc>
          <w:tcPr>
            <w:tcW w:w="960" w:type="dxa"/>
            <w:tcBorders>
              <w:top w:val="nil"/>
              <w:left w:val="nil"/>
              <w:bottom w:val="nil"/>
              <w:right w:val="nil"/>
            </w:tcBorders>
            <w:shd w:val="clear" w:color="000000" w:fill="F2F2F2"/>
            <w:noWrap/>
            <w:vAlign w:val="center"/>
            <w:hideMark/>
          </w:tcPr>
          <w:p w14:paraId="7E676916"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331 </w:t>
            </w:r>
          </w:p>
        </w:tc>
        <w:tc>
          <w:tcPr>
            <w:tcW w:w="960" w:type="dxa"/>
            <w:tcBorders>
              <w:top w:val="nil"/>
              <w:left w:val="nil"/>
              <w:bottom w:val="nil"/>
              <w:right w:val="nil"/>
            </w:tcBorders>
            <w:shd w:val="clear" w:color="000000" w:fill="F2F2F2"/>
            <w:noWrap/>
            <w:vAlign w:val="center"/>
            <w:hideMark/>
          </w:tcPr>
          <w:p w14:paraId="60375C70"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140 </w:t>
            </w:r>
          </w:p>
        </w:tc>
        <w:tc>
          <w:tcPr>
            <w:tcW w:w="960" w:type="dxa"/>
            <w:tcBorders>
              <w:top w:val="nil"/>
              <w:left w:val="nil"/>
              <w:bottom w:val="nil"/>
              <w:right w:val="nil"/>
            </w:tcBorders>
            <w:shd w:val="clear" w:color="auto" w:fill="auto"/>
            <w:noWrap/>
            <w:vAlign w:val="center"/>
            <w:hideMark/>
          </w:tcPr>
          <w:p w14:paraId="46E220CF"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471 </w:t>
            </w:r>
          </w:p>
        </w:tc>
      </w:tr>
      <w:tr w:rsidR="001E1DF0" w:rsidRPr="00667CD1" w14:paraId="2DB22C6C" w14:textId="77777777" w:rsidTr="00C055C1">
        <w:trPr>
          <w:trHeight w:val="290"/>
        </w:trPr>
        <w:tc>
          <w:tcPr>
            <w:tcW w:w="4220" w:type="dxa"/>
            <w:tcBorders>
              <w:top w:val="nil"/>
              <w:left w:val="nil"/>
              <w:bottom w:val="nil"/>
              <w:right w:val="nil"/>
            </w:tcBorders>
            <w:shd w:val="clear" w:color="auto" w:fill="auto"/>
            <w:noWrap/>
            <w:vAlign w:val="bottom"/>
            <w:hideMark/>
          </w:tcPr>
          <w:p w14:paraId="76E18D30" w14:textId="77777777" w:rsidR="001E1DF0" w:rsidRPr="00667CD1" w:rsidRDefault="001E1DF0" w:rsidP="001E1DF0">
            <w:pPr>
              <w:ind w:firstLineChars="100" w:firstLine="120"/>
              <w:rPr>
                <w:rFonts w:ascii="Arial" w:hAnsi="Arial" w:cs="Arial"/>
                <w:color w:val="000000"/>
                <w:sz w:val="12"/>
                <w:szCs w:val="12"/>
                <w:lang w:eastAsia="en-AU"/>
              </w:rPr>
            </w:pPr>
            <w:r w:rsidRPr="00667CD1">
              <w:rPr>
                <w:rFonts w:ascii="Arial" w:hAnsi="Arial" w:cs="Arial"/>
                <w:color w:val="000000"/>
                <w:sz w:val="12"/>
                <w:szCs w:val="12"/>
                <w:lang w:eastAsia="en-AU"/>
              </w:rPr>
              <w:t>'No worse off' payments</w:t>
            </w:r>
          </w:p>
        </w:tc>
        <w:tc>
          <w:tcPr>
            <w:tcW w:w="1280" w:type="dxa"/>
            <w:tcBorders>
              <w:top w:val="nil"/>
              <w:left w:val="nil"/>
              <w:bottom w:val="nil"/>
              <w:right w:val="nil"/>
            </w:tcBorders>
            <w:shd w:val="clear" w:color="auto" w:fill="auto"/>
            <w:noWrap/>
            <w:vAlign w:val="center"/>
            <w:hideMark/>
          </w:tcPr>
          <w:p w14:paraId="45F26DC9" w14:textId="77777777" w:rsidR="001E1DF0" w:rsidRPr="00667CD1" w:rsidRDefault="001E1DF0" w:rsidP="00C055C1">
            <w:pPr>
              <w:ind w:right="241"/>
              <w:jc w:val="right"/>
              <w:rPr>
                <w:rFonts w:ascii="Arial" w:hAnsi="Arial" w:cs="Arial"/>
                <w:color w:val="000000"/>
                <w:sz w:val="12"/>
                <w:szCs w:val="12"/>
                <w:lang w:eastAsia="en-AU"/>
              </w:rPr>
            </w:pPr>
            <w:r w:rsidRPr="00667CD1">
              <w:rPr>
                <w:rFonts w:ascii="Arial" w:hAnsi="Arial" w:cs="Arial"/>
                <w:color w:val="000000"/>
                <w:sz w:val="12"/>
                <w:szCs w:val="12"/>
                <w:lang w:eastAsia="en-AU"/>
              </w:rPr>
              <w:t>…</w:t>
            </w:r>
          </w:p>
        </w:tc>
        <w:tc>
          <w:tcPr>
            <w:tcW w:w="1160" w:type="dxa"/>
            <w:tcBorders>
              <w:top w:val="nil"/>
              <w:left w:val="nil"/>
              <w:bottom w:val="nil"/>
              <w:right w:val="nil"/>
            </w:tcBorders>
            <w:shd w:val="clear" w:color="000000" w:fill="F2F2F2"/>
            <w:noWrap/>
            <w:vAlign w:val="center"/>
            <w:hideMark/>
          </w:tcPr>
          <w:p w14:paraId="006AA1E6"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w:t>
            </w:r>
          </w:p>
        </w:tc>
        <w:tc>
          <w:tcPr>
            <w:tcW w:w="960" w:type="dxa"/>
            <w:tcBorders>
              <w:top w:val="nil"/>
              <w:left w:val="nil"/>
              <w:bottom w:val="nil"/>
              <w:right w:val="nil"/>
            </w:tcBorders>
            <w:shd w:val="clear" w:color="000000" w:fill="F2F2F2"/>
            <w:noWrap/>
            <w:vAlign w:val="center"/>
            <w:hideMark/>
          </w:tcPr>
          <w:p w14:paraId="15D19AEC"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17 </w:t>
            </w:r>
          </w:p>
        </w:tc>
        <w:tc>
          <w:tcPr>
            <w:tcW w:w="960" w:type="dxa"/>
            <w:tcBorders>
              <w:top w:val="nil"/>
              <w:left w:val="nil"/>
              <w:bottom w:val="nil"/>
              <w:right w:val="nil"/>
            </w:tcBorders>
            <w:shd w:val="clear" w:color="000000" w:fill="F2F2F2"/>
            <w:noWrap/>
            <w:vAlign w:val="center"/>
            <w:hideMark/>
          </w:tcPr>
          <w:p w14:paraId="25310337"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142 </w:t>
            </w:r>
          </w:p>
        </w:tc>
        <w:tc>
          <w:tcPr>
            <w:tcW w:w="960" w:type="dxa"/>
            <w:tcBorders>
              <w:top w:val="nil"/>
              <w:left w:val="nil"/>
              <w:bottom w:val="nil"/>
              <w:right w:val="nil"/>
            </w:tcBorders>
            <w:shd w:val="clear" w:color="auto" w:fill="auto"/>
            <w:noWrap/>
            <w:vAlign w:val="center"/>
            <w:hideMark/>
          </w:tcPr>
          <w:p w14:paraId="64550BCA"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159 </w:t>
            </w:r>
          </w:p>
        </w:tc>
      </w:tr>
      <w:tr w:rsidR="00C055C1" w:rsidRPr="00667CD1" w14:paraId="441D493B" w14:textId="77777777" w:rsidTr="00C055C1">
        <w:trPr>
          <w:trHeight w:val="290"/>
        </w:trPr>
        <w:tc>
          <w:tcPr>
            <w:tcW w:w="4220" w:type="dxa"/>
            <w:tcBorders>
              <w:top w:val="single" w:sz="4" w:space="0" w:color="auto"/>
              <w:left w:val="nil"/>
              <w:bottom w:val="single" w:sz="4" w:space="0" w:color="auto"/>
              <w:right w:val="nil"/>
            </w:tcBorders>
            <w:shd w:val="clear" w:color="auto" w:fill="auto"/>
            <w:vAlign w:val="center"/>
            <w:hideMark/>
          </w:tcPr>
          <w:p w14:paraId="275EF9E9" w14:textId="77777777" w:rsidR="001E1DF0" w:rsidRPr="00667CD1" w:rsidRDefault="001E1DF0" w:rsidP="001E1DF0">
            <w:pPr>
              <w:rPr>
                <w:rFonts w:ascii="Arial" w:hAnsi="Arial" w:cs="Arial"/>
                <w:b/>
                <w:bCs/>
                <w:color w:val="008EBA"/>
                <w:sz w:val="12"/>
                <w:szCs w:val="12"/>
                <w:lang w:eastAsia="en-AU"/>
              </w:rPr>
            </w:pPr>
            <w:r w:rsidRPr="00667CD1">
              <w:rPr>
                <w:rFonts w:ascii="Arial" w:hAnsi="Arial" w:cs="Arial"/>
                <w:b/>
                <w:bCs/>
                <w:color w:val="008EBA"/>
                <w:sz w:val="12"/>
                <w:szCs w:val="12"/>
                <w:lang w:eastAsia="en-AU"/>
              </w:rPr>
              <w:t>2019-20 Half-Yearly Review</w:t>
            </w:r>
          </w:p>
        </w:tc>
        <w:tc>
          <w:tcPr>
            <w:tcW w:w="1280" w:type="dxa"/>
            <w:tcBorders>
              <w:top w:val="single" w:sz="4" w:space="0" w:color="auto"/>
              <w:left w:val="nil"/>
              <w:bottom w:val="single" w:sz="4" w:space="0" w:color="auto"/>
              <w:right w:val="nil"/>
            </w:tcBorders>
            <w:shd w:val="clear" w:color="auto" w:fill="auto"/>
            <w:noWrap/>
            <w:vAlign w:val="center"/>
            <w:hideMark/>
          </w:tcPr>
          <w:p w14:paraId="01A62ED9" w14:textId="77777777" w:rsidR="001E1DF0" w:rsidRPr="00667CD1" w:rsidRDefault="001E1DF0" w:rsidP="00C055C1">
            <w:pPr>
              <w:ind w:right="241"/>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18,332 </w:t>
            </w:r>
          </w:p>
        </w:tc>
        <w:tc>
          <w:tcPr>
            <w:tcW w:w="1160" w:type="dxa"/>
            <w:tcBorders>
              <w:top w:val="single" w:sz="4" w:space="0" w:color="auto"/>
              <w:left w:val="nil"/>
              <w:bottom w:val="single" w:sz="4" w:space="0" w:color="auto"/>
              <w:right w:val="nil"/>
            </w:tcBorders>
            <w:shd w:val="clear" w:color="000000" w:fill="F2F2F2"/>
            <w:noWrap/>
            <w:vAlign w:val="center"/>
            <w:hideMark/>
          </w:tcPr>
          <w:p w14:paraId="5F5FEE15"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19,472 </w:t>
            </w:r>
          </w:p>
        </w:tc>
        <w:tc>
          <w:tcPr>
            <w:tcW w:w="960" w:type="dxa"/>
            <w:tcBorders>
              <w:top w:val="single" w:sz="4" w:space="0" w:color="auto"/>
              <w:left w:val="nil"/>
              <w:bottom w:val="single" w:sz="4" w:space="0" w:color="auto"/>
              <w:right w:val="nil"/>
            </w:tcBorders>
            <w:shd w:val="clear" w:color="000000" w:fill="F2F2F2"/>
            <w:noWrap/>
            <w:vAlign w:val="center"/>
            <w:hideMark/>
          </w:tcPr>
          <w:p w14:paraId="7E3D7EC2"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20,910 </w:t>
            </w:r>
          </w:p>
        </w:tc>
        <w:tc>
          <w:tcPr>
            <w:tcW w:w="960" w:type="dxa"/>
            <w:tcBorders>
              <w:top w:val="single" w:sz="4" w:space="0" w:color="auto"/>
              <w:left w:val="nil"/>
              <w:bottom w:val="single" w:sz="4" w:space="0" w:color="auto"/>
              <w:right w:val="nil"/>
            </w:tcBorders>
            <w:shd w:val="clear" w:color="000000" w:fill="F2F2F2"/>
            <w:noWrap/>
            <w:vAlign w:val="center"/>
            <w:hideMark/>
          </w:tcPr>
          <w:p w14:paraId="1834C9B2"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21,770 </w:t>
            </w:r>
          </w:p>
        </w:tc>
        <w:tc>
          <w:tcPr>
            <w:tcW w:w="960" w:type="dxa"/>
            <w:tcBorders>
              <w:top w:val="single" w:sz="4" w:space="0" w:color="auto"/>
              <w:left w:val="nil"/>
              <w:bottom w:val="single" w:sz="4" w:space="0" w:color="auto"/>
              <w:right w:val="nil"/>
            </w:tcBorders>
            <w:shd w:val="clear" w:color="auto" w:fill="auto"/>
            <w:noWrap/>
            <w:vAlign w:val="center"/>
            <w:hideMark/>
          </w:tcPr>
          <w:p w14:paraId="3C2A76D3"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80,484 </w:t>
            </w:r>
          </w:p>
        </w:tc>
      </w:tr>
      <w:tr w:rsidR="001E1DF0" w:rsidRPr="00667CD1" w14:paraId="075A7F87" w14:textId="77777777" w:rsidTr="00C055C1">
        <w:trPr>
          <w:trHeight w:val="290"/>
        </w:trPr>
        <w:tc>
          <w:tcPr>
            <w:tcW w:w="4220" w:type="dxa"/>
            <w:tcBorders>
              <w:top w:val="nil"/>
              <w:left w:val="nil"/>
              <w:bottom w:val="nil"/>
              <w:right w:val="nil"/>
            </w:tcBorders>
            <w:shd w:val="clear" w:color="auto" w:fill="auto"/>
            <w:noWrap/>
            <w:vAlign w:val="center"/>
            <w:hideMark/>
          </w:tcPr>
          <w:p w14:paraId="328F2856" w14:textId="77777777" w:rsidR="001E1DF0" w:rsidRPr="00667CD1" w:rsidRDefault="001E1DF0" w:rsidP="001E1DF0">
            <w:pPr>
              <w:rPr>
                <w:rFonts w:ascii="Arial" w:hAnsi="Arial" w:cs="Arial"/>
                <w:color w:val="000000"/>
                <w:sz w:val="12"/>
                <w:szCs w:val="12"/>
                <w:lang w:eastAsia="en-AU"/>
              </w:rPr>
            </w:pPr>
            <w:r w:rsidRPr="00667CD1">
              <w:rPr>
                <w:rFonts w:ascii="Arial" w:hAnsi="Arial" w:cs="Arial"/>
                <w:color w:val="000000"/>
                <w:sz w:val="12"/>
                <w:szCs w:val="12"/>
                <w:lang w:eastAsia="en-AU"/>
              </w:rPr>
              <w:t>Change due to:</w:t>
            </w:r>
          </w:p>
        </w:tc>
        <w:tc>
          <w:tcPr>
            <w:tcW w:w="1280" w:type="dxa"/>
            <w:tcBorders>
              <w:top w:val="nil"/>
              <w:left w:val="nil"/>
              <w:bottom w:val="nil"/>
              <w:right w:val="nil"/>
            </w:tcBorders>
            <w:shd w:val="clear" w:color="000000" w:fill="FFFFFF"/>
            <w:noWrap/>
            <w:vAlign w:val="center"/>
            <w:hideMark/>
          </w:tcPr>
          <w:p w14:paraId="390B4528" w14:textId="77777777" w:rsidR="001E1DF0" w:rsidRPr="00667CD1" w:rsidRDefault="001E1DF0" w:rsidP="00C055C1">
            <w:pPr>
              <w:ind w:right="241"/>
              <w:jc w:val="right"/>
              <w:rPr>
                <w:rFonts w:ascii="Arial" w:hAnsi="Arial" w:cs="Arial"/>
                <w:color w:val="000000"/>
                <w:sz w:val="12"/>
                <w:szCs w:val="12"/>
                <w:lang w:eastAsia="en-AU"/>
              </w:rPr>
            </w:pPr>
            <w:r w:rsidRPr="00667CD1">
              <w:rPr>
                <w:rFonts w:ascii="Arial" w:hAnsi="Arial" w:cs="Arial"/>
                <w:color w:val="000000"/>
                <w:sz w:val="12"/>
                <w:szCs w:val="12"/>
                <w:lang w:eastAsia="en-AU"/>
              </w:rPr>
              <w:t> </w:t>
            </w:r>
          </w:p>
        </w:tc>
        <w:tc>
          <w:tcPr>
            <w:tcW w:w="1160" w:type="dxa"/>
            <w:tcBorders>
              <w:top w:val="nil"/>
              <w:left w:val="nil"/>
              <w:bottom w:val="nil"/>
              <w:right w:val="nil"/>
            </w:tcBorders>
            <w:shd w:val="clear" w:color="000000" w:fill="F2F2F2"/>
            <w:noWrap/>
            <w:vAlign w:val="center"/>
            <w:hideMark/>
          </w:tcPr>
          <w:p w14:paraId="0068E82D"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w:t>
            </w:r>
          </w:p>
        </w:tc>
        <w:tc>
          <w:tcPr>
            <w:tcW w:w="960" w:type="dxa"/>
            <w:tcBorders>
              <w:top w:val="nil"/>
              <w:left w:val="nil"/>
              <w:bottom w:val="nil"/>
              <w:right w:val="nil"/>
            </w:tcBorders>
            <w:shd w:val="clear" w:color="000000" w:fill="F2F2F2"/>
            <w:noWrap/>
            <w:vAlign w:val="center"/>
            <w:hideMark/>
          </w:tcPr>
          <w:p w14:paraId="539FB540"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w:t>
            </w:r>
          </w:p>
        </w:tc>
        <w:tc>
          <w:tcPr>
            <w:tcW w:w="960" w:type="dxa"/>
            <w:tcBorders>
              <w:top w:val="nil"/>
              <w:left w:val="nil"/>
              <w:bottom w:val="nil"/>
              <w:right w:val="nil"/>
            </w:tcBorders>
            <w:shd w:val="clear" w:color="000000" w:fill="F2F2F2"/>
            <w:noWrap/>
            <w:vAlign w:val="center"/>
            <w:hideMark/>
          </w:tcPr>
          <w:p w14:paraId="30F94D37"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w:t>
            </w:r>
          </w:p>
        </w:tc>
        <w:tc>
          <w:tcPr>
            <w:tcW w:w="960" w:type="dxa"/>
            <w:tcBorders>
              <w:top w:val="nil"/>
              <w:left w:val="nil"/>
              <w:bottom w:val="nil"/>
              <w:right w:val="nil"/>
            </w:tcBorders>
            <w:shd w:val="clear" w:color="auto" w:fill="auto"/>
            <w:noWrap/>
            <w:vAlign w:val="center"/>
            <w:hideMark/>
          </w:tcPr>
          <w:p w14:paraId="67140D98" w14:textId="77777777" w:rsidR="001E1DF0" w:rsidRPr="00667CD1" w:rsidRDefault="001E1DF0" w:rsidP="00D94E1C">
            <w:pPr>
              <w:ind w:right="113"/>
              <w:jc w:val="right"/>
              <w:rPr>
                <w:rFonts w:ascii="Arial" w:hAnsi="Arial" w:cs="Arial"/>
                <w:color w:val="000000"/>
                <w:sz w:val="12"/>
                <w:szCs w:val="12"/>
                <w:lang w:eastAsia="en-AU"/>
              </w:rPr>
            </w:pPr>
          </w:p>
        </w:tc>
      </w:tr>
      <w:tr w:rsidR="001E1DF0" w:rsidRPr="00667CD1" w14:paraId="4D88593A" w14:textId="77777777" w:rsidTr="00C055C1">
        <w:trPr>
          <w:trHeight w:val="290"/>
        </w:trPr>
        <w:tc>
          <w:tcPr>
            <w:tcW w:w="4220" w:type="dxa"/>
            <w:tcBorders>
              <w:top w:val="nil"/>
              <w:left w:val="nil"/>
              <w:bottom w:val="nil"/>
              <w:right w:val="nil"/>
            </w:tcBorders>
            <w:shd w:val="clear" w:color="auto" w:fill="auto"/>
            <w:noWrap/>
            <w:vAlign w:val="bottom"/>
            <w:hideMark/>
          </w:tcPr>
          <w:p w14:paraId="35DB0276" w14:textId="77777777" w:rsidR="001E1DF0" w:rsidRPr="00667CD1" w:rsidRDefault="001E1DF0" w:rsidP="001E1DF0">
            <w:pPr>
              <w:ind w:firstLineChars="100" w:firstLine="120"/>
              <w:rPr>
                <w:rFonts w:ascii="Arial" w:hAnsi="Arial" w:cs="Arial"/>
                <w:color w:val="000000"/>
                <w:sz w:val="12"/>
                <w:szCs w:val="12"/>
                <w:lang w:eastAsia="en-AU"/>
              </w:rPr>
            </w:pPr>
            <w:r w:rsidRPr="00667CD1">
              <w:rPr>
                <w:rFonts w:ascii="Arial" w:hAnsi="Arial" w:cs="Arial"/>
                <w:color w:val="000000"/>
                <w:sz w:val="12"/>
                <w:szCs w:val="12"/>
                <w:lang w:eastAsia="en-AU"/>
              </w:rPr>
              <w:t>2019-20 adjustment</w:t>
            </w:r>
          </w:p>
        </w:tc>
        <w:tc>
          <w:tcPr>
            <w:tcW w:w="1280" w:type="dxa"/>
            <w:tcBorders>
              <w:top w:val="nil"/>
              <w:left w:val="nil"/>
              <w:bottom w:val="nil"/>
              <w:right w:val="nil"/>
            </w:tcBorders>
            <w:shd w:val="clear" w:color="auto" w:fill="auto"/>
            <w:noWrap/>
            <w:vAlign w:val="center"/>
            <w:hideMark/>
          </w:tcPr>
          <w:p w14:paraId="2DFA26FC" w14:textId="77777777" w:rsidR="001E1DF0" w:rsidRPr="00667CD1" w:rsidRDefault="001E1DF0" w:rsidP="00C055C1">
            <w:pPr>
              <w:ind w:right="241"/>
              <w:jc w:val="right"/>
              <w:rPr>
                <w:rFonts w:ascii="Arial" w:hAnsi="Arial" w:cs="Arial"/>
                <w:color w:val="000000"/>
                <w:sz w:val="12"/>
                <w:szCs w:val="12"/>
                <w:lang w:eastAsia="en-AU"/>
              </w:rPr>
            </w:pPr>
            <w:r w:rsidRPr="00667CD1">
              <w:rPr>
                <w:rFonts w:ascii="Arial" w:hAnsi="Arial" w:cs="Arial"/>
                <w:color w:val="000000"/>
                <w:sz w:val="12"/>
                <w:szCs w:val="12"/>
                <w:lang w:eastAsia="en-AU"/>
              </w:rPr>
              <w:t>…</w:t>
            </w:r>
          </w:p>
        </w:tc>
        <w:tc>
          <w:tcPr>
            <w:tcW w:w="1160" w:type="dxa"/>
            <w:tcBorders>
              <w:top w:val="nil"/>
              <w:left w:val="nil"/>
              <w:bottom w:val="nil"/>
              <w:right w:val="nil"/>
            </w:tcBorders>
            <w:shd w:val="clear" w:color="000000" w:fill="F2F2F2"/>
            <w:noWrap/>
            <w:vAlign w:val="center"/>
            <w:hideMark/>
          </w:tcPr>
          <w:p w14:paraId="70B65B46"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(1,469) </w:t>
            </w:r>
          </w:p>
        </w:tc>
        <w:tc>
          <w:tcPr>
            <w:tcW w:w="960" w:type="dxa"/>
            <w:tcBorders>
              <w:top w:val="nil"/>
              <w:left w:val="nil"/>
              <w:bottom w:val="nil"/>
              <w:right w:val="nil"/>
            </w:tcBorders>
            <w:shd w:val="clear" w:color="000000" w:fill="F2F2F2"/>
            <w:noWrap/>
            <w:vAlign w:val="center"/>
            <w:hideMark/>
          </w:tcPr>
          <w:p w14:paraId="1ED88272"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w:t>
            </w:r>
          </w:p>
        </w:tc>
        <w:tc>
          <w:tcPr>
            <w:tcW w:w="960" w:type="dxa"/>
            <w:tcBorders>
              <w:top w:val="nil"/>
              <w:left w:val="nil"/>
              <w:bottom w:val="nil"/>
              <w:right w:val="nil"/>
            </w:tcBorders>
            <w:shd w:val="clear" w:color="000000" w:fill="F2F2F2"/>
            <w:noWrap/>
            <w:vAlign w:val="center"/>
            <w:hideMark/>
          </w:tcPr>
          <w:p w14:paraId="7311062F"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w:t>
            </w:r>
          </w:p>
        </w:tc>
        <w:tc>
          <w:tcPr>
            <w:tcW w:w="960" w:type="dxa"/>
            <w:tcBorders>
              <w:top w:val="nil"/>
              <w:left w:val="nil"/>
              <w:bottom w:val="nil"/>
              <w:right w:val="nil"/>
            </w:tcBorders>
            <w:shd w:val="clear" w:color="auto" w:fill="auto"/>
            <w:noWrap/>
            <w:vAlign w:val="center"/>
            <w:hideMark/>
          </w:tcPr>
          <w:p w14:paraId="6F2730CF"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(1,469) </w:t>
            </w:r>
          </w:p>
        </w:tc>
      </w:tr>
      <w:tr w:rsidR="001E1DF0" w:rsidRPr="00667CD1" w14:paraId="356F8B2D" w14:textId="77777777" w:rsidTr="00C055C1">
        <w:trPr>
          <w:trHeight w:val="290"/>
        </w:trPr>
        <w:tc>
          <w:tcPr>
            <w:tcW w:w="4220" w:type="dxa"/>
            <w:tcBorders>
              <w:top w:val="nil"/>
              <w:left w:val="nil"/>
              <w:bottom w:val="nil"/>
              <w:right w:val="nil"/>
            </w:tcBorders>
            <w:shd w:val="clear" w:color="auto" w:fill="auto"/>
            <w:noWrap/>
            <w:vAlign w:val="bottom"/>
            <w:hideMark/>
          </w:tcPr>
          <w:p w14:paraId="02D3F2CC" w14:textId="77777777" w:rsidR="001E1DF0" w:rsidRPr="00667CD1" w:rsidRDefault="001E1DF0" w:rsidP="001E1DF0">
            <w:pPr>
              <w:ind w:firstLineChars="100" w:firstLine="120"/>
              <w:rPr>
                <w:rFonts w:ascii="Arial" w:hAnsi="Arial" w:cs="Arial"/>
                <w:color w:val="000000"/>
                <w:sz w:val="12"/>
                <w:szCs w:val="12"/>
                <w:lang w:eastAsia="en-AU"/>
              </w:rPr>
            </w:pPr>
            <w:r w:rsidRPr="00667CD1">
              <w:rPr>
                <w:rFonts w:ascii="Arial" w:hAnsi="Arial" w:cs="Arial"/>
                <w:color w:val="000000"/>
                <w:sz w:val="12"/>
                <w:szCs w:val="12"/>
                <w:lang w:eastAsia="en-AU"/>
              </w:rPr>
              <w:t>Change in population</w:t>
            </w:r>
          </w:p>
        </w:tc>
        <w:tc>
          <w:tcPr>
            <w:tcW w:w="1280" w:type="dxa"/>
            <w:tcBorders>
              <w:top w:val="nil"/>
              <w:left w:val="nil"/>
              <w:bottom w:val="nil"/>
              <w:right w:val="nil"/>
            </w:tcBorders>
            <w:shd w:val="clear" w:color="auto" w:fill="auto"/>
            <w:noWrap/>
            <w:vAlign w:val="center"/>
            <w:hideMark/>
          </w:tcPr>
          <w:p w14:paraId="18161EBB" w14:textId="77777777" w:rsidR="001E1DF0" w:rsidRPr="00667CD1" w:rsidRDefault="001E1DF0" w:rsidP="00C055C1">
            <w:pPr>
              <w:ind w:right="241"/>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(24) </w:t>
            </w:r>
          </w:p>
        </w:tc>
        <w:tc>
          <w:tcPr>
            <w:tcW w:w="1160" w:type="dxa"/>
            <w:tcBorders>
              <w:top w:val="nil"/>
              <w:left w:val="nil"/>
              <w:bottom w:val="nil"/>
              <w:right w:val="nil"/>
            </w:tcBorders>
            <w:shd w:val="clear" w:color="000000" w:fill="F2F2F2"/>
            <w:noWrap/>
            <w:vAlign w:val="center"/>
            <w:hideMark/>
          </w:tcPr>
          <w:p w14:paraId="23A59C44"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(115) </w:t>
            </w:r>
          </w:p>
        </w:tc>
        <w:tc>
          <w:tcPr>
            <w:tcW w:w="960" w:type="dxa"/>
            <w:tcBorders>
              <w:top w:val="nil"/>
              <w:left w:val="nil"/>
              <w:bottom w:val="nil"/>
              <w:right w:val="nil"/>
            </w:tcBorders>
            <w:shd w:val="clear" w:color="000000" w:fill="F2F2F2"/>
            <w:noWrap/>
            <w:vAlign w:val="center"/>
            <w:hideMark/>
          </w:tcPr>
          <w:p w14:paraId="2368AD41"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(177) </w:t>
            </w:r>
          </w:p>
        </w:tc>
        <w:tc>
          <w:tcPr>
            <w:tcW w:w="960" w:type="dxa"/>
            <w:tcBorders>
              <w:top w:val="nil"/>
              <w:left w:val="nil"/>
              <w:bottom w:val="nil"/>
              <w:right w:val="nil"/>
            </w:tcBorders>
            <w:shd w:val="clear" w:color="000000" w:fill="F2F2F2"/>
            <w:noWrap/>
            <w:vAlign w:val="center"/>
            <w:hideMark/>
          </w:tcPr>
          <w:p w14:paraId="01CB5435"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(259) </w:t>
            </w:r>
          </w:p>
        </w:tc>
        <w:tc>
          <w:tcPr>
            <w:tcW w:w="960" w:type="dxa"/>
            <w:tcBorders>
              <w:top w:val="nil"/>
              <w:left w:val="nil"/>
              <w:bottom w:val="nil"/>
              <w:right w:val="nil"/>
            </w:tcBorders>
            <w:shd w:val="clear" w:color="auto" w:fill="auto"/>
            <w:noWrap/>
            <w:vAlign w:val="center"/>
            <w:hideMark/>
          </w:tcPr>
          <w:p w14:paraId="706A3491"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(574) </w:t>
            </w:r>
          </w:p>
        </w:tc>
      </w:tr>
      <w:tr w:rsidR="001E1DF0" w:rsidRPr="00667CD1" w14:paraId="1F7C2DA9" w14:textId="77777777" w:rsidTr="00C055C1">
        <w:trPr>
          <w:trHeight w:val="290"/>
        </w:trPr>
        <w:tc>
          <w:tcPr>
            <w:tcW w:w="4220" w:type="dxa"/>
            <w:tcBorders>
              <w:top w:val="nil"/>
              <w:left w:val="nil"/>
              <w:bottom w:val="nil"/>
              <w:right w:val="nil"/>
            </w:tcBorders>
            <w:shd w:val="clear" w:color="auto" w:fill="auto"/>
            <w:noWrap/>
            <w:vAlign w:val="bottom"/>
            <w:hideMark/>
          </w:tcPr>
          <w:p w14:paraId="133B0881" w14:textId="77777777" w:rsidR="001E1DF0" w:rsidRPr="00667CD1" w:rsidRDefault="001E1DF0" w:rsidP="001E1DF0">
            <w:pPr>
              <w:ind w:firstLineChars="100" w:firstLine="120"/>
              <w:rPr>
                <w:rFonts w:ascii="Arial" w:hAnsi="Arial" w:cs="Arial"/>
                <w:color w:val="000000"/>
                <w:sz w:val="12"/>
                <w:szCs w:val="12"/>
                <w:lang w:eastAsia="en-AU"/>
              </w:rPr>
            </w:pPr>
            <w:r w:rsidRPr="00667CD1">
              <w:rPr>
                <w:rFonts w:ascii="Arial" w:hAnsi="Arial" w:cs="Arial"/>
                <w:color w:val="000000"/>
                <w:sz w:val="12"/>
                <w:szCs w:val="12"/>
                <w:lang w:eastAsia="en-AU"/>
              </w:rPr>
              <w:t>Change in pool</w:t>
            </w:r>
          </w:p>
        </w:tc>
        <w:tc>
          <w:tcPr>
            <w:tcW w:w="1280" w:type="dxa"/>
            <w:tcBorders>
              <w:top w:val="nil"/>
              <w:left w:val="nil"/>
              <w:bottom w:val="nil"/>
              <w:right w:val="nil"/>
            </w:tcBorders>
            <w:shd w:val="clear" w:color="auto" w:fill="auto"/>
            <w:noWrap/>
            <w:vAlign w:val="center"/>
            <w:hideMark/>
          </w:tcPr>
          <w:p w14:paraId="5AC1F775" w14:textId="77777777" w:rsidR="001E1DF0" w:rsidRPr="00667CD1" w:rsidRDefault="001E1DF0" w:rsidP="00C055C1">
            <w:pPr>
              <w:ind w:right="241"/>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(243) </w:t>
            </w:r>
          </w:p>
        </w:tc>
        <w:tc>
          <w:tcPr>
            <w:tcW w:w="1160" w:type="dxa"/>
            <w:tcBorders>
              <w:top w:val="nil"/>
              <w:left w:val="nil"/>
              <w:bottom w:val="nil"/>
              <w:right w:val="nil"/>
            </w:tcBorders>
            <w:shd w:val="clear" w:color="000000" w:fill="F2F2F2"/>
            <w:noWrap/>
            <w:vAlign w:val="center"/>
            <w:hideMark/>
          </w:tcPr>
          <w:p w14:paraId="5E3F1EFD"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(2,256) </w:t>
            </w:r>
          </w:p>
        </w:tc>
        <w:tc>
          <w:tcPr>
            <w:tcW w:w="960" w:type="dxa"/>
            <w:tcBorders>
              <w:top w:val="nil"/>
              <w:left w:val="nil"/>
              <w:bottom w:val="nil"/>
              <w:right w:val="nil"/>
            </w:tcBorders>
            <w:shd w:val="clear" w:color="000000" w:fill="F2F2F2"/>
            <w:noWrap/>
            <w:vAlign w:val="center"/>
            <w:hideMark/>
          </w:tcPr>
          <w:p w14:paraId="3694C7CC"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(2,068) </w:t>
            </w:r>
          </w:p>
        </w:tc>
        <w:tc>
          <w:tcPr>
            <w:tcW w:w="960" w:type="dxa"/>
            <w:tcBorders>
              <w:top w:val="nil"/>
              <w:left w:val="nil"/>
              <w:bottom w:val="nil"/>
              <w:right w:val="nil"/>
            </w:tcBorders>
            <w:shd w:val="clear" w:color="000000" w:fill="F2F2F2"/>
            <w:noWrap/>
            <w:vAlign w:val="center"/>
            <w:hideMark/>
          </w:tcPr>
          <w:p w14:paraId="04C1A891"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(2,326) </w:t>
            </w:r>
          </w:p>
        </w:tc>
        <w:tc>
          <w:tcPr>
            <w:tcW w:w="960" w:type="dxa"/>
            <w:tcBorders>
              <w:top w:val="nil"/>
              <w:left w:val="nil"/>
              <w:bottom w:val="nil"/>
              <w:right w:val="nil"/>
            </w:tcBorders>
            <w:shd w:val="clear" w:color="auto" w:fill="auto"/>
            <w:noWrap/>
            <w:vAlign w:val="center"/>
            <w:hideMark/>
          </w:tcPr>
          <w:p w14:paraId="146C72C8"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(6,893) </w:t>
            </w:r>
          </w:p>
        </w:tc>
      </w:tr>
      <w:tr w:rsidR="001E1DF0" w:rsidRPr="00667CD1" w14:paraId="54CD6D6B" w14:textId="77777777" w:rsidTr="00C055C1">
        <w:trPr>
          <w:trHeight w:val="290"/>
        </w:trPr>
        <w:tc>
          <w:tcPr>
            <w:tcW w:w="4220" w:type="dxa"/>
            <w:tcBorders>
              <w:top w:val="nil"/>
              <w:left w:val="nil"/>
              <w:bottom w:val="nil"/>
              <w:right w:val="nil"/>
            </w:tcBorders>
            <w:shd w:val="clear" w:color="auto" w:fill="auto"/>
            <w:noWrap/>
            <w:vAlign w:val="bottom"/>
            <w:hideMark/>
          </w:tcPr>
          <w:p w14:paraId="79F07F69" w14:textId="77777777" w:rsidR="001E1DF0" w:rsidRPr="00667CD1" w:rsidRDefault="001E1DF0" w:rsidP="001E1DF0">
            <w:pPr>
              <w:ind w:firstLineChars="100" w:firstLine="120"/>
              <w:rPr>
                <w:rFonts w:ascii="Arial" w:hAnsi="Arial" w:cs="Arial"/>
                <w:color w:val="000000"/>
                <w:sz w:val="12"/>
                <w:szCs w:val="12"/>
                <w:lang w:eastAsia="en-AU"/>
              </w:rPr>
            </w:pPr>
            <w:r w:rsidRPr="00667CD1">
              <w:rPr>
                <w:rFonts w:ascii="Arial" w:hAnsi="Arial" w:cs="Arial"/>
                <w:color w:val="000000"/>
                <w:sz w:val="12"/>
                <w:szCs w:val="12"/>
                <w:lang w:eastAsia="en-AU"/>
              </w:rPr>
              <w:t>Change in relativities</w:t>
            </w:r>
          </w:p>
        </w:tc>
        <w:tc>
          <w:tcPr>
            <w:tcW w:w="1280" w:type="dxa"/>
            <w:tcBorders>
              <w:top w:val="nil"/>
              <w:left w:val="nil"/>
              <w:bottom w:val="nil"/>
              <w:right w:val="nil"/>
            </w:tcBorders>
            <w:shd w:val="clear" w:color="auto" w:fill="auto"/>
            <w:noWrap/>
            <w:vAlign w:val="center"/>
            <w:hideMark/>
          </w:tcPr>
          <w:p w14:paraId="1A54E93D" w14:textId="77777777" w:rsidR="001E1DF0" w:rsidRPr="00667CD1" w:rsidRDefault="001E1DF0" w:rsidP="00C055C1">
            <w:pPr>
              <w:ind w:right="241"/>
              <w:jc w:val="right"/>
              <w:rPr>
                <w:rFonts w:ascii="Arial" w:hAnsi="Arial" w:cs="Arial"/>
                <w:color w:val="000000"/>
                <w:sz w:val="12"/>
                <w:szCs w:val="12"/>
                <w:lang w:eastAsia="en-AU"/>
              </w:rPr>
            </w:pPr>
            <w:r w:rsidRPr="00667CD1">
              <w:rPr>
                <w:rFonts w:ascii="Arial" w:hAnsi="Arial" w:cs="Arial"/>
                <w:color w:val="000000"/>
                <w:sz w:val="12"/>
                <w:szCs w:val="12"/>
                <w:lang w:eastAsia="en-AU"/>
              </w:rPr>
              <w:t>…</w:t>
            </w:r>
          </w:p>
        </w:tc>
        <w:tc>
          <w:tcPr>
            <w:tcW w:w="1160" w:type="dxa"/>
            <w:tcBorders>
              <w:top w:val="nil"/>
              <w:left w:val="nil"/>
              <w:bottom w:val="nil"/>
              <w:right w:val="nil"/>
            </w:tcBorders>
            <w:shd w:val="clear" w:color="000000" w:fill="F2F2F2"/>
            <w:noWrap/>
            <w:vAlign w:val="center"/>
            <w:hideMark/>
          </w:tcPr>
          <w:p w14:paraId="46849A02"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640 </w:t>
            </w:r>
          </w:p>
        </w:tc>
        <w:tc>
          <w:tcPr>
            <w:tcW w:w="960" w:type="dxa"/>
            <w:tcBorders>
              <w:top w:val="nil"/>
              <w:left w:val="nil"/>
              <w:bottom w:val="nil"/>
              <w:right w:val="nil"/>
            </w:tcBorders>
            <w:shd w:val="clear" w:color="000000" w:fill="F2F2F2"/>
            <w:noWrap/>
            <w:vAlign w:val="center"/>
            <w:hideMark/>
          </w:tcPr>
          <w:p w14:paraId="68151830"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933 </w:t>
            </w:r>
          </w:p>
        </w:tc>
        <w:tc>
          <w:tcPr>
            <w:tcW w:w="960" w:type="dxa"/>
            <w:tcBorders>
              <w:top w:val="nil"/>
              <w:left w:val="nil"/>
              <w:bottom w:val="nil"/>
              <w:right w:val="nil"/>
            </w:tcBorders>
            <w:shd w:val="clear" w:color="000000" w:fill="F2F2F2"/>
            <w:noWrap/>
            <w:vAlign w:val="center"/>
            <w:hideMark/>
          </w:tcPr>
          <w:p w14:paraId="0C4DE4FF"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518 </w:t>
            </w:r>
          </w:p>
        </w:tc>
        <w:tc>
          <w:tcPr>
            <w:tcW w:w="960" w:type="dxa"/>
            <w:tcBorders>
              <w:top w:val="nil"/>
              <w:left w:val="nil"/>
              <w:bottom w:val="nil"/>
              <w:right w:val="nil"/>
            </w:tcBorders>
            <w:shd w:val="clear" w:color="auto" w:fill="auto"/>
            <w:noWrap/>
            <w:vAlign w:val="center"/>
            <w:hideMark/>
          </w:tcPr>
          <w:p w14:paraId="2356D245"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2,090 </w:t>
            </w:r>
          </w:p>
        </w:tc>
      </w:tr>
      <w:tr w:rsidR="001E1DF0" w:rsidRPr="00667CD1" w14:paraId="0CB90406" w14:textId="77777777" w:rsidTr="00C055C1">
        <w:trPr>
          <w:trHeight w:val="290"/>
        </w:trPr>
        <w:tc>
          <w:tcPr>
            <w:tcW w:w="4220" w:type="dxa"/>
            <w:tcBorders>
              <w:top w:val="nil"/>
              <w:left w:val="nil"/>
              <w:bottom w:val="nil"/>
              <w:right w:val="nil"/>
            </w:tcBorders>
            <w:shd w:val="clear" w:color="auto" w:fill="auto"/>
            <w:noWrap/>
            <w:vAlign w:val="bottom"/>
            <w:hideMark/>
          </w:tcPr>
          <w:p w14:paraId="67EB7F3B" w14:textId="77777777" w:rsidR="001E1DF0" w:rsidRPr="00667CD1" w:rsidRDefault="001E1DF0" w:rsidP="001E1DF0">
            <w:pPr>
              <w:ind w:firstLineChars="100" w:firstLine="120"/>
              <w:rPr>
                <w:rFonts w:ascii="Arial" w:hAnsi="Arial" w:cs="Arial"/>
                <w:color w:val="000000"/>
                <w:sz w:val="12"/>
                <w:szCs w:val="12"/>
                <w:lang w:eastAsia="en-AU"/>
              </w:rPr>
            </w:pPr>
            <w:r w:rsidRPr="00667CD1">
              <w:rPr>
                <w:rFonts w:ascii="Arial" w:hAnsi="Arial" w:cs="Arial"/>
                <w:color w:val="000000"/>
                <w:sz w:val="12"/>
                <w:szCs w:val="12"/>
                <w:lang w:eastAsia="en-AU"/>
              </w:rPr>
              <w:t>'No worse off' payments</w:t>
            </w:r>
          </w:p>
        </w:tc>
        <w:tc>
          <w:tcPr>
            <w:tcW w:w="1280" w:type="dxa"/>
            <w:tcBorders>
              <w:top w:val="nil"/>
              <w:left w:val="nil"/>
              <w:bottom w:val="nil"/>
              <w:right w:val="nil"/>
            </w:tcBorders>
            <w:shd w:val="clear" w:color="auto" w:fill="auto"/>
            <w:noWrap/>
            <w:vAlign w:val="center"/>
            <w:hideMark/>
          </w:tcPr>
          <w:p w14:paraId="507CE0B6" w14:textId="77777777" w:rsidR="001E1DF0" w:rsidRPr="00667CD1" w:rsidRDefault="001E1DF0" w:rsidP="00C055C1">
            <w:pPr>
              <w:ind w:right="241"/>
              <w:jc w:val="right"/>
              <w:rPr>
                <w:rFonts w:ascii="Arial" w:hAnsi="Arial" w:cs="Arial"/>
                <w:color w:val="000000"/>
                <w:sz w:val="12"/>
                <w:szCs w:val="12"/>
                <w:lang w:eastAsia="en-AU"/>
              </w:rPr>
            </w:pPr>
            <w:r w:rsidRPr="00667CD1">
              <w:rPr>
                <w:rFonts w:ascii="Arial" w:hAnsi="Arial" w:cs="Arial"/>
                <w:color w:val="000000"/>
                <w:sz w:val="12"/>
                <w:szCs w:val="12"/>
                <w:lang w:eastAsia="en-AU"/>
              </w:rPr>
              <w:t>…</w:t>
            </w:r>
          </w:p>
        </w:tc>
        <w:tc>
          <w:tcPr>
            <w:tcW w:w="1160" w:type="dxa"/>
            <w:tcBorders>
              <w:top w:val="nil"/>
              <w:left w:val="nil"/>
              <w:bottom w:val="nil"/>
              <w:right w:val="nil"/>
            </w:tcBorders>
            <w:shd w:val="clear" w:color="000000" w:fill="F2F2F2"/>
            <w:noWrap/>
            <w:vAlign w:val="center"/>
            <w:hideMark/>
          </w:tcPr>
          <w:p w14:paraId="61C57DA2"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w:t>
            </w:r>
          </w:p>
        </w:tc>
        <w:tc>
          <w:tcPr>
            <w:tcW w:w="960" w:type="dxa"/>
            <w:tcBorders>
              <w:top w:val="nil"/>
              <w:left w:val="nil"/>
              <w:bottom w:val="nil"/>
              <w:right w:val="nil"/>
            </w:tcBorders>
            <w:shd w:val="clear" w:color="000000" w:fill="F2F2F2"/>
            <w:noWrap/>
            <w:vAlign w:val="center"/>
            <w:hideMark/>
          </w:tcPr>
          <w:p w14:paraId="70718FAF"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(5) </w:t>
            </w:r>
          </w:p>
        </w:tc>
        <w:tc>
          <w:tcPr>
            <w:tcW w:w="960" w:type="dxa"/>
            <w:tcBorders>
              <w:top w:val="nil"/>
              <w:left w:val="nil"/>
              <w:bottom w:val="nil"/>
              <w:right w:val="nil"/>
            </w:tcBorders>
            <w:shd w:val="clear" w:color="000000" w:fill="F2F2F2"/>
            <w:noWrap/>
            <w:vAlign w:val="center"/>
            <w:hideMark/>
          </w:tcPr>
          <w:p w14:paraId="4FA212A0"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189 </w:t>
            </w:r>
          </w:p>
        </w:tc>
        <w:tc>
          <w:tcPr>
            <w:tcW w:w="960" w:type="dxa"/>
            <w:tcBorders>
              <w:top w:val="nil"/>
              <w:left w:val="nil"/>
              <w:bottom w:val="nil"/>
              <w:right w:val="nil"/>
            </w:tcBorders>
            <w:shd w:val="clear" w:color="auto" w:fill="auto"/>
            <w:noWrap/>
            <w:vAlign w:val="center"/>
            <w:hideMark/>
          </w:tcPr>
          <w:p w14:paraId="17B16D41" w14:textId="77777777" w:rsidR="001E1DF0" w:rsidRPr="00667CD1" w:rsidRDefault="001E1DF0" w:rsidP="00D94E1C">
            <w:pPr>
              <w:ind w:right="113"/>
              <w:jc w:val="right"/>
              <w:rPr>
                <w:rFonts w:ascii="Arial" w:hAnsi="Arial" w:cs="Arial"/>
                <w:color w:val="000000"/>
                <w:sz w:val="12"/>
                <w:szCs w:val="12"/>
                <w:lang w:eastAsia="en-AU"/>
              </w:rPr>
            </w:pPr>
            <w:r w:rsidRPr="00667CD1">
              <w:rPr>
                <w:rFonts w:ascii="Arial" w:hAnsi="Arial" w:cs="Arial"/>
                <w:color w:val="000000"/>
                <w:sz w:val="12"/>
                <w:szCs w:val="12"/>
                <w:lang w:eastAsia="en-AU"/>
              </w:rPr>
              <w:t xml:space="preserve">184 </w:t>
            </w:r>
          </w:p>
        </w:tc>
      </w:tr>
      <w:tr w:rsidR="00C055C1" w:rsidRPr="00667CD1" w14:paraId="5652374D" w14:textId="77777777" w:rsidTr="00C055C1">
        <w:trPr>
          <w:trHeight w:val="290"/>
        </w:trPr>
        <w:tc>
          <w:tcPr>
            <w:tcW w:w="4220" w:type="dxa"/>
            <w:tcBorders>
              <w:top w:val="single" w:sz="4" w:space="0" w:color="auto"/>
              <w:left w:val="nil"/>
              <w:bottom w:val="single" w:sz="4" w:space="0" w:color="auto"/>
              <w:right w:val="nil"/>
            </w:tcBorders>
            <w:shd w:val="clear" w:color="auto" w:fill="auto"/>
            <w:vAlign w:val="center"/>
            <w:hideMark/>
          </w:tcPr>
          <w:p w14:paraId="30DC1081" w14:textId="77777777" w:rsidR="001E1DF0" w:rsidRPr="00667CD1" w:rsidRDefault="001E1DF0" w:rsidP="001E1DF0">
            <w:pPr>
              <w:rPr>
                <w:rFonts w:ascii="Arial" w:hAnsi="Arial" w:cs="Arial"/>
                <w:b/>
                <w:bCs/>
                <w:color w:val="008EBA"/>
                <w:sz w:val="12"/>
                <w:szCs w:val="12"/>
                <w:lang w:eastAsia="en-AU"/>
              </w:rPr>
            </w:pPr>
            <w:r w:rsidRPr="00667CD1">
              <w:rPr>
                <w:rFonts w:ascii="Arial" w:hAnsi="Arial" w:cs="Arial"/>
                <w:b/>
                <w:bCs/>
                <w:color w:val="008EBA"/>
                <w:sz w:val="12"/>
                <w:szCs w:val="12"/>
                <w:lang w:eastAsia="en-AU"/>
              </w:rPr>
              <w:t>2020-21 Budget</w:t>
            </w:r>
          </w:p>
        </w:tc>
        <w:tc>
          <w:tcPr>
            <w:tcW w:w="1280" w:type="dxa"/>
            <w:tcBorders>
              <w:top w:val="single" w:sz="4" w:space="0" w:color="auto"/>
              <w:left w:val="nil"/>
              <w:bottom w:val="single" w:sz="4" w:space="0" w:color="auto"/>
              <w:right w:val="nil"/>
            </w:tcBorders>
            <w:shd w:val="clear" w:color="auto" w:fill="auto"/>
            <w:noWrap/>
            <w:vAlign w:val="center"/>
            <w:hideMark/>
          </w:tcPr>
          <w:p w14:paraId="0571F2CB" w14:textId="77777777" w:rsidR="001E1DF0" w:rsidRPr="00667CD1" w:rsidRDefault="001E1DF0" w:rsidP="00C055C1">
            <w:pPr>
              <w:ind w:right="241"/>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18,066 </w:t>
            </w:r>
          </w:p>
        </w:tc>
        <w:tc>
          <w:tcPr>
            <w:tcW w:w="1160" w:type="dxa"/>
            <w:tcBorders>
              <w:top w:val="single" w:sz="4" w:space="0" w:color="auto"/>
              <w:left w:val="nil"/>
              <w:bottom w:val="single" w:sz="4" w:space="0" w:color="auto"/>
              <w:right w:val="nil"/>
            </w:tcBorders>
            <w:shd w:val="clear" w:color="000000" w:fill="F2F2F2"/>
            <w:noWrap/>
            <w:vAlign w:val="center"/>
            <w:hideMark/>
          </w:tcPr>
          <w:p w14:paraId="7F7C059F"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16,272 </w:t>
            </w:r>
          </w:p>
        </w:tc>
        <w:tc>
          <w:tcPr>
            <w:tcW w:w="960" w:type="dxa"/>
            <w:tcBorders>
              <w:top w:val="single" w:sz="4" w:space="0" w:color="auto"/>
              <w:left w:val="nil"/>
              <w:bottom w:val="single" w:sz="4" w:space="0" w:color="auto"/>
              <w:right w:val="nil"/>
            </w:tcBorders>
            <w:shd w:val="clear" w:color="000000" w:fill="F2F2F2"/>
            <w:noWrap/>
            <w:vAlign w:val="center"/>
            <w:hideMark/>
          </w:tcPr>
          <w:p w14:paraId="53F0A796"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19,593 </w:t>
            </w:r>
          </w:p>
        </w:tc>
        <w:tc>
          <w:tcPr>
            <w:tcW w:w="960" w:type="dxa"/>
            <w:tcBorders>
              <w:top w:val="single" w:sz="4" w:space="0" w:color="auto"/>
              <w:left w:val="nil"/>
              <w:bottom w:val="single" w:sz="4" w:space="0" w:color="auto"/>
              <w:right w:val="nil"/>
            </w:tcBorders>
            <w:shd w:val="clear" w:color="000000" w:fill="F2F2F2"/>
            <w:noWrap/>
            <w:vAlign w:val="center"/>
            <w:hideMark/>
          </w:tcPr>
          <w:p w14:paraId="525A0506"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19,892 </w:t>
            </w:r>
          </w:p>
        </w:tc>
        <w:tc>
          <w:tcPr>
            <w:tcW w:w="960" w:type="dxa"/>
            <w:tcBorders>
              <w:top w:val="single" w:sz="4" w:space="0" w:color="auto"/>
              <w:left w:val="nil"/>
              <w:bottom w:val="single" w:sz="4" w:space="0" w:color="auto"/>
              <w:right w:val="nil"/>
            </w:tcBorders>
            <w:shd w:val="clear" w:color="auto" w:fill="auto"/>
            <w:noWrap/>
            <w:vAlign w:val="center"/>
            <w:hideMark/>
          </w:tcPr>
          <w:p w14:paraId="627FA7B8"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73,823 </w:t>
            </w:r>
          </w:p>
        </w:tc>
      </w:tr>
      <w:tr w:rsidR="00C055C1" w:rsidRPr="00667CD1" w14:paraId="5E522D62" w14:textId="77777777" w:rsidTr="00C055C1">
        <w:trPr>
          <w:trHeight w:val="290"/>
        </w:trPr>
        <w:tc>
          <w:tcPr>
            <w:tcW w:w="4220" w:type="dxa"/>
            <w:tcBorders>
              <w:top w:val="nil"/>
              <w:left w:val="nil"/>
              <w:bottom w:val="single" w:sz="4" w:space="0" w:color="auto"/>
              <w:right w:val="nil"/>
            </w:tcBorders>
            <w:shd w:val="clear" w:color="auto" w:fill="auto"/>
            <w:vAlign w:val="center"/>
            <w:hideMark/>
          </w:tcPr>
          <w:p w14:paraId="2B206FAC" w14:textId="77777777" w:rsidR="001E1DF0" w:rsidRPr="00667CD1" w:rsidRDefault="001E1DF0" w:rsidP="001E1DF0">
            <w:pPr>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Change since 2019-20 Half-Yearly Review </w:t>
            </w:r>
          </w:p>
        </w:tc>
        <w:tc>
          <w:tcPr>
            <w:tcW w:w="1280" w:type="dxa"/>
            <w:tcBorders>
              <w:top w:val="nil"/>
              <w:left w:val="nil"/>
              <w:bottom w:val="single" w:sz="4" w:space="0" w:color="auto"/>
              <w:right w:val="nil"/>
            </w:tcBorders>
            <w:shd w:val="clear" w:color="auto" w:fill="auto"/>
            <w:noWrap/>
            <w:vAlign w:val="center"/>
            <w:hideMark/>
          </w:tcPr>
          <w:p w14:paraId="1668E624" w14:textId="77777777" w:rsidR="001E1DF0" w:rsidRPr="00667CD1" w:rsidRDefault="001E1DF0" w:rsidP="00C055C1">
            <w:pPr>
              <w:ind w:right="241"/>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(266) </w:t>
            </w:r>
          </w:p>
        </w:tc>
        <w:tc>
          <w:tcPr>
            <w:tcW w:w="1160" w:type="dxa"/>
            <w:tcBorders>
              <w:top w:val="nil"/>
              <w:left w:val="nil"/>
              <w:bottom w:val="single" w:sz="4" w:space="0" w:color="auto"/>
              <w:right w:val="nil"/>
            </w:tcBorders>
            <w:shd w:val="clear" w:color="auto" w:fill="auto"/>
            <w:noWrap/>
            <w:vAlign w:val="center"/>
            <w:hideMark/>
          </w:tcPr>
          <w:p w14:paraId="51519F96"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(3,200) </w:t>
            </w:r>
          </w:p>
        </w:tc>
        <w:tc>
          <w:tcPr>
            <w:tcW w:w="960" w:type="dxa"/>
            <w:tcBorders>
              <w:top w:val="nil"/>
              <w:left w:val="nil"/>
              <w:bottom w:val="single" w:sz="4" w:space="0" w:color="auto"/>
              <w:right w:val="nil"/>
            </w:tcBorders>
            <w:shd w:val="clear" w:color="auto" w:fill="auto"/>
            <w:noWrap/>
            <w:vAlign w:val="center"/>
            <w:hideMark/>
          </w:tcPr>
          <w:p w14:paraId="43641349"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(1,317) </w:t>
            </w:r>
          </w:p>
        </w:tc>
        <w:tc>
          <w:tcPr>
            <w:tcW w:w="960" w:type="dxa"/>
            <w:tcBorders>
              <w:top w:val="nil"/>
              <w:left w:val="nil"/>
              <w:bottom w:val="single" w:sz="4" w:space="0" w:color="auto"/>
              <w:right w:val="nil"/>
            </w:tcBorders>
            <w:shd w:val="clear" w:color="auto" w:fill="auto"/>
            <w:noWrap/>
            <w:vAlign w:val="center"/>
            <w:hideMark/>
          </w:tcPr>
          <w:p w14:paraId="7144B088"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(1,878) </w:t>
            </w:r>
          </w:p>
        </w:tc>
        <w:tc>
          <w:tcPr>
            <w:tcW w:w="960" w:type="dxa"/>
            <w:tcBorders>
              <w:top w:val="nil"/>
              <w:left w:val="nil"/>
              <w:bottom w:val="single" w:sz="4" w:space="0" w:color="auto"/>
              <w:right w:val="nil"/>
            </w:tcBorders>
            <w:shd w:val="clear" w:color="auto" w:fill="auto"/>
            <w:noWrap/>
            <w:vAlign w:val="center"/>
            <w:hideMark/>
          </w:tcPr>
          <w:p w14:paraId="73354983" w14:textId="77777777" w:rsidR="001E1DF0" w:rsidRPr="00667CD1" w:rsidRDefault="001E1DF0" w:rsidP="00D94E1C">
            <w:pPr>
              <w:ind w:right="113"/>
              <w:jc w:val="right"/>
              <w:rPr>
                <w:rFonts w:ascii="Arial" w:hAnsi="Arial" w:cs="Arial"/>
                <w:b/>
                <w:bCs/>
                <w:color w:val="008EBA"/>
                <w:sz w:val="12"/>
                <w:szCs w:val="12"/>
                <w:lang w:eastAsia="en-AU"/>
              </w:rPr>
            </w:pPr>
            <w:r w:rsidRPr="00667CD1">
              <w:rPr>
                <w:rFonts w:ascii="Arial" w:hAnsi="Arial" w:cs="Arial"/>
                <w:b/>
                <w:bCs/>
                <w:color w:val="008EBA"/>
                <w:sz w:val="12"/>
                <w:szCs w:val="12"/>
                <w:lang w:eastAsia="en-AU"/>
              </w:rPr>
              <w:t xml:space="preserve">(6,661) </w:t>
            </w:r>
          </w:p>
        </w:tc>
      </w:tr>
    </w:tbl>
    <w:p w14:paraId="2887368D" w14:textId="3F54010F" w:rsidR="00AB441E" w:rsidRPr="00667CD1" w:rsidRDefault="00AB441E" w:rsidP="00E83C14">
      <w:pPr>
        <w:rPr>
          <w:rFonts w:ascii="Arial" w:eastAsiaTheme="minorHAnsi" w:hAnsi="Arial" w:cs="Arial"/>
          <w:sz w:val="2"/>
          <w:szCs w:val="2"/>
        </w:rPr>
      </w:pPr>
    </w:p>
    <w:p w14:paraId="03C05C98" w14:textId="2527FE80" w:rsidR="00A735F8" w:rsidRPr="00667CD1" w:rsidRDefault="00423CD3" w:rsidP="003B4998">
      <w:pPr>
        <w:pStyle w:val="ListParagraph"/>
        <w:numPr>
          <w:ilvl w:val="0"/>
          <w:numId w:val="15"/>
        </w:numPr>
        <w:ind w:left="357" w:hanging="357"/>
        <w:rPr>
          <w:rFonts w:ascii="Arial" w:eastAsiaTheme="minorHAnsi" w:hAnsi="Arial" w:cs="Arial"/>
          <w:sz w:val="14"/>
          <w:szCs w:val="14"/>
        </w:rPr>
      </w:pPr>
      <w:r w:rsidRPr="00667CD1">
        <w:rPr>
          <w:rFonts w:ascii="Arial" w:hAnsi="Arial" w:cs="Arial"/>
          <w:sz w:val="14"/>
          <w:szCs w:val="14"/>
        </w:rPr>
        <w:t xml:space="preserve">The Commonwealth Government will provide separate untied grants </w:t>
      </w:r>
      <w:r w:rsidR="003F4B9C" w:rsidRPr="00667CD1">
        <w:rPr>
          <w:rFonts w:ascii="Arial" w:hAnsi="Arial" w:cs="Arial"/>
          <w:sz w:val="14"/>
          <w:szCs w:val="14"/>
        </w:rPr>
        <w:t>from</w:t>
      </w:r>
      <w:r w:rsidRPr="00667CD1">
        <w:rPr>
          <w:rFonts w:ascii="Arial" w:hAnsi="Arial" w:cs="Arial"/>
          <w:sz w:val="14"/>
          <w:szCs w:val="14"/>
        </w:rPr>
        <w:t xml:space="preserve"> 2021-22 to 2026-27 </w:t>
      </w:r>
      <w:r w:rsidR="003F4B9C" w:rsidRPr="00667CD1">
        <w:rPr>
          <w:rFonts w:ascii="Arial" w:hAnsi="Arial" w:cs="Arial"/>
          <w:sz w:val="14"/>
          <w:szCs w:val="14"/>
        </w:rPr>
        <w:t>so that</w:t>
      </w:r>
      <w:r w:rsidRPr="00667CD1">
        <w:rPr>
          <w:rFonts w:ascii="Arial" w:hAnsi="Arial" w:cs="Arial"/>
          <w:sz w:val="14"/>
          <w:szCs w:val="14"/>
        </w:rPr>
        <w:t xml:space="preserve"> states and territories are </w:t>
      </w:r>
      <w:r w:rsidR="00CD0FBB" w:rsidRPr="00667CD1">
        <w:rPr>
          <w:rFonts w:ascii="Arial" w:hAnsi="Arial" w:cs="Arial"/>
          <w:sz w:val="14"/>
          <w:szCs w:val="14"/>
        </w:rPr>
        <w:t>not adversely affected by</w:t>
      </w:r>
      <w:r w:rsidRPr="00667CD1">
        <w:rPr>
          <w:rFonts w:ascii="Arial" w:hAnsi="Arial" w:cs="Arial"/>
          <w:sz w:val="14"/>
          <w:szCs w:val="14"/>
        </w:rPr>
        <w:t xml:space="preserve"> changes to </w:t>
      </w:r>
      <w:r w:rsidR="00BF5396" w:rsidRPr="00667CD1">
        <w:rPr>
          <w:rFonts w:ascii="Arial" w:hAnsi="Arial" w:cs="Arial"/>
          <w:sz w:val="14"/>
          <w:szCs w:val="14"/>
        </w:rPr>
        <w:t>h</w:t>
      </w:r>
      <w:r w:rsidRPr="00667CD1">
        <w:rPr>
          <w:rFonts w:ascii="Arial" w:hAnsi="Arial" w:cs="Arial"/>
          <w:sz w:val="14"/>
          <w:szCs w:val="14"/>
        </w:rPr>
        <w:t xml:space="preserve">orizontal </w:t>
      </w:r>
      <w:r w:rsidR="00BF5396" w:rsidRPr="00667CD1">
        <w:rPr>
          <w:rFonts w:ascii="Arial" w:hAnsi="Arial" w:cs="Arial"/>
          <w:sz w:val="14"/>
          <w:szCs w:val="14"/>
        </w:rPr>
        <w:t>f</w:t>
      </w:r>
      <w:r w:rsidRPr="00667CD1">
        <w:rPr>
          <w:rFonts w:ascii="Arial" w:hAnsi="Arial" w:cs="Arial"/>
          <w:sz w:val="14"/>
          <w:szCs w:val="14"/>
        </w:rPr>
        <w:t xml:space="preserve">iscal </w:t>
      </w:r>
      <w:r w:rsidR="00BF5396" w:rsidRPr="00667CD1">
        <w:rPr>
          <w:rFonts w:ascii="Arial" w:hAnsi="Arial" w:cs="Arial"/>
          <w:sz w:val="14"/>
          <w:szCs w:val="14"/>
        </w:rPr>
        <w:t>e</w:t>
      </w:r>
      <w:r w:rsidRPr="00667CD1">
        <w:rPr>
          <w:rFonts w:ascii="Arial" w:hAnsi="Arial" w:cs="Arial"/>
          <w:sz w:val="14"/>
          <w:szCs w:val="14"/>
        </w:rPr>
        <w:t xml:space="preserve">qualisation </w:t>
      </w:r>
      <w:r w:rsidR="00BF5396" w:rsidRPr="00667CD1">
        <w:rPr>
          <w:rFonts w:ascii="Arial" w:hAnsi="Arial" w:cs="Arial"/>
          <w:sz w:val="14"/>
          <w:szCs w:val="14"/>
        </w:rPr>
        <w:t>in the form of</w:t>
      </w:r>
      <w:r w:rsidRPr="00667CD1">
        <w:rPr>
          <w:rFonts w:ascii="Arial" w:hAnsi="Arial" w:cs="Arial"/>
          <w:sz w:val="14"/>
          <w:szCs w:val="14"/>
        </w:rPr>
        <w:t xml:space="preserve"> </w:t>
      </w:r>
      <w:r w:rsidR="00721169" w:rsidRPr="00667CD1">
        <w:rPr>
          <w:rFonts w:ascii="Arial" w:hAnsi="Arial" w:cs="Arial"/>
          <w:sz w:val="14"/>
          <w:szCs w:val="14"/>
        </w:rPr>
        <w:t>“</w:t>
      </w:r>
      <w:r w:rsidRPr="00667CD1">
        <w:rPr>
          <w:rFonts w:ascii="Arial" w:hAnsi="Arial" w:cs="Arial"/>
          <w:sz w:val="14"/>
          <w:szCs w:val="14"/>
        </w:rPr>
        <w:t>no worse off</w:t>
      </w:r>
      <w:r w:rsidR="00721169" w:rsidRPr="00667CD1">
        <w:rPr>
          <w:rFonts w:ascii="Arial" w:hAnsi="Arial" w:cs="Arial"/>
          <w:sz w:val="14"/>
          <w:szCs w:val="14"/>
        </w:rPr>
        <w:t>”</w:t>
      </w:r>
      <w:r w:rsidRPr="00667CD1">
        <w:rPr>
          <w:rFonts w:ascii="Arial" w:hAnsi="Arial" w:cs="Arial"/>
          <w:sz w:val="14"/>
          <w:szCs w:val="14"/>
        </w:rPr>
        <w:t xml:space="preserve"> payments. These payments are not part of the GST pool</w:t>
      </w:r>
      <w:r w:rsidR="009B2BB4" w:rsidRPr="00667CD1">
        <w:rPr>
          <w:rFonts w:ascii="Arial" w:hAnsi="Arial" w:cs="Arial"/>
          <w:sz w:val="14"/>
          <w:szCs w:val="14"/>
        </w:rPr>
        <w:t>,</w:t>
      </w:r>
      <w:r w:rsidRPr="00667CD1">
        <w:rPr>
          <w:rFonts w:ascii="Arial" w:hAnsi="Arial" w:cs="Arial"/>
          <w:sz w:val="14"/>
          <w:szCs w:val="14"/>
        </w:rPr>
        <w:t xml:space="preserve"> are counted as other </w:t>
      </w:r>
      <w:proofErr w:type="gramStart"/>
      <w:r w:rsidRPr="00667CD1">
        <w:rPr>
          <w:rFonts w:ascii="Arial" w:hAnsi="Arial" w:cs="Arial"/>
          <w:sz w:val="14"/>
          <w:szCs w:val="14"/>
        </w:rPr>
        <w:t>general</w:t>
      </w:r>
      <w:r w:rsidR="00032B2A" w:rsidRPr="00667CD1">
        <w:rPr>
          <w:rFonts w:ascii="Arial" w:hAnsi="Arial" w:cs="Arial"/>
          <w:sz w:val="14"/>
          <w:szCs w:val="14"/>
        </w:rPr>
        <w:t xml:space="preserve"> </w:t>
      </w:r>
      <w:r w:rsidRPr="00667CD1">
        <w:rPr>
          <w:rFonts w:ascii="Arial" w:hAnsi="Arial" w:cs="Arial"/>
          <w:sz w:val="14"/>
          <w:szCs w:val="14"/>
        </w:rPr>
        <w:t>purpose</w:t>
      </w:r>
      <w:proofErr w:type="gramEnd"/>
      <w:r w:rsidRPr="00667CD1">
        <w:rPr>
          <w:rFonts w:ascii="Arial" w:hAnsi="Arial" w:cs="Arial"/>
          <w:sz w:val="14"/>
          <w:szCs w:val="14"/>
        </w:rPr>
        <w:t xml:space="preserve"> grant revenue</w:t>
      </w:r>
      <w:r w:rsidR="009B2BB4" w:rsidRPr="00667CD1">
        <w:rPr>
          <w:rFonts w:ascii="Arial" w:hAnsi="Arial" w:cs="Arial"/>
          <w:sz w:val="14"/>
          <w:szCs w:val="14"/>
        </w:rPr>
        <w:t xml:space="preserve"> and are not assessed by the Commonw</w:t>
      </w:r>
      <w:r w:rsidR="00522F90" w:rsidRPr="00667CD1">
        <w:rPr>
          <w:rFonts w:ascii="Arial" w:hAnsi="Arial" w:cs="Arial"/>
          <w:sz w:val="14"/>
          <w:szCs w:val="14"/>
        </w:rPr>
        <w:t>ealth Grants Commission</w:t>
      </w:r>
      <w:r w:rsidRPr="00667CD1">
        <w:rPr>
          <w:rFonts w:ascii="Arial" w:hAnsi="Arial" w:cs="Arial"/>
          <w:sz w:val="14"/>
          <w:szCs w:val="14"/>
        </w:rPr>
        <w:t>.</w:t>
      </w:r>
    </w:p>
    <w:p w14:paraId="3FC17812" w14:textId="30F1E1FA" w:rsidR="00E36D9A" w:rsidRPr="00667CD1" w:rsidRDefault="00E36D9A">
      <w:pPr>
        <w:spacing w:after="200" w:line="276" w:lineRule="auto"/>
        <w:rPr>
          <w:rFonts w:ascii="Arial" w:eastAsiaTheme="minorHAnsi" w:hAnsi="Arial" w:cs="Arial"/>
          <w:noProof/>
          <w:sz w:val="14"/>
          <w:szCs w:val="14"/>
          <w:lang w:eastAsia="x-none"/>
        </w:rPr>
      </w:pPr>
      <w:r w:rsidRPr="00667CD1">
        <w:rPr>
          <w:rFonts w:ascii="Arial" w:eastAsiaTheme="minorHAnsi" w:hAnsi="Arial" w:cs="Arial"/>
          <w:noProof/>
          <w:sz w:val="14"/>
          <w:szCs w:val="14"/>
          <w:lang w:eastAsia="x-none"/>
        </w:rPr>
        <w:br w:type="page"/>
      </w:r>
    </w:p>
    <w:tbl>
      <w:tblPr>
        <w:tblW w:w="9615" w:type="dxa"/>
        <w:jc w:val="right"/>
        <w:shd w:val="clear" w:color="auto" w:fill="F2F2F2" w:themeFill="background1" w:themeFillShade="F2"/>
        <w:tblLayout w:type="fixed"/>
        <w:tblCellMar>
          <w:left w:w="0" w:type="dxa"/>
          <w:right w:w="0" w:type="dxa"/>
        </w:tblCellMar>
        <w:tblLook w:val="04A0" w:firstRow="1" w:lastRow="0" w:firstColumn="1" w:lastColumn="0" w:noHBand="0" w:noVBand="1"/>
        <w:tblCaption w:val="Box 4.3:  Changes to horizontal fiscal equalisation are proving to be unfair and unsustainable"/>
        <w:tblDescription w:val="Box 4.3:  Changes to horizontal fiscal equalisation are proving to be unfair and unsustainable"/>
      </w:tblPr>
      <w:tblGrid>
        <w:gridCol w:w="9615"/>
      </w:tblGrid>
      <w:tr w:rsidR="00C169FE" w:rsidRPr="00667CD1" w14:paraId="6F0D2620" w14:textId="77777777" w:rsidTr="00B06738">
        <w:trPr>
          <w:trHeight w:val="653"/>
          <w:jc w:val="right"/>
        </w:trPr>
        <w:tc>
          <w:tcPr>
            <w:tcW w:w="9615" w:type="dxa"/>
            <w:shd w:val="clear" w:color="auto" w:fill="F2F2F2" w:themeFill="background1" w:themeFillShade="F2"/>
            <w:tcMar>
              <w:top w:w="0" w:type="dxa"/>
              <w:left w:w="108" w:type="dxa"/>
              <w:bottom w:w="0" w:type="dxa"/>
              <w:right w:w="108" w:type="dxa"/>
            </w:tcMar>
          </w:tcPr>
          <w:p w14:paraId="04D08B32" w14:textId="2E5BA9DA" w:rsidR="00C169FE" w:rsidRPr="00667CD1" w:rsidRDefault="00C169FE" w:rsidP="009375D4">
            <w:pPr>
              <w:pStyle w:val="Box51BoxHeading"/>
              <w:rPr>
                <w:rFonts w:eastAsia="Arial"/>
                <w:sz w:val="19"/>
                <w:szCs w:val="16"/>
              </w:rPr>
            </w:pPr>
            <w:r w:rsidRPr="00667CD1">
              <w:rPr>
                <w:rFonts w:eastAsia="Arial"/>
                <w:sz w:val="19"/>
                <w:szCs w:val="16"/>
              </w:rPr>
              <w:lastRenderedPageBreak/>
              <w:t xml:space="preserve">Box 4.3: </w:t>
            </w:r>
            <w:r w:rsidR="00A60B7A" w:rsidRPr="00667CD1">
              <w:rPr>
                <w:rFonts w:eastAsia="Arial"/>
                <w:sz w:val="19"/>
                <w:szCs w:val="16"/>
              </w:rPr>
              <w:tab/>
            </w:r>
            <w:r w:rsidR="00B74806" w:rsidRPr="00667CD1">
              <w:rPr>
                <w:rFonts w:eastAsia="Arial"/>
                <w:sz w:val="19"/>
                <w:szCs w:val="16"/>
              </w:rPr>
              <w:t>Changes to h</w:t>
            </w:r>
            <w:r w:rsidR="00B151E6" w:rsidRPr="00667CD1">
              <w:rPr>
                <w:rFonts w:eastAsia="Arial"/>
                <w:sz w:val="19"/>
                <w:szCs w:val="16"/>
              </w:rPr>
              <w:t xml:space="preserve">orizontal </w:t>
            </w:r>
            <w:r w:rsidR="00855C22" w:rsidRPr="00667CD1">
              <w:rPr>
                <w:rFonts w:eastAsia="Arial"/>
                <w:sz w:val="19"/>
                <w:szCs w:val="16"/>
              </w:rPr>
              <w:t>f</w:t>
            </w:r>
            <w:r w:rsidR="00B151E6" w:rsidRPr="00667CD1">
              <w:rPr>
                <w:rFonts w:eastAsia="Arial"/>
                <w:sz w:val="19"/>
                <w:szCs w:val="16"/>
              </w:rPr>
              <w:t xml:space="preserve">iscal </w:t>
            </w:r>
            <w:r w:rsidR="00855C22" w:rsidRPr="00667CD1">
              <w:rPr>
                <w:rFonts w:eastAsia="Arial"/>
                <w:sz w:val="19"/>
                <w:szCs w:val="16"/>
              </w:rPr>
              <w:t>e</w:t>
            </w:r>
            <w:r w:rsidR="00B151E6" w:rsidRPr="00667CD1">
              <w:rPr>
                <w:rFonts w:eastAsia="Arial"/>
                <w:sz w:val="19"/>
                <w:szCs w:val="16"/>
              </w:rPr>
              <w:t>qual</w:t>
            </w:r>
            <w:r w:rsidR="00855C22" w:rsidRPr="00667CD1">
              <w:rPr>
                <w:rFonts w:eastAsia="Arial"/>
                <w:sz w:val="19"/>
                <w:szCs w:val="16"/>
              </w:rPr>
              <w:t>isation</w:t>
            </w:r>
            <w:r w:rsidR="00334C8D" w:rsidRPr="00667CD1">
              <w:rPr>
                <w:rFonts w:eastAsia="Arial"/>
                <w:sz w:val="19"/>
                <w:szCs w:val="16"/>
              </w:rPr>
              <w:t xml:space="preserve"> </w:t>
            </w:r>
            <w:r w:rsidR="00731F4F" w:rsidRPr="00667CD1">
              <w:rPr>
                <w:rFonts w:eastAsia="Arial"/>
                <w:sz w:val="19"/>
                <w:szCs w:val="16"/>
              </w:rPr>
              <w:t>are</w:t>
            </w:r>
            <w:r w:rsidR="000A63AD" w:rsidRPr="00667CD1">
              <w:rPr>
                <w:rFonts w:eastAsia="Arial"/>
                <w:sz w:val="19"/>
                <w:szCs w:val="16"/>
              </w:rPr>
              <w:t xml:space="preserve"> proving </w:t>
            </w:r>
            <w:r w:rsidR="00522F90" w:rsidRPr="00667CD1">
              <w:rPr>
                <w:rFonts w:eastAsia="Arial"/>
                <w:sz w:val="19"/>
                <w:szCs w:val="16"/>
              </w:rPr>
              <w:t xml:space="preserve">to be </w:t>
            </w:r>
            <w:r w:rsidR="000A63AD" w:rsidRPr="00667CD1">
              <w:rPr>
                <w:rFonts w:eastAsia="Arial"/>
                <w:sz w:val="19"/>
                <w:szCs w:val="16"/>
              </w:rPr>
              <w:t>unfair and unsustainable</w:t>
            </w:r>
          </w:p>
          <w:p w14:paraId="76448B70" w14:textId="00BC0840" w:rsidR="00C169FE" w:rsidRPr="00667CD1" w:rsidRDefault="00D15A2D" w:rsidP="00820C69">
            <w:pPr>
              <w:pStyle w:val="BodyTextBox"/>
              <w:rPr>
                <w:rFonts w:eastAsia="Calibri"/>
                <w:sz w:val="20"/>
                <w:szCs w:val="20"/>
              </w:rPr>
            </w:pPr>
            <w:r w:rsidRPr="00667CD1">
              <w:rPr>
                <w:rFonts w:eastAsia="Calibri"/>
                <w:sz w:val="20"/>
                <w:szCs w:val="20"/>
              </w:rPr>
              <w:t>In 2018 following a Productivity Commission inquiry into horizontal fiscal equalisation</w:t>
            </w:r>
            <w:r w:rsidR="000A63AD" w:rsidRPr="00667CD1">
              <w:rPr>
                <w:rFonts w:eastAsia="Calibri"/>
                <w:sz w:val="20"/>
                <w:szCs w:val="20"/>
              </w:rPr>
              <w:t xml:space="preserve"> (HFE)</w:t>
            </w:r>
            <w:r w:rsidRPr="00667CD1">
              <w:rPr>
                <w:rFonts w:eastAsia="Calibri"/>
                <w:sz w:val="20"/>
                <w:szCs w:val="20"/>
              </w:rPr>
              <w:t xml:space="preserve">, the </w:t>
            </w:r>
            <w:r w:rsidR="00DB4B13" w:rsidRPr="00667CD1">
              <w:rPr>
                <w:rFonts w:eastAsia="Calibri"/>
                <w:sz w:val="20"/>
                <w:szCs w:val="20"/>
              </w:rPr>
              <w:t xml:space="preserve">Commonwealth </w:t>
            </w:r>
            <w:r w:rsidRPr="00667CD1">
              <w:rPr>
                <w:rFonts w:eastAsia="Calibri"/>
                <w:sz w:val="20"/>
                <w:szCs w:val="20"/>
              </w:rPr>
              <w:t>Government made profound changes to how GST is distributed between the states and territories.</w:t>
            </w:r>
          </w:p>
          <w:p w14:paraId="0B20F32A" w14:textId="35DBB479" w:rsidR="00C169FE" w:rsidRPr="00667CD1" w:rsidRDefault="005C1D0C" w:rsidP="00820C69">
            <w:pPr>
              <w:pStyle w:val="BodyTextBox"/>
              <w:rPr>
                <w:rFonts w:eastAsia="Calibri"/>
                <w:sz w:val="20"/>
                <w:szCs w:val="20"/>
              </w:rPr>
            </w:pPr>
            <w:r w:rsidRPr="00667CD1">
              <w:rPr>
                <w:rFonts w:eastAsia="Calibri"/>
                <w:sz w:val="20"/>
                <w:szCs w:val="20"/>
              </w:rPr>
              <w:t>The practical effect of these changes is now becoming evident.</w:t>
            </w:r>
          </w:p>
          <w:p w14:paraId="669554D7" w14:textId="3A19EAB6" w:rsidR="00BB5843" w:rsidRPr="00667CD1" w:rsidRDefault="00CC4D64" w:rsidP="00820C69">
            <w:pPr>
              <w:pStyle w:val="BodyTextBox"/>
              <w:rPr>
                <w:rFonts w:eastAsia="Calibri"/>
                <w:sz w:val="20"/>
                <w:szCs w:val="20"/>
              </w:rPr>
            </w:pPr>
            <w:r w:rsidRPr="00667CD1">
              <w:rPr>
                <w:rFonts w:eastAsia="Calibri"/>
                <w:sz w:val="20"/>
                <w:szCs w:val="20"/>
              </w:rPr>
              <w:t xml:space="preserve">Over the next four years, Western Australia is set to receive an additional $10.8 billion because of these changes. This amount </w:t>
            </w:r>
            <w:r w:rsidR="00D32E79" w:rsidRPr="00667CD1">
              <w:rPr>
                <w:rFonts w:eastAsia="Calibri"/>
                <w:sz w:val="20"/>
                <w:szCs w:val="20"/>
              </w:rPr>
              <w:t>comprises</w:t>
            </w:r>
            <w:r w:rsidRPr="00667CD1">
              <w:rPr>
                <w:rFonts w:eastAsia="Calibri"/>
                <w:sz w:val="20"/>
                <w:szCs w:val="20"/>
              </w:rPr>
              <w:t xml:space="preserve"> top up payments from the Commonwealth of $3.5 billion in 2020-21 and 2021-22 and $7.3 billion in additional GST revenue in 2022-23 and 2023-24. At the same time, Western Australia continues to </w:t>
            </w:r>
            <w:r w:rsidR="004B5DB4" w:rsidRPr="00667CD1">
              <w:rPr>
                <w:rFonts w:eastAsia="Calibri"/>
                <w:sz w:val="20"/>
                <w:szCs w:val="20"/>
              </w:rPr>
              <w:t xml:space="preserve">enjoy </w:t>
            </w:r>
            <w:r w:rsidRPr="00667CD1">
              <w:rPr>
                <w:rFonts w:eastAsia="Calibri"/>
                <w:sz w:val="20"/>
                <w:szCs w:val="20"/>
              </w:rPr>
              <w:t>si</w:t>
            </w:r>
            <w:r w:rsidR="004B5DB4" w:rsidRPr="00667CD1">
              <w:rPr>
                <w:rFonts w:eastAsia="Calibri"/>
                <w:sz w:val="20"/>
                <w:szCs w:val="20"/>
              </w:rPr>
              <w:t>gnificant fiscal advantage</w:t>
            </w:r>
            <w:r w:rsidRPr="00667CD1">
              <w:rPr>
                <w:rFonts w:eastAsia="Calibri"/>
                <w:sz w:val="20"/>
                <w:szCs w:val="20"/>
              </w:rPr>
              <w:t xml:space="preserve"> from its mineral royalties due to the strength of global iron ore prices.</w:t>
            </w:r>
          </w:p>
          <w:p w14:paraId="0E62BEF7" w14:textId="637B6035" w:rsidR="00C169FE" w:rsidRPr="00667CD1" w:rsidRDefault="0097302D" w:rsidP="00820C69">
            <w:pPr>
              <w:pStyle w:val="BodyTextBox"/>
              <w:rPr>
                <w:rFonts w:eastAsia="Calibri"/>
                <w:sz w:val="20"/>
                <w:szCs w:val="20"/>
              </w:rPr>
            </w:pPr>
            <w:r w:rsidRPr="00667CD1">
              <w:rPr>
                <w:rFonts w:eastAsia="Calibri"/>
                <w:sz w:val="20"/>
                <w:szCs w:val="20"/>
              </w:rPr>
              <w:t>This means the Western Australian Government is being insulated from the economic and fiscal impacts of the C</w:t>
            </w:r>
            <w:r w:rsidR="008B097B" w:rsidRPr="00667CD1">
              <w:rPr>
                <w:rFonts w:eastAsia="Calibri"/>
                <w:sz w:val="20"/>
                <w:szCs w:val="20"/>
              </w:rPr>
              <w:t>OVID</w:t>
            </w:r>
            <w:r w:rsidRPr="00667CD1">
              <w:rPr>
                <w:rFonts w:eastAsia="Calibri"/>
                <w:sz w:val="20"/>
                <w:szCs w:val="20"/>
              </w:rPr>
              <w:t>-19 pandemic. At a time when all other state and territory governments are dealing with the economic and fiscal costs of the C</w:t>
            </w:r>
            <w:r w:rsidR="00A52204" w:rsidRPr="00667CD1">
              <w:rPr>
                <w:rFonts w:eastAsia="Calibri"/>
                <w:sz w:val="20"/>
                <w:szCs w:val="20"/>
              </w:rPr>
              <w:t>OVID</w:t>
            </w:r>
            <w:r w:rsidRPr="00667CD1">
              <w:rPr>
                <w:rFonts w:eastAsia="Calibri"/>
                <w:sz w:val="20"/>
                <w:szCs w:val="20"/>
              </w:rPr>
              <w:t xml:space="preserve">-19 pandemic on their respective economies, the Western Australian Government 2020-21 Budget released on 8 October 2020 forecasts that the </w:t>
            </w:r>
            <w:r w:rsidR="00F5752B" w:rsidRPr="00667CD1">
              <w:rPr>
                <w:rFonts w:eastAsia="Calibri"/>
                <w:sz w:val="20"/>
                <w:szCs w:val="20"/>
              </w:rPr>
              <w:t>S</w:t>
            </w:r>
            <w:r w:rsidRPr="00667CD1">
              <w:rPr>
                <w:rFonts w:eastAsia="Calibri"/>
                <w:sz w:val="20"/>
                <w:szCs w:val="20"/>
              </w:rPr>
              <w:t>tate will have a general government operating surplus of $1.2 billion in 2020-21. This means the Western Australian Government can provide greater access to potentially higher quality services and more infrastructure to its residents, and a lower taxation burden, relative to any other state or territory.</w:t>
            </w:r>
          </w:p>
          <w:p w14:paraId="2B00256A" w14:textId="48952EAE" w:rsidR="00CE179C" w:rsidRPr="00667CD1" w:rsidRDefault="00CE179C" w:rsidP="00820C69">
            <w:pPr>
              <w:pStyle w:val="BodyTextBox"/>
              <w:rPr>
                <w:sz w:val="20"/>
                <w:szCs w:val="20"/>
              </w:rPr>
            </w:pPr>
            <w:r w:rsidRPr="00667CD1">
              <w:rPr>
                <w:sz w:val="20"/>
                <w:szCs w:val="20"/>
              </w:rPr>
              <w:t xml:space="preserve">More and more, the Australian Government’s HFE changes appear fiscally unsustainable, as well as being profoundly unfair. For the Commonwealth, the cost is rising. In laying out its changes to HFE in 2018, the </w:t>
            </w:r>
            <w:r w:rsidR="00DB4B13" w:rsidRPr="00667CD1">
              <w:rPr>
                <w:sz w:val="20"/>
                <w:szCs w:val="20"/>
              </w:rPr>
              <w:t xml:space="preserve">Commonwealth </w:t>
            </w:r>
            <w:r w:rsidRPr="00667CD1">
              <w:rPr>
                <w:sz w:val="20"/>
                <w:szCs w:val="20"/>
              </w:rPr>
              <w:t>Government projected that implementing its HFE changes would cost it $2.8 billion over the four years to 2023-24. The difference between the projected and actual cost is now forecast to reach $8.0 billion over the next four years.</w:t>
            </w:r>
          </w:p>
          <w:p w14:paraId="1D916CF1" w14:textId="1E2CA23B" w:rsidR="00CE179C" w:rsidRPr="00667CD1" w:rsidRDefault="00CE179C" w:rsidP="00820C69">
            <w:pPr>
              <w:pStyle w:val="BodyTextBox"/>
              <w:rPr>
                <w:sz w:val="20"/>
                <w:szCs w:val="20"/>
              </w:rPr>
            </w:pPr>
            <w:r w:rsidRPr="00667CD1">
              <w:rPr>
                <w:sz w:val="20"/>
                <w:szCs w:val="20"/>
              </w:rPr>
              <w:t xml:space="preserve">For New South Wales, a transitional no worse off legislated guarantee is helping safeguard the State’s GST revenue share by securing $2.0 billion in </w:t>
            </w:r>
            <w:r w:rsidR="05B993A9" w:rsidRPr="00667CD1">
              <w:rPr>
                <w:sz w:val="20"/>
                <w:szCs w:val="20"/>
              </w:rPr>
              <w:t xml:space="preserve">the form of “no worse off payments” </w:t>
            </w:r>
            <w:r w:rsidRPr="00667CD1">
              <w:rPr>
                <w:sz w:val="20"/>
                <w:szCs w:val="20"/>
              </w:rPr>
              <w:t>for the State from 2021-22 to 2034-24. However, the no worse off guarantee will come to an end in 2026-27 and presents longer term GST revenue risks for all states and territories other than Western Australia.</w:t>
            </w:r>
          </w:p>
        </w:tc>
      </w:tr>
    </w:tbl>
    <w:p w14:paraId="50BA75BA" w14:textId="2DB138E3" w:rsidR="00A04BC2" w:rsidRPr="00667CD1" w:rsidRDefault="00A04BC2" w:rsidP="00ED4AA1">
      <w:pPr>
        <w:pStyle w:val="Heading3"/>
        <w:numPr>
          <w:ilvl w:val="2"/>
          <w:numId w:val="0"/>
        </w:numPr>
        <w:spacing w:before="240"/>
        <w:ind w:left="720" w:hanging="720"/>
        <w:rPr>
          <w:sz w:val="22"/>
          <w:szCs w:val="28"/>
        </w:rPr>
      </w:pPr>
      <w:r w:rsidRPr="00667CD1">
        <w:rPr>
          <w:sz w:val="22"/>
          <w:szCs w:val="28"/>
        </w:rPr>
        <w:t>Council on Federal Financial Relations (CFFR)</w:t>
      </w:r>
    </w:p>
    <w:p w14:paraId="598B65FB" w14:textId="18CACFE9" w:rsidR="003C6E6B" w:rsidRPr="00667CD1" w:rsidRDefault="44F4FEC8" w:rsidP="00DC5EFC">
      <w:pPr>
        <w:pStyle w:val="BodyText"/>
        <w:rPr>
          <w:sz w:val="20"/>
          <w:szCs w:val="16"/>
        </w:rPr>
      </w:pPr>
      <w:r w:rsidRPr="00667CD1">
        <w:rPr>
          <w:sz w:val="20"/>
          <w:szCs w:val="16"/>
        </w:rPr>
        <w:t>Earlier in 2020</w:t>
      </w:r>
      <w:r w:rsidR="22600157" w:rsidRPr="00667CD1">
        <w:rPr>
          <w:sz w:val="20"/>
          <w:szCs w:val="16"/>
        </w:rPr>
        <w:t>,</w:t>
      </w:r>
      <w:r w:rsidRPr="00667CD1">
        <w:rPr>
          <w:sz w:val="20"/>
          <w:szCs w:val="16"/>
        </w:rPr>
        <w:t xml:space="preserve"> National Cabinet tasked CFFR with responsibility for </w:t>
      </w:r>
      <w:r w:rsidR="0044424C" w:rsidRPr="00667CD1">
        <w:rPr>
          <w:sz w:val="20"/>
          <w:szCs w:val="16"/>
        </w:rPr>
        <w:t xml:space="preserve">the negotiation and development of </w:t>
      </w:r>
      <w:r w:rsidRPr="00667CD1">
        <w:rPr>
          <w:sz w:val="20"/>
          <w:szCs w:val="16"/>
        </w:rPr>
        <w:t>all Commonwealth</w:t>
      </w:r>
      <w:r w:rsidR="0044424C" w:rsidRPr="00667CD1">
        <w:rPr>
          <w:sz w:val="20"/>
          <w:szCs w:val="16"/>
        </w:rPr>
        <w:t>-</w:t>
      </w:r>
      <w:r w:rsidR="577BA5C1" w:rsidRPr="00667CD1">
        <w:rPr>
          <w:sz w:val="20"/>
          <w:szCs w:val="16"/>
        </w:rPr>
        <w:t>s</w:t>
      </w:r>
      <w:r w:rsidR="00732EE5" w:rsidRPr="00667CD1">
        <w:rPr>
          <w:sz w:val="20"/>
          <w:szCs w:val="16"/>
        </w:rPr>
        <w:t>ta</w:t>
      </w:r>
      <w:r w:rsidR="70EC29E1" w:rsidRPr="00667CD1">
        <w:rPr>
          <w:sz w:val="20"/>
          <w:szCs w:val="16"/>
        </w:rPr>
        <w:t>te</w:t>
      </w:r>
      <w:r w:rsidRPr="00667CD1">
        <w:rPr>
          <w:sz w:val="20"/>
          <w:szCs w:val="16"/>
        </w:rPr>
        <w:t xml:space="preserve"> funding agreements </w:t>
      </w:r>
      <w:r w:rsidR="00C7101A" w:rsidRPr="00667CD1">
        <w:rPr>
          <w:sz w:val="20"/>
          <w:szCs w:val="16"/>
        </w:rPr>
        <w:t xml:space="preserve">under the Intergovernmental Agreement on Federal Financial Relations 2008. </w:t>
      </w:r>
      <w:r w:rsidR="00003418" w:rsidRPr="00667CD1">
        <w:rPr>
          <w:sz w:val="20"/>
          <w:szCs w:val="16"/>
        </w:rPr>
        <w:t xml:space="preserve">At the same time, CFFR was also </w:t>
      </w:r>
      <w:r w:rsidR="00B71819" w:rsidRPr="00667CD1">
        <w:rPr>
          <w:sz w:val="20"/>
          <w:szCs w:val="16"/>
        </w:rPr>
        <w:t xml:space="preserve">asked </w:t>
      </w:r>
      <w:r w:rsidR="3F8686EA" w:rsidRPr="00667CD1">
        <w:rPr>
          <w:sz w:val="20"/>
          <w:szCs w:val="16"/>
        </w:rPr>
        <w:t xml:space="preserve">to </w:t>
      </w:r>
      <w:r w:rsidR="24DD1FAC" w:rsidRPr="00667CD1">
        <w:rPr>
          <w:sz w:val="20"/>
          <w:szCs w:val="16"/>
        </w:rPr>
        <w:t>conduct</w:t>
      </w:r>
      <w:r w:rsidR="00ED6CDA" w:rsidRPr="00667CD1">
        <w:rPr>
          <w:sz w:val="20"/>
          <w:szCs w:val="16"/>
        </w:rPr>
        <w:t xml:space="preserve"> a </w:t>
      </w:r>
      <w:r w:rsidR="000B4E0B" w:rsidRPr="00667CD1">
        <w:rPr>
          <w:sz w:val="20"/>
          <w:szCs w:val="16"/>
        </w:rPr>
        <w:t xml:space="preserve">review </w:t>
      </w:r>
      <w:r w:rsidR="00ED6CDA" w:rsidRPr="00667CD1">
        <w:rPr>
          <w:sz w:val="20"/>
          <w:szCs w:val="16"/>
        </w:rPr>
        <w:t>to</w:t>
      </w:r>
      <w:r w:rsidR="00BA07E1" w:rsidRPr="00667CD1">
        <w:rPr>
          <w:sz w:val="20"/>
          <w:szCs w:val="16"/>
        </w:rPr>
        <w:t xml:space="preserve"> streamline and rationalise </w:t>
      </w:r>
      <w:r w:rsidR="004C48A9" w:rsidRPr="00667CD1">
        <w:rPr>
          <w:sz w:val="20"/>
          <w:szCs w:val="16"/>
        </w:rPr>
        <w:t xml:space="preserve">the </w:t>
      </w:r>
      <w:r w:rsidRPr="00667CD1">
        <w:rPr>
          <w:sz w:val="20"/>
          <w:szCs w:val="16"/>
        </w:rPr>
        <w:t xml:space="preserve">existing </w:t>
      </w:r>
      <w:r w:rsidR="004C48A9" w:rsidRPr="00667CD1">
        <w:rPr>
          <w:sz w:val="20"/>
          <w:szCs w:val="16"/>
        </w:rPr>
        <w:t xml:space="preserve">stock of National Partnership Agreements </w:t>
      </w:r>
      <w:r w:rsidR="009C4BEE" w:rsidRPr="00667CD1">
        <w:rPr>
          <w:sz w:val="20"/>
          <w:szCs w:val="16"/>
        </w:rPr>
        <w:t xml:space="preserve">(NPAs) </w:t>
      </w:r>
      <w:r w:rsidR="004C48A9" w:rsidRPr="00667CD1">
        <w:rPr>
          <w:sz w:val="20"/>
          <w:szCs w:val="16"/>
        </w:rPr>
        <w:t>and Project Agreements</w:t>
      </w:r>
      <w:r w:rsidR="009C4BEE" w:rsidRPr="00667CD1">
        <w:rPr>
          <w:sz w:val="20"/>
          <w:szCs w:val="16"/>
        </w:rPr>
        <w:t xml:space="preserve"> (PAs</w:t>
      </w:r>
      <w:r w:rsidR="62EA3138" w:rsidRPr="00667CD1">
        <w:rPr>
          <w:sz w:val="20"/>
          <w:szCs w:val="16"/>
        </w:rPr>
        <w:t>)</w:t>
      </w:r>
      <w:r w:rsidR="70EC29E1" w:rsidRPr="00667CD1">
        <w:rPr>
          <w:sz w:val="20"/>
          <w:szCs w:val="16"/>
        </w:rPr>
        <w:t>.</w:t>
      </w:r>
      <w:r w:rsidRPr="00667CD1">
        <w:rPr>
          <w:sz w:val="20"/>
          <w:szCs w:val="16"/>
        </w:rPr>
        <w:t xml:space="preserve"> </w:t>
      </w:r>
    </w:p>
    <w:p w14:paraId="2D3754B9" w14:textId="0BFD47BD" w:rsidR="00F9388F" w:rsidRPr="00667CD1" w:rsidRDefault="007635C3" w:rsidP="00DC5EFC">
      <w:pPr>
        <w:pStyle w:val="BodyText"/>
        <w:rPr>
          <w:sz w:val="20"/>
          <w:szCs w:val="16"/>
        </w:rPr>
      </w:pPr>
      <w:r w:rsidRPr="00667CD1">
        <w:rPr>
          <w:sz w:val="20"/>
          <w:szCs w:val="16"/>
        </w:rPr>
        <w:t xml:space="preserve">CFFR’s review </w:t>
      </w:r>
      <w:r w:rsidR="005D0CF8" w:rsidRPr="00667CD1">
        <w:rPr>
          <w:sz w:val="20"/>
          <w:szCs w:val="16"/>
        </w:rPr>
        <w:t xml:space="preserve">has led to a reduction in the stock of tied funding agreements – 82 NPAs </w:t>
      </w:r>
      <w:r w:rsidR="009C4BEE" w:rsidRPr="00667CD1">
        <w:rPr>
          <w:sz w:val="20"/>
          <w:szCs w:val="16"/>
        </w:rPr>
        <w:t>and PAs</w:t>
      </w:r>
      <w:r w:rsidR="005D0CF8" w:rsidRPr="00667CD1">
        <w:rPr>
          <w:sz w:val="20"/>
          <w:szCs w:val="16"/>
        </w:rPr>
        <w:t xml:space="preserve"> have now been consolidated into </w:t>
      </w:r>
      <w:r w:rsidR="00191FA1" w:rsidRPr="00667CD1">
        <w:rPr>
          <w:sz w:val="20"/>
          <w:szCs w:val="16"/>
        </w:rPr>
        <w:t>five sector</w:t>
      </w:r>
      <w:r w:rsidR="00DD055D" w:rsidRPr="00667CD1">
        <w:rPr>
          <w:sz w:val="20"/>
          <w:szCs w:val="16"/>
        </w:rPr>
        <w:t>-</w:t>
      </w:r>
      <w:r w:rsidR="00191FA1" w:rsidRPr="00667CD1">
        <w:rPr>
          <w:sz w:val="20"/>
          <w:szCs w:val="16"/>
        </w:rPr>
        <w:t xml:space="preserve">based </w:t>
      </w:r>
      <w:r w:rsidR="0072698E" w:rsidRPr="00667CD1">
        <w:rPr>
          <w:sz w:val="20"/>
          <w:szCs w:val="16"/>
        </w:rPr>
        <w:t>umbrella Federa</w:t>
      </w:r>
      <w:r w:rsidR="00CE37FC" w:rsidRPr="00667CD1">
        <w:rPr>
          <w:sz w:val="20"/>
          <w:szCs w:val="16"/>
        </w:rPr>
        <w:t>tion</w:t>
      </w:r>
      <w:r w:rsidR="0072698E" w:rsidRPr="00667CD1">
        <w:rPr>
          <w:sz w:val="20"/>
          <w:szCs w:val="16"/>
        </w:rPr>
        <w:t xml:space="preserve"> Funding Agreements </w:t>
      </w:r>
      <w:r w:rsidR="00787185" w:rsidRPr="00667CD1">
        <w:rPr>
          <w:sz w:val="20"/>
          <w:szCs w:val="16"/>
        </w:rPr>
        <w:t xml:space="preserve">(FFAs) </w:t>
      </w:r>
      <w:r w:rsidR="0072698E" w:rsidRPr="00667CD1">
        <w:rPr>
          <w:sz w:val="20"/>
          <w:szCs w:val="16"/>
        </w:rPr>
        <w:t>spanning health, environment, infrastructure, education and skills, affordable housing, community services and other.</w:t>
      </w:r>
    </w:p>
    <w:p w14:paraId="1123B0E9" w14:textId="692E8764" w:rsidR="003C6E6B" w:rsidRPr="00667CD1" w:rsidRDefault="00F9388F" w:rsidP="00DC5EFC">
      <w:pPr>
        <w:pStyle w:val="BodyText"/>
        <w:rPr>
          <w:sz w:val="20"/>
          <w:szCs w:val="16"/>
        </w:rPr>
      </w:pPr>
      <w:r w:rsidRPr="00667CD1">
        <w:rPr>
          <w:sz w:val="20"/>
          <w:szCs w:val="16"/>
        </w:rPr>
        <w:t>The four existing National Agreements (National Health Reform Agreement, the National School Reform Agreement, the National Housing and Homelessness Agreement, the National Agreement on Skills and Workforce Development) were unchanged by the review</w:t>
      </w:r>
      <w:r w:rsidR="009D6B5B" w:rsidRPr="00667CD1">
        <w:rPr>
          <w:sz w:val="20"/>
          <w:szCs w:val="16"/>
        </w:rPr>
        <w:t>.</w:t>
      </w:r>
    </w:p>
    <w:p w14:paraId="182BDCED" w14:textId="3D8F582A" w:rsidR="000E442A" w:rsidRPr="00667CD1" w:rsidRDefault="00CA0C12" w:rsidP="00DC5EFC">
      <w:pPr>
        <w:pStyle w:val="BodyText"/>
        <w:rPr>
          <w:sz w:val="20"/>
          <w:szCs w:val="16"/>
        </w:rPr>
      </w:pPr>
      <w:r w:rsidRPr="00667CD1">
        <w:rPr>
          <w:sz w:val="20"/>
          <w:szCs w:val="16"/>
        </w:rPr>
        <w:t>The</w:t>
      </w:r>
      <w:r w:rsidR="009E5EB7" w:rsidRPr="00667CD1">
        <w:rPr>
          <w:sz w:val="20"/>
          <w:szCs w:val="16"/>
        </w:rPr>
        <w:t xml:space="preserve"> objectives </w:t>
      </w:r>
      <w:r w:rsidRPr="00667CD1">
        <w:rPr>
          <w:sz w:val="20"/>
          <w:szCs w:val="16"/>
        </w:rPr>
        <w:t xml:space="preserve">of CFFR’s review </w:t>
      </w:r>
      <w:r w:rsidR="009E5EB7" w:rsidRPr="00667CD1">
        <w:rPr>
          <w:sz w:val="20"/>
          <w:szCs w:val="16"/>
        </w:rPr>
        <w:t>were to</w:t>
      </w:r>
      <w:r w:rsidR="00094F49" w:rsidRPr="00667CD1">
        <w:rPr>
          <w:sz w:val="20"/>
          <w:szCs w:val="16"/>
        </w:rPr>
        <w:t>:</w:t>
      </w:r>
    </w:p>
    <w:p w14:paraId="51935738" w14:textId="4F1D3AD4" w:rsidR="00CA0C12" w:rsidRPr="00667CD1" w:rsidRDefault="00094F49" w:rsidP="00DC5EFC">
      <w:pPr>
        <w:pStyle w:val="Bullet1"/>
        <w:rPr>
          <w:sz w:val="20"/>
          <w:szCs w:val="16"/>
        </w:rPr>
      </w:pPr>
      <w:r w:rsidRPr="00667CD1">
        <w:rPr>
          <w:sz w:val="20"/>
          <w:szCs w:val="16"/>
        </w:rPr>
        <w:t>provide states with budget autonomy and greater flexibility</w:t>
      </w:r>
    </w:p>
    <w:p w14:paraId="142815E0" w14:textId="2C98305C" w:rsidR="009875C0" w:rsidRPr="00667CD1" w:rsidRDefault="00094F49" w:rsidP="00DC5EFC">
      <w:pPr>
        <w:pStyle w:val="Bullet1"/>
        <w:rPr>
          <w:sz w:val="20"/>
          <w:szCs w:val="16"/>
        </w:rPr>
      </w:pPr>
      <w:r w:rsidRPr="00667CD1">
        <w:rPr>
          <w:sz w:val="20"/>
          <w:szCs w:val="16"/>
        </w:rPr>
        <w:t>provide states with greater funding certainty where possible</w:t>
      </w:r>
    </w:p>
    <w:p w14:paraId="24E0223D" w14:textId="00972AD0" w:rsidR="000E442A" w:rsidRPr="00667CD1" w:rsidRDefault="00094F49" w:rsidP="00DC5EFC">
      <w:pPr>
        <w:pStyle w:val="Bullet1"/>
        <w:rPr>
          <w:sz w:val="20"/>
          <w:szCs w:val="16"/>
        </w:rPr>
      </w:pPr>
      <w:r w:rsidRPr="00667CD1">
        <w:rPr>
          <w:sz w:val="20"/>
          <w:szCs w:val="16"/>
        </w:rPr>
        <w:t>reduce the administrative burden on all jurisdictions.</w:t>
      </w:r>
      <w:r w:rsidR="00F03F2D" w:rsidRPr="00667CD1">
        <w:rPr>
          <w:sz w:val="20"/>
          <w:szCs w:val="16"/>
        </w:rPr>
        <w:t xml:space="preserve"> </w:t>
      </w:r>
    </w:p>
    <w:p w14:paraId="7F87EBE5" w14:textId="27A56A80" w:rsidR="0072698E" w:rsidRPr="00667CD1" w:rsidRDefault="004B65B2" w:rsidP="00DC5EFC">
      <w:pPr>
        <w:pStyle w:val="BodyText"/>
        <w:rPr>
          <w:sz w:val="20"/>
          <w:szCs w:val="16"/>
        </w:rPr>
      </w:pPr>
      <w:r w:rsidRPr="00667CD1">
        <w:rPr>
          <w:sz w:val="20"/>
          <w:szCs w:val="16"/>
        </w:rPr>
        <w:t xml:space="preserve">This was consistent with the key themes explored through the NSW Federal Financial Relations Review, chaired by Mr David </w:t>
      </w:r>
      <w:proofErr w:type="spellStart"/>
      <w:r w:rsidRPr="00667CD1">
        <w:rPr>
          <w:sz w:val="20"/>
          <w:szCs w:val="16"/>
        </w:rPr>
        <w:t>Thodey</w:t>
      </w:r>
      <w:proofErr w:type="spellEnd"/>
      <w:r w:rsidRPr="00667CD1">
        <w:rPr>
          <w:sz w:val="20"/>
          <w:szCs w:val="16"/>
        </w:rPr>
        <w:t xml:space="preserve"> AO (see Box 4.3 below)</w:t>
      </w:r>
      <w:r w:rsidR="00094F49" w:rsidRPr="00667CD1">
        <w:rPr>
          <w:sz w:val="20"/>
          <w:szCs w:val="16"/>
        </w:rPr>
        <w:t>.</w:t>
      </w:r>
      <w:r w:rsidR="00F03F2D" w:rsidRPr="00667CD1">
        <w:rPr>
          <w:sz w:val="20"/>
          <w:szCs w:val="16"/>
        </w:rPr>
        <w:t xml:space="preserve"> Fully realising these objectives will continue to be a key focus for the NSW Government </w:t>
      </w:r>
      <w:r w:rsidR="00BF5396" w:rsidRPr="00667CD1">
        <w:rPr>
          <w:sz w:val="20"/>
          <w:szCs w:val="16"/>
        </w:rPr>
        <w:t xml:space="preserve">and </w:t>
      </w:r>
      <w:r w:rsidR="00F03F2D" w:rsidRPr="00667CD1">
        <w:rPr>
          <w:sz w:val="20"/>
          <w:szCs w:val="16"/>
        </w:rPr>
        <w:t xml:space="preserve">its engagement with the Government through CFFR and </w:t>
      </w:r>
      <w:r w:rsidR="00876003" w:rsidRPr="00667CD1">
        <w:rPr>
          <w:sz w:val="20"/>
          <w:szCs w:val="16"/>
        </w:rPr>
        <w:t xml:space="preserve">its </w:t>
      </w:r>
      <w:r w:rsidR="00437C18" w:rsidRPr="00667CD1">
        <w:rPr>
          <w:sz w:val="20"/>
          <w:szCs w:val="16"/>
        </w:rPr>
        <w:t>role on the Board of Treasurers.</w:t>
      </w:r>
    </w:p>
    <w:p w14:paraId="3E070D5C" w14:textId="185B1787" w:rsidR="00A04BC2" w:rsidRPr="00667CD1" w:rsidRDefault="4E0C20C9" w:rsidP="00525B59">
      <w:pPr>
        <w:pStyle w:val="Heading3"/>
        <w:numPr>
          <w:ilvl w:val="2"/>
          <w:numId w:val="0"/>
        </w:numPr>
        <w:spacing w:before="240"/>
        <w:ind w:left="720" w:hanging="720"/>
        <w:rPr>
          <w:sz w:val="22"/>
          <w:szCs w:val="28"/>
        </w:rPr>
      </w:pPr>
      <w:r w:rsidRPr="00667CD1">
        <w:rPr>
          <w:sz w:val="22"/>
          <w:szCs w:val="28"/>
        </w:rPr>
        <w:t xml:space="preserve">National </w:t>
      </w:r>
      <w:r w:rsidR="00A46917" w:rsidRPr="00667CD1">
        <w:rPr>
          <w:sz w:val="22"/>
          <w:szCs w:val="28"/>
        </w:rPr>
        <w:t>Agreements</w:t>
      </w:r>
    </w:p>
    <w:p w14:paraId="2F984B7A" w14:textId="009D498F" w:rsidR="00A04BC2" w:rsidRPr="00667CD1" w:rsidRDefault="00A04BC2" w:rsidP="00DC5EFC">
      <w:pPr>
        <w:pStyle w:val="BodyText"/>
        <w:rPr>
          <w:sz w:val="20"/>
          <w:szCs w:val="16"/>
        </w:rPr>
      </w:pPr>
      <w:r w:rsidRPr="00667CD1">
        <w:rPr>
          <w:sz w:val="20"/>
          <w:szCs w:val="16"/>
        </w:rPr>
        <w:t xml:space="preserve">This category comprises payments for specific purposes from the Commonwealth to the states </w:t>
      </w:r>
      <w:r w:rsidR="00CE37FC" w:rsidRPr="00667CD1">
        <w:rPr>
          <w:sz w:val="20"/>
          <w:szCs w:val="16"/>
        </w:rPr>
        <w:t xml:space="preserve">and territories </w:t>
      </w:r>
      <w:r w:rsidRPr="00667CD1">
        <w:rPr>
          <w:sz w:val="20"/>
          <w:szCs w:val="16"/>
        </w:rPr>
        <w:t xml:space="preserve">under </w:t>
      </w:r>
      <w:r w:rsidR="001654ED" w:rsidRPr="00667CD1">
        <w:rPr>
          <w:sz w:val="20"/>
          <w:szCs w:val="16"/>
        </w:rPr>
        <w:t xml:space="preserve">the </w:t>
      </w:r>
      <w:r w:rsidRPr="00667CD1">
        <w:rPr>
          <w:sz w:val="20"/>
          <w:szCs w:val="16"/>
        </w:rPr>
        <w:t>National Health Reform Agreement, National School Reform Agreement, National Housing and Homelessness Agreement a</w:t>
      </w:r>
      <w:r w:rsidR="001654ED" w:rsidRPr="00667CD1">
        <w:rPr>
          <w:sz w:val="20"/>
          <w:szCs w:val="16"/>
        </w:rPr>
        <w:t>nd</w:t>
      </w:r>
      <w:r w:rsidRPr="00667CD1">
        <w:rPr>
          <w:sz w:val="20"/>
          <w:szCs w:val="16"/>
        </w:rPr>
        <w:t xml:space="preserve"> the</w:t>
      </w:r>
      <w:r w:rsidR="00BA45CB" w:rsidRPr="00667CD1">
        <w:rPr>
          <w:sz w:val="20"/>
          <w:szCs w:val="16"/>
        </w:rPr>
        <w:t xml:space="preserve"> </w:t>
      </w:r>
      <w:r w:rsidRPr="00667CD1">
        <w:rPr>
          <w:sz w:val="20"/>
          <w:szCs w:val="16"/>
        </w:rPr>
        <w:t>S</w:t>
      </w:r>
      <w:r w:rsidR="00BA45CB" w:rsidRPr="00667CD1">
        <w:rPr>
          <w:sz w:val="20"/>
          <w:szCs w:val="16"/>
        </w:rPr>
        <w:t xml:space="preserve">pecific </w:t>
      </w:r>
      <w:r w:rsidRPr="00667CD1">
        <w:rPr>
          <w:sz w:val="20"/>
          <w:szCs w:val="16"/>
        </w:rPr>
        <w:t>P</w:t>
      </w:r>
      <w:r w:rsidR="00BA45CB" w:rsidRPr="00667CD1">
        <w:rPr>
          <w:sz w:val="20"/>
          <w:szCs w:val="16"/>
        </w:rPr>
        <w:t xml:space="preserve">urpose </w:t>
      </w:r>
      <w:r w:rsidRPr="00667CD1">
        <w:rPr>
          <w:sz w:val="20"/>
          <w:szCs w:val="16"/>
        </w:rPr>
        <w:t>P</w:t>
      </w:r>
      <w:r w:rsidR="00BA45CB" w:rsidRPr="00667CD1">
        <w:rPr>
          <w:sz w:val="20"/>
          <w:szCs w:val="16"/>
        </w:rPr>
        <w:t>ayment</w:t>
      </w:r>
      <w:r w:rsidR="00925251" w:rsidRPr="00667CD1">
        <w:rPr>
          <w:sz w:val="20"/>
          <w:szCs w:val="16"/>
        </w:rPr>
        <w:t xml:space="preserve"> made </w:t>
      </w:r>
      <w:r w:rsidR="00787185" w:rsidRPr="00667CD1">
        <w:rPr>
          <w:sz w:val="20"/>
          <w:szCs w:val="16"/>
        </w:rPr>
        <w:t>relating to</w:t>
      </w:r>
      <w:r w:rsidR="00925251" w:rsidRPr="00667CD1">
        <w:rPr>
          <w:sz w:val="20"/>
          <w:szCs w:val="16"/>
        </w:rPr>
        <w:t xml:space="preserve"> the National Agreement for Skills and Workforce Development</w:t>
      </w:r>
      <w:r w:rsidRPr="00667CD1">
        <w:rPr>
          <w:sz w:val="20"/>
          <w:szCs w:val="16"/>
        </w:rPr>
        <w:t>.</w:t>
      </w:r>
    </w:p>
    <w:p w14:paraId="009464FC" w14:textId="55E651BA" w:rsidR="00A04BC2" w:rsidRPr="00667CD1" w:rsidRDefault="00A04BC2" w:rsidP="00DC5EFC">
      <w:pPr>
        <w:pStyle w:val="BodyText"/>
        <w:rPr>
          <w:sz w:val="20"/>
          <w:szCs w:val="16"/>
        </w:rPr>
      </w:pPr>
      <w:r w:rsidRPr="00667CD1">
        <w:rPr>
          <w:sz w:val="20"/>
          <w:szCs w:val="16"/>
        </w:rPr>
        <w:lastRenderedPageBreak/>
        <w:t xml:space="preserve">Revenue from </w:t>
      </w:r>
      <w:r w:rsidR="00787185" w:rsidRPr="00667CD1">
        <w:rPr>
          <w:sz w:val="20"/>
          <w:szCs w:val="16"/>
        </w:rPr>
        <w:t>National A</w:t>
      </w:r>
      <w:r w:rsidRPr="00667CD1">
        <w:rPr>
          <w:sz w:val="20"/>
          <w:szCs w:val="16"/>
        </w:rPr>
        <w:t>greements is forecast to total $11.</w:t>
      </w:r>
      <w:r w:rsidR="00364A77" w:rsidRPr="00667CD1">
        <w:rPr>
          <w:sz w:val="20"/>
          <w:szCs w:val="16"/>
        </w:rPr>
        <w:t>7</w:t>
      </w:r>
      <w:r w:rsidRPr="00667CD1">
        <w:rPr>
          <w:sz w:val="20"/>
          <w:szCs w:val="16"/>
        </w:rPr>
        <w:t xml:space="preserve"> billion in 2020-21, an increase of </w:t>
      </w:r>
      <w:r w:rsidR="00BF5396" w:rsidRPr="00667CD1">
        <w:rPr>
          <w:sz w:val="20"/>
          <w:szCs w:val="16"/>
        </w:rPr>
        <w:t>4.1</w:t>
      </w:r>
      <w:r w:rsidRPr="00667CD1">
        <w:rPr>
          <w:sz w:val="20"/>
          <w:szCs w:val="16"/>
        </w:rPr>
        <w:t xml:space="preserve"> per cent on 2019-20. </w:t>
      </w:r>
      <w:r w:rsidR="00934E6B" w:rsidRPr="00667CD1">
        <w:rPr>
          <w:sz w:val="20"/>
          <w:szCs w:val="16"/>
        </w:rPr>
        <w:t>These r</w:t>
      </w:r>
      <w:r w:rsidRPr="00667CD1">
        <w:rPr>
          <w:sz w:val="20"/>
          <w:szCs w:val="16"/>
        </w:rPr>
        <w:t>evenues are expected to grow at an average annual rate of 3.</w:t>
      </w:r>
      <w:r w:rsidR="00BF5396" w:rsidRPr="00667CD1">
        <w:rPr>
          <w:sz w:val="20"/>
          <w:szCs w:val="16"/>
        </w:rPr>
        <w:t>7</w:t>
      </w:r>
      <w:r w:rsidRPr="00667CD1">
        <w:rPr>
          <w:sz w:val="20"/>
          <w:szCs w:val="16"/>
        </w:rPr>
        <w:t xml:space="preserve"> per cent over the four years to 2023-24. Table 4.</w:t>
      </w:r>
      <w:r w:rsidR="00C610B5" w:rsidRPr="00667CD1">
        <w:rPr>
          <w:sz w:val="20"/>
          <w:szCs w:val="16"/>
        </w:rPr>
        <w:t>8</w:t>
      </w:r>
      <w:r w:rsidRPr="00667CD1">
        <w:rPr>
          <w:sz w:val="20"/>
          <w:szCs w:val="16"/>
        </w:rPr>
        <w:t xml:space="preserve"> summarises national agreement payments by key service delivery area.</w:t>
      </w:r>
    </w:p>
    <w:p w14:paraId="57F2CCF8" w14:textId="2DFDBDFA" w:rsidR="00A04BC2" w:rsidRPr="00667CD1" w:rsidRDefault="4FAB0CBC" w:rsidP="00DC5EFC">
      <w:pPr>
        <w:pStyle w:val="BodyText"/>
        <w:rPr>
          <w:sz w:val="20"/>
          <w:szCs w:val="16"/>
        </w:rPr>
      </w:pPr>
      <w:r w:rsidRPr="00667CD1">
        <w:rPr>
          <w:sz w:val="20"/>
          <w:szCs w:val="16"/>
        </w:rPr>
        <w:t xml:space="preserve">Since the 2019 </w:t>
      </w:r>
      <w:r w:rsidR="7E02F986" w:rsidRPr="00667CD1">
        <w:rPr>
          <w:sz w:val="20"/>
          <w:szCs w:val="16"/>
        </w:rPr>
        <w:t>Half-Yearly</w:t>
      </w:r>
      <w:r w:rsidRPr="00667CD1">
        <w:rPr>
          <w:sz w:val="20"/>
          <w:szCs w:val="16"/>
        </w:rPr>
        <w:t xml:space="preserve"> Review, revenue from </w:t>
      </w:r>
      <w:r w:rsidR="7F188F95" w:rsidRPr="00667CD1">
        <w:rPr>
          <w:sz w:val="20"/>
          <w:szCs w:val="16"/>
        </w:rPr>
        <w:t xml:space="preserve">National Agreements </w:t>
      </w:r>
      <w:r w:rsidRPr="00667CD1">
        <w:rPr>
          <w:sz w:val="20"/>
          <w:szCs w:val="16"/>
        </w:rPr>
        <w:t>have increased by $</w:t>
      </w:r>
      <w:r w:rsidR="2B0F426D" w:rsidRPr="00667CD1">
        <w:rPr>
          <w:sz w:val="20"/>
          <w:szCs w:val="16"/>
        </w:rPr>
        <w:t>963.6</w:t>
      </w:r>
      <w:r w:rsidRPr="00667CD1">
        <w:rPr>
          <w:sz w:val="20"/>
          <w:szCs w:val="16"/>
        </w:rPr>
        <w:t xml:space="preserve"> million over the four years to 2023-24. This is primarily due to </w:t>
      </w:r>
      <w:r w:rsidR="00DD055D" w:rsidRPr="00667CD1">
        <w:rPr>
          <w:sz w:val="20"/>
          <w:szCs w:val="16"/>
        </w:rPr>
        <w:t>anticipated</w:t>
      </w:r>
      <w:r w:rsidRPr="00667CD1">
        <w:rPr>
          <w:sz w:val="20"/>
          <w:szCs w:val="16"/>
        </w:rPr>
        <w:t xml:space="preserve"> payments in 2020-21 to New South Wales under the COVID-19 Response National Partnership which </w:t>
      </w:r>
      <w:r w:rsidR="49FAD6BF" w:rsidRPr="00667CD1">
        <w:rPr>
          <w:sz w:val="20"/>
          <w:szCs w:val="16"/>
        </w:rPr>
        <w:t xml:space="preserve">directs </w:t>
      </w:r>
      <w:r w:rsidRPr="00667CD1">
        <w:rPr>
          <w:sz w:val="20"/>
          <w:szCs w:val="16"/>
        </w:rPr>
        <w:t xml:space="preserve">funds through the National Health Reform Agreement. </w:t>
      </w:r>
      <w:r w:rsidR="56A35C2A" w:rsidRPr="00667CD1">
        <w:rPr>
          <w:sz w:val="20"/>
          <w:szCs w:val="16"/>
        </w:rPr>
        <w:t xml:space="preserve">These funds </w:t>
      </w:r>
      <w:r w:rsidR="18614345" w:rsidRPr="00667CD1">
        <w:rPr>
          <w:sz w:val="20"/>
          <w:szCs w:val="16"/>
        </w:rPr>
        <w:t>are supporting</w:t>
      </w:r>
      <w:r w:rsidR="4FE8AEFF" w:rsidRPr="00667CD1">
        <w:rPr>
          <w:sz w:val="20"/>
          <w:szCs w:val="16"/>
        </w:rPr>
        <w:t xml:space="preserve"> </w:t>
      </w:r>
      <w:r w:rsidR="0FA3451D" w:rsidRPr="00667CD1">
        <w:rPr>
          <w:sz w:val="20"/>
          <w:szCs w:val="16"/>
        </w:rPr>
        <w:t xml:space="preserve">costs incurred in public hospitals </w:t>
      </w:r>
      <w:r w:rsidR="13E80818" w:rsidRPr="00667CD1">
        <w:rPr>
          <w:sz w:val="20"/>
          <w:szCs w:val="16"/>
        </w:rPr>
        <w:t xml:space="preserve">to treat and manage COVID-19 cases, </w:t>
      </w:r>
      <w:r w:rsidR="24B5AEAB" w:rsidRPr="00667CD1">
        <w:rPr>
          <w:sz w:val="20"/>
          <w:szCs w:val="16"/>
        </w:rPr>
        <w:t xml:space="preserve">as well as </w:t>
      </w:r>
      <w:r w:rsidR="0C1AA97E" w:rsidRPr="00667CD1">
        <w:rPr>
          <w:sz w:val="20"/>
          <w:szCs w:val="16"/>
        </w:rPr>
        <w:t>other costs incurred by the</w:t>
      </w:r>
      <w:r w:rsidR="7122E52B" w:rsidRPr="00667CD1">
        <w:rPr>
          <w:sz w:val="20"/>
          <w:szCs w:val="16"/>
        </w:rPr>
        <w:t xml:space="preserve"> State in </w:t>
      </w:r>
      <w:r w:rsidR="353F1093" w:rsidRPr="00667CD1">
        <w:rPr>
          <w:sz w:val="20"/>
          <w:szCs w:val="16"/>
        </w:rPr>
        <w:t xml:space="preserve">preventing the </w:t>
      </w:r>
      <w:r w:rsidR="4849AB20" w:rsidRPr="00667CD1">
        <w:rPr>
          <w:sz w:val="20"/>
          <w:szCs w:val="16"/>
        </w:rPr>
        <w:t>spread of COVID-19</w:t>
      </w:r>
      <w:r w:rsidR="4929537A" w:rsidRPr="00667CD1">
        <w:rPr>
          <w:sz w:val="20"/>
          <w:szCs w:val="16"/>
        </w:rPr>
        <w:t xml:space="preserve"> in the community</w:t>
      </w:r>
      <w:r w:rsidR="24B5AEAB" w:rsidRPr="00667CD1">
        <w:rPr>
          <w:sz w:val="20"/>
          <w:szCs w:val="16"/>
        </w:rPr>
        <w:t xml:space="preserve">, such as </w:t>
      </w:r>
      <w:r w:rsidR="6D57274B" w:rsidRPr="00667CD1">
        <w:rPr>
          <w:sz w:val="20"/>
          <w:szCs w:val="16"/>
        </w:rPr>
        <w:t xml:space="preserve">the </w:t>
      </w:r>
      <w:r w:rsidR="29007FA5" w:rsidRPr="00667CD1">
        <w:rPr>
          <w:sz w:val="20"/>
          <w:szCs w:val="16"/>
        </w:rPr>
        <w:t xml:space="preserve">purchase of </w:t>
      </w:r>
      <w:r w:rsidR="5FE8C6E8" w:rsidRPr="00667CD1">
        <w:rPr>
          <w:sz w:val="20"/>
          <w:szCs w:val="16"/>
        </w:rPr>
        <w:t>personal protective equipment</w:t>
      </w:r>
      <w:r w:rsidR="6EB3A5E3" w:rsidRPr="00667CD1">
        <w:rPr>
          <w:sz w:val="20"/>
          <w:szCs w:val="16"/>
        </w:rPr>
        <w:t>.</w:t>
      </w:r>
      <w:r w:rsidR="03CAA7ED" w:rsidRPr="00667CD1">
        <w:rPr>
          <w:sz w:val="20"/>
          <w:szCs w:val="16"/>
        </w:rPr>
        <w:t xml:space="preserve"> </w:t>
      </w:r>
      <w:r w:rsidRPr="00667CD1">
        <w:rPr>
          <w:sz w:val="20"/>
          <w:szCs w:val="16"/>
        </w:rPr>
        <w:t xml:space="preserve">Further growth over the forward estimates since the 2019 </w:t>
      </w:r>
      <w:r w:rsidR="7E02F986" w:rsidRPr="00667CD1">
        <w:rPr>
          <w:sz w:val="20"/>
          <w:szCs w:val="16"/>
        </w:rPr>
        <w:t>Half-Yearly</w:t>
      </w:r>
      <w:r w:rsidRPr="00667CD1">
        <w:rPr>
          <w:sz w:val="20"/>
          <w:szCs w:val="16"/>
        </w:rPr>
        <w:t xml:space="preserve"> Review is primarily due to growth in activity and operating costs associated with hospital </w:t>
      </w:r>
      <w:r w:rsidR="6C5D0C60" w:rsidRPr="00667CD1">
        <w:rPr>
          <w:sz w:val="20"/>
          <w:szCs w:val="16"/>
        </w:rPr>
        <w:t>projects</w:t>
      </w:r>
      <w:r w:rsidR="4A96111B" w:rsidRPr="00667CD1">
        <w:rPr>
          <w:sz w:val="20"/>
          <w:szCs w:val="16"/>
        </w:rPr>
        <w:t xml:space="preserve"> across the State</w:t>
      </w:r>
      <w:r w:rsidR="6C5D0C60" w:rsidRPr="00667CD1">
        <w:rPr>
          <w:sz w:val="20"/>
          <w:szCs w:val="16"/>
        </w:rPr>
        <w:t>.</w:t>
      </w:r>
    </w:p>
    <w:p w14:paraId="53832E4F" w14:textId="54FFC3DC" w:rsidR="00DA51D5" w:rsidRPr="00667CD1" w:rsidRDefault="00DA51D5" w:rsidP="00DC5EFC">
      <w:pPr>
        <w:pStyle w:val="BodyText"/>
        <w:rPr>
          <w:sz w:val="20"/>
          <w:szCs w:val="16"/>
        </w:rPr>
      </w:pPr>
      <w:r w:rsidRPr="00667CD1">
        <w:rPr>
          <w:sz w:val="20"/>
          <w:szCs w:val="16"/>
        </w:rPr>
        <w:t>A</w:t>
      </w:r>
      <w:r w:rsidR="00BF5396" w:rsidRPr="00667CD1">
        <w:rPr>
          <w:sz w:val="20"/>
          <w:szCs w:val="16"/>
        </w:rPr>
        <w:t xml:space="preserve"> </w:t>
      </w:r>
      <w:r w:rsidRPr="00667CD1">
        <w:rPr>
          <w:sz w:val="20"/>
          <w:szCs w:val="16"/>
        </w:rPr>
        <w:t>$227.5</w:t>
      </w:r>
      <w:r w:rsidR="00BF5396" w:rsidRPr="00667CD1">
        <w:rPr>
          <w:sz w:val="20"/>
          <w:szCs w:val="16"/>
        </w:rPr>
        <w:t xml:space="preserve"> </w:t>
      </w:r>
      <w:r w:rsidRPr="00667CD1">
        <w:rPr>
          <w:sz w:val="20"/>
          <w:szCs w:val="16"/>
        </w:rPr>
        <w:t>million increase in forecast payments</w:t>
      </w:r>
      <w:r w:rsidR="00BF5396" w:rsidRPr="00667CD1">
        <w:rPr>
          <w:sz w:val="20"/>
          <w:szCs w:val="16"/>
        </w:rPr>
        <w:t xml:space="preserve"> </w:t>
      </w:r>
      <w:r w:rsidRPr="00667CD1">
        <w:rPr>
          <w:sz w:val="20"/>
          <w:szCs w:val="16"/>
        </w:rPr>
        <w:t>under the National</w:t>
      </w:r>
      <w:r w:rsidR="00BF5396" w:rsidRPr="00667CD1">
        <w:rPr>
          <w:sz w:val="20"/>
          <w:szCs w:val="16"/>
        </w:rPr>
        <w:t xml:space="preserve"> </w:t>
      </w:r>
      <w:r w:rsidRPr="00667CD1">
        <w:rPr>
          <w:sz w:val="20"/>
          <w:szCs w:val="16"/>
        </w:rPr>
        <w:t>School</w:t>
      </w:r>
      <w:r w:rsidR="00BF5396" w:rsidRPr="00667CD1">
        <w:rPr>
          <w:sz w:val="20"/>
          <w:szCs w:val="16"/>
        </w:rPr>
        <w:t xml:space="preserve"> </w:t>
      </w:r>
      <w:r w:rsidRPr="00667CD1">
        <w:rPr>
          <w:sz w:val="20"/>
          <w:szCs w:val="16"/>
        </w:rPr>
        <w:t>Reform Agreement</w:t>
      </w:r>
      <w:r w:rsidR="00BF5396" w:rsidRPr="00667CD1">
        <w:rPr>
          <w:sz w:val="20"/>
          <w:szCs w:val="16"/>
        </w:rPr>
        <w:t xml:space="preserve"> </w:t>
      </w:r>
      <w:r w:rsidRPr="00667CD1">
        <w:rPr>
          <w:sz w:val="20"/>
          <w:szCs w:val="16"/>
        </w:rPr>
        <w:t>over the four years to 2023-24</w:t>
      </w:r>
      <w:r w:rsidR="00BF5396" w:rsidRPr="00667CD1">
        <w:rPr>
          <w:sz w:val="20"/>
          <w:szCs w:val="16"/>
        </w:rPr>
        <w:t xml:space="preserve"> </w:t>
      </w:r>
      <w:r w:rsidR="322CFC60" w:rsidRPr="00667CD1">
        <w:rPr>
          <w:sz w:val="20"/>
          <w:szCs w:val="16"/>
        </w:rPr>
        <w:t xml:space="preserve">since the 2019 Half-Yearly review </w:t>
      </w:r>
      <w:r w:rsidRPr="00667CD1">
        <w:rPr>
          <w:sz w:val="20"/>
          <w:szCs w:val="16"/>
        </w:rPr>
        <w:t xml:space="preserve">has </w:t>
      </w:r>
      <w:r w:rsidR="461634CA" w:rsidRPr="00667CD1">
        <w:rPr>
          <w:sz w:val="20"/>
          <w:szCs w:val="16"/>
        </w:rPr>
        <w:t xml:space="preserve">also </w:t>
      </w:r>
      <w:r w:rsidRPr="00667CD1">
        <w:rPr>
          <w:sz w:val="20"/>
          <w:szCs w:val="16"/>
        </w:rPr>
        <w:t>contributed to the</w:t>
      </w:r>
      <w:r w:rsidR="00BF5396" w:rsidRPr="00667CD1">
        <w:rPr>
          <w:sz w:val="20"/>
          <w:szCs w:val="16"/>
        </w:rPr>
        <w:t xml:space="preserve"> </w:t>
      </w:r>
      <w:r w:rsidRPr="00667CD1">
        <w:rPr>
          <w:sz w:val="20"/>
          <w:szCs w:val="16"/>
        </w:rPr>
        <w:t>increase in</w:t>
      </w:r>
      <w:r w:rsidR="00BF5396" w:rsidRPr="00667CD1">
        <w:rPr>
          <w:sz w:val="20"/>
          <w:szCs w:val="16"/>
        </w:rPr>
        <w:t xml:space="preserve"> </w:t>
      </w:r>
      <w:r w:rsidRPr="00667CD1">
        <w:rPr>
          <w:sz w:val="20"/>
          <w:szCs w:val="16"/>
        </w:rPr>
        <w:t>forecast revenue from National Agreements. This largely reflects technical adjustments</w:t>
      </w:r>
      <w:r w:rsidR="005A0FAF" w:rsidRPr="00667CD1">
        <w:rPr>
          <w:sz w:val="20"/>
          <w:szCs w:val="16"/>
        </w:rPr>
        <w:t xml:space="preserve"> </w:t>
      </w:r>
      <w:r w:rsidR="58DEF4FD" w:rsidRPr="00667CD1">
        <w:rPr>
          <w:sz w:val="20"/>
          <w:szCs w:val="16"/>
        </w:rPr>
        <w:t xml:space="preserve">and revised student enrolment estimates </w:t>
      </w:r>
      <w:r w:rsidR="2904816A" w:rsidRPr="00667CD1">
        <w:rPr>
          <w:sz w:val="20"/>
          <w:szCs w:val="16"/>
        </w:rPr>
        <w:t>following</w:t>
      </w:r>
      <w:r w:rsidRPr="00667CD1">
        <w:rPr>
          <w:sz w:val="20"/>
          <w:szCs w:val="16"/>
        </w:rPr>
        <w:t xml:space="preserve"> the</w:t>
      </w:r>
      <w:r w:rsidR="005A0FAF" w:rsidRPr="00667CD1">
        <w:rPr>
          <w:sz w:val="20"/>
          <w:szCs w:val="16"/>
        </w:rPr>
        <w:t xml:space="preserve"> </w:t>
      </w:r>
      <w:r w:rsidRPr="00667CD1">
        <w:rPr>
          <w:sz w:val="20"/>
          <w:szCs w:val="16"/>
        </w:rPr>
        <w:t>release of the</w:t>
      </w:r>
      <w:r w:rsidR="00BF5396" w:rsidRPr="00667CD1">
        <w:rPr>
          <w:sz w:val="20"/>
          <w:szCs w:val="16"/>
        </w:rPr>
        <w:t xml:space="preserve"> </w:t>
      </w:r>
      <w:r w:rsidRPr="00667CD1">
        <w:rPr>
          <w:sz w:val="20"/>
          <w:szCs w:val="16"/>
        </w:rPr>
        <w:t>2020-21</w:t>
      </w:r>
      <w:r w:rsidR="00BF5396" w:rsidRPr="00667CD1">
        <w:rPr>
          <w:sz w:val="20"/>
          <w:szCs w:val="16"/>
        </w:rPr>
        <w:t xml:space="preserve"> </w:t>
      </w:r>
      <w:r w:rsidRPr="00667CD1">
        <w:rPr>
          <w:sz w:val="20"/>
          <w:szCs w:val="16"/>
        </w:rPr>
        <w:t xml:space="preserve">Commonwealth </w:t>
      </w:r>
      <w:r w:rsidR="00BF5396" w:rsidRPr="00667CD1">
        <w:rPr>
          <w:sz w:val="20"/>
          <w:szCs w:val="16"/>
        </w:rPr>
        <w:t>B</w:t>
      </w:r>
      <w:r w:rsidRPr="00667CD1">
        <w:rPr>
          <w:sz w:val="20"/>
          <w:szCs w:val="16"/>
        </w:rPr>
        <w:t>udget.</w:t>
      </w:r>
    </w:p>
    <w:p w14:paraId="2D14E6EA" w14:textId="1689F170" w:rsidR="00AB441E" w:rsidRPr="00667CD1" w:rsidRDefault="00AB441E" w:rsidP="00216F72">
      <w:pPr>
        <w:pStyle w:val="Table4X"/>
        <w:tabs>
          <w:tab w:val="clear" w:pos="1134"/>
          <w:tab w:val="left" w:pos="1276"/>
        </w:tabs>
        <w:ind w:left="1276" w:hanging="1276"/>
        <w:rPr>
          <w:sz w:val="18"/>
          <w:szCs w:val="18"/>
        </w:rPr>
      </w:pPr>
      <w:r w:rsidRPr="00667CD1">
        <w:rPr>
          <w:sz w:val="18"/>
          <w:szCs w:val="18"/>
        </w:rPr>
        <w:t>National Agreement payments to New South Wales</w:t>
      </w:r>
    </w:p>
    <w:tbl>
      <w:tblPr>
        <w:tblW w:w="9060" w:type="dxa"/>
        <w:tblLook w:val="04A0" w:firstRow="1" w:lastRow="0" w:firstColumn="1" w:lastColumn="0" w:noHBand="0" w:noVBand="1"/>
        <w:tblCaption w:val="Table 4.8: National Agreement payments to New South Wales"/>
        <w:tblDescription w:val="Table 4.8: National Agreement payments to New South Wales"/>
      </w:tblPr>
      <w:tblGrid>
        <w:gridCol w:w="2876"/>
        <w:gridCol w:w="856"/>
        <w:gridCol w:w="856"/>
        <w:gridCol w:w="856"/>
        <w:gridCol w:w="856"/>
        <w:gridCol w:w="856"/>
        <w:gridCol w:w="856"/>
        <w:gridCol w:w="1048"/>
      </w:tblGrid>
      <w:tr w:rsidR="009D6A00" w:rsidRPr="00667CD1" w14:paraId="0DF46D03" w14:textId="77777777" w:rsidTr="000D46FA">
        <w:trPr>
          <w:trHeight w:val="250"/>
        </w:trPr>
        <w:tc>
          <w:tcPr>
            <w:tcW w:w="2876" w:type="dxa"/>
            <w:tcBorders>
              <w:top w:val="nil"/>
              <w:left w:val="nil"/>
              <w:bottom w:val="nil"/>
              <w:right w:val="nil"/>
            </w:tcBorders>
            <w:shd w:val="clear" w:color="000000" w:fill="008EBA"/>
            <w:noWrap/>
            <w:vAlign w:val="bottom"/>
            <w:hideMark/>
          </w:tcPr>
          <w:p w14:paraId="395C690F" w14:textId="77777777" w:rsidR="009D6A00" w:rsidRPr="00667CD1" w:rsidRDefault="009D6A00" w:rsidP="009D6A00">
            <w:pP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856" w:type="dxa"/>
            <w:tcBorders>
              <w:top w:val="nil"/>
              <w:left w:val="nil"/>
              <w:bottom w:val="nil"/>
              <w:right w:val="nil"/>
            </w:tcBorders>
            <w:shd w:val="clear" w:color="000000" w:fill="008EBA"/>
            <w:noWrap/>
            <w:vAlign w:val="bottom"/>
            <w:hideMark/>
          </w:tcPr>
          <w:p w14:paraId="2937275D"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2018-19</w:t>
            </w:r>
          </w:p>
        </w:tc>
        <w:tc>
          <w:tcPr>
            <w:tcW w:w="856" w:type="dxa"/>
            <w:tcBorders>
              <w:top w:val="nil"/>
              <w:left w:val="nil"/>
              <w:bottom w:val="nil"/>
              <w:right w:val="nil"/>
            </w:tcBorders>
            <w:shd w:val="clear" w:color="000000" w:fill="008EBA"/>
            <w:noWrap/>
            <w:vAlign w:val="bottom"/>
            <w:hideMark/>
          </w:tcPr>
          <w:p w14:paraId="43EDD621"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2019-20</w:t>
            </w:r>
          </w:p>
        </w:tc>
        <w:tc>
          <w:tcPr>
            <w:tcW w:w="856" w:type="dxa"/>
            <w:tcBorders>
              <w:top w:val="nil"/>
              <w:left w:val="nil"/>
              <w:bottom w:val="nil"/>
              <w:right w:val="nil"/>
            </w:tcBorders>
            <w:shd w:val="clear" w:color="000000" w:fill="008EBA"/>
            <w:noWrap/>
            <w:vAlign w:val="bottom"/>
            <w:hideMark/>
          </w:tcPr>
          <w:p w14:paraId="163C846F"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2020-21</w:t>
            </w:r>
          </w:p>
        </w:tc>
        <w:tc>
          <w:tcPr>
            <w:tcW w:w="856" w:type="dxa"/>
            <w:tcBorders>
              <w:top w:val="nil"/>
              <w:left w:val="nil"/>
              <w:bottom w:val="nil"/>
              <w:right w:val="nil"/>
            </w:tcBorders>
            <w:shd w:val="clear" w:color="000000" w:fill="008EBA"/>
            <w:noWrap/>
            <w:vAlign w:val="bottom"/>
            <w:hideMark/>
          </w:tcPr>
          <w:p w14:paraId="2AB16500"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2021-22</w:t>
            </w:r>
          </w:p>
        </w:tc>
        <w:tc>
          <w:tcPr>
            <w:tcW w:w="856" w:type="dxa"/>
            <w:tcBorders>
              <w:top w:val="nil"/>
              <w:left w:val="nil"/>
              <w:bottom w:val="nil"/>
              <w:right w:val="nil"/>
            </w:tcBorders>
            <w:shd w:val="clear" w:color="000000" w:fill="008EBA"/>
            <w:noWrap/>
            <w:vAlign w:val="bottom"/>
            <w:hideMark/>
          </w:tcPr>
          <w:p w14:paraId="727C8032"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2022-23</w:t>
            </w:r>
          </w:p>
        </w:tc>
        <w:tc>
          <w:tcPr>
            <w:tcW w:w="856" w:type="dxa"/>
            <w:tcBorders>
              <w:top w:val="nil"/>
              <w:left w:val="nil"/>
              <w:bottom w:val="nil"/>
              <w:right w:val="nil"/>
            </w:tcBorders>
            <w:shd w:val="clear" w:color="000000" w:fill="008EBA"/>
            <w:noWrap/>
            <w:vAlign w:val="bottom"/>
            <w:hideMark/>
          </w:tcPr>
          <w:p w14:paraId="2D4EFE25"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2023-24</w:t>
            </w:r>
          </w:p>
        </w:tc>
        <w:tc>
          <w:tcPr>
            <w:tcW w:w="1048" w:type="dxa"/>
            <w:vMerge w:val="restart"/>
            <w:tcBorders>
              <w:top w:val="nil"/>
              <w:left w:val="nil"/>
              <w:bottom w:val="nil"/>
              <w:right w:val="nil"/>
            </w:tcBorders>
            <w:shd w:val="clear" w:color="000000" w:fill="4F4F4F"/>
            <w:vAlign w:val="center"/>
            <w:hideMark/>
          </w:tcPr>
          <w:p w14:paraId="4A788E35"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 Average growth p.a.</w:t>
            </w:r>
            <w:r w:rsidRPr="00667CD1">
              <w:rPr>
                <w:rFonts w:ascii="Arial" w:hAnsi="Arial" w:cs="Arial"/>
                <w:color w:val="FFFFFF"/>
                <w:sz w:val="12"/>
                <w:szCs w:val="12"/>
                <w:lang w:eastAsia="en-AU"/>
              </w:rPr>
              <w:br/>
              <w:t xml:space="preserve">2019-20 to </w:t>
            </w:r>
            <w:r w:rsidRPr="00667CD1">
              <w:rPr>
                <w:rFonts w:ascii="Arial" w:hAnsi="Arial" w:cs="Arial"/>
                <w:color w:val="FFFFFF"/>
                <w:sz w:val="12"/>
                <w:szCs w:val="12"/>
                <w:lang w:eastAsia="en-AU"/>
              </w:rPr>
              <w:br/>
              <w:t>2023-24</w:t>
            </w:r>
          </w:p>
        </w:tc>
      </w:tr>
      <w:tr w:rsidR="009D6A00" w:rsidRPr="00667CD1" w14:paraId="6BAEF325" w14:textId="77777777" w:rsidTr="000D46FA">
        <w:trPr>
          <w:trHeight w:val="260"/>
        </w:trPr>
        <w:tc>
          <w:tcPr>
            <w:tcW w:w="2876" w:type="dxa"/>
            <w:tcBorders>
              <w:top w:val="nil"/>
              <w:left w:val="nil"/>
              <w:right w:val="nil"/>
            </w:tcBorders>
            <w:shd w:val="clear" w:color="000000" w:fill="008EBA"/>
            <w:vAlign w:val="bottom"/>
            <w:hideMark/>
          </w:tcPr>
          <w:p w14:paraId="7506B2D3" w14:textId="77777777" w:rsidR="009D6A00" w:rsidRPr="00667CD1" w:rsidRDefault="009D6A00" w:rsidP="009D6A00">
            <w:pPr>
              <w:jc w:val="center"/>
              <w:rPr>
                <w:rFonts w:ascii="Arial" w:hAnsi="Arial" w:cs="Arial"/>
                <w:i/>
                <w:iCs/>
                <w:color w:val="FFFFFF"/>
                <w:sz w:val="12"/>
                <w:szCs w:val="12"/>
                <w:lang w:eastAsia="en-AU"/>
              </w:rPr>
            </w:pPr>
            <w:r w:rsidRPr="00667CD1">
              <w:rPr>
                <w:rFonts w:ascii="Arial" w:hAnsi="Arial" w:cs="Arial"/>
                <w:i/>
                <w:iCs/>
                <w:color w:val="FFFFFF"/>
                <w:sz w:val="12"/>
                <w:szCs w:val="12"/>
                <w:lang w:eastAsia="en-AU"/>
              </w:rPr>
              <w:t> </w:t>
            </w:r>
          </w:p>
        </w:tc>
        <w:tc>
          <w:tcPr>
            <w:tcW w:w="856" w:type="dxa"/>
            <w:tcBorders>
              <w:top w:val="nil"/>
              <w:left w:val="nil"/>
              <w:right w:val="nil"/>
            </w:tcBorders>
            <w:shd w:val="clear" w:color="000000" w:fill="008EBA"/>
            <w:vAlign w:val="center"/>
            <w:hideMark/>
          </w:tcPr>
          <w:p w14:paraId="1D074556"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856" w:type="dxa"/>
            <w:tcBorders>
              <w:top w:val="nil"/>
              <w:left w:val="nil"/>
              <w:right w:val="nil"/>
            </w:tcBorders>
            <w:shd w:val="clear" w:color="000000" w:fill="008EBA"/>
            <w:vAlign w:val="center"/>
            <w:hideMark/>
          </w:tcPr>
          <w:p w14:paraId="3AFBB14F"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856" w:type="dxa"/>
            <w:tcBorders>
              <w:top w:val="nil"/>
              <w:left w:val="nil"/>
              <w:right w:val="nil"/>
            </w:tcBorders>
            <w:shd w:val="clear" w:color="000000" w:fill="008EBA"/>
            <w:vAlign w:val="center"/>
            <w:hideMark/>
          </w:tcPr>
          <w:p w14:paraId="64CDFEF6"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Budget</w:t>
            </w:r>
          </w:p>
        </w:tc>
        <w:tc>
          <w:tcPr>
            <w:tcW w:w="2568" w:type="dxa"/>
            <w:gridSpan w:val="3"/>
            <w:tcBorders>
              <w:top w:val="nil"/>
              <w:left w:val="nil"/>
              <w:right w:val="nil"/>
            </w:tcBorders>
            <w:shd w:val="clear" w:color="000000" w:fill="008EBA"/>
            <w:vAlign w:val="center"/>
            <w:hideMark/>
          </w:tcPr>
          <w:p w14:paraId="4DBB0659"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Forward Estimates</w:t>
            </w:r>
          </w:p>
        </w:tc>
        <w:tc>
          <w:tcPr>
            <w:tcW w:w="1048" w:type="dxa"/>
            <w:vMerge/>
            <w:tcBorders>
              <w:top w:val="nil"/>
              <w:left w:val="nil"/>
              <w:bottom w:val="nil"/>
              <w:right w:val="nil"/>
            </w:tcBorders>
            <w:vAlign w:val="center"/>
            <w:hideMark/>
          </w:tcPr>
          <w:p w14:paraId="1AEF5C27" w14:textId="77777777" w:rsidR="009D6A00" w:rsidRPr="00667CD1" w:rsidRDefault="009D6A00" w:rsidP="009D6A00">
            <w:pPr>
              <w:rPr>
                <w:rFonts w:ascii="Arial" w:hAnsi="Arial" w:cs="Arial"/>
                <w:color w:val="FFFFFF"/>
                <w:sz w:val="12"/>
                <w:szCs w:val="12"/>
                <w:lang w:eastAsia="en-AU"/>
              </w:rPr>
            </w:pPr>
          </w:p>
        </w:tc>
      </w:tr>
      <w:tr w:rsidR="009D6A00" w:rsidRPr="00667CD1" w14:paraId="7109A590" w14:textId="77777777" w:rsidTr="000D46FA">
        <w:trPr>
          <w:trHeight w:val="435"/>
        </w:trPr>
        <w:tc>
          <w:tcPr>
            <w:tcW w:w="2876" w:type="dxa"/>
            <w:tcBorders>
              <w:top w:val="nil"/>
              <w:left w:val="nil"/>
              <w:bottom w:val="nil"/>
              <w:right w:val="nil"/>
            </w:tcBorders>
            <w:shd w:val="clear" w:color="000000" w:fill="00426F"/>
            <w:hideMark/>
          </w:tcPr>
          <w:p w14:paraId="31B2CE60"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856" w:type="dxa"/>
            <w:tcBorders>
              <w:top w:val="nil"/>
              <w:left w:val="nil"/>
              <w:bottom w:val="nil"/>
              <w:right w:val="nil"/>
            </w:tcBorders>
            <w:shd w:val="clear" w:color="000000" w:fill="00426F"/>
            <w:noWrap/>
            <w:hideMark/>
          </w:tcPr>
          <w:p w14:paraId="33A3FD23"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56" w:type="dxa"/>
            <w:tcBorders>
              <w:top w:val="nil"/>
              <w:left w:val="nil"/>
              <w:bottom w:val="nil"/>
              <w:right w:val="nil"/>
            </w:tcBorders>
            <w:shd w:val="clear" w:color="000000" w:fill="00426F"/>
            <w:noWrap/>
            <w:hideMark/>
          </w:tcPr>
          <w:p w14:paraId="3532ED66"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56" w:type="dxa"/>
            <w:tcBorders>
              <w:top w:val="nil"/>
              <w:left w:val="nil"/>
              <w:bottom w:val="nil"/>
              <w:right w:val="nil"/>
            </w:tcBorders>
            <w:shd w:val="clear" w:color="000000" w:fill="00426F"/>
            <w:noWrap/>
            <w:hideMark/>
          </w:tcPr>
          <w:p w14:paraId="7DCA390B"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56" w:type="dxa"/>
            <w:tcBorders>
              <w:top w:val="nil"/>
              <w:left w:val="nil"/>
              <w:bottom w:val="nil"/>
              <w:right w:val="nil"/>
            </w:tcBorders>
            <w:shd w:val="clear" w:color="000000" w:fill="00426F"/>
            <w:noWrap/>
            <w:hideMark/>
          </w:tcPr>
          <w:p w14:paraId="51FB56C7"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56" w:type="dxa"/>
            <w:tcBorders>
              <w:top w:val="nil"/>
              <w:left w:val="nil"/>
              <w:bottom w:val="nil"/>
              <w:right w:val="nil"/>
            </w:tcBorders>
            <w:shd w:val="clear" w:color="000000" w:fill="00426F"/>
            <w:noWrap/>
            <w:hideMark/>
          </w:tcPr>
          <w:p w14:paraId="323CECD5"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56" w:type="dxa"/>
            <w:tcBorders>
              <w:top w:val="nil"/>
              <w:left w:val="nil"/>
              <w:bottom w:val="nil"/>
              <w:right w:val="nil"/>
            </w:tcBorders>
            <w:shd w:val="clear" w:color="000000" w:fill="00426F"/>
            <w:noWrap/>
            <w:hideMark/>
          </w:tcPr>
          <w:p w14:paraId="6656675E" w14:textId="77777777" w:rsidR="009D6A00" w:rsidRPr="00667CD1" w:rsidRDefault="009D6A00" w:rsidP="009D6A00">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1048" w:type="dxa"/>
            <w:vMerge/>
            <w:tcBorders>
              <w:top w:val="nil"/>
              <w:left w:val="nil"/>
              <w:bottom w:val="nil"/>
              <w:right w:val="nil"/>
            </w:tcBorders>
            <w:vAlign w:val="center"/>
            <w:hideMark/>
          </w:tcPr>
          <w:p w14:paraId="1BC85FA3" w14:textId="77777777" w:rsidR="009D6A00" w:rsidRPr="00667CD1" w:rsidRDefault="009D6A00" w:rsidP="009D6A00">
            <w:pPr>
              <w:rPr>
                <w:rFonts w:ascii="Arial" w:hAnsi="Arial" w:cs="Arial"/>
                <w:color w:val="FFFFFF"/>
                <w:sz w:val="12"/>
                <w:szCs w:val="12"/>
                <w:lang w:eastAsia="en-AU"/>
              </w:rPr>
            </w:pPr>
          </w:p>
        </w:tc>
      </w:tr>
      <w:tr w:rsidR="009D6A00" w:rsidRPr="00667CD1" w14:paraId="1AE5FEEA" w14:textId="77777777" w:rsidTr="00C055C1">
        <w:trPr>
          <w:trHeight w:val="250"/>
        </w:trPr>
        <w:tc>
          <w:tcPr>
            <w:tcW w:w="2876" w:type="dxa"/>
            <w:tcBorders>
              <w:top w:val="nil"/>
              <w:left w:val="nil"/>
              <w:bottom w:val="nil"/>
              <w:right w:val="nil"/>
            </w:tcBorders>
            <w:shd w:val="clear" w:color="000000" w:fill="FFFFFF"/>
            <w:vAlign w:val="bottom"/>
            <w:hideMark/>
          </w:tcPr>
          <w:p w14:paraId="1A216BBE" w14:textId="77777777" w:rsidR="009D6A00" w:rsidRPr="00667CD1" w:rsidRDefault="009D6A00" w:rsidP="009D6A00">
            <w:pPr>
              <w:rPr>
                <w:rFonts w:ascii="Arial" w:hAnsi="Arial" w:cs="Arial"/>
                <w:sz w:val="12"/>
                <w:szCs w:val="12"/>
                <w:lang w:eastAsia="en-AU"/>
              </w:rPr>
            </w:pPr>
            <w:r w:rsidRPr="00667CD1">
              <w:rPr>
                <w:rFonts w:ascii="Arial" w:hAnsi="Arial" w:cs="Arial"/>
                <w:sz w:val="12"/>
                <w:szCs w:val="12"/>
                <w:lang w:eastAsia="en-AU"/>
              </w:rPr>
              <w:t xml:space="preserve">Health </w:t>
            </w:r>
          </w:p>
        </w:tc>
        <w:tc>
          <w:tcPr>
            <w:tcW w:w="856" w:type="dxa"/>
            <w:tcBorders>
              <w:top w:val="nil"/>
              <w:left w:val="nil"/>
              <w:bottom w:val="nil"/>
              <w:right w:val="nil"/>
            </w:tcBorders>
            <w:shd w:val="clear" w:color="000000" w:fill="FFFFFF"/>
            <w:noWrap/>
            <w:vAlign w:val="center"/>
            <w:hideMark/>
          </w:tcPr>
          <w:p w14:paraId="0F2F1731"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6,741</w:t>
            </w:r>
          </w:p>
        </w:tc>
        <w:tc>
          <w:tcPr>
            <w:tcW w:w="856" w:type="dxa"/>
            <w:tcBorders>
              <w:top w:val="nil"/>
              <w:left w:val="nil"/>
              <w:bottom w:val="nil"/>
              <w:right w:val="nil"/>
            </w:tcBorders>
            <w:shd w:val="clear" w:color="000000" w:fill="FFFFFF"/>
            <w:noWrap/>
            <w:vAlign w:val="center"/>
            <w:hideMark/>
          </w:tcPr>
          <w:p w14:paraId="1C996B00"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7,667</w:t>
            </w:r>
          </w:p>
        </w:tc>
        <w:tc>
          <w:tcPr>
            <w:tcW w:w="856" w:type="dxa"/>
            <w:tcBorders>
              <w:top w:val="nil"/>
              <w:left w:val="nil"/>
              <w:bottom w:val="nil"/>
              <w:right w:val="nil"/>
            </w:tcBorders>
            <w:shd w:val="clear" w:color="000000" w:fill="F2F2F2"/>
            <w:noWrap/>
            <w:vAlign w:val="center"/>
            <w:hideMark/>
          </w:tcPr>
          <w:p w14:paraId="44AA9B51"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7,947</w:t>
            </w:r>
          </w:p>
        </w:tc>
        <w:tc>
          <w:tcPr>
            <w:tcW w:w="856" w:type="dxa"/>
            <w:tcBorders>
              <w:top w:val="nil"/>
              <w:left w:val="nil"/>
              <w:bottom w:val="nil"/>
              <w:right w:val="nil"/>
            </w:tcBorders>
            <w:shd w:val="clear" w:color="000000" w:fill="F2F2F2"/>
            <w:noWrap/>
            <w:vAlign w:val="center"/>
            <w:hideMark/>
          </w:tcPr>
          <w:p w14:paraId="601554BB"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7,743</w:t>
            </w:r>
          </w:p>
        </w:tc>
        <w:tc>
          <w:tcPr>
            <w:tcW w:w="856" w:type="dxa"/>
            <w:tcBorders>
              <w:top w:val="nil"/>
              <w:left w:val="nil"/>
              <w:bottom w:val="nil"/>
              <w:right w:val="nil"/>
            </w:tcBorders>
            <w:shd w:val="clear" w:color="000000" w:fill="F2F2F2"/>
            <w:noWrap/>
            <w:vAlign w:val="center"/>
            <w:hideMark/>
          </w:tcPr>
          <w:p w14:paraId="2D606FC3"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8,207</w:t>
            </w:r>
          </w:p>
        </w:tc>
        <w:tc>
          <w:tcPr>
            <w:tcW w:w="856" w:type="dxa"/>
            <w:tcBorders>
              <w:top w:val="nil"/>
              <w:left w:val="nil"/>
              <w:bottom w:val="nil"/>
              <w:right w:val="nil"/>
            </w:tcBorders>
            <w:shd w:val="clear" w:color="000000" w:fill="F2F2F2"/>
            <w:noWrap/>
            <w:vAlign w:val="center"/>
            <w:hideMark/>
          </w:tcPr>
          <w:p w14:paraId="67AC5FE8"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8,698</w:t>
            </w:r>
          </w:p>
        </w:tc>
        <w:tc>
          <w:tcPr>
            <w:tcW w:w="1048" w:type="dxa"/>
            <w:tcBorders>
              <w:top w:val="nil"/>
              <w:left w:val="nil"/>
              <w:bottom w:val="nil"/>
              <w:right w:val="nil"/>
            </w:tcBorders>
            <w:shd w:val="clear" w:color="000000" w:fill="FFFFFF"/>
            <w:vAlign w:val="center"/>
            <w:hideMark/>
          </w:tcPr>
          <w:p w14:paraId="5AE83FD7" w14:textId="77777777" w:rsidR="009D6A00" w:rsidRPr="00667CD1" w:rsidRDefault="009D6A00" w:rsidP="009D6A00">
            <w:pPr>
              <w:jc w:val="center"/>
              <w:rPr>
                <w:rFonts w:ascii="Arial" w:hAnsi="Arial" w:cs="Arial"/>
                <w:sz w:val="12"/>
                <w:szCs w:val="12"/>
                <w:lang w:eastAsia="en-AU"/>
              </w:rPr>
            </w:pPr>
            <w:r w:rsidRPr="00667CD1">
              <w:rPr>
                <w:rFonts w:ascii="Arial" w:hAnsi="Arial" w:cs="Arial"/>
                <w:sz w:val="12"/>
                <w:szCs w:val="12"/>
                <w:lang w:eastAsia="en-AU"/>
              </w:rPr>
              <w:t>3.2</w:t>
            </w:r>
          </w:p>
        </w:tc>
      </w:tr>
      <w:tr w:rsidR="009D6A00" w:rsidRPr="00667CD1" w14:paraId="67F4F458" w14:textId="77777777" w:rsidTr="00C055C1">
        <w:trPr>
          <w:trHeight w:val="250"/>
        </w:trPr>
        <w:tc>
          <w:tcPr>
            <w:tcW w:w="2876" w:type="dxa"/>
            <w:tcBorders>
              <w:top w:val="nil"/>
              <w:left w:val="nil"/>
              <w:bottom w:val="nil"/>
              <w:right w:val="nil"/>
            </w:tcBorders>
            <w:shd w:val="clear" w:color="000000" w:fill="FFFFFF"/>
            <w:noWrap/>
            <w:vAlign w:val="center"/>
            <w:hideMark/>
          </w:tcPr>
          <w:p w14:paraId="04710864" w14:textId="77777777" w:rsidR="009D6A00" w:rsidRPr="00667CD1" w:rsidRDefault="009D6A00" w:rsidP="009D6A00">
            <w:pPr>
              <w:rPr>
                <w:rFonts w:ascii="Arial" w:hAnsi="Arial" w:cs="Arial"/>
                <w:sz w:val="12"/>
                <w:szCs w:val="12"/>
                <w:lang w:eastAsia="en-AU"/>
              </w:rPr>
            </w:pPr>
            <w:r w:rsidRPr="00667CD1">
              <w:rPr>
                <w:rFonts w:ascii="Arial" w:hAnsi="Arial" w:cs="Arial"/>
                <w:sz w:val="12"/>
                <w:szCs w:val="12"/>
                <w:lang w:eastAsia="en-AU"/>
              </w:rPr>
              <w:t xml:space="preserve">Education </w:t>
            </w:r>
          </w:p>
        </w:tc>
        <w:tc>
          <w:tcPr>
            <w:tcW w:w="856" w:type="dxa"/>
            <w:tcBorders>
              <w:top w:val="nil"/>
              <w:left w:val="nil"/>
              <w:bottom w:val="nil"/>
              <w:right w:val="nil"/>
            </w:tcBorders>
            <w:shd w:val="clear" w:color="000000" w:fill="FFFFFF"/>
            <w:noWrap/>
            <w:vAlign w:val="center"/>
            <w:hideMark/>
          </w:tcPr>
          <w:p w14:paraId="7F5B8C56"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2,428</w:t>
            </w:r>
          </w:p>
        </w:tc>
        <w:tc>
          <w:tcPr>
            <w:tcW w:w="856" w:type="dxa"/>
            <w:tcBorders>
              <w:top w:val="nil"/>
              <w:left w:val="nil"/>
              <w:bottom w:val="nil"/>
              <w:right w:val="nil"/>
            </w:tcBorders>
            <w:shd w:val="clear" w:color="000000" w:fill="FFFFFF"/>
            <w:noWrap/>
            <w:vAlign w:val="center"/>
            <w:hideMark/>
          </w:tcPr>
          <w:p w14:paraId="7623BF4B"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2,637</w:t>
            </w:r>
          </w:p>
        </w:tc>
        <w:tc>
          <w:tcPr>
            <w:tcW w:w="856" w:type="dxa"/>
            <w:tcBorders>
              <w:top w:val="nil"/>
              <w:left w:val="nil"/>
              <w:bottom w:val="nil"/>
              <w:right w:val="nil"/>
            </w:tcBorders>
            <w:shd w:val="clear" w:color="000000" w:fill="F2F2F2"/>
            <w:noWrap/>
            <w:vAlign w:val="center"/>
            <w:hideMark/>
          </w:tcPr>
          <w:p w14:paraId="546E8A6B"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2,808</w:t>
            </w:r>
          </w:p>
        </w:tc>
        <w:tc>
          <w:tcPr>
            <w:tcW w:w="856" w:type="dxa"/>
            <w:tcBorders>
              <w:top w:val="nil"/>
              <w:left w:val="nil"/>
              <w:bottom w:val="nil"/>
              <w:right w:val="nil"/>
            </w:tcBorders>
            <w:shd w:val="clear" w:color="000000" w:fill="F2F2F2"/>
            <w:noWrap/>
            <w:vAlign w:val="center"/>
            <w:hideMark/>
          </w:tcPr>
          <w:p w14:paraId="2FC1138C"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2,993</w:t>
            </w:r>
          </w:p>
        </w:tc>
        <w:tc>
          <w:tcPr>
            <w:tcW w:w="856" w:type="dxa"/>
            <w:tcBorders>
              <w:top w:val="nil"/>
              <w:left w:val="nil"/>
              <w:bottom w:val="nil"/>
              <w:right w:val="nil"/>
            </w:tcBorders>
            <w:shd w:val="clear" w:color="000000" w:fill="F2F2F2"/>
            <w:noWrap/>
            <w:vAlign w:val="center"/>
            <w:hideMark/>
          </w:tcPr>
          <w:p w14:paraId="1D17B22F"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3,185</w:t>
            </w:r>
          </w:p>
        </w:tc>
        <w:tc>
          <w:tcPr>
            <w:tcW w:w="856" w:type="dxa"/>
            <w:tcBorders>
              <w:top w:val="nil"/>
              <w:left w:val="nil"/>
              <w:bottom w:val="nil"/>
              <w:right w:val="nil"/>
            </w:tcBorders>
            <w:shd w:val="clear" w:color="000000" w:fill="F2F2F2"/>
            <w:noWrap/>
            <w:vAlign w:val="center"/>
            <w:hideMark/>
          </w:tcPr>
          <w:p w14:paraId="311B8420"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3,349</w:t>
            </w:r>
          </w:p>
        </w:tc>
        <w:tc>
          <w:tcPr>
            <w:tcW w:w="1048" w:type="dxa"/>
            <w:tcBorders>
              <w:top w:val="nil"/>
              <w:left w:val="nil"/>
              <w:bottom w:val="nil"/>
              <w:right w:val="nil"/>
            </w:tcBorders>
            <w:shd w:val="clear" w:color="000000" w:fill="FFFFFF"/>
            <w:vAlign w:val="center"/>
            <w:hideMark/>
          </w:tcPr>
          <w:p w14:paraId="07A88B4E" w14:textId="77777777" w:rsidR="009D6A00" w:rsidRPr="00667CD1" w:rsidRDefault="009D6A00" w:rsidP="009D6A00">
            <w:pPr>
              <w:jc w:val="center"/>
              <w:rPr>
                <w:rFonts w:ascii="Arial" w:hAnsi="Arial" w:cs="Arial"/>
                <w:sz w:val="12"/>
                <w:szCs w:val="12"/>
                <w:lang w:eastAsia="en-AU"/>
              </w:rPr>
            </w:pPr>
            <w:r w:rsidRPr="00667CD1">
              <w:rPr>
                <w:rFonts w:ascii="Arial" w:hAnsi="Arial" w:cs="Arial"/>
                <w:sz w:val="12"/>
                <w:szCs w:val="12"/>
                <w:lang w:eastAsia="en-AU"/>
              </w:rPr>
              <w:t>6.2</w:t>
            </w:r>
          </w:p>
        </w:tc>
      </w:tr>
      <w:tr w:rsidR="009D6A00" w:rsidRPr="00667CD1" w14:paraId="49357B7C" w14:textId="77777777" w:rsidTr="00C055C1">
        <w:trPr>
          <w:trHeight w:val="255"/>
        </w:trPr>
        <w:tc>
          <w:tcPr>
            <w:tcW w:w="2876" w:type="dxa"/>
            <w:tcBorders>
              <w:top w:val="nil"/>
              <w:left w:val="nil"/>
              <w:bottom w:val="nil"/>
              <w:right w:val="nil"/>
            </w:tcBorders>
            <w:shd w:val="clear" w:color="000000" w:fill="FFFFFF"/>
            <w:vAlign w:val="center"/>
            <w:hideMark/>
          </w:tcPr>
          <w:p w14:paraId="3B4EB8F9" w14:textId="77777777" w:rsidR="009D6A00" w:rsidRPr="00667CD1" w:rsidRDefault="009D6A00" w:rsidP="009D6A00">
            <w:pPr>
              <w:rPr>
                <w:rFonts w:ascii="Arial" w:hAnsi="Arial" w:cs="Arial"/>
                <w:sz w:val="12"/>
                <w:szCs w:val="12"/>
                <w:lang w:eastAsia="en-AU"/>
              </w:rPr>
            </w:pPr>
            <w:r w:rsidRPr="00667CD1">
              <w:rPr>
                <w:rFonts w:ascii="Arial" w:hAnsi="Arial" w:cs="Arial"/>
                <w:sz w:val="12"/>
                <w:szCs w:val="12"/>
                <w:lang w:eastAsia="en-AU"/>
              </w:rPr>
              <w:t>Skills and workforce development</w:t>
            </w:r>
          </w:p>
        </w:tc>
        <w:tc>
          <w:tcPr>
            <w:tcW w:w="856" w:type="dxa"/>
            <w:tcBorders>
              <w:top w:val="nil"/>
              <w:left w:val="nil"/>
              <w:bottom w:val="nil"/>
              <w:right w:val="nil"/>
            </w:tcBorders>
            <w:shd w:val="clear" w:color="000000" w:fill="FFFFFF"/>
            <w:noWrap/>
            <w:vAlign w:val="center"/>
            <w:hideMark/>
          </w:tcPr>
          <w:p w14:paraId="561AFC9A"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578</w:t>
            </w:r>
          </w:p>
        </w:tc>
        <w:tc>
          <w:tcPr>
            <w:tcW w:w="856" w:type="dxa"/>
            <w:tcBorders>
              <w:top w:val="nil"/>
              <w:left w:val="nil"/>
              <w:bottom w:val="nil"/>
              <w:right w:val="nil"/>
            </w:tcBorders>
            <w:shd w:val="clear" w:color="000000" w:fill="FFFFFF"/>
            <w:noWrap/>
            <w:vAlign w:val="center"/>
            <w:hideMark/>
          </w:tcPr>
          <w:p w14:paraId="6459791C"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491</w:t>
            </w:r>
          </w:p>
        </w:tc>
        <w:tc>
          <w:tcPr>
            <w:tcW w:w="856" w:type="dxa"/>
            <w:tcBorders>
              <w:top w:val="nil"/>
              <w:left w:val="nil"/>
              <w:bottom w:val="nil"/>
              <w:right w:val="nil"/>
            </w:tcBorders>
            <w:shd w:val="clear" w:color="000000" w:fill="F2F2F2"/>
            <w:noWrap/>
            <w:vAlign w:val="center"/>
            <w:hideMark/>
          </w:tcPr>
          <w:p w14:paraId="578806DB"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496</w:t>
            </w:r>
          </w:p>
        </w:tc>
        <w:tc>
          <w:tcPr>
            <w:tcW w:w="856" w:type="dxa"/>
            <w:tcBorders>
              <w:top w:val="nil"/>
              <w:left w:val="nil"/>
              <w:bottom w:val="nil"/>
              <w:right w:val="nil"/>
            </w:tcBorders>
            <w:shd w:val="clear" w:color="000000" w:fill="F2F2F2"/>
            <w:noWrap/>
            <w:vAlign w:val="center"/>
            <w:hideMark/>
          </w:tcPr>
          <w:p w14:paraId="187BD7AD"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499</w:t>
            </w:r>
          </w:p>
        </w:tc>
        <w:tc>
          <w:tcPr>
            <w:tcW w:w="856" w:type="dxa"/>
            <w:tcBorders>
              <w:top w:val="nil"/>
              <w:left w:val="nil"/>
              <w:bottom w:val="nil"/>
              <w:right w:val="nil"/>
            </w:tcBorders>
            <w:shd w:val="clear" w:color="000000" w:fill="F2F2F2"/>
            <w:noWrap/>
            <w:vAlign w:val="center"/>
            <w:hideMark/>
          </w:tcPr>
          <w:p w14:paraId="620DD2B3"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504</w:t>
            </w:r>
          </w:p>
        </w:tc>
        <w:tc>
          <w:tcPr>
            <w:tcW w:w="856" w:type="dxa"/>
            <w:tcBorders>
              <w:top w:val="nil"/>
              <w:left w:val="nil"/>
              <w:bottom w:val="nil"/>
              <w:right w:val="nil"/>
            </w:tcBorders>
            <w:shd w:val="clear" w:color="000000" w:fill="F2F2F2"/>
            <w:noWrap/>
            <w:vAlign w:val="center"/>
            <w:hideMark/>
          </w:tcPr>
          <w:p w14:paraId="47590879"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510</w:t>
            </w:r>
          </w:p>
        </w:tc>
        <w:tc>
          <w:tcPr>
            <w:tcW w:w="1048" w:type="dxa"/>
            <w:tcBorders>
              <w:top w:val="nil"/>
              <w:left w:val="nil"/>
              <w:bottom w:val="nil"/>
              <w:right w:val="nil"/>
            </w:tcBorders>
            <w:shd w:val="clear" w:color="000000" w:fill="FFFFFF"/>
            <w:vAlign w:val="center"/>
            <w:hideMark/>
          </w:tcPr>
          <w:p w14:paraId="3DA6F5EE" w14:textId="77777777" w:rsidR="009D6A00" w:rsidRPr="00667CD1" w:rsidRDefault="009D6A00" w:rsidP="009D6A00">
            <w:pPr>
              <w:jc w:val="center"/>
              <w:rPr>
                <w:rFonts w:ascii="Arial" w:hAnsi="Arial" w:cs="Arial"/>
                <w:sz w:val="12"/>
                <w:szCs w:val="12"/>
                <w:lang w:eastAsia="en-AU"/>
              </w:rPr>
            </w:pPr>
            <w:r w:rsidRPr="00667CD1">
              <w:rPr>
                <w:rFonts w:ascii="Arial" w:hAnsi="Arial" w:cs="Arial"/>
                <w:sz w:val="12"/>
                <w:szCs w:val="12"/>
                <w:lang w:eastAsia="en-AU"/>
              </w:rPr>
              <w:t>0.9</w:t>
            </w:r>
          </w:p>
        </w:tc>
      </w:tr>
      <w:tr w:rsidR="009D6A00" w:rsidRPr="00667CD1" w14:paraId="33FE60F1" w14:textId="77777777" w:rsidTr="00C055C1">
        <w:trPr>
          <w:trHeight w:val="250"/>
        </w:trPr>
        <w:tc>
          <w:tcPr>
            <w:tcW w:w="2876" w:type="dxa"/>
            <w:tcBorders>
              <w:top w:val="nil"/>
              <w:left w:val="nil"/>
              <w:bottom w:val="nil"/>
              <w:right w:val="nil"/>
            </w:tcBorders>
            <w:shd w:val="clear" w:color="000000" w:fill="FFFFFF"/>
            <w:noWrap/>
            <w:vAlign w:val="center"/>
            <w:hideMark/>
          </w:tcPr>
          <w:p w14:paraId="23CF1D97" w14:textId="77777777" w:rsidR="009D6A00" w:rsidRPr="00667CD1" w:rsidRDefault="009D6A00" w:rsidP="009D6A00">
            <w:pPr>
              <w:rPr>
                <w:rFonts w:ascii="Arial" w:hAnsi="Arial" w:cs="Arial"/>
                <w:sz w:val="12"/>
                <w:szCs w:val="12"/>
                <w:lang w:eastAsia="en-AU"/>
              </w:rPr>
            </w:pPr>
            <w:r w:rsidRPr="00667CD1">
              <w:rPr>
                <w:rFonts w:ascii="Arial" w:hAnsi="Arial" w:cs="Arial"/>
                <w:sz w:val="12"/>
                <w:szCs w:val="12"/>
                <w:lang w:eastAsia="en-AU"/>
              </w:rPr>
              <w:t>Affordable housing</w:t>
            </w:r>
          </w:p>
        </w:tc>
        <w:tc>
          <w:tcPr>
            <w:tcW w:w="856" w:type="dxa"/>
            <w:tcBorders>
              <w:top w:val="nil"/>
              <w:left w:val="nil"/>
              <w:bottom w:val="nil"/>
              <w:right w:val="nil"/>
            </w:tcBorders>
            <w:shd w:val="clear" w:color="000000" w:fill="FFFFFF"/>
            <w:noWrap/>
            <w:vAlign w:val="center"/>
            <w:hideMark/>
          </w:tcPr>
          <w:p w14:paraId="5BAEDFA7"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477</w:t>
            </w:r>
          </w:p>
        </w:tc>
        <w:tc>
          <w:tcPr>
            <w:tcW w:w="856" w:type="dxa"/>
            <w:tcBorders>
              <w:top w:val="nil"/>
              <w:left w:val="nil"/>
              <w:bottom w:val="nil"/>
              <w:right w:val="nil"/>
            </w:tcBorders>
            <w:shd w:val="clear" w:color="000000" w:fill="FFFFFF"/>
            <w:noWrap/>
            <w:vAlign w:val="center"/>
            <w:hideMark/>
          </w:tcPr>
          <w:p w14:paraId="5EC6F38A"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483</w:t>
            </w:r>
          </w:p>
        </w:tc>
        <w:tc>
          <w:tcPr>
            <w:tcW w:w="856" w:type="dxa"/>
            <w:tcBorders>
              <w:top w:val="nil"/>
              <w:left w:val="nil"/>
              <w:bottom w:val="nil"/>
              <w:right w:val="nil"/>
            </w:tcBorders>
            <w:shd w:val="clear" w:color="000000" w:fill="F2F2F2"/>
            <w:noWrap/>
            <w:vAlign w:val="center"/>
            <w:hideMark/>
          </w:tcPr>
          <w:p w14:paraId="1179E83A"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489</w:t>
            </w:r>
          </w:p>
        </w:tc>
        <w:tc>
          <w:tcPr>
            <w:tcW w:w="856" w:type="dxa"/>
            <w:tcBorders>
              <w:top w:val="nil"/>
              <w:left w:val="nil"/>
              <w:bottom w:val="nil"/>
              <w:right w:val="nil"/>
            </w:tcBorders>
            <w:shd w:val="clear" w:color="000000" w:fill="F2F2F2"/>
            <w:noWrap/>
            <w:vAlign w:val="center"/>
            <w:hideMark/>
          </w:tcPr>
          <w:p w14:paraId="0CCEAC8D"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485</w:t>
            </w:r>
          </w:p>
        </w:tc>
        <w:tc>
          <w:tcPr>
            <w:tcW w:w="856" w:type="dxa"/>
            <w:tcBorders>
              <w:top w:val="nil"/>
              <w:left w:val="nil"/>
              <w:bottom w:val="nil"/>
              <w:right w:val="nil"/>
            </w:tcBorders>
            <w:shd w:val="clear" w:color="000000" w:fill="F2F2F2"/>
            <w:noWrap/>
            <w:vAlign w:val="center"/>
            <w:hideMark/>
          </w:tcPr>
          <w:p w14:paraId="6FBE4887"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490</w:t>
            </w:r>
          </w:p>
        </w:tc>
        <w:tc>
          <w:tcPr>
            <w:tcW w:w="856" w:type="dxa"/>
            <w:tcBorders>
              <w:top w:val="nil"/>
              <w:left w:val="nil"/>
              <w:bottom w:val="nil"/>
              <w:right w:val="nil"/>
            </w:tcBorders>
            <w:shd w:val="clear" w:color="000000" w:fill="F2F2F2"/>
            <w:noWrap/>
            <w:vAlign w:val="center"/>
            <w:hideMark/>
          </w:tcPr>
          <w:p w14:paraId="71F162CB"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496</w:t>
            </w:r>
          </w:p>
        </w:tc>
        <w:tc>
          <w:tcPr>
            <w:tcW w:w="1048" w:type="dxa"/>
            <w:tcBorders>
              <w:top w:val="nil"/>
              <w:left w:val="nil"/>
              <w:bottom w:val="nil"/>
              <w:right w:val="nil"/>
            </w:tcBorders>
            <w:shd w:val="clear" w:color="000000" w:fill="FFFFFF"/>
            <w:vAlign w:val="center"/>
            <w:hideMark/>
          </w:tcPr>
          <w:p w14:paraId="5467FA69" w14:textId="77777777" w:rsidR="009D6A00" w:rsidRPr="00667CD1" w:rsidRDefault="009D6A00" w:rsidP="009D6A00">
            <w:pPr>
              <w:jc w:val="center"/>
              <w:rPr>
                <w:rFonts w:ascii="Arial" w:hAnsi="Arial" w:cs="Arial"/>
                <w:sz w:val="12"/>
                <w:szCs w:val="12"/>
                <w:lang w:eastAsia="en-AU"/>
              </w:rPr>
            </w:pPr>
            <w:r w:rsidRPr="00667CD1">
              <w:rPr>
                <w:rFonts w:ascii="Arial" w:hAnsi="Arial" w:cs="Arial"/>
                <w:sz w:val="12"/>
                <w:szCs w:val="12"/>
                <w:lang w:eastAsia="en-AU"/>
              </w:rPr>
              <w:t>0.7</w:t>
            </w:r>
          </w:p>
        </w:tc>
      </w:tr>
      <w:tr w:rsidR="009D6A00" w:rsidRPr="00667CD1" w14:paraId="16002BED" w14:textId="77777777" w:rsidTr="00C055C1">
        <w:trPr>
          <w:trHeight w:val="250"/>
        </w:trPr>
        <w:tc>
          <w:tcPr>
            <w:tcW w:w="2876" w:type="dxa"/>
            <w:tcBorders>
              <w:top w:val="nil"/>
              <w:left w:val="nil"/>
              <w:bottom w:val="nil"/>
              <w:right w:val="nil"/>
            </w:tcBorders>
            <w:shd w:val="clear" w:color="000000" w:fill="FFFFFF"/>
            <w:noWrap/>
            <w:vAlign w:val="center"/>
            <w:hideMark/>
          </w:tcPr>
          <w:p w14:paraId="40D9CC60" w14:textId="77777777" w:rsidR="009D6A00" w:rsidRPr="00667CD1" w:rsidRDefault="009D6A00" w:rsidP="009D6A00">
            <w:pPr>
              <w:rPr>
                <w:rFonts w:ascii="Arial" w:hAnsi="Arial" w:cs="Arial"/>
                <w:sz w:val="12"/>
                <w:szCs w:val="12"/>
                <w:lang w:eastAsia="en-AU"/>
              </w:rPr>
            </w:pPr>
            <w:r w:rsidRPr="00667CD1">
              <w:rPr>
                <w:rFonts w:ascii="Arial" w:hAnsi="Arial" w:cs="Arial"/>
                <w:sz w:val="12"/>
                <w:szCs w:val="12"/>
                <w:lang w:eastAsia="en-AU"/>
              </w:rPr>
              <w:t xml:space="preserve">Disability </w:t>
            </w:r>
          </w:p>
        </w:tc>
        <w:tc>
          <w:tcPr>
            <w:tcW w:w="856" w:type="dxa"/>
            <w:tcBorders>
              <w:top w:val="nil"/>
              <w:left w:val="nil"/>
              <w:bottom w:val="nil"/>
              <w:right w:val="nil"/>
            </w:tcBorders>
            <w:shd w:val="clear" w:color="000000" w:fill="FFFFFF"/>
            <w:noWrap/>
            <w:vAlign w:val="center"/>
            <w:hideMark/>
          </w:tcPr>
          <w:p w14:paraId="7E825C02"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(0)</w:t>
            </w:r>
          </w:p>
        </w:tc>
        <w:tc>
          <w:tcPr>
            <w:tcW w:w="856" w:type="dxa"/>
            <w:tcBorders>
              <w:top w:val="nil"/>
              <w:left w:val="nil"/>
              <w:bottom w:val="nil"/>
              <w:right w:val="nil"/>
            </w:tcBorders>
            <w:shd w:val="clear" w:color="000000" w:fill="FFFFFF"/>
            <w:noWrap/>
            <w:vAlign w:val="center"/>
            <w:hideMark/>
          </w:tcPr>
          <w:p w14:paraId="6A10B076"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w:t>
            </w:r>
          </w:p>
        </w:tc>
        <w:tc>
          <w:tcPr>
            <w:tcW w:w="856" w:type="dxa"/>
            <w:tcBorders>
              <w:top w:val="nil"/>
              <w:left w:val="nil"/>
              <w:bottom w:val="nil"/>
              <w:right w:val="nil"/>
            </w:tcBorders>
            <w:shd w:val="clear" w:color="000000" w:fill="F2F2F2"/>
            <w:noWrap/>
            <w:vAlign w:val="center"/>
            <w:hideMark/>
          </w:tcPr>
          <w:p w14:paraId="1D4E82E6"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w:t>
            </w:r>
          </w:p>
        </w:tc>
        <w:tc>
          <w:tcPr>
            <w:tcW w:w="856" w:type="dxa"/>
            <w:tcBorders>
              <w:top w:val="nil"/>
              <w:left w:val="nil"/>
              <w:bottom w:val="nil"/>
              <w:right w:val="nil"/>
            </w:tcBorders>
            <w:shd w:val="clear" w:color="000000" w:fill="F2F2F2"/>
            <w:noWrap/>
            <w:vAlign w:val="center"/>
            <w:hideMark/>
          </w:tcPr>
          <w:p w14:paraId="680077D6"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w:t>
            </w:r>
          </w:p>
        </w:tc>
        <w:tc>
          <w:tcPr>
            <w:tcW w:w="856" w:type="dxa"/>
            <w:tcBorders>
              <w:top w:val="nil"/>
              <w:left w:val="nil"/>
              <w:bottom w:val="nil"/>
              <w:right w:val="nil"/>
            </w:tcBorders>
            <w:shd w:val="clear" w:color="000000" w:fill="F2F2F2"/>
            <w:noWrap/>
            <w:vAlign w:val="center"/>
            <w:hideMark/>
          </w:tcPr>
          <w:p w14:paraId="7502351D"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w:t>
            </w:r>
          </w:p>
        </w:tc>
        <w:tc>
          <w:tcPr>
            <w:tcW w:w="856" w:type="dxa"/>
            <w:tcBorders>
              <w:top w:val="nil"/>
              <w:left w:val="nil"/>
              <w:bottom w:val="nil"/>
              <w:right w:val="nil"/>
            </w:tcBorders>
            <w:shd w:val="clear" w:color="000000" w:fill="F2F2F2"/>
            <w:noWrap/>
            <w:vAlign w:val="center"/>
            <w:hideMark/>
          </w:tcPr>
          <w:p w14:paraId="70BC9AB5" w14:textId="77777777" w:rsidR="009D6A00" w:rsidRPr="00667CD1" w:rsidRDefault="009D6A00" w:rsidP="00C055C1">
            <w:pPr>
              <w:jc w:val="right"/>
              <w:rPr>
                <w:rFonts w:ascii="Arial" w:hAnsi="Arial" w:cs="Arial"/>
                <w:sz w:val="12"/>
                <w:szCs w:val="12"/>
                <w:lang w:eastAsia="en-AU"/>
              </w:rPr>
            </w:pPr>
            <w:r w:rsidRPr="00667CD1">
              <w:rPr>
                <w:rFonts w:ascii="Arial" w:hAnsi="Arial" w:cs="Arial"/>
                <w:sz w:val="12"/>
                <w:szCs w:val="12"/>
                <w:lang w:eastAsia="en-AU"/>
              </w:rPr>
              <w:t>...</w:t>
            </w:r>
          </w:p>
        </w:tc>
        <w:tc>
          <w:tcPr>
            <w:tcW w:w="1048" w:type="dxa"/>
            <w:tcBorders>
              <w:top w:val="nil"/>
              <w:left w:val="nil"/>
              <w:bottom w:val="nil"/>
              <w:right w:val="nil"/>
            </w:tcBorders>
            <w:shd w:val="clear" w:color="000000" w:fill="FFFFFF"/>
            <w:vAlign w:val="center"/>
            <w:hideMark/>
          </w:tcPr>
          <w:p w14:paraId="0E8817A7" w14:textId="77777777" w:rsidR="009D6A00" w:rsidRPr="00667CD1" w:rsidRDefault="009D6A00" w:rsidP="009D6A00">
            <w:pPr>
              <w:jc w:val="center"/>
              <w:rPr>
                <w:rFonts w:ascii="Arial" w:hAnsi="Arial" w:cs="Arial"/>
                <w:sz w:val="12"/>
                <w:szCs w:val="12"/>
                <w:lang w:eastAsia="en-AU"/>
              </w:rPr>
            </w:pPr>
            <w:r w:rsidRPr="00667CD1">
              <w:rPr>
                <w:rFonts w:ascii="Arial" w:hAnsi="Arial" w:cs="Arial"/>
                <w:sz w:val="12"/>
                <w:szCs w:val="12"/>
                <w:lang w:eastAsia="en-AU"/>
              </w:rPr>
              <w:t>-</w:t>
            </w:r>
          </w:p>
        </w:tc>
      </w:tr>
      <w:tr w:rsidR="009D6A00" w:rsidRPr="00667CD1" w14:paraId="0F107045" w14:textId="77777777" w:rsidTr="00C055C1">
        <w:trPr>
          <w:trHeight w:val="340"/>
        </w:trPr>
        <w:tc>
          <w:tcPr>
            <w:tcW w:w="2876" w:type="dxa"/>
            <w:tcBorders>
              <w:top w:val="single" w:sz="4" w:space="0" w:color="auto"/>
              <w:left w:val="nil"/>
              <w:bottom w:val="single" w:sz="4" w:space="0" w:color="auto"/>
              <w:right w:val="nil"/>
            </w:tcBorders>
            <w:shd w:val="clear" w:color="000000" w:fill="FFFFFF"/>
            <w:vAlign w:val="center"/>
            <w:hideMark/>
          </w:tcPr>
          <w:p w14:paraId="1FA1D6CD" w14:textId="77777777" w:rsidR="009D6A00" w:rsidRPr="00667CD1" w:rsidRDefault="009D6A00" w:rsidP="00C055C1">
            <w:pPr>
              <w:rPr>
                <w:rFonts w:ascii="Arial" w:hAnsi="Arial" w:cs="Arial"/>
                <w:b/>
                <w:color w:val="008EBA"/>
                <w:sz w:val="12"/>
                <w:szCs w:val="12"/>
                <w:lang w:eastAsia="en-AU"/>
              </w:rPr>
            </w:pPr>
            <w:r w:rsidRPr="00667CD1">
              <w:rPr>
                <w:rFonts w:ascii="Arial" w:hAnsi="Arial" w:cs="Arial"/>
                <w:b/>
                <w:color w:val="008EBA"/>
                <w:sz w:val="12"/>
                <w:szCs w:val="12"/>
                <w:lang w:eastAsia="en-AU"/>
              </w:rPr>
              <w:t>Total National Agreements</w:t>
            </w:r>
          </w:p>
        </w:tc>
        <w:tc>
          <w:tcPr>
            <w:tcW w:w="856" w:type="dxa"/>
            <w:tcBorders>
              <w:top w:val="single" w:sz="4" w:space="0" w:color="auto"/>
              <w:left w:val="nil"/>
              <w:bottom w:val="single" w:sz="4" w:space="0" w:color="auto"/>
              <w:right w:val="nil"/>
            </w:tcBorders>
            <w:shd w:val="clear" w:color="000000" w:fill="FFFFFF"/>
            <w:noWrap/>
            <w:vAlign w:val="center"/>
            <w:hideMark/>
          </w:tcPr>
          <w:p w14:paraId="1EBA36B0" w14:textId="77777777" w:rsidR="009D6A00" w:rsidRPr="00667CD1" w:rsidRDefault="009D6A00" w:rsidP="00C055C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10,224</w:t>
            </w:r>
          </w:p>
        </w:tc>
        <w:tc>
          <w:tcPr>
            <w:tcW w:w="856" w:type="dxa"/>
            <w:tcBorders>
              <w:top w:val="single" w:sz="4" w:space="0" w:color="auto"/>
              <w:left w:val="nil"/>
              <w:bottom w:val="single" w:sz="4" w:space="0" w:color="auto"/>
              <w:right w:val="nil"/>
            </w:tcBorders>
            <w:shd w:val="clear" w:color="000000" w:fill="FFFFFF"/>
            <w:noWrap/>
            <w:vAlign w:val="center"/>
            <w:hideMark/>
          </w:tcPr>
          <w:p w14:paraId="68D0CAF6" w14:textId="77777777" w:rsidR="009D6A00" w:rsidRPr="00667CD1" w:rsidRDefault="009D6A00" w:rsidP="00C055C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11,278</w:t>
            </w:r>
          </w:p>
        </w:tc>
        <w:tc>
          <w:tcPr>
            <w:tcW w:w="856" w:type="dxa"/>
            <w:tcBorders>
              <w:top w:val="single" w:sz="4" w:space="0" w:color="auto"/>
              <w:left w:val="nil"/>
              <w:bottom w:val="single" w:sz="4" w:space="0" w:color="auto"/>
              <w:right w:val="nil"/>
            </w:tcBorders>
            <w:shd w:val="clear" w:color="000000" w:fill="F2F2F2"/>
            <w:noWrap/>
            <w:vAlign w:val="center"/>
            <w:hideMark/>
          </w:tcPr>
          <w:p w14:paraId="2D073515" w14:textId="77777777" w:rsidR="009D6A00" w:rsidRPr="00667CD1" w:rsidRDefault="009D6A00" w:rsidP="00C055C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11,740</w:t>
            </w:r>
          </w:p>
        </w:tc>
        <w:tc>
          <w:tcPr>
            <w:tcW w:w="856" w:type="dxa"/>
            <w:tcBorders>
              <w:top w:val="single" w:sz="4" w:space="0" w:color="auto"/>
              <w:left w:val="nil"/>
              <w:bottom w:val="single" w:sz="4" w:space="0" w:color="auto"/>
              <w:right w:val="nil"/>
            </w:tcBorders>
            <w:shd w:val="clear" w:color="000000" w:fill="F2F2F2"/>
            <w:noWrap/>
            <w:vAlign w:val="center"/>
            <w:hideMark/>
          </w:tcPr>
          <w:p w14:paraId="088C27D2" w14:textId="77777777" w:rsidR="009D6A00" w:rsidRPr="00667CD1" w:rsidRDefault="009D6A00" w:rsidP="00C055C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11,721</w:t>
            </w:r>
          </w:p>
        </w:tc>
        <w:tc>
          <w:tcPr>
            <w:tcW w:w="856" w:type="dxa"/>
            <w:tcBorders>
              <w:top w:val="single" w:sz="4" w:space="0" w:color="auto"/>
              <w:left w:val="nil"/>
              <w:bottom w:val="single" w:sz="4" w:space="0" w:color="auto"/>
              <w:right w:val="nil"/>
            </w:tcBorders>
            <w:shd w:val="clear" w:color="000000" w:fill="F2F2F2"/>
            <w:noWrap/>
            <w:vAlign w:val="center"/>
            <w:hideMark/>
          </w:tcPr>
          <w:p w14:paraId="03E057D1" w14:textId="77777777" w:rsidR="009D6A00" w:rsidRPr="00667CD1" w:rsidRDefault="009D6A00" w:rsidP="00C055C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12,385</w:t>
            </w:r>
          </w:p>
        </w:tc>
        <w:tc>
          <w:tcPr>
            <w:tcW w:w="856" w:type="dxa"/>
            <w:tcBorders>
              <w:top w:val="single" w:sz="4" w:space="0" w:color="auto"/>
              <w:left w:val="nil"/>
              <w:bottom w:val="single" w:sz="4" w:space="0" w:color="auto"/>
              <w:right w:val="nil"/>
            </w:tcBorders>
            <w:shd w:val="clear" w:color="000000" w:fill="F2F2F2"/>
            <w:noWrap/>
            <w:vAlign w:val="center"/>
            <w:hideMark/>
          </w:tcPr>
          <w:p w14:paraId="5095AD10" w14:textId="77777777" w:rsidR="009D6A00" w:rsidRPr="00667CD1" w:rsidRDefault="009D6A00" w:rsidP="00C055C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13,053</w:t>
            </w:r>
          </w:p>
        </w:tc>
        <w:tc>
          <w:tcPr>
            <w:tcW w:w="1048" w:type="dxa"/>
            <w:tcBorders>
              <w:top w:val="single" w:sz="4" w:space="0" w:color="auto"/>
              <w:left w:val="nil"/>
              <w:bottom w:val="single" w:sz="4" w:space="0" w:color="auto"/>
              <w:right w:val="nil"/>
            </w:tcBorders>
            <w:shd w:val="clear" w:color="auto" w:fill="auto"/>
            <w:noWrap/>
            <w:vAlign w:val="center"/>
            <w:hideMark/>
          </w:tcPr>
          <w:p w14:paraId="191D2B3D" w14:textId="77777777" w:rsidR="009D6A00" w:rsidRPr="00667CD1" w:rsidRDefault="009D6A00" w:rsidP="00C055C1">
            <w:pPr>
              <w:jc w:val="center"/>
              <w:rPr>
                <w:rFonts w:ascii="Arial" w:hAnsi="Arial" w:cs="Arial"/>
                <w:b/>
                <w:color w:val="008EBA"/>
                <w:sz w:val="12"/>
                <w:szCs w:val="12"/>
                <w:lang w:eastAsia="en-AU"/>
              </w:rPr>
            </w:pPr>
            <w:r w:rsidRPr="00667CD1">
              <w:rPr>
                <w:rFonts w:ascii="Arial" w:hAnsi="Arial" w:cs="Arial"/>
                <w:b/>
                <w:color w:val="008EBA"/>
                <w:sz w:val="12"/>
                <w:szCs w:val="12"/>
                <w:lang w:eastAsia="en-AU"/>
              </w:rPr>
              <w:t>3.7</w:t>
            </w:r>
          </w:p>
        </w:tc>
      </w:tr>
    </w:tbl>
    <w:p w14:paraId="74EE345F" w14:textId="09ABD521" w:rsidR="00975029" w:rsidRPr="00667CD1" w:rsidRDefault="00975029" w:rsidP="4C90CC18">
      <w:pPr>
        <w:pStyle w:val="Heading3"/>
        <w:numPr>
          <w:ilvl w:val="2"/>
          <w:numId w:val="0"/>
        </w:numPr>
        <w:ind w:left="720" w:hanging="720"/>
        <w:rPr>
          <w:rFonts w:eastAsiaTheme="minorHAnsi"/>
          <w:sz w:val="22"/>
          <w:szCs w:val="28"/>
        </w:rPr>
      </w:pPr>
      <w:r w:rsidRPr="00667CD1">
        <w:rPr>
          <w:rFonts w:eastAsiaTheme="minorHAnsi"/>
          <w:sz w:val="22"/>
          <w:szCs w:val="28"/>
        </w:rPr>
        <w:t>National Partnerships</w:t>
      </w:r>
      <w:r w:rsidR="00426311" w:rsidRPr="00667CD1">
        <w:rPr>
          <w:rFonts w:eastAsiaTheme="minorHAnsi"/>
          <w:sz w:val="22"/>
          <w:szCs w:val="28"/>
        </w:rPr>
        <w:t xml:space="preserve"> </w:t>
      </w:r>
      <w:r w:rsidR="00787185" w:rsidRPr="00667CD1">
        <w:rPr>
          <w:rFonts w:eastAsiaTheme="minorHAnsi"/>
          <w:sz w:val="22"/>
          <w:szCs w:val="28"/>
        </w:rPr>
        <w:t>(</w:t>
      </w:r>
      <w:r w:rsidR="001466CA" w:rsidRPr="00667CD1">
        <w:rPr>
          <w:rFonts w:eastAsiaTheme="minorHAnsi"/>
          <w:sz w:val="22"/>
          <w:szCs w:val="28"/>
        </w:rPr>
        <w:t>incorporating</w:t>
      </w:r>
      <w:r w:rsidR="00426311" w:rsidRPr="00667CD1">
        <w:rPr>
          <w:rFonts w:eastAsiaTheme="minorHAnsi"/>
          <w:sz w:val="22"/>
          <w:szCs w:val="28"/>
        </w:rPr>
        <w:t xml:space="preserve"> Federation Funding Agreements</w:t>
      </w:r>
      <w:r w:rsidR="00787185" w:rsidRPr="00667CD1">
        <w:rPr>
          <w:rFonts w:eastAsiaTheme="minorHAnsi"/>
          <w:sz w:val="22"/>
          <w:szCs w:val="28"/>
        </w:rPr>
        <w:t>)</w:t>
      </w:r>
    </w:p>
    <w:p w14:paraId="74568AEC" w14:textId="023ABB74" w:rsidR="00A04BC2" w:rsidRPr="00667CD1" w:rsidRDefault="00A04BC2" w:rsidP="00DC5EFC">
      <w:pPr>
        <w:pStyle w:val="BodyText"/>
        <w:rPr>
          <w:sz w:val="20"/>
          <w:szCs w:val="16"/>
        </w:rPr>
      </w:pPr>
      <w:r w:rsidRPr="00667CD1">
        <w:rPr>
          <w:sz w:val="20"/>
          <w:szCs w:val="16"/>
        </w:rPr>
        <w:t>The Commonwealth provides National Partnership payments to support specified projects, ongoing service delivery or service delivery improvements. This also includes schedules under the five new sector</w:t>
      </w:r>
      <w:r w:rsidR="00FE6FA3" w:rsidRPr="00667CD1">
        <w:rPr>
          <w:sz w:val="20"/>
          <w:szCs w:val="16"/>
        </w:rPr>
        <w:t>-b</w:t>
      </w:r>
      <w:r w:rsidRPr="00667CD1">
        <w:rPr>
          <w:sz w:val="20"/>
          <w:szCs w:val="16"/>
        </w:rPr>
        <w:t>ased F</w:t>
      </w:r>
      <w:r w:rsidR="00474FC1" w:rsidRPr="00667CD1">
        <w:rPr>
          <w:sz w:val="20"/>
          <w:szCs w:val="16"/>
        </w:rPr>
        <w:t>ederation Funding Agreements</w:t>
      </w:r>
      <w:r w:rsidRPr="00667CD1">
        <w:rPr>
          <w:sz w:val="20"/>
          <w:szCs w:val="16"/>
        </w:rPr>
        <w:t>.</w:t>
      </w:r>
    </w:p>
    <w:p w14:paraId="58C0B351" w14:textId="77777777" w:rsidR="00ED4AA1" w:rsidRPr="00667CD1" w:rsidRDefault="00ED4AA1">
      <w:pPr>
        <w:spacing w:after="200" w:line="276" w:lineRule="auto"/>
        <w:rPr>
          <w:rFonts w:ascii="Arial" w:eastAsiaTheme="minorHAnsi" w:hAnsi="Arial" w:cs="Arial"/>
          <w:bCs/>
          <w:szCs w:val="16"/>
        </w:rPr>
      </w:pPr>
      <w:r w:rsidRPr="00667CD1">
        <w:rPr>
          <w:sz w:val="16"/>
          <w:szCs w:val="16"/>
        </w:rPr>
        <w:br w:type="page"/>
      </w:r>
    </w:p>
    <w:p w14:paraId="371C64E3" w14:textId="7DD7BED3" w:rsidR="00A04BC2" w:rsidRPr="00667CD1" w:rsidRDefault="152F4236" w:rsidP="00DC5EFC">
      <w:pPr>
        <w:pStyle w:val="BodyText"/>
        <w:rPr>
          <w:sz w:val="20"/>
          <w:szCs w:val="16"/>
        </w:rPr>
      </w:pPr>
      <w:r w:rsidRPr="00667CD1">
        <w:rPr>
          <w:sz w:val="20"/>
          <w:szCs w:val="16"/>
        </w:rPr>
        <w:lastRenderedPageBreak/>
        <w:t>N</w:t>
      </w:r>
      <w:r w:rsidR="6C75FA04" w:rsidRPr="00667CD1">
        <w:rPr>
          <w:sz w:val="20"/>
          <w:szCs w:val="16"/>
        </w:rPr>
        <w:t xml:space="preserve">SW </w:t>
      </w:r>
      <w:r w:rsidR="757655D0" w:rsidRPr="00667CD1">
        <w:rPr>
          <w:sz w:val="20"/>
          <w:szCs w:val="16"/>
        </w:rPr>
        <w:t>Government</w:t>
      </w:r>
      <w:r w:rsidRPr="00667CD1">
        <w:rPr>
          <w:sz w:val="20"/>
          <w:szCs w:val="16"/>
        </w:rPr>
        <w:t xml:space="preserve"> revenue from National Partnerships is expected to be $</w:t>
      </w:r>
      <w:r w:rsidR="397D2123" w:rsidRPr="00667CD1">
        <w:rPr>
          <w:sz w:val="20"/>
          <w:szCs w:val="16"/>
        </w:rPr>
        <w:t>4.0</w:t>
      </w:r>
      <w:r w:rsidRPr="00667CD1">
        <w:rPr>
          <w:sz w:val="20"/>
          <w:szCs w:val="16"/>
        </w:rPr>
        <w:t xml:space="preserve"> billion in 2020</w:t>
      </w:r>
      <w:r w:rsidR="0084700D" w:rsidRPr="00667CD1">
        <w:rPr>
          <w:sz w:val="20"/>
          <w:szCs w:val="16"/>
        </w:rPr>
        <w:noBreakHyphen/>
      </w:r>
      <w:r w:rsidRPr="00667CD1">
        <w:rPr>
          <w:sz w:val="20"/>
          <w:szCs w:val="16"/>
        </w:rPr>
        <w:t>21, a</w:t>
      </w:r>
      <w:r w:rsidR="0023281E" w:rsidRPr="00667CD1">
        <w:rPr>
          <w:sz w:val="20"/>
          <w:szCs w:val="16"/>
        </w:rPr>
        <w:t>n</w:t>
      </w:r>
      <w:r w:rsidRPr="00667CD1">
        <w:rPr>
          <w:sz w:val="20"/>
          <w:szCs w:val="16"/>
        </w:rPr>
        <w:t xml:space="preserve"> </w:t>
      </w:r>
      <w:r w:rsidR="1988D04C" w:rsidRPr="00667CD1">
        <w:rPr>
          <w:sz w:val="20"/>
          <w:szCs w:val="16"/>
        </w:rPr>
        <w:t>in</w:t>
      </w:r>
      <w:r w:rsidRPr="00667CD1">
        <w:rPr>
          <w:sz w:val="20"/>
          <w:szCs w:val="16"/>
        </w:rPr>
        <w:t>crease of $</w:t>
      </w:r>
      <w:r w:rsidR="46115E55" w:rsidRPr="00667CD1">
        <w:rPr>
          <w:sz w:val="20"/>
          <w:szCs w:val="16"/>
        </w:rPr>
        <w:t>109.1</w:t>
      </w:r>
      <w:r w:rsidRPr="00667CD1">
        <w:rPr>
          <w:sz w:val="20"/>
          <w:szCs w:val="16"/>
        </w:rPr>
        <w:t xml:space="preserve"> million </w:t>
      </w:r>
      <w:r w:rsidR="00C3375D" w:rsidRPr="00667CD1">
        <w:rPr>
          <w:sz w:val="20"/>
          <w:szCs w:val="16"/>
        </w:rPr>
        <w:t xml:space="preserve">from </w:t>
      </w:r>
      <w:r w:rsidRPr="00667CD1">
        <w:rPr>
          <w:sz w:val="20"/>
          <w:szCs w:val="16"/>
        </w:rPr>
        <w:t>2019-20</w:t>
      </w:r>
      <w:r w:rsidR="6323A0BE" w:rsidRPr="00667CD1">
        <w:rPr>
          <w:sz w:val="20"/>
          <w:szCs w:val="16"/>
        </w:rPr>
        <w:t>, driven largely by increased transport infrastructure funding</w:t>
      </w:r>
      <w:r w:rsidRPr="00667CD1">
        <w:rPr>
          <w:sz w:val="20"/>
          <w:szCs w:val="16"/>
        </w:rPr>
        <w:t xml:space="preserve">. Revenue from National Partnerships </w:t>
      </w:r>
      <w:r w:rsidR="7109BACC" w:rsidRPr="00667CD1">
        <w:rPr>
          <w:sz w:val="20"/>
          <w:szCs w:val="16"/>
        </w:rPr>
        <w:t>is</w:t>
      </w:r>
      <w:r w:rsidRPr="00667CD1">
        <w:rPr>
          <w:sz w:val="20"/>
          <w:szCs w:val="16"/>
        </w:rPr>
        <w:t xml:space="preserve"> expected to </w:t>
      </w:r>
      <w:r w:rsidR="3D31D314" w:rsidRPr="00667CD1">
        <w:rPr>
          <w:sz w:val="20"/>
          <w:szCs w:val="16"/>
        </w:rPr>
        <w:t xml:space="preserve">grow at </w:t>
      </w:r>
      <w:r w:rsidR="65FBEBEC" w:rsidRPr="00667CD1">
        <w:rPr>
          <w:sz w:val="20"/>
          <w:szCs w:val="16"/>
        </w:rPr>
        <w:t>0.6</w:t>
      </w:r>
      <w:r w:rsidRPr="00667CD1">
        <w:rPr>
          <w:sz w:val="20"/>
          <w:szCs w:val="16"/>
        </w:rPr>
        <w:t xml:space="preserve"> per cent per annum on average over the four years to 2023-24. </w:t>
      </w:r>
      <w:r w:rsidR="179F3E76" w:rsidRPr="00667CD1">
        <w:rPr>
          <w:sz w:val="20"/>
          <w:szCs w:val="16"/>
        </w:rPr>
        <w:t>This</w:t>
      </w:r>
      <w:r w:rsidR="25DEC2CD" w:rsidRPr="00667CD1">
        <w:rPr>
          <w:sz w:val="20"/>
          <w:szCs w:val="16"/>
        </w:rPr>
        <w:t xml:space="preserve"> </w:t>
      </w:r>
      <w:r w:rsidR="37C61DBE" w:rsidRPr="00667CD1">
        <w:rPr>
          <w:sz w:val="20"/>
          <w:szCs w:val="16"/>
        </w:rPr>
        <w:t>overall</w:t>
      </w:r>
      <w:r w:rsidR="179F3E76" w:rsidRPr="00667CD1">
        <w:rPr>
          <w:sz w:val="20"/>
          <w:szCs w:val="16"/>
        </w:rPr>
        <w:t xml:space="preserve"> </w:t>
      </w:r>
      <w:r w:rsidR="2758E6D9" w:rsidRPr="00667CD1">
        <w:rPr>
          <w:sz w:val="20"/>
          <w:szCs w:val="16"/>
        </w:rPr>
        <w:t>modest</w:t>
      </w:r>
      <w:r w:rsidR="38E841C6" w:rsidRPr="00667CD1">
        <w:rPr>
          <w:sz w:val="20"/>
          <w:szCs w:val="16"/>
        </w:rPr>
        <w:t xml:space="preserve"> growth </w:t>
      </w:r>
      <w:r w:rsidR="76E9FAAE" w:rsidRPr="00667CD1">
        <w:rPr>
          <w:sz w:val="20"/>
          <w:szCs w:val="16"/>
        </w:rPr>
        <w:t>ref</w:t>
      </w:r>
      <w:r w:rsidR="3049EAA9" w:rsidRPr="00667CD1">
        <w:rPr>
          <w:sz w:val="20"/>
          <w:szCs w:val="16"/>
        </w:rPr>
        <w:t>l</w:t>
      </w:r>
      <w:r w:rsidR="76E9FAAE" w:rsidRPr="00667CD1">
        <w:rPr>
          <w:sz w:val="20"/>
          <w:szCs w:val="16"/>
        </w:rPr>
        <w:t>ects</w:t>
      </w:r>
      <w:r w:rsidR="60A2252F" w:rsidRPr="00667CD1">
        <w:rPr>
          <w:sz w:val="20"/>
          <w:szCs w:val="16"/>
        </w:rPr>
        <w:t xml:space="preserve"> </w:t>
      </w:r>
      <w:r w:rsidR="4C49192C" w:rsidRPr="00667CD1">
        <w:rPr>
          <w:sz w:val="20"/>
          <w:szCs w:val="16"/>
        </w:rPr>
        <w:t>forecast</w:t>
      </w:r>
      <w:r w:rsidR="60A2252F" w:rsidRPr="00667CD1">
        <w:rPr>
          <w:sz w:val="20"/>
          <w:szCs w:val="16"/>
        </w:rPr>
        <w:t xml:space="preserve"> </w:t>
      </w:r>
      <w:r w:rsidR="4C49192C" w:rsidRPr="00667CD1">
        <w:rPr>
          <w:sz w:val="20"/>
          <w:szCs w:val="16"/>
        </w:rPr>
        <w:t>stronger</w:t>
      </w:r>
      <w:r w:rsidR="546CA415" w:rsidRPr="00667CD1">
        <w:rPr>
          <w:sz w:val="20"/>
          <w:szCs w:val="16"/>
        </w:rPr>
        <w:t xml:space="preserve"> growth </w:t>
      </w:r>
      <w:r w:rsidR="4AC47C51" w:rsidRPr="00667CD1">
        <w:rPr>
          <w:sz w:val="20"/>
          <w:szCs w:val="16"/>
        </w:rPr>
        <w:t xml:space="preserve">in </w:t>
      </w:r>
      <w:r w:rsidR="38E841C6" w:rsidRPr="00667CD1">
        <w:rPr>
          <w:sz w:val="20"/>
          <w:szCs w:val="16"/>
        </w:rPr>
        <w:t>transport over the forward estimates</w:t>
      </w:r>
      <w:r w:rsidR="67D589BB" w:rsidRPr="00667CD1">
        <w:rPr>
          <w:sz w:val="20"/>
          <w:szCs w:val="16"/>
        </w:rPr>
        <w:t>,</w:t>
      </w:r>
      <w:r w:rsidR="38E841C6" w:rsidRPr="00667CD1">
        <w:rPr>
          <w:sz w:val="20"/>
          <w:szCs w:val="16"/>
        </w:rPr>
        <w:t xml:space="preserve"> </w:t>
      </w:r>
      <w:r w:rsidR="00BF5396" w:rsidRPr="00667CD1">
        <w:rPr>
          <w:sz w:val="20"/>
          <w:szCs w:val="16"/>
        </w:rPr>
        <w:t>mostly</w:t>
      </w:r>
      <w:r w:rsidR="38E841C6" w:rsidRPr="00667CD1">
        <w:rPr>
          <w:sz w:val="20"/>
          <w:szCs w:val="16"/>
        </w:rPr>
        <w:t xml:space="preserve"> offset by </w:t>
      </w:r>
      <w:r w:rsidR="7BC2F50C" w:rsidRPr="00667CD1">
        <w:rPr>
          <w:sz w:val="20"/>
          <w:szCs w:val="16"/>
        </w:rPr>
        <w:t>reductions</w:t>
      </w:r>
      <w:r w:rsidR="38E841C6" w:rsidRPr="00667CD1">
        <w:rPr>
          <w:sz w:val="20"/>
          <w:szCs w:val="16"/>
        </w:rPr>
        <w:t xml:space="preserve"> in Disaster Recovery </w:t>
      </w:r>
      <w:r w:rsidR="173298E4" w:rsidRPr="00667CD1">
        <w:rPr>
          <w:sz w:val="20"/>
          <w:szCs w:val="16"/>
        </w:rPr>
        <w:t xml:space="preserve">Funding </w:t>
      </w:r>
      <w:r w:rsidR="38E841C6" w:rsidRPr="00667CD1">
        <w:rPr>
          <w:sz w:val="20"/>
          <w:szCs w:val="16"/>
        </w:rPr>
        <w:t>Arrangements (</w:t>
      </w:r>
      <w:r w:rsidR="173298E4" w:rsidRPr="00667CD1">
        <w:rPr>
          <w:sz w:val="20"/>
          <w:szCs w:val="16"/>
        </w:rPr>
        <w:t>DRFA</w:t>
      </w:r>
      <w:r w:rsidR="38E841C6" w:rsidRPr="00667CD1">
        <w:rPr>
          <w:sz w:val="20"/>
          <w:szCs w:val="16"/>
        </w:rPr>
        <w:t>) payments</w:t>
      </w:r>
      <w:r w:rsidR="00BF5396" w:rsidRPr="00667CD1">
        <w:rPr>
          <w:sz w:val="20"/>
          <w:szCs w:val="16"/>
        </w:rPr>
        <w:t xml:space="preserve"> and</w:t>
      </w:r>
      <w:r w:rsidR="38E841C6" w:rsidRPr="00667CD1">
        <w:rPr>
          <w:sz w:val="20"/>
          <w:szCs w:val="16"/>
        </w:rPr>
        <w:t xml:space="preserve"> the </w:t>
      </w:r>
      <w:r w:rsidR="6A9C982C" w:rsidRPr="00667CD1">
        <w:rPr>
          <w:sz w:val="20"/>
          <w:szCs w:val="16"/>
        </w:rPr>
        <w:t xml:space="preserve">declining </w:t>
      </w:r>
      <w:r w:rsidR="38E841C6" w:rsidRPr="00667CD1">
        <w:rPr>
          <w:sz w:val="20"/>
          <w:szCs w:val="16"/>
        </w:rPr>
        <w:t xml:space="preserve">payment profile of the </w:t>
      </w:r>
      <w:proofErr w:type="spellStart"/>
      <w:r w:rsidR="38E841C6" w:rsidRPr="00667CD1">
        <w:rPr>
          <w:sz w:val="20"/>
          <w:szCs w:val="16"/>
        </w:rPr>
        <w:t>DisabilityCare</w:t>
      </w:r>
      <w:proofErr w:type="spellEnd"/>
      <w:r w:rsidR="38E841C6" w:rsidRPr="00667CD1">
        <w:rPr>
          <w:sz w:val="20"/>
          <w:szCs w:val="16"/>
        </w:rPr>
        <w:t xml:space="preserve"> Australia Fund</w:t>
      </w:r>
      <w:r w:rsidR="00BF5396" w:rsidRPr="00667CD1">
        <w:rPr>
          <w:sz w:val="20"/>
          <w:szCs w:val="16"/>
        </w:rPr>
        <w:t>.</w:t>
      </w:r>
      <w:r w:rsidR="38E841C6" w:rsidRPr="00667CD1">
        <w:rPr>
          <w:sz w:val="20"/>
          <w:szCs w:val="16"/>
        </w:rPr>
        <w:t xml:space="preserve"> </w:t>
      </w:r>
      <w:r w:rsidR="00BF5396" w:rsidRPr="00667CD1">
        <w:rPr>
          <w:sz w:val="20"/>
          <w:szCs w:val="16"/>
        </w:rPr>
        <w:t>T</w:t>
      </w:r>
      <w:r w:rsidR="38E841C6" w:rsidRPr="00667CD1">
        <w:rPr>
          <w:sz w:val="20"/>
          <w:szCs w:val="16"/>
        </w:rPr>
        <w:t xml:space="preserve">he expiry of </w:t>
      </w:r>
      <w:proofErr w:type="gramStart"/>
      <w:r w:rsidR="38E841C6" w:rsidRPr="00667CD1">
        <w:rPr>
          <w:sz w:val="20"/>
          <w:szCs w:val="16"/>
        </w:rPr>
        <w:t>a number of</w:t>
      </w:r>
      <w:proofErr w:type="gramEnd"/>
      <w:r w:rsidR="38E841C6" w:rsidRPr="00667CD1">
        <w:rPr>
          <w:sz w:val="20"/>
          <w:szCs w:val="16"/>
        </w:rPr>
        <w:t xml:space="preserve"> National Partnerships</w:t>
      </w:r>
      <w:r w:rsidR="45D98934" w:rsidRPr="00667CD1">
        <w:rPr>
          <w:sz w:val="20"/>
          <w:szCs w:val="16"/>
        </w:rPr>
        <w:t xml:space="preserve"> such as the Skilling Australians Fund</w:t>
      </w:r>
      <w:r w:rsidR="15D9EF81" w:rsidRPr="00667CD1">
        <w:rPr>
          <w:sz w:val="20"/>
          <w:szCs w:val="16"/>
        </w:rPr>
        <w:t>, Universal Access to Early Childhood Education</w:t>
      </w:r>
      <w:r w:rsidR="00BF5396" w:rsidRPr="00667CD1">
        <w:rPr>
          <w:sz w:val="20"/>
          <w:szCs w:val="16"/>
        </w:rPr>
        <w:t xml:space="preserve"> </w:t>
      </w:r>
      <w:r w:rsidR="76A4C3D8" w:rsidRPr="00667CD1">
        <w:rPr>
          <w:sz w:val="20"/>
          <w:szCs w:val="16"/>
        </w:rPr>
        <w:t xml:space="preserve">and Public Dental Services for Adults </w:t>
      </w:r>
      <w:r w:rsidR="00BF5396" w:rsidRPr="00667CD1">
        <w:rPr>
          <w:sz w:val="20"/>
          <w:szCs w:val="16"/>
        </w:rPr>
        <w:t xml:space="preserve">also </w:t>
      </w:r>
      <w:r w:rsidR="007926C6" w:rsidRPr="00667CD1">
        <w:rPr>
          <w:sz w:val="20"/>
          <w:szCs w:val="16"/>
        </w:rPr>
        <w:t>lowers the</w:t>
      </w:r>
      <w:r w:rsidR="00BF5396" w:rsidRPr="00667CD1">
        <w:rPr>
          <w:sz w:val="20"/>
          <w:szCs w:val="16"/>
        </w:rPr>
        <w:t xml:space="preserve"> revenue </w:t>
      </w:r>
      <w:r w:rsidR="007926C6" w:rsidRPr="00667CD1">
        <w:rPr>
          <w:sz w:val="20"/>
          <w:szCs w:val="16"/>
        </w:rPr>
        <w:t xml:space="preserve">profile </w:t>
      </w:r>
      <w:r w:rsidR="00BF5396" w:rsidRPr="00667CD1">
        <w:rPr>
          <w:sz w:val="20"/>
          <w:szCs w:val="16"/>
        </w:rPr>
        <w:t>over the forward estimates</w:t>
      </w:r>
      <w:r w:rsidR="007926C6" w:rsidRPr="00667CD1">
        <w:rPr>
          <w:sz w:val="20"/>
          <w:szCs w:val="16"/>
        </w:rPr>
        <w:t>.</w:t>
      </w:r>
    </w:p>
    <w:p w14:paraId="57573AB2" w14:textId="51174FF3" w:rsidR="00A04BC2" w:rsidRPr="00667CD1" w:rsidRDefault="152F4236" w:rsidP="00DC5EFC">
      <w:pPr>
        <w:pStyle w:val="BodyText"/>
        <w:rPr>
          <w:sz w:val="20"/>
          <w:szCs w:val="16"/>
        </w:rPr>
      </w:pPr>
      <w:r w:rsidRPr="00667CD1">
        <w:rPr>
          <w:sz w:val="20"/>
          <w:szCs w:val="16"/>
        </w:rPr>
        <w:t>Transport revenue comprises the largest component of total National Partnership revenues, with $</w:t>
      </w:r>
      <w:r w:rsidR="4D230089" w:rsidRPr="00667CD1">
        <w:rPr>
          <w:sz w:val="20"/>
          <w:szCs w:val="16"/>
        </w:rPr>
        <w:t>11.9</w:t>
      </w:r>
      <w:r w:rsidRPr="00667CD1">
        <w:rPr>
          <w:sz w:val="20"/>
          <w:szCs w:val="16"/>
        </w:rPr>
        <w:t xml:space="preserve"> billion over the four years to 2023-24 </w:t>
      </w:r>
      <w:r w:rsidR="3DDE5D08" w:rsidRPr="00667CD1">
        <w:rPr>
          <w:sz w:val="20"/>
          <w:szCs w:val="16"/>
        </w:rPr>
        <w:t xml:space="preserve">with growth expected at an average annual rate of </w:t>
      </w:r>
      <w:r w:rsidR="552D291C" w:rsidRPr="00667CD1">
        <w:rPr>
          <w:sz w:val="20"/>
          <w:szCs w:val="16"/>
        </w:rPr>
        <w:t>12.3</w:t>
      </w:r>
      <w:r w:rsidR="3DDE5D08" w:rsidRPr="00667CD1">
        <w:rPr>
          <w:sz w:val="20"/>
          <w:szCs w:val="16"/>
        </w:rPr>
        <w:t xml:space="preserve"> per cent over the same period </w:t>
      </w:r>
      <w:r w:rsidRPr="00667CD1">
        <w:rPr>
          <w:sz w:val="20"/>
          <w:szCs w:val="16"/>
        </w:rPr>
        <w:t>(see Table 4.</w:t>
      </w:r>
      <w:r w:rsidR="003123CF" w:rsidRPr="00667CD1">
        <w:rPr>
          <w:sz w:val="20"/>
          <w:szCs w:val="16"/>
        </w:rPr>
        <w:t>9</w:t>
      </w:r>
      <w:r w:rsidRPr="00667CD1">
        <w:rPr>
          <w:sz w:val="20"/>
          <w:szCs w:val="16"/>
        </w:rPr>
        <w:t>).</w:t>
      </w:r>
    </w:p>
    <w:p w14:paraId="48739D86" w14:textId="226761AB" w:rsidR="00A04BC2" w:rsidRPr="00667CD1" w:rsidRDefault="152F4236" w:rsidP="00DC5EFC">
      <w:pPr>
        <w:pStyle w:val="BodyText"/>
        <w:rPr>
          <w:sz w:val="20"/>
          <w:szCs w:val="16"/>
        </w:rPr>
      </w:pPr>
      <w:r w:rsidRPr="00667CD1">
        <w:rPr>
          <w:sz w:val="20"/>
          <w:szCs w:val="16"/>
        </w:rPr>
        <w:t>Since the 2019</w:t>
      </w:r>
      <w:r w:rsidR="00422A5D" w:rsidRPr="00667CD1">
        <w:rPr>
          <w:sz w:val="20"/>
          <w:szCs w:val="16"/>
        </w:rPr>
        <w:t>-20</w:t>
      </w:r>
      <w:r w:rsidRPr="00667CD1">
        <w:rPr>
          <w:sz w:val="20"/>
          <w:szCs w:val="16"/>
        </w:rPr>
        <w:t xml:space="preserve"> H</w:t>
      </w:r>
      <w:r w:rsidR="7109BACC" w:rsidRPr="00667CD1">
        <w:rPr>
          <w:sz w:val="20"/>
          <w:szCs w:val="16"/>
        </w:rPr>
        <w:t>alf-Yearly Review</w:t>
      </w:r>
      <w:r w:rsidRPr="00667CD1">
        <w:rPr>
          <w:sz w:val="20"/>
          <w:szCs w:val="16"/>
        </w:rPr>
        <w:t>, revenue from National Partnerships has increased by</w:t>
      </w:r>
      <w:r w:rsidR="0084700D" w:rsidRPr="00667CD1">
        <w:rPr>
          <w:sz w:val="20"/>
          <w:szCs w:val="16"/>
        </w:rPr>
        <w:t xml:space="preserve"> </w:t>
      </w:r>
      <w:r w:rsidRPr="00667CD1">
        <w:rPr>
          <w:sz w:val="20"/>
          <w:szCs w:val="16"/>
        </w:rPr>
        <w:t>$</w:t>
      </w:r>
      <w:r w:rsidR="3AF109CD" w:rsidRPr="00667CD1">
        <w:rPr>
          <w:sz w:val="20"/>
          <w:szCs w:val="16"/>
        </w:rPr>
        <w:t>6.</w:t>
      </w:r>
      <w:r w:rsidR="552C3F05" w:rsidRPr="00667CD1">
        <w:rPr>
          <w:sz w:val="20"/>
          <w:szCs w:val="16"/>
        </w:rPr>
        <w:t>7</w:t>
      </w:r>
      <w:r w:rsidRPr="00667CD1">
        <w:rPr>
          <w:sz w:val="20"/>
          <w:szCs w:val="16"/>
        </w:rPr>
        <w:t xml:space="preserve"> billion over the four years to 2023-24. </w:t>
      </w:r>
      <w:r w:rsidR="544BCA82" w:rsidRPr="00667CD1">
        <w:rPr>
          <w:sz w:val="20"/>
          <w:szCs w:val="16"/>
        </w:rPr>
        <w:t>This is primar</w:t>
      </w:r>
      <w:r w:rsidR="00422A5D" w:rsidRPr="00667CD1">
        <w:rPr>
          <w:sz w:val="20"/>
          <w:szCs w:val="16"/>
        </w:rPr>
        <w:t>i</w:t>
      </w:r>
      <w:r w:rsidR="544BCA82" w:rsidRPr="00667CD1">
        <w:rPr>
          <w:sz w:val="20"/>
          <w:szCs w:val="16"/>
        </w:rPr>
        <w:t xml:space="preserve">ly driven by </w:t>
      </w:r>
      <w:r w:rsidR="6F5A9C15" w:rsidRPr="00667CD1">
        <w:rPr>
          <w:sz w:val="20"/>
          <w:szCs w:val="16"/>
        </w:rPr>
        <w:t>the inclusion of</w:t>
      </w:r>
      <w:r w:rsidR="544BCA82" w:rsidRPr="00667CD1">
        <w:rPr>
          <w:sz w:val="20"/>
          <w:szCs w:val="16"/>
        </w:rPr>
        <w:t xml:space="preserve"> transport infrastructure announcements </w:t>
      </w:r>
      <w:r w:rsidR="000F6899" w:rsidRPr="00667CD1">
        <w:rPr>
          <w:sz w:val="20"/>
          <w:szCs w:val="16"/>
        </w:rPr>
        <w:t xml:space="preserve">contained </w:t>
      </w:r>
      <w:r w:rsidR="544BCA82" w:rsidRPr="00667CD1">
        <w:rPr>
          <w:sz w:val="20"/>
          <w:szCs w:val="16"/>
        </w:rPr>
        <w:t>in the Commonwealth’s 2020-21 Budget and earlier announcements, as well as an additional $379</w:t>
      </w:r>
      <w:r w:rsidR="004F0DE9" w:rsidRPr="00667CD1">
        <w:rPr>
          <w:sz w:val="20"/>
          <w:szCs w:val="16"/>
        </w:rPr>
        <w:t>.0</w:t>
      </w:r>
      <w:r w:rsidR="544BCA82" w:rsidRPr="00667CD1">
        <w:rPr>
          <w:sz w:val="20"/>
          <w:szCs w:val="16"/>
        </w:rPr>
        <w:t xml:space="preserve"> million to New South Wales expected under DR</w:t>
      </w:r>
      <w:r w:rsidR="46EE4A88" w:rsidRPr="00667CD1">
        <w:rPr>
          <w:sz w:val="20"/>
          <w:szCs w:val="16"/>
        </w:rPr>
        <w:t>F</w:t>
      </w:r>
      <w:r w:rsidR="544BCA82" w:rsidRPr="00667CD1">
        <w:rPr>
          <w:sz w:val="20"/>
          <w:szCs w:val="16"/>
        </w:rPr>
        <w:t>A following the 2019-20 bushfires.</w:t>
      </w:r>
    </w:p>
    <w:p w14:paraId="3067790B" w14:textId="1362E9B9" w:rsidR="7064CE13" w:rsidRPr="00667CD1" w:rsidRDefault="006E65D6" w:rsidP="00DC5EFC">
      <w:pPr>
        <w:pStyle w:val="BodyText"/>
        <w:rPr>
          <w:sz w:val="20"/>
          <w:szCs w:val="16"/>
        </w:rPr>
      </w:pPr>
      <w:r w:rsidRPr="00667CD1">
        <w:rPr>
          <w:sz w:val="20"/>
          <w:szCs w:val="16"/>
        </w:rPr>
        <w:t>K</w:t>
      </w:r>
      <w:r w:rsidR="7064CE13" w:rsidRPr="00667CD1">
        <w:rPr>
          <w:sz w:val="20"/>
          <w:szCs w:val="16"/>
        </w:rPr>
        <w:t xml:space="preserve">ey transport infrastructure projects driving increased Commonwealth revenues </w:t>
      </w:r>
      <w:r w:rsidR="7745CCD5" w:rsidRPr="00667CD1">
        <w:rPr>
          <w:sz w:val="20"/>
          <w:szCs w:val="16"/>
        </w:rPr>
        <w:t xml:space="preserve">over the forward estimates </w:t>
      </w:r>
      <w:r w:rsidR="7064CE13" w:rsidRPr="00667CD1">
        <w:rPr>
          <w:sz w:val="20"/>
          <w:szCs w:val="16"/>
        </w:rPr>
        <w:t xml:space="preserve">since </w:t>
      </w:r>
      <w:r w:rsidR="4079B711" w:rsidRPr="00667CD1">
        <w:rPr>
          <w:sz w:val="20"/>
          <w:szCs w:val="16"/>
        </w:rPr>
        <w:t>the 2019</w:t>
      </w:r>
      <w:r w:rsidR="00A47499" w:rsidRPr="00667CD1">
        <w:rPr>
          <w:sz w:val="20"/>
          <w:szCs w:val="16"/>
        </w:rPr>
        <w:t>-20</w:t>
      </w:r>
      <w:r w:rsidR="4079B711" w:rsidRPr="00667CD1">
        <w:rPr>
          <w:sz w:val="20"/>
          <w:szCs w:val="16"/>
        </w:rPr>
        <w:t xml:space="preserve"> </w:t>
      </w:r>
      <w:r w:rsidR="7064CE13" w:rsidRPr="00667CD1">
        <w:rPr>
          <w:sz w:val="20"/>
          <w:szCs w:val="16"/>
        </w:rPr>
        <w:t>H</w:t>
      </w:r>
      <w:r w:rsidR="45DD10A6" w:rsidRPr="00667CD1">
        <w:rPr>
          <w:sz w:val="20"/>
          <w:szCs w:val="16"/>
        </w:rPr>
        <w:t>alf</w:t>
      </w:r>
      <w:r w:rsidR="0041103A" w:rsidRPr="00667CD1">
        <w:rPr>
          <w:sz w:val="20"/>
          <w:szCs w:val="16"/>
        </w:rPr>
        <w:t>-</w:t>
      </w:r>
      <w:r w:rsidR="7064CE13" w:rsidRPr="00667CD1">
        <w:rPr>
          <w:sz w:val="20"/>
          <w:szCs w:val="16"/>
        </w:rPr>
        <w:t>Y</w:t>
      </w:r>
      <w:r w:rsidR="2FAFF21C" w:rsidRPr="00667CD1">
        <w:rPr>
          <w:sz w:val="20"/>
          <w:szCs w:val="16"/>
        </w:rPr>
        <w:t>ear</w:t>
      </w:r>
      <w:r w:rsidR="0041103A" w:rsidRPr="00667CD1">
        <w:rPr>
          <w:sz w:val="20"/>
          <w:szCs w:val="16"/>
        </w:rPr>
        <w:t>ly</w:t>
      </w:r>
      <w:r w:rsidR="2FAFF21C" w:rsidRPr="00667CD1">
        <w:rPr>
          <w:sz w:val="20"/>
          <w:szCs w:val="16"/>
        </w:rPr>
        <w:t xml:space="preserve"> </w:t>
      </w:r>
      <w:r w:rsidR="7064CE13" w:rsidRPr="00667CD1">
        <w:rPr>
          <w:sz w:val="20"/>
          <w:szCs w:val="16"/>
        </w:rPr>
        <w:t>R</w:t>
      </w:r>
      <w:r w:rsidR="2B883B5A" w:rsidRPr="00667CD1">
        <w:rPr>
          <w:sz w:val="20"/>
          <w:szCs w:val="16"/>
        </w:rPr>
        <w:t>eview</w:t>
      </w:r>
      <w:r w:rsidR="7064CE13" w:rsidRPr="00667CD1">
        <w:rPr>
          <w:sz w:val="20"/>
          <w:szCs w:val="16"/>
        </w:rPr>
        <w:t xml:space="preserve"> include: </w:t>
      </w:r>
    </w:p>
    <w:p w14:paraId="4566987B" w14:textId="22DFA85C" w:rsidR="7064CE13" w:rsidRPr="00667CD1" w:rsidRDefault="4AA639CE" w:rsidP="00DC5EFC">
      <w:pPr>
        <w:pStyle w:val="Bullet1"/>
        <w:rPr>
          <w:rFonts w:asciiTheme="minorHAnsi" w:eastAsiaTheme="minorEastAsia" w:hAnsiTheme="minorHAnsi" w:cstheme="minorBidi"/>
          <w:sz w:val="20"/>
          <w:szCs w:val="16"/>
        </w:rPr>
      </w:pPr>
      <w:r w:rsidRPr="00667CD1">
        <w:rPr>
          <w:sz w:val="20"/>
          <w:szCs w:val="16"/>
        </w:rPr>
        <w:t>$2.6 billion of new</w:t>
      </w:r>
      <w:r w:rsidR="6C7F0DB1" w:rsidRPr="00667CD1">
        <w:rPr>
          <w:sz w:val="20"/>
          <w:szCs w:val="16"/>
        </w:rPr>
        <w:t>,</w:t>
      </w:r>
      <w:r w:rsidRPr="00667CD1">
        <w:rPr>
          <w:sz w:val="20"/>
          <w:szCs w:val="16"/>
        </w:rPr>
        <w:t xml:space="preserve"> and </w:t>
      </w:r>
      <w:r w:rsidR="6C7F0DB1" w:rsidRPr="00667CD1">
        <w:rPr>
          <w:sz w:val="20"/>
          <w:szCs w:val="16"/>
        </w:rPr>
        <w:t>a</w:t>
      </w:r>
      <w:r w:rsidR="4CE6CA3B" w:rsidRPr="00667CD1">
        <w:rPr>
          <w:sz w:val="20"/>
          <w:szCs w:val="16"/>
        </w:rPr>
        <w:t xml:space="preserve"> </w:t>
      </w:r>
      <w:r w:rsidRPr="00667CD1">
        <w:rPr>
          <w:sz w:val="20"/>
          <w:szCs w:val="16"/>
        </w:rPr>
        <w:t>re</w:t>
      </w:r>
      <w:r w:rsidR="13FB0FB5" w:rsidRPr="00667CD1">
        <w:rPr>
          <w:sz w:val="20"/>
          <w:szCs w:val="16"/>
        </w:rPr>
        <w:t xml:space="preserve">vised </w:t>
      </w:r>
      <w:r w:rsidRPr="00667CD1">
        <w:rPr>
          <w:sz w:val="20"/>
          <w:szCs w:val="16"/>
        </w:rPr>
        <w:t xml:space="preserve">profile </w:t>
      </w:r>
      <w:r w:rsidR="56888236" w:rsidRPr="00667CD1">
        <w:rPr>
          <w:sz w:val="20"/>
          <w:szCs w:val="16"/>
        </w:rPr>
        <w:t>of</w:t>
      </w:r>
      <w:r w:rsidRPr="00667CD1">
        <w:rPr>
          <w:sz w:val="20"/>
          <w:szCs w:val="16"/>
        </w:rPr>
        <w:t xml:space="preserve"> </w:t>
      </w:r>
      <w:r w:rsidR="4932472E" w:rsidRPr="00667CD1">
        <w:rPr>
          <w:sz w:val="20"/>
          <w:szCs w:val="16"/>
        </w:rPr>
        <w:t>Commonwea</w:t>
      </w:r>
      <w:r w:rsidR="4CE6CA3B" w:rsidRPr="00667CD1">
        <w:rPr>
          <w:sz w:val="20"/>
          <w:szCs w:val="16"/>
        </w:rPr>
        <w:t>l</w:t>
      </w:r>
      <w:r w:rsidR="4932472E" w:rsidRPr="00667CD1">
        <w:rPr>
          <w:sz w:val="20"/>
          <w:szCs w:val="16"/>
        </w:rPr>
        <w:t xml:space="preserve">th </w:t>
      </w:r>
      <w:r w:rsidRPr="00667CD1">
        <w:rPr>
          <w:sz w:val="20"/>
          <w:szCs w:val="16"/>
        </w:rPr>
        <w:t>funding for the Sydney Metro - Western Sydney Airport</w:t>
      </w:r>
    </w:p>
    <w:p w14:paraId="4268DF2F" w14:textId="794AA63D" w:rsidR="7064CE13" w:rsidRPr="00667CD1" w:rsidRDefault="7064CE13" w:rsidP="00DC5EFC">
      <w:pPr>
        <w:pStyle w:val="Bullet1"/>
        <w:rPr>
          <w:rFonts w:asciiTheme="minorHAnsi" w:eastAsiaTheme="minorEastAsia" w:hAnsiTheme="minorHAnsi" w:cstheme="minorBidi"/>
          <w:sz w:val="20"/>
          <w:szCs w:val="16"/>
        </w:rPr>
      </w:pPr>
      <w:r w:rsidRPr="00667CD1">
        <w:rPr>
          <w:sz w:val="20"/>
          <w:szCs w:val="16"/>
        </w:rPr>
        <w:t>$2.3 billion for new and accelerated road projects such as the Coffs Harbour Bypass, Newcastle Inner City Bypass, New England Highway Upgrades including Bolivia Hill and Singleton Bypass and Newell Highway Upgrades</w:t>
      </w:r>
    </w:p>
    <w:p w14:paraId="660AA057" w14:textId="7EA35D27" w:rsidR="7064CE13" w:rsidRPr="00667CD1" w:rsidRDefault="7B5DC965" w:rsidP="00DC5EFC">
      <w:pPr>
        <w:pStyle w:val="Bullet1"/>
        <w:rPr>
          <w:rFonts w:asciiTheme="minorHAnsi" w:eastAsiaTheme="minorEastAsia" w:hAnsiTheme="minorHAnsi" w:cstheme="minorBidi"/>
          <w:sz w:val="20"/>
          <w:szCs w:val="16"/>
        </w:rPr>
      </w:pPr>
      <w:r w:rsidRPr="00667CD1">
        <w:rPr>
          <w:sz w:val="20"/>
          <w:szCs w:val="16"/>
        </w:rPr>
        <w:t>a</w:t>
      </w:r>
      <w:r w:rsidR="48ABF584" w:rsidRPr="00667CD1">
        <w:rPr>
          <w:sz w:val="20"/>
          <w:szCs w:val="16"/>
        </w:rPr>
        <w:t>n a</w:t>
      </w:r>
      <w:r w:rsidR="78060D43" w:rsidRPr="00667CD1">
        <w:rPr>
          <w:sz w:val="20"/>
          <w:szCs w:val="16"/>
        </w:rPr>
        <w:t>dditional</w:t>
      </w:r>
      <w:r w:rsidR="4AA639CE" w:rsidRPr="00667CD1">
        <w:rPr>
          <w:sz w:val="20"/>
          <w:szCs w:val="16"/>
        </w:rPr>
        <w:t xml:space="preserve"> $451</w:t>
      </w:r>
      <w:r w:rsidR="6C6FB903" w:rsidRPr="00667CD1">
        <w:rPr>
          <w:sz w:val="20"/>
          <w:szCs w:val="16"/>
        </w:rPr>
        <w:t>.0</w:t>
      </w:r>
      <w:r w:rsidR="4AA639CE" w:rsidRPr="00667CD1">
        <w:rPr>
          <w:sz w:val="20"/>
          <w:szCs w:val="16"/>
        </w:rPr>
        <w:t xml:space="preserve"> million for the NSW Infrastructure Package for the Pinch Point Program, Fixing Local Roads and Safer Roads Program</w:t>
      </w:r>
      <w:r w:rsidR="009223D3" w:rsidRPr="00667CD1">
        <w:rPr>
          <w:sz w:val="20"/>
          <w:szCs w:val="16"/>
        </w:rPr>
        <w:t>.</w:t>
      </w:r>
    </w:p>
    <w:p w14:paraId="5342653F" w14:textId="17B772D8" w:rsidR="000817DD" w:rsidRPr="00667CD1" w:rsidRDefault="08983748" w:rsidP="00DC5EFC">
      <w:pPr>
        <w:pStyle w:val="BodyText"/>
        <w:rPr>
          <w:sz w:val="20"/>
          <w:szCs w:val="16"/>
        </w:rPr>
      </w:pPr>
      <w:r w:rsidRPr="00667CD1">
        <w:rPr>
          <w:sz w:val="20"/>
          <w:szCs w:val="16"/>
        </w:rPr>
        <w:t xml:space="preserve">Other significant National Partnerships signed since the 2019 </w:t>
      </w:r>
      <w:r w:rsidR="431F99B8" w:rsidRPr="00667CD1">
        <w:rPr>
          <w:sz w:val="20"/>
          <w:szCs w:val="16"/>
        </w:rPr>
        <w:t>H</w:t>
      </w:r>
      <w:r w:rsidR="3D9D6559" w:rsidRPr="00667CD1">
        <w:rPr>
          <w:sz w:val="20"/>
          <w:szCs w:val="16"/>
        </w:rPr>
        <w:t>alf</w:t>
      </w:r>
      <w:r w:rsidR="00715940" w:rsidRPr="00667CD1">
        <w:rPr>
          <w:sz w:val="20"/>
          <w:szCs w:val="16"/>
        </w:rPr>
        <w:t>-</w:t>
      </w:r>
      <w:r w:rsidR="431F99B8" w:rsidRPr="00667CD1">
        <w:rPr>
          <w:sz w:val="20"/>
          <w:szCs w:val="16"/>
        </w:rPr>
        <w:t>Y</w:t>
      </w:r>
      <w:r w:rsidR="1F156B8D" w:rsidRPr="00667CD1">
        <w:rPr>
          <w:sz w:val="20"/>
          <w:szCs w:val="16"/>
        </w:rPr>
        <w:t>ear</w:t>
      </w:r>
      <w:r w:rsidR="00715940" w:rsidRPr="00667CD1">
        <w:rPr>
          <w:sz w:val="20"/>
          <w:szCs w:val="16"/>
        </w:rPr>
        <w:t>ly</w:t>
      </w:r>
      <w:r w:rsidR="1F156B8D" w:rsidRPr="00667CD1">
        <w:rPr>
          <w:sz w:val="20"/>
          <w:szCs w:val="16"/>
        </w:rPr>
        <w:t xml:space="preserve"> </w:t>
      </w:r>
      <w:r w:rsidR="431F99B8" w:rsidRPr="00667CD1">
        <w:rPr>
          <w:sz w:val="20"/>
          <w:szCs w:val="16"/>
        </w:rPr>
        <w:t>R</w:t>
      </w:r>
      <w:r w:rsidR="1A9461A8" w:rsidRPr="00667CD1">
        <w:rPr>
          <w:sz w:val="20"/>
          <w:szCs w:val="16"/>
        </w:rPr>
        <w:t>eview</w:t>
      </w:r>
      <w:r w:rsidRPr="00667CD1">
        <w:rPr>
          <w:sz w:val="20"/>
          <w:szCs w:val="16"/>
        </w:rPr>
        <w:t xml:space="preserve"> include</w:t>
      </w:r>
      <w:r w:rsidR="004C1ECC" w:rsidRPr="00667CD1">
        <w:rPr>
          <w:sz w:val="20"/>
          <w:szCs w:val="16"/>
        </w:rPr>
        <w:t>:</w:t>
      </w:r>
    </w:p>
    <w:p w14:paraId="4F6BC0AC" w14:textId="305AD1CE" w:rsidR="00DB167B" w:rsidRPr="00667CD1" w:rsidRDefault="08983748" w:rsidP="00DC5EFC">
      <w:pPr>
        <w:pStyle w:val="Bullet1"/>
        <w:rPr>
          <w:sz w:val="20"/>
          <w:szCs w:val="16"/>
        </w:rPr>
      </w:pPr>
      <w:r w:rsidRPr="00667CD1">
        <w:rPr>
          <w:sz w:val="20"/>
          <w:szCs w:val="16"/>
        </w:rPr>
        <w:t xml:space="preserve">the National Legal Assistance Partnership (NLAP), </w:t>
      </w:r>
      <w:r w:rsidR="00277BEB" w:rsidRPr="00667CD1">
        <w:rPr>
          <w:sz w:val="20"/>
          <w:szCs w:val="16"/>
        </w:rPr>
        <w:t>with New South Wales forecast to receive $5</w:t>
      </w:r>
      <w:r w:rsidR="00E831D0" w:rsidRPr="00667CD1">
        <w:rPr>
          <w:sz w:val="20"/>
          <w:szCs w:val="16"/>
        </w:rPr>
        <w:t>54</w:t>
      </w:r>
      <w:r w:rsidR="00D94CCF" w:rsidRPr="00667CD1">
        <w:rPr>
          <w:sz w:val="20"/>
          <w:szCs w:val="16"/>
        </w:rPr>
        <w:t>.6</w:t>
      </w:r>
      <w:r w:rsidR="00277BEB" w:rsidRPr="00667CD1">
        <w:rPr>
          <w:sz w:val="20"/>
          <w:szCs w:val="16"/>
        </w:rPr>
        <w:t xml:space="preserve"> million over five years to 2024-25</w:t>
      </w:r>
    </w:p>
    <w:p w14:paraId="14F40035" w14:textId="50C2A827" w:rsidR="003D1942" w:rsidRPr="00667CD1" w:rsidRDefault="08983748" w:rsidP="00DC5EFC">
      <w:pPr>
        <w:pStyle w:val="Bullet1"/>
        <w:rPr>
          <w:sz w:val="20"/>
          <w:szCs w:val="16"/>
        </w:rPr>
      </w:pPr>
      <w:r w:rsidRPr="00667CD1">
        <w:rPr>
          <w:sz w:val="20"/>
          <w:szCs w:val="16"/>
        </w:rPr>
        <w:t>Homebuilder</w:t>
      </w:r>
      <w:r w:rsidR="00DB167B" w:rsidRPr="00667CD1">
        <w:rPr>
          <w:sz w:val="20"/>
          <w:szCs w:val="16"/>
        </w:rPr>
        <w:t>, with $187</w:t>
      </w:r>
      <w:r w:rsidR="00714DA8" w:rsidRPr="00667CD1">
        <w:rPr>
          <w:sz w:val="20"/>
          <w:szCs w:val="16"/>
        </w:rPr>
        <w:t>.0</w:t>
      </w:r>
      <w:r w:rsidR="00DB167B" w:rsidRPr="00667CD1">
        <w:rPr>
          <w:sz w:val="20"/>
          <w:szCs w:val="16"/>
        </w:rPr>
        <w:t xml:space="preserve"> million expected to be received in 2020-2</w:t>
      </w:r>
      <w:r w:rsidR="00A47499" w:rsidRPr="00667CD1">
        <w:rPr>
          <w:sz w:val="20"/>
          <w:szCs w:val="16"/>
        </w:rPr>
        <w:t>1</w:t>
      </w:r>
    </w:p>
    <w:p w14:paraId="29DBDEC9" w14:textId="02113EA3" w:rsidR="004A0694" w:rsidRPr="00667CD1" w:rsidRDefault="08983748" w:rsidP="00DC5EFC">
      <w:pPr>
        <w:pStyle w:val="Bullet1"/>
        <w:rPr>
          <w:sz w:val="20"/>
          <w:szCs w:val="16"/>
        </w:rPr>
      </w:pPr>
      <w:r w:rsidRPr="00667CD1">
        <w:rPr>
          <w:sz w:val="20"/>
          <w:szCs w:val="16"/>
        </w:rPr>
        <w:t xml:space="preserve">the </w:t>
      </w:r>
      <w:proofErr w:type="spellStart"/>
      <w:r w:rsidRPr="00667CD1">
        <w:rPr>
          <w:sz w:val="20"/>
          <w:szCs w:val="16"/>
        </w:rPr>
        <w:t>JobTrainer</w:t>
      </w:r>
      <w:proofErr w:type="spellEnd"/>
      <w:r w:rsidRPr="00667CD1">
        <w:rPr>
          <w:sz w:val="20"/>
          <w:szCs w:val="16"/>
        </w:rPr>
        <w:t xml:space="preserve"> Fund</w:t>
      </w:r>
      <w:r w:rsidR="00142800" w:rsidRPr="00667CD1">
        <w:rPr>
          <w:sz w:val="20"/>
          <w:szCs w:val="16"/>
        </w:rPr>
        <w:t>, with receipts of $1</w:t>
      </w:r>
      <w:r w:rsidR="6723D999" w:rsidRPr="00667CD1">
        <w:rPr>
          <w:sz w:val="20"/>
          <w:szCs w:val="16"/>
        </w:rPr>
        <w:t>59.3</w:t>
      </w:r>
      <w:r w:rsidR="00142800" w:rsidRPr="00667CD1">
        <w:rPr>
          <w:sz w:val="20"/>
          <w:szCs w:val="16"/>
        </w:rPr>
        <w:t xml:space="preserve"> million forecast in 2020-21</w:t>
      </w:r>
      <w:r w:rsidR="0DC84A0B" w:rsidRPr="00667CD1">
        <w:rPr>
          <w:sz w:val="20"/>
          <w:szCs w:val="16"/>
        </w:rPr>
        <w:t>.</w:t>
      </w:r>
    </w:p>
    <w:p w14:paraId="17B08E17" w14:textId="09FDFF27" w:rsidR="00975029" w:rsidRPr="00667CD1" w:rsidRDefault="00975029" w:rsidP="00216F72">
      <w:pPr>
        <w:pStyle w:val="Table4X"/>
        <w:tabs>
          <w:tab w:val="clear" w:pos="1134"/>
          <w:tab w:val="left" w:pos="1276"/>
        </w:tabs>
        <w:ind w:left="1276" w:hanging="1276"/>
        <w:rPr>
          <w:sz w:val="18"/>
          <w:szCs w:val="18"/>
        </w:rPr>
      </w:pPr>
      <w:r w:rsidRPr="00667CD1">
        <w:rPr>
          <w:sz w:val="18"/>
          <w:szCs w:val="18"/>
        </w:rPr>
        <w:t>National Partnership payments to New South Wales</w:t>
      </w:r>
    </w:p>
    <w:tbl>
      <w:tblPr>
        <w:tblW w:w="9639" w:type="dxa"/>
        <w:tblLook w:val="04A0" w:firstRow="1" w:lastRow="0" w:firstColumn="1" w:lastColumn="0" w:noHBand="0" w:noVBand="1"/>
        <w:tblCaption w:val="Table 4.9: National Partnership payments to New South Wales"/>
        <w:tblDescription w:val="Table 4.9: National Partnership payments to New South Wales"/>
      </w:tblPr>
      <w:tblGrid>
        <w:gridCol w:w="3292"/>
        <w:gridCol w:w="891"/>
        <w:gridCol w:w="891"/>
        <w:gridCol w:w="892"/>
        <w:gridCol w:w="892"/>
        <w:gridCol w:w="892"/>
        <w:gridCol w:w="892"/>
        <w:gridCol w:w="997"/>
      </w:tblGrid>
      <w:tr w:rsidR="00F9453E" w:rsidRPr="00667CD1" w14:paraId="0201E872" w14:textId="77777777" w:rsidTr="000D46FA">
        <w:trPr>
          <w:trHeight w:val="338"/>
        </w:trPr>
        <w:tc>
          <w:tcPr>
            <w:tcW w:w="3496" w:type="dxa"/>
            <w:tcBorders>
              <w:top w:val="nil"/>
              <w:left w:val="nil"/>
              <w:bottom w:val="nil"/>
              <w:right w:val="nil"/>
            </w:tcBorders>
            <w:shd w:val="clear" w:color="000000" w:fill="008EBA"/>
            <w:noWrap/>
            <w:vAlign w:val="bottom"/>
            <w:hideMark/>
          </w:tcPr>
          <w:p w14:paraId="4F0AE3E0" w14:textId="77777777" w:rsidR="00F9453E" w:rsidRPr="00667CD1" w:rsidRDefault="00F9453E" w:rsidP="00F9453E">
            <w:pP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936" w:type="dxa"/>
            <w:tcBorders>
              <w:top w:val="nil"/>
              <w:left w:val="nil"/>
              <w:bottom w:val="nil"/>
              <w:right w:val="nil"/>
            </w:tcBorders>
            <w:shd w:val="clear" w:color="000000" w:fill="008EBA"/>
            <w:noWrap/>
            <w:vAlign w:val="bottom"/>
            <w:hideMark/>
          </w:tcPr>
          <w:p w14:paraId="6FD4E489"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2018-19</w:t>
            </w:r>
          </w:p>
        </w:tc>
        <w:tc>
          <w:tcPr>
            <w:tcW w:w="936" w:type="dxa"/>
            <w:tcBorders>
              <w:top w:val="nil"/>
              <w:left w:val="nil"/>
              <w:bottom w:val="nil"/>
              <w:right w:val="nil"/>
            </w:tcBorders>
            <w:shd w:val="clear" w:color="000000" w:fill="008EBA"/>
            <w:noWrap/>
            <w:vAlign w:val="bottom"/>
            <w:hideMark/>
          </w:tcPr>
          <w:p w14:paraId="555045A4"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2019-20</w:t>
            </w:r>
          </w:p>
        </w:tc>
        <w:tc>
          <w:tcPr>
            <w:tcW w:w="936" w:type="dxa"/>
            <w:tcBorders>
              <w:top w:val="nil"/>
              <w:left w:val="nil"/>
              <w:bottom w:val="nil"/>
              <w:right w:val="nil"/>
            </w:tcBorders>
            <w:shd w:val="clear" w:color="000000" w:fill="008EBA"/>
            <w:noWrap/>
            <w:vAlign w:val="bottom"/>
            <w:hideMark/>
          </w:tcPr>
          <w:p w14:paraId="038C97BF"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2020-21</w:t>
            </w:r>
          </w:p>
        </w:tc>
        <w:tc>
          <w:tcPr>
            <w:tcW w:w="936" w:type="dxa"/>
            <w:tcBorders>
              <w:top w:val="nil"/>
              <w:left w:val="nil"/>
              <w:bottom w:val="nil"/>
              <w:right w:val="nil"/>
            </w:tcBorders>
            <w:shd w:val="clear" w:color="000000" w:fill="008EBA"/>
            <w:noWrap/>
            <w:vAlign w:val="bottom"/>
            <w:hideMark/>
          </w:tcPr>
          <w:p w14:paraId="43A634D5"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2021-22</w:t>
            </w:r>
          </w:p>
        </w:tc>
        <w:tc>
          <w:tcPr>
            <w:tcW w:w="936" w:type="dxa"/>
            <w:tcBorders>
              <w:top w:val="nil"/>
              <w:left w:val="nil"/>
              <w:bottom w:val="nil"/>
              <w:right w:val="nil"/>
            </w:tcBorders>
            <w:shd w:val="clear" w:color="000000" w:fill="008EBA"/>
            <w:noWrap/>
            <w:vAlign w:val="bottom"/>
            <w:hideMark/>
          </w:tcPr>
          <w:p w14:paraId="5A459CEE"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2022-23</w:t>
            </w:r>
          </w:p>
        </w:tc>
        <w:tc>
          <w:tcPr>
            <w:tcW w:w="936" w:type="dxa"/>
            <w:tcBorders>
              <w:top w:val="nil"/>
              <w:left w:val="nil"/>
              <w:bottom w:val="nil"/>
              <w:right w:val="nil"/>
            </w:tcBorders>
            <w:shd w:val="clear" w:color="000000" w:fill="008EBA"/>
            <w:noWrap/>
            <w:vAlign w:val="bottom"/>
            <w:hideMark/>
          </w:tcPr>
          <w:p w14:paraId="3BA2303A"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2023-24</w:t>
            </w:r>
          </w:p>
        </w:tc>
        <w:tc>
          <w:tcPr>
            <w:tcW w:w="1048" w:type="dxa"/>
            <w:vMerge w:val="restart"/>
            <w:tcBorders>
              <w:top w:val="nil"/>
              <w:left w:val="nil"/>
              <w:bottom w:val="nil"/>
              <w:right w:val="nil"/>
            </w:tcBorders>
            <w:shd w:val="clear" w:color="000000" w:fill="4F4F4F"/>
            <w:vAlign w:val="center"/>
            <w:hideMark/>
          </w:tcPr>
          <w:p w14:paraId="5820EBC6"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 Average growth p.a. 2019-20 to 2023-24</w:t>
            </w:r>
          </w:p>
        </w:tc>
      </w:tr>
      <w:tr w:rsidR="00F9453E" w:rsidRPr="00667CD1" w14:paraId="5A131C14" w14:textId="77777777" w:rsidTr="000D46FA">
        <w:trPr>
          <w:trHeight w:val="255"/>
        </w:trPr>
        <w:tc>
          <w:tcPr>
            <w:tcW w:w="3496" w:type="dxa"/>
            <w:tcBorders>
              <w:top w:val="nil"/>
              <w:left w:val="nil"/>
              <w:right w:val="nil"/>
            </w:tcBorders>
            <w:shd w:val="clear" w:color="000000" w:fill="008EBA"/>
            <w:vAlign w:val="bottom"/>
            <w:hideMark/>
          </w:tcPr>
          <w:p w14:paraId="1E3F04E7" w14:textId="77777777" w:rsidR="00F9453E" w:rsidRPr="00667CD1" w:rsidRDefault="00F9453E" w:rsidP="00F9453E">
            <w:pPr>
              <w:jc w:val="center"/>
              <w:rPr>
                <w:rFonts w:ascii="Arial" w:hAnsi="Arial" w:cs="Arial"/>
                <w:i/>
                <w:iCs/>
                <w:color w:val="FFFFFF"/>
                <w:sz w:val="12"/>
                <w:szCs w:val="12"/>
                <w:lang w:eastAsia="en-AU"/>
              </w:rPr>
            </w:pPr>
            <w:r w:rsidRPr="00667CD1">
              <w:rPr>
                <w:rFonts w:ascii="Arial" w:hAnsi="Arial" w:cs="Arial"/>
                <w:i/>
                <w:iCs/>
                <w:color w:val="FFFFFF"/>
                <w:sz w:val="12"/>
                <w:szCs w:val="12"/>
                <w:lang w:eastAsia="en-AU"/>
              </w:rPr>
              <w:t> </w:t>
            </w:r>
          </w:p>
        </w:tc>
        <w:tc>
          <w:tcPr>
            <w:tcW w:w="936" w:type="dxa"/>
            <w:tcBorders>
              <w:top w:val="nil"/>
              <w:left w:val="nil"/>
              <w:right w:val="nil"/>
            </w:tcBorders>
            <w:shd w:val="clear" w:color="000000" w:fill="008EBA"/>
            <w:vAlign w:val="center"/>
            <w:hideMark/>
          </w:tcPr>
          <w:p w14:paraId="72ABE131"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936" w:type="dxa"/>
            <w:tcBorders>
              <w:top w:val="nil"/>
              <w:left w:val="nil"/>
              <w:right w:val="nil"/>
            </w:tcBorders>
            <w:shd w:val="clear" w:color="000000" w:fill="008EBA"/>
            <w:vAlign w:val="center"/>
            <w:hideMark/>
          </w:tcPr>
          <w:p w14:paraId="46EB0C63"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936" w:type="dxa"/>
            <w:tcBorders>
              <w:top w:val="nil"/>
              <w:left w:val="nil"/>
              <w:right w:val="nil"/>
            </w:tcBorders>
            <w:shd w:val="clear" w:color="000000" w:fill="008EBA"/>
            <w:vAlign w:val="center"/>
            <w:hideMark/>
          </w:tcPr>
          <w:p w14:paraId="424707E8"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Budget</w:t>
            </w:r>
          </w:p>
        </w:tc>
        <w:tc>
          <w:tcPr>
            <w:tcW w:w="2808" w:type="dxa"/>
            <w:gridSpan w:val="3"/>
            <w:tcBorders>
              <w:top w:val="nil"/>
              <w:left w:val="nil"/>
              <w:right w:val="nil"/>
            </w:tcBorders>
            <w:shd w:val="clear" w:color="000000" w:fill="008EBA"/>
            <w:vAlign w:val="center"/>
            <w:hideMark/>
          </w:tcPr>
          <w:p w14:paraId="3A07363C"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Forward Estimates</w:t>
            </w:r>
          </w:p>
        </w:tc>
        <w:tc>
          <w:tcPr>
            <w:tcW w:w="1048" w:type="dxa"/>
            <w:vMerge/>
            <w:tcBorders>
              <w:top w:val="nil"/>
              <w:left w:val="nil"/>
              <w:bottom w:val="nil"/>
              <w:right w:val="nil"/>
            </w:tcBorders>
            <w:vAlign w:val="center"/>
            <w:hideMark/>
          </w:tcPr>
          <w:p w14:paraId="41B8654D" w14:textId="77777777" w:rsidR="00F9453E" w:rsidRPr="00667CD1" w:rsidRDefault="00F9453E" w:rsidP="00F9453E">
            <w:pPr>
              <w:rPr>
                <w:rFonts w:ascii="Arial" w:hAnsi="Arial" w:cs="Arial"/>
                <w:color w:val="FFFFFF"/>
                <w:sz w:val="12"/>
                <w:szCs w:val="12"/>
                <w:lang w:eastAsia="en-AU"/>
              </w:rPr>
            </w:pPr>
          </w:p>
        </w:tc>
      </w:tr>
      <w:tr w:rsidR="00F9453E" w:rsidRPr="00667CD1" w14:paraId="6503785A" w14:textId="77777777" w:rsidTr="000D46FA">
        <w:trPr>
          <w:trHeight w:val="285"/>
        </w:trPr>
        <w:tc>
          <w:tcPr>
            <w:tcW w:w="3496" w:type="dxa"/>
            <w:tcBorders>
              <w:top w:val="nil"/>
              <w:left w:val="nil"/>
              <w:bottom w:val="nil"/>
              <w:right w:val="nil"/>
            </w:tcBorders>
            <w:shd w:val="clear" w:color="000000" w:fill="00426F"/>
            <w:hideMark/>
          </w:tcPr>
          <w:p w14:paraId="2A2914B1" w14:textId="77777777" w:rsidR="00F9453E" w:rsidRPr="00667CD1" w:rsidRDefault="00F9453E" w:rsidP="00F9453E">
            <w:pPr>
              <w:jc w:val="center"/>
              <w:rPr>
                <w:rFonts w:ascii="Arial" w:hAnsi="Arial" w:cs="Arial"/>
                <w:i/>
                <w:iCs/>
                <w:color w:val="FFFFFF"/>
                <w:sz w:val="12"/>
                <w:szCs w:val="12"/>
                <w:lang w:eastAsia="en-AU"/>
              </w:rPr>
            </w:pPr>
            <w:r w:rsidRPr="00667CD1">
              <w:rPr>
                <w:rFonts w:ascii="Arial" w:hAnsi="Arial" w:cs="Arial"/>
                <w:i/>
                <w:iCs/>
                <w:color w:val="FFFFFF"/>
                <w:sz w:val="12"/>
                <w:szCs w:val="12"/>
                <w:lang w:eastAsia="en-AU"/>
              </w:rPr>
              <w:t> </w:t>
            </w:r>
          </w:p>
        </w:tc>
        <w:tc>
          <w:tcPr>
            <w:tcW w:w="936" w:type="dxa"/>
            <w:tcBorders>
              <w:top w:val="nil"/>
              <w:left w:val="nil"/>
              <w:bottom w:val="nil"/>
              <w:right w:val="nil"/>
            </w:tcBorders>
            <w:shd w:val="clear" w:color="000000" w:fill="00426F"/>
            <w:hideMark/>
          </w:tcPr>
          <w:p w14:paraId="050B9396"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36" w:type="dxa"/>
            <w:tcBorders>
              <w:top w:val="nil"/>
              <w:left w:val="nil"/>
              <w:bottom w:val="nil"/>
              <w:right w:val="nil"/>
            </w:tcBorders>
            <w:shd w:val="clear" w:color="000000" w:fill="00426F"/>
            <w:hideMark/>
          </w:tcPr>
          <w:p w14:paraId="28298755"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36" w:type="dxa"/>
            <w:tcBorders>
              <w:top w:val="nil"/>
              <w:left w:val="nil"/>
              <w:bottom w:val="nil"/>
              <w:right w:val="nil"/>
            </w:tcBorders>
            <w:shd w:val="clear" w:color="000000" w:fill="00426F"/>
            <w:hideMark/>
          </w:tcPr>
          <w:p w14:paraId="5C39974D"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36" w:type="dxa"/>
            <w:tcBorders>
              <w:top w:val="nil"/>
              <w:left w:val="nil"/>
              <w:bottom w:val="nil"/>
              <w:right w:val="nil"/>
            </w:tcBorders>
            <w:shd w:val="clear" w:color="000000" w:fill="00426F"/>
            <w:hideMark/>
          </w:tcPr>
          <w:p w14:paraId="286E537E"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36" w:type="dxa"/>
            <w:tcBorders>
              <w:top w:val="nil"/>
              <w:left w:val="nil"/>
              <w:bottom w:val="nil"/>
              <w:right w:val="nil"/>
            </w:tcBorders>
            <w:shd w:val="clear" w:color="000000" w:fill="00426F"/>
            <w:hideMark/>
          </w:tcPr>
          <w:p w14:paraId="2B85DF8B"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36" w:type="dxa"/>
            <w:tcBorders>
              <w:top w:val="nil"/>
              <w:left w:val="nil"/>
              <w:bottom w:val="nil"/>
              <w:right w:val="nil"/>
            </w:tcBorders>
            <w:shd w:val="clear" w:color="000000" w:fill="00426F"/>
            <w:hideMark/>
          </w:tcPr>
          <w:p w14:paraId="49DD9802" w14:textId="77777777" w:rsidR="00F9453E" w:rsidRPr="00667CD1" w:rsidRDefault="00F9453E" w:rsidP="00F9453E">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1048" w:type="dxa"/>
            <w:vMerge/>
            <w:tcBorders>
              <w:top w:val="nil"/>
              <w:left w:val="nil"/>
              <w:bottom w:val="nil"/>
              <w:right w:val="nil"/>
            </w:tcBorders>
            <w:vAlign w:val="center"/>
            <w:hideMark/>
          </w:tcPr>
          <w:p w14:paraId="551D6DA0" w14:textId="77777777" w:rsidR="00F9453E" w:rsidRPr="00667CD1" w:rsidRDefault="00F9453E" w:rsidP="00F9453E">
            <w:pPr>
              <w:rPr>
                <w:rFonts w:ascii="Arial" w:hAnsi="Arial" w:cs="Arial"/>
                <w:color w:val="FFFFFF"/>
                <w:sz w:val="12"/>
                <w:szCs w:val="12"/>
                <w:lang w:eastAsia="en-AU"/>
              </w:rPr>
            </w:pPr>
          </w:p>
        </w:tc>
      </w:tr>
      <w:tr w:rsidR="00F9453E" w:rsidRPr="00667CD1" w14:paraId="3ADB998B" w14:textId="77777777" w:rsidTr="00824630">
        <w:trPr>
          <w:trHeight w:val="300"/>
        </w:trPr>
        <w:tc>
          <w:tcPr>
            <w:tcW w:w="3496" w:type="dxa"/>
            <w:tcBorders>
              <w:top w:val="nil"/>
              <w:left w:val="nil"/>
              <w:bottom w:val="nil"/>
              <w:right w:val="nil"/>
            </w:tcBorders>
            <w:shd w:val="clear" w:color="000000" w:fill="FFFFFF"/>
            <w:vAlign w:val="bottom"/>
            <w:hideMark/>
          </w:tcPr>
          <w:p w14:paraId="512CFDBE" w14:textId="77777777" w:rsidR="00F9453E" w:rsidRPr="00667CD1" w:rsidRDefault="00F9453E" w:rsidP="00F9453E">
            <w:pPr>
              <w:rPr>
                <w:rFonts w:ascii="Arial" w:hAnsi="Arial" w:cs="Arial"/>
                <w:sz w:val="12"/>
                <w:szCs w:val="12"/>
                <w:lang w:eastAsia="en-AU"/>
              </w:rPr>
            </w:pPr>
            <w:r w:rsidRPr="00667CD1">
              <w:rPr>
                <w:rFonts w:ascii="Arial" w:hAnsi="Arial" w:cs="Arial"/>
                <w:sz w:val="12"/>
                <w:szCs w:val="12"/>
                <w:lang w:eastAsia="en-AU"/>
              </w:rPr>
              <w:t xml:space="preserve">Transport </w:t>
            </w:r>
            <w:r w:rsidRPr="00667CD1">
              <w:rPr>
                <w:rFonts w:ascii="Arial" w:hAnsi="Arial" w:cs="Arial"/>
                <w:sz w:val="12"/>
                <w:szCs w:val="12"/>
                <w:vertAlign w:val="superscript"/>
                <w:lang w:eastAsia="en-AU"/>
              </w:rPr>
              <w:t>(a)</w:t>
            </w:r>
          </w:p>
        </w:tc>
        <w:tc>
          <w:tcPr>
            <w:tcW w:w="936" w:type="dxa"/>
            <w:tcBorders>
              <w:top w:val="nil"/>
              <w:left w:val="nil"/>
              <w:bottom w:val="nil"/>
              <w:right w:val="nil"/>
            </w:tcBorders>
            <w:shd w:val="clear" w:color="000000" w:fill="FFFFFF"/>
            <w:noWrap/>
            <w:vAlign w:val="center"/>
            <w:hideMark/>
          </w:tcPr>
          <w:p w14:paraId="460F5530"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1,717</w:t>
            </w:r>
          </w:p>
        </w:tc>
        <w:tc>
          <w:tcPr>
            <w:tcW w:w="936" w:type="dxa"/>
            <w:tcBorders>
              <w:top w:val="nil"/>
              <w:left w:val="nil"/>
              <w:bottom w:val="nil"/>
              <w:right w:val="nil"/>
            </w:tcBorders>
            <w:shd w:val="clear" w:color="000000" w:fill="FFFFFF"/>
            <w:noWrap/>
            <w:vAlign w:val="center"/>
            <w:hideMark/>
          </w:tcPr>
          <w:p w14:paraId="5543F33E"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2,126</w:t>
            </w:r>
          </w:p>
        </w:tc>
        <w:tc>
          <w:tcPr>
            <w:tcW w:w="936" w:type="dxa"/>
            <w:tcBorders>
              <w:top w:val="nil"/>
              <w:left w:val="nil"/>
              <w:bottom w:val="nil"/>
              <w:right w:val="nil"/>
            </w:tcBorders>
            <w:shd w:val="clear" w:color="000000" w:fill="F2F2F2"/>
            <w:noWrap/>
            <w:vAlign w:val="center"/>
            <w:hideMark/>
          </w:tcPr>
          <w:p w14:paraId="2AD78570"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2,432</w:t>
            </w:r>
          </w:p>
        </w:tc>
        <w:tc>
          <w:tcPr>
            <w:tcW w:w="936" w:type="dxa"/>
            <w:tcBorders>
              <w:top w:val="nil"/>
              <w:left w:val="nil"/>
              <w:bottom w:val="nil"/>
              <w:right w:val="nil"/>
            </w:tcBorders>
            <w:shd w:val="clear" w:color="000000" w:fill="F2F2F2"/>
            <w:noWrap/>
            <w:vAlign w:val="center"/>
            <w:hideMark/>
          </w:tcPr>
          <w:p w14:paraId="2926F374"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3,068</w:t>
            </w:r>
          </w:p>
        </w:tc>
        <w:tc>
          <w:tcPr>
            <w:tcW w:w="936" w:type="dxa"/>
            <w:tcBorders>
              <w:top w:val="nil"/>
              <w:left w:val="nil"/>
              <w:bottom w:val="nil"/>
              <w:right w:val="nil"/>
            </w:tcBorders>
            <w:shd w:val="clear" w:color="000000" w:fill="F2F2F2"/>
            <w:noWrap/>
            <w:vAlign w:val="center"/>
            <w:hideMark/>
          </w:tcPr>
          <w:p w14:paraId="565673D8"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3,028</w:t>
            </w:r>
          </w:p>
        </w:tc>
        <w:tc>
          <w:tcPr>
            <w:tcW w:w="936" w:type="dxa"/>
            <w:tcBorders>
              <w:top w:val="nil"/>
              <w:left w:val="nil"/>
              <w:bottom w:val="nil"/>
              <w:right w:val="nil"/>
            </w:tcBorders>
            <w:shd w:val="clear" w:color="000000" w:fill="F2F2F2"/>
            <w:noWrap/>
            <w:vAlign w:val="center"/>
            <w:hideMark/>
          </w:tcPr>
          <w:p w14:paraId="4DA702FB"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3,378</w:t>
            </w:r>
          </w:p>
        </w:tc>
        <w:tc>
          <w:tcPr>
            <w:tcW w:w="1048" w:type="dxa"/>
            <w:tcBorders>
              <w:top w:val="nil"/>
              <w:left w:val="nil"/>
              <w:bottom w:val="nil"/>
              <w:right w:val="nil"/>
            </w:tcBorders>
            <w:shd w:val="clear" w:color="000000" w:fill="FFFFFF"/>
            <w:vAlign w:val="center"/>
            <w:hideMark/>
          </w:tcPr>
          <w:p w14:paraId="1B2A2509"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12.3</w:t>
            </w:r>
          </w:p>
        </w:tc>
      </w:tr>
      <w:tr w:rsidR="00F9453E" w:rsidRPr="00667CD1" w14:paraId="299F241D" w14:textId="77777777" w:rsidTr="00824630">
        <w:trPr>
          <w:trHeight w:val="300"/>
        </w:trPr>
        <w:tc>
          <w:tcPr>
            <w:tcW w:w="3496" w:type="dxa"/>
            <w:tcBorders>
              <w:top w:val="nil"/>
              <w:left w:val="nil"/>
              <w:bottom w:val="nil"/>
              <w:right w:val="nil"/>
            </w:tcBorders>
            <w:shd w:val="clear" w:color="000000" w:fill="FFFFFF"/>
            <w:vAlign w:val="bottom"/>
            <w:hideMark/>
          </w:tcPr>
          <w:p w14:paraId="159E4A15" w14:textId="77777777" w:rsidR="00F9453E" w:rsidRPr="00667CD1" w:rsidRDefault="00F9453E" w:rsidP="00F9453E">
            <w:pPr>
              <w:rPr>
                <w:rFonts w:ascii="Arial" w:hAnsi="Arial" w:cs="Arial"/>
                <w:sz w:val="12"/>
                <w:szCs w:val="12"/>
                <w:lang w:eastAsia="en-AU"/>
              </w:rPr>
            </w:pPr>
            <w:r w:rsidRPr="00667CD1">
              <w:rPr>
                <w:rFonts w:ascii="Arial" w:hAnsi="Arial" w:cs="Arial"/>
                <w:sz w:val="12"/>
                <w:szCs w:val="12"/>
                <w:lang w:eastAsia="en-AU"/>
              </w:rPr>
              <w:t>Education and skills</w:t>
            </w:r>
          </w:p>
        </w:tc>
        <w:tc>
          <w:tcPr>
            <w:tcW w:w="936" w:type="dxa"/>
            <w:tcBorders>
              <w:top w:val="nil"/>
              <w:left w:val="nil"/>
              <w:bottom w:val="nil"/>
              <w:right w:val="nil"/>
            </w:tcBorders>
            <w:shd w:val="clear" w:color="000000" w:fill="FFFFFF"/>
            <w:noWrap/>
            <w:vAlign w:val="center"/>
            <w:hideMark/>
          </w:tcPr>
          <w:p w14:paraId="748CC046"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130</w:t>
            </w:r>
          </w:p>
        </w:tc>
        <w:tc>
          <w:tcPr>
            <w:tcW w:w="936" w:type="dxa"/>
            <w:tcBorders>
              <w:top w:val="nil"/>
              <w:left w:val="nil"/>
              <w:bottom w:val="nil"/>
              <w:right w:val="nil"/>
            </w:tcBorders>
            <w:shd w:val="clear" w:color="000000" w:fill="FFFFFF"/>
            <w:noWrap/>
            <w:vAlign w:val="center"/>
            <w:hideMark/>
          </w:tcPr>
          <w:p w14:paraId="56B9238E"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244</w:t>
            </w:r>
          </w:p>
        </w:tc>
        <w:tc>
          <w:tcPr>
            <w:tcW w:w="936" w:type="dxa"/>
            <w:tcBorders>
              <w:top w:val="nil"/>
              <w:left w:val="nil"/>
              <w:bottom w:val="nil"/>
              <w:right w:val="nil"/>
            </w:tcBorders>
            <w:shd w:val="clear" w:color="000000" w:fill="F2F2F2"/>
            <w:noWrap/>
            <w:vAlign w:val="center"/>
            <w:hideMark/>
          </w:tcPr>
          <w:p w14:paraId="1795EE9B"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371</w:t>
            </w:r>
          </w:p>
        </w:tc>
        <w:tc>
          <w:tcPr>
            <w:tcW w:w="936" w:type="dxa"/>
            <w:tcBorders>
              <w:top w:val="nil"/>
              <w:left w:val="nil"/>
              <w:bottom w:val="nil"/>
              <w:right w:val="nil"/>
            </w:tcBorders>
            <w:shd w:val="clear" w:color="000000" w:fill="F2F2F2"/>
            <w:noWrap/>
            <w:vAlign w:val="center"/>
            <w:hideMark/>
          </w:tcPr>
          <w:p w14:paraId="6DEF78FD"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177</w:t>
            </w:r>
          </w:p>
        </w:tc>
        <w:tc>
          <w:tcPr>
            <w:tcW w:w="936" w:type="dxa"/>
            <w:tcBorders>
              <w:top w:val="nil"/>
              <w:left w:val="nil"/>
              <w:bottom w:val="nil"/>
              <w:right w:val="nil"/>
            </w:tcBorders>
            <w:shd w:val="clear" w:color="000000" w:fill="F2F2F2"/>
            <w:noWrap/>
            <w:vAlign w:val="center"/>
            <w:hideMark/>
          </w:tcPr>
          <w:p w14:paraId="17016318"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w:t>
            </w:r>
          </w:p>
        </w:tc>
        <w:tc>
          <w:tcPr>
            <w:tcW w:w="936" w:type="dxa"/>
            <w:tcBorders>
              <w:top w:val="nil"/>
              <w:left w:val="nil"/>
              <w:bottom w:val="nil"/>
              <w:right w:val="nil"/>
            </w:tcBorders>
            <w:shd w:val="clear" w:color="000000" w:fill="F2F2F2"/>
            <w:noWrap/>
            <w:vAlign w:val="center"/>
            <w:hideMark/>
          </w:tcPr>
          <w:p w14:paraId="2B4359D3"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w:t>
            </w:r>
          </w:p>
        </w:tc>
        <w:tc>
          <w:tcPr>
            <w:tcW w:w="1048" w:type="dxa"/>
            <w:tcBorders>
              <w:top w:val="nil"/>
              <w:left w:val="nil"/>
              <w:bottom w:val="nil"/>
              <w:right w:val="nil"/>
            </w:tcBorders>
            <w:shd w:val="clear" w:color="000000" w:fill="FFFFFF"/>
            <w:vAlign w:val="center"/>
            <w:hideMark/>
          </w:tcPr>
          <w:p w14:paraId="51D9BFC7"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(100.0)</w:t>
            </w:r>
          </w:p>
        </w:tc>
      </w:tr>
      <w:tr w:rsidR="00F9453E" w:rsidRPr="00667CD1" w14:paraId="325123E1" w14:textId="77777777" w:rsidTr="00824630">
        <w:trPr>
          <w:trHeight w:val="290"/>
        </w:trPr>
        <w:tc>
          <w:tcPr>
            <w:tcW w:w="3496" w:type="dxa"/>
            <w:tcBorders>
              <w:top w:val="nil"/>
              <w:left w:val="nil"/>
              <w:bottom w:val="nil"/>
              <w:right w:val="nil"/>
            </w:tcBorders>
            <w:shd w:val="clear" w:color="000000" w:fill="FFFFFF"/>
            <w:vAlign w:val="bottom"/>
            <w:hideMark/>
          </w:tcPr>
          <w:p w14:paraId="593938D0" w14:textId="77777777" w:rsidR="00F9453E" w:rsidRPr="00667CD1" w:rsidRDefault="00F9453E" w:rsidP="00F9453E">
            <w:pPr>
              <w:rPr>
                <w:rFonts w:ascii="Arial" w:hAnsi="Arial" w:cs="Arial"/>
                <w:sz w:val="12"/>
                <w:szCs w:val="12"/>
                <w:lang w:eastAsia="en-AU"/>
              </w:rPr>
            </w:pPr>
            <w:r w:rsidRPr="00667CD1">
              <w:rPr>
                <w:rFonts w:ascii="Arial" w:hAnsi="Arial" w:cs="Arial"/>
                <w:sz w:val="12"/>
                <w:szCs w:val="12"/>
                <w:lang w:eastAsia="en-AU"/>
              </w:rPr>
              <w:t>Disability</w:t>
            </w:r>
          </w:p>
        </w:tc>
        <w:tc>
          <w:tcPr>
            <w:tcW w:w="936" w:type="dxa"/>
            <w:tcBorders>
              <w:top w:val="nil"/>
              <w:left w:val="nil"/>
              <w:bottom w:val="nil"/>
              <w:right w:val="nil"/>
            </w:tcBorders>
            <w:shd w:val="clear" w:color="000000" w:fill="FFFFFF"/>
            <w:noWrap/>
            <w:vAlign w:val="center"/>
            <w:hideMark/>
          </w:tcPr>
          <w:p w14:paraId="034559F5"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547</w:t>
            </w:r>
          </w:p>
        </w:tc>
        <w:tc>
          <w:tcPr>
            <w:tcW w:w="936" w:type="dxa"/>
            <w:tcBorders>
              <w:top w:val="nil"/>
              <w:left w:val="nil"/>
              <w:bottom w:val="nil"/>
              <w:right w:val="nil"/>
            </w:tcBorders>
            <w:shd w:val="clear" w:color="000000" w:fill="FFFFFF"/>
            <w:noWrap/>
            <w:vAlign w:val="center"/>
            <w:hideMark/>
          </w:tcPr>
          <w:p w14:paraId="1698D00B"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607</w:t>
            </w:r>
          </w:p>
        </w:tc>
        <w:tc>
          <w:tcPr>
            <w:tcW w:w="936" w:type="dxa"/>
            <w:tcBorders>
              <w:top w:val="nil"/>
              <w:left w:val="nil"/>
              <w:bottom w:val="nil"/>
              <w:right w:val="nil"/>
            </w:tcBorders>
            <w:shd w:val="clear" w:color="000000" w:fill="F2F2F2"/>
            <w:noWrap/>
            <w:vAlign w:val="center"/>
            <w:hideMark/>
          </w:tcPr>
          <w:p w14:paraId="7F71E6C6"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618</w:t>
            </w:r>
          </w:p>
        </w:tc>
        <w:tc>
          <w:tcPr>
            <w:tcW w:w="936" w:type="dxa"/>
            <w:tcBorders>
              <w:top w:val="nil"/>
              <w:left w:val="nil"/>
              <w:bottom w:val="nil"/>
              <w:right w:val="nil"/>
            </w:tcBorders>
            <w:shd w:val="clear" w:color="000000" w:fill="F2F2F2"/>
            <w:noWrap/>
            <w:vAlign w:val="center"/>
            <w:hideMark/>
          </w:tcPr>
          <w:p w14:paraId="4FAF3449"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630</w:t>
            </w:r>
          </w:p>
        </w:tc>
        <w:tc>
          <w:tcPr>
            <w:tcW w:w="936" w:type="dxa"/>
            <w:tcBorders>
              <w:top w:val="nil"/>
              <w:left w:val="nil"/>
              <w:bottom w:val="nil"/>
              <w:right w:val="nil"/>
            </w:tcBorders>
            <w:shd w:val="clear" w:color="000000" w:fill="F2F2F2"/>
            <w:noWrap/>
            <w:vAlign w:val="center"/>
            <w:hideMark/>
          </w:tcPr>
          <w:p w14:paraId="0F75C630"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350</w:t>
            </w:r>
          </w:p>
        </w:tc>
        <w:tc>
          <w:tcPr>
            <w:tcW w:w="936" w:type="dxa"/>
            <w:tcBorders>
              <w:top w:val="nil"/>
              <w:left w:val="nil"/>
              <w:bottom w:val="nil"/>
              <w:right w:val="nil"/>
            </w:tcBorders>
            <w:shd w:val="clear" w:color="000000" w:fill="F2F2F2"/>
            <w:noWrap/>
            <w:vAlign w:val="center"/>
            <w:hideMark/>
          </w:tcPr>
          <w:p w14:paraId="3440E7F8"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362</w:t>
            </w:r>
          </w:p>
        </w:tc>
        <w:tc>
          <w:tcPr>
            <w:tcW w:w="1048" w:type="dxa"/>
            <w:tcBorders>
              <w:top w:val="nil"/>
              <w:left w:val="nil"/>
              <w:bottom w:val="nil"/>
              <w:right w:val="nil"/>
            </w:tcBorders>
            <w:shd w:val="clear" w:color="000000" w:fill="FFFFFF"/>
            <w:vAlign w:val="center"/>
            <w:hideMark/>
          </w:tcPr>
          <w:p w14:paraId="390FE857"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(12.1)</w:t>
            </w:r>
          </w:p>
        </w:tc>
      </w:tr>
      <w:tr w:rsidR="00F9453E" w:rsidRPr="00667CD1" w14:paraId="213A8F53" w14:textId="77777777" w:rsidTr="00824630">
        <w:trPr>
          <w:trHeight w:val="290"/>
        </w:trPr>
        <w:tc>
          <w:tcPr>
            <w:tcW w:w="3496" w:type="dxa"/>
            <w:tcBorders>
              <w:top w:val="nil"/>
              <w:left w:val="nil"/>
              <w:bottom w:val="nil"/>
              <w:right w:val="nil"/>
            </w:tcBorders>
            <w:shd w:val="clear" w:color="000000" w:fill="FFFFFF"/>
            <w:vAlign w:val="bottom"/>
            <w:hideMark/>
          </w:tcPr>
          <w:p w14:paraId="6DDA3325" w14:textId="77777777" w:rsidR="00F9453E" w:rsidRPr="00667CD1" w:rsidRDefault="00F9453E" w:rsidP="00F9453E">
            <w:pPr>
              <w:rPr>
                <w:rFonts w:ascii="Arial" w:hAnsi="Arial" w:cs="Arial"/>
                <w:sz w:val="12"/>
                <w:szCs w:val="12"/>
                <w:lang w:eastAsia="en-AU"/>
              </w:rPr>
            </w:pPr>
            <w:r w:rsidRPr="00667CD1">
              <w:rPr>
                <w:rFonts w:ascii="Arial" w:hAnsi="Arial" w:cs="Arial"/>
                <w:sz w:val="12"/>
                <w:szCs w:val="12"/>
                <w:lang w:eastAsia="en-AU"/>
              </w:rPr>
              <w:t>Health</w:t>
            </w:r>
          </w:p>
        </w:tc>
        <w:tc>
          <w:tcPr>
            <w:tcW w:w="936" w:type="dxa"/>
            <w:tcBorders>
              <w:top w:val="nil"/>
              <w:left w:val="nil"/>
              <w:bottom w:val="nil"/>
              <w:right w:val="nil"/>
            </w:tcBorders>
            <w:shd w:val="clear" w:color="000000" w:fill="FFFFFF"/>
            <w:noWrap/>
            <w:vAlign w:val="center"/>
            <w:hideMark/>
          </w:tcPr>
          <w:p w14:paraId="66E90C6C"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145</w:t>
            </w:r>
          </w:p>
        </w:tc>
        <w:tc>
          <w:tcPr>
            <w:tcW w:w="936" w:type="dxa"/>
            <w:tcBorders>
              <w:top w:val="nil"/>
              <w:left w:val="nil"/>
              <w:bottom w:val="nil"/>
              <w:right w:val="nil"/>
            </w:tcBorders>
            <w:shd w:val="clear" w:color="000000" w:fill="FFFFFF"/>
            <w:noWrap/>
            <w:vAlign w:val="center"/>
            <w:hideMark/>
          </w:tcPr>
          <w:p w14:paraId="158E805A"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115</w:t>
            </w:r>
          </w:p>
        </w:tc>
        <w:tc>
          <w:tcPr>
            <w:tcW w:w="936" w:type="dxa"/>
            <w:tcBorders>
              <w:top w:val="nil"/>
              <w:left w:val="nil"/>
              <w:bottom w:val="nil"/>
              <w:right w:val="nil"/>
            </w:tcBorders>
            <w:shd w:val="clear" w:color="000000" w:fill="F2F2F2"/>
            <w:noWrap/>
            <w:vAlign w:val="center"/>
            <w:hideMark/>
          </w:tcPr>
          <w:p w14:paraId="16DEAC81"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113</w:t>
            </w:r>
          </w:p>
        </w:tc>
        <w:tc>
          <w:tcPr>
            <w:tcW w:w="936" w:type="dxa"/>
            <w:tcBorders>
              <w:top w:val="nil"/>
              <w:left w:val="nil"/>
              <w:bottom w:val="nil"/>
              <w:right w:val="nil"/>
            </w:tcBorders>
            <w:shd w:val="clear" w:color="000000" w:fill="F2F2F2"/>
            <w:noWrap/>
            <w:vAlign w:val="center"/>
            <w:hideMark/>
          </w:tcPr>
          <w:p w14:paraId="778C7FFD"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55</w:t>
            </w:r>
          </w:p>
        </w:tc>
        <w:tc>
          <w:tcPr>
            <w:tcW w:w="936" w:type="dxa"/>
            <w:tcBorders>
              <w:top w:val="nil"/>
              <w:left w:val="nil"/>
              <w:bottom w:val="nil"/>
              <w:right w:val="nil"/>
            </w:tcBorders>
            <w:shd w:val="clear" w:color="000000" w:fill="F2F2F2"/>
            <w:noWrap/>
            <w:vAlign w:val="center"/>
            <w:hideMark/>
          </w:tcPr>
          <w:p w14:paraId="641716C7"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36</w:t>
            </w:r>
          </w:p>
        </w:tc>
        <w:tc>
          <w:tcPr>
            <w:tcW w:w="936" w:type="dxa"/>
            <w:tcBorders>
              <w:top w:val="nil"/>
              <w:left w:val="nil"/>
              <w:bottom w:val="nil"/>
              <w:right w:val="nil"/>
            </w:tcBorders>
            <w:shd w:val="clear" w:color="000000" w:fill="F2F2F2"/>
            <w:noWrap/>
            <w:vAlign w:val="center"/>
            <w:hideMark/>
          </w:tcPr>
          <w:p w14:paraId="64D1B286"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83</w:t>
            </w:r>
          </w:p>
        </w:tc>
        <w:tc>
          <w:tcPr>
            <w:tcW w:w="1048" w:type="dxa"/>
            <w:tcBorders>
              <w:top w:val="nil"/>
              <w:left w:val="nil"/>
              <w:bottom w:val="nil"/>
              <w:right w:val="nil"/>
            </w:tcBorders>
            <w:shd w:val="clear" w:color="000000" w:fill="FFFFFF"/>
            <w:vAlign w:val="center"/>
            <w:hideMark/>
          </w:tcPr>
          <w:p w14:paraId="5BBA9D8A"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(7.9)</w:t>
            </w:r>
          </w:p>
        </w:tc>
      </w:tr>
      <w:tr w:rsidR="00F9453E" w:rsidRPr="00667CD1" w14:paraId="7F5A63CC" w14:textId="77777777" w:rsidTr="00824630">
        <w:trPr>
          <w:trHeight w:val="290"/>
        </w:trPr>
        <w:tc>
          <w:tcPr>
            <w:tcW w:w="3496" w:type="dxa"/>
            <w:tcBorders>
              <w:top w:val="nil"/>
              <w:left w:val="nil"/>
              <w:bottom w:val="nil"/>
              <w:right w:val="nil"/>
            </w:tcBorders>
            <w:shd w:val="clear" w:color="000000" w:fill="FFFFFF"/>
            <w:vAlign w:val="bottom"/>
            <w:hideMark/>
          </w:tcPr>
          <w:p w14:paraId="5E9934F9" w14:textId="77777777" w:rsidR="00F9453E" w:rsidRPr="00667CD1" w:rsidRDefault="00F9453E" w:rsidP="00F9453E">
            <w:pPr>
              <w:rPr>
                <w:rFonts w:ascii="Arial" w:hAnsi="Arial" w:cs="Arial"/>
                <w:sz w:val="12"/>
                <w:szCs w:val="12"/>
                <w:lang w:eastAsia="en-AU"/>
              </w:rPr>
            </w:pPr>
            <w:r w:rsidRPr="00667CD1">
              <w:rPr>
                <w:rFonts w:ascii="Arial" w:hAnsi="Arial" w:cs="Arial"/>
                <w:sz w:val="12"/>
                <w:szCs w:val="12"/>
                <w:lang w:eastAsia="en-AU"/>
              </w:rPr>
              <w:t>Housing</w:t>
            </w:r>
          </w:p>
        </w:tc>
        <w:tc>
          <w:tcPr>
            <w:tcW w:w="936" w:type="dxa"/>
            <w:tcBorders>
              <w:top w:val="nil"/>
              <w:left w:val="nil"/>
              <w:bottom w:val="nil"/>
              <w:right w:val="nil"/>
            </w:tcBorders>
            <w:shd w:val="clear" w:color="000000" w:fill="FFFFFF"/>
            <w:noWrap/>
            <w:vAlign w:val="center"/>
            <w:hideMark/>
          </w:tcPr>
          <w:p w14:paraId="36921BC9"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w:t>
            </w:r>
          </w:p>
        </w:tc>
        <w:tc>
          <w:tcPr>
            <w:tcW w:w="936" w:type="dxa"/>
            <w:tcBorders>
              <w:top w:val="nil"/>
              <w:left w:val="nil"/>
              <w:bottom w:val="nil"/>
              <w:right w:val="nil"/>
            </w:tcBorders>
            <w:shd w:val="clear" w:color="000000" w:fill="FFFFFF"/>
            <w:noWrap/>
            <w:vAlign w:val="center"/>
            <w:hideMark/>
          </w:tcPr>
          <w:p w14:paraId="1E40B401"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w:t>
            </w:r>
          </w:p>
        </w:tc>
        <w:tc>
          <w:tcPr>
            <w:tcW w:w="936" w:type="dxa"/>
            <w:tcBorders>
              <w:top w:val="nil"/>
              <w:left w:val="nil"/>
              <w:bottom w:val="nil"/>
              <w:right w:val="nil"/>
            </w:tcBorders>
            <w:shd w:val="clear" w:color="000000" w:fill="F2F2F2"/>
            <w:noWrap/>
            <w:vAlign w:val="center"/>
            <w:hideMark/>
          </w:tcPr>
          <w:p w14:paraId="334656DE"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187</w:t>
            </w:r>
          </w:p>
        </w:tc>
        <w:tc>
          <w:tcPr>
            <w:tcW w:w="936" w:type="dxa"/>
            <w:tcBorders>
              <w:top w:val="nil"/>
              <w:left w:val="nil"/>
              <w:bottom w:val="nil"/>
              <w:right w:val="nil"/>
            </w:tcBorders>
            <w:shd w:val="clear" w:color="000000" w:fill="F2F2F2"/>
            <w:noWrap/>
            <w:vAlign w:val="center"/>
            <w:hideMark/>
          </w:tcPr>
          <w:p w14:paraId="2C7F4796"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w:t>
            </w:r>
          </w:p>
        </w:tc>
        <w:tc>
          <w:tcPr>
            <w:tcW w:w="936" w:type="dxa"/>
            <w:tcBorders>
              <w:top w:val="nil"/>
              <w:left w:val="nil"/>
              <w:bottom w:val="nil"/>
              <w:right w:val="nil"/>
            </w:tcBorders>
            <w:shd w:val="clear" w:color="000000" w:fill="F2F2F2"/>
            <w:noWrap/>
            <w:vAlign w:val="center"/>
            <w:hideMark/>
          </w:tcPr>
          <w:p w14:paraId="29E9FD2A"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w:t>
            </w:r>
          </w:p>
        </w:tc>
        <w:tc>
          <w:tcPr>
            <w:tcW w:w="936" w:type="dxa"/>
            <w:tcBorders>
              <w:top w:val="nil"/>
              <w:left w:val="nil"/>
              <w:bottom w:val="nil"/>
              <w:right w:val="nil"/>
            </w:tcBorders>
            <w:shd w:val="clear" w:color="000000" w:fill="F2F2F2"/>
            <w:noWrap/>
            <w:vAlign w:val="center"/>
            <w:hideMark/>
          </w:tcPr>
          <w:p w14:paraId="10A20C87"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w:t>
            </w:r>
          </w:p>
        </w:tc>
        <w:tc>
          <w:tcPr>
            <w:tcW w:w="1048" w:type="dxa"/>
            <w:tcBorders>
              <w:top w:val="nil"/>
              <w:left w:val="nil"/>
              <w:bottom w:val="nil"/>
              <w:right w:val="nil"/>
            </w:tcBorders>
            <w:shd w:val="clear" w:color="000000" w:fill="FFFFFF"/>
            <w:vAlign w:val="center"/>
            <w:hideMark/>
          </w:tcPr>
          <w:p w14:paraId="33C74979"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 </w:t>
            </w:r>
          </w:p>
        </w:tc>
      </w:tr>
      <w:tr w:rsidR="00F9453E" w:rsidRPr="00667CD1" w14:paraId="3D55E93A" w14:textId="77777777" w:rsidTr="00824630">
        <w:trPr>
          <w:trHeight w:val="290"/>
        </w:trPr>
        <w:tc>
          <w:tcPr>
            <w:tcW w:w="3496" w:type="dxa"/>
            <w:tcBorders>
              <w:top w:val="nil"/>
              <w:left w:val="nil"/>
              <w:bottom w:val="nil"/>
              <w:right w:val="nil"/>
            </w:tcBorders>
            <w:shd w:val="clear" w:color="000000" w:fill="FFFFFF"/>
            <w:vAlign w:val="bottom"/>
            <w:hideMark/>
          </w:tcPr>
          <w:p w14:paraId="49B375D4" w14:textId="77777777" w:rsidR="00F9453E" w:rsidRPr="00667CD1" w:rsidRDefault="00F9453E" w:rsidP="00F9453E">
            <w:pPr>
              <w:rPr>
                <w:rFonts w:ascii="Arial" w:hAnsi="Arial" w:cs="Arial"/>
                <w:sz w:val="12"/>
                <w:szCs w:val="12"/>
                <w:lang w:eastAsia="en-AU"/>
              </w:rPr>
            </w:pPr>
            <w:r w:rsidRPr="00667CD1">
              <w:rPr>
                <w:rFonts w:ascii="Arial" w:hAnsi="Arial" w:cs="Arial"/>
                <w:sz w:val="12"/>
                <w:szCs w:val="12"/>
                <w:lang w:eastAsia="en-AU"/>
              </w:rPr>
              <w:t>Environment</w:t>
            </w:r>
          </w:p>
        </w:tc>
        <w:tc>
          <w:tcPr>
            <w:tcW w:w="936" w:type="dxa"/>
            <w:tcBorders>
              <w:top w:val="nil"/>
              <w:left w:val="nil"/>
              <w:bottom w:val="nil"/>
              <w:right w:val="nil"/>
            </w:tcBorders>
            <w:shd w:val="clear" w:color="000000" w:fill="FFFFFF"/>
            <w:noWrap/>
            <w:vAlign w:val="center"/>
            <w:hideMark/>
          </w:tcPr>
          <w:p w14:paraId="04BC3570"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60</w:t>
            </w:r>
          </w:p>
        </w:tc>
        <w:tc>
          <w:tcPr>
            <w:tcW w:w="936" w:type="dxa"/>
            <w:tcBorders>
              <w:top w:val="nil"/>
              <w:left w:val="nil"/>
              <w:bottom w:val="nil"/>
              <w:right w:val="nil"/>
            </w:tcBorders>
            <w:shd w:val="clear" w:color="000000" w:fill="FFFFFF"/>
            <w:noWrap/>
            <w:vAlign w:val="center"/>
            <w:hideMark/>
          </w:tcPr>
          <w:p w14:paraId="435AC0FC"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696</w:t>
            </w:r>
          </w:p>
        </w:tc>
        <w:tc>
          <w:tcPr>
            <w:tcW w:w="936" w:type="dxa"/>
            <w:tcBorders>
              <w:top w:val="nil"/>
              <w:left w:val="nil"/>
              <w:bottom w:val="nil"/>
              <w:right w:val="nil"/>
            </w:tcBorders>
            <w:shd w:val="clear" w:color="000000" w:fill="F2F2F2"/>
            <w:noWrap/>
            <w:vAlign w:val="center"/>
            <w:hideMark/>
          </w:tcPr>
          <w:p w14:paraId="0BAA5F56"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54</w:t>
            </w:r>
          </w:p>
        </w:tc>
        <w:tc>
          <w:tcPr>
            <w:tcW w:w="936" w:type="dxa"/>
            <w:tcBorders>
              <w:top w:val="nil"/>
              <w:left w:val="nil"/>
              <w:bottom w:val="nil"/>
              <w:right w:val="nil"/>
            </w:tcBorders>
            <w:shd w:val="clear" w:color="000000" w:fill="F2F2F2"/>
            <w:noWrap/>
            <w:vAlign w:val="center"/>
            <w:hideMark/>
          </w:tcPr>
          <w:p w14:paraId="22182D47"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113</w:t>
            </w:r>
          </w:p>
        </w:tc>
        <w:tc>
          <w:tcPr>
            <w:tcW w:w="936" w:type="dxa"/>
            <w:tcBorders>
              <w:top w:val="nil"/>
              <w:left w:val="nil"/>
              <w:bottom w:val="nil"/>
              <w:right w:val="nil"/>
            </w:tcBorders>
            <w:shd w:val="clear" w:color="000000" w:fill="F2F2F2"/>
            <w:noWrap/>
            <w:vAlign w:val="center"/>
            <w:hideMark/>
          </w:tcPr>
          <w:p w14:paraId="148DB7C4"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419</w:t>
            </w:r>
          </w:p>
        </w:tc>
        <w:tc>
          <w:tcPr>
            <w:tcW w:w="936" w:type="dxa"/>
            <w:tcBorders>
              <w:top w:val="nil"/>
              <w:left w:val="nil"/>
              <w:bottom w:val="nil"/>
              <w:right w:val="nil"/>
            </w:tcBorders>
            <w:shd w:val="clear" w:color="000000" w:fill="F2F2F2"/>
            <w:noWrap/>
            <w:vAlign w:val="center"/>
            <w:hideMark/>
          </w:tcPr>
          <w:p w14:paraId="1BCF8BCF"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37</w:t>
            </w:r>
          </w:p>
        </w:tc>
        <w:tc>
          <w:tcPr>
            <w:tcW w:w="1048" w:type="dxa"/>
            <w:tcBorders>
              <w:top w:val="nil"/>
              <w:left w:val="nil"/>
              <w:bottom w:val="nil"/>
              <w:right w:val="nil"/>
            </w:tcBorders>
            <w:shd w:val="clear" w:color="000000" w:fill="FFFFFF"/>
            <w:vAlign w:val="center"/>
            <w:hideMark/>
          </w:tcPr>
          <w:p w14:paraId="0433411F"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(51.9)</w:t>
            </w:r>
          </w:p>
        </w:tc>
      </w:tr>
      <w:tr w:rsidR="00F9453E" w:rsidRPr="00667CD1" w14:paraId="387F0670" w14:textId="77777777" w:rsidTr="00824630">
        <w:trPr>
          <w:trHeight w:val="290"/>
        </w:trPr>
        <w:tc>
          <w:tcPr>
            <w:tcW w:w="3496" w:type="dxa"/>
            <w:tcBorders>
              <w:top w:val="nil"/>
              <w:left w:val="nil"/>
              <w:bottom w:val="nil"/>
              <w:right w:val="nil"/>
            </w:tcBorders>
            <w:shd w:val="clear" w:color="000000" w:fill="FFFFFF"/>
            <w:vAlign w:val="bottom"/>
            <w:hideMark/>
          </w:tcPr>
          <w:p w14:paraId="23E11AEE" w14:textId="77777777" w:rsidR="00F9453E" w:rsidRPr="00667CD1" w:rsidRDefault="00F9453E" w:rsidP="00F9453E">
            <w:pPr>
              <w:rPr>
                <w:rFonts w:ascii="Arial" w:hAnsi="Arial" w:cs="Arial"/>
                <w:sz w:val="12"/>
                <w:szCs w:val="12"/>
                <w:lang w:eastAsia="en-AU"/>
              </w:rPr>
            </w:pPr>
            <w:r w:rsidRPr="00667CD1">
              <w:rPr>
                <w:rFonts w:ascii="Arial" w:hAnsi="Arial" w:cs="Arial"/>
                <w:sz w:val="12"/>
                <w:szCs w:val="12"/>
                <w:lang w:eastAsia="en-AU"/>
              </w:rPr>
              <w:t>Other</w:t>
            </w:r>
          </w:p>
        </w:tc>
        <w:tc>
          <w:tcPr>
            <w:tcW w:w="936" w:type="dxa"/>
            <w:tcBorders>
              <w:top w:val="nil"/>
              <w:left w:val="nil"/>
              <w:bottom w:val="nil"/>
              <w:right w:val="nil"/>
            </w:tcBorders>
            <w:shd w:val="clear" w:color="000000" w:fill="FFFFFF"/>
            <w:noWrap/>
            <w:vAlign w:val="center"/>
            <w:hideMark/>
          </w:tcPr>
          <w:p w14:paraId="0DD2F388"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138</w:t>
            </w:r>
          </w:p>
        </w:tc>
        <w:tc>
          <w:tcPr>
            <w:tcW w:w="936" w:type="dxa"/>
            <w:tcBorders>
              <w:top w:val="nil"/>
              <w:left w:val="nil"/>
              <w:bottom w:val="nil"/>
              <w:right w:val="nil"/>
            </w:tcBorders>
            <w:shd w:val="clear" w:color="000000" w:fill="FFFFFF"/>
            <w:noWrap/>
            <w:vAlign w:val="center"/>
            <w:hideMark/>
          </w:tcPr>
          <w:p w14:paraId="70D55E6D"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99</w:t>
            </w:r>
          </w:p>
        </w:tc>
        <w:tc>
          <w:tcPr>
            <w:tcW w:w="936" w:type="dxa"/>
            <w:tcBorders>
              <w:top w:val="nil"/>
              <w:left w:val="nil"/>
              <w:bottom w:val="nil"/>
              <w:right w:val="nil"/>
            </w:tcBorders>
            <w:shd w:val="clear" w:color="000000" w:fill="F2F2F2"/>
            <w:noWrap/>
            <w:vAlign w:val="center"/>
            <w:hideMark/>
          </w:tcPr>
          <w:p w14:paraId="44947A60"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221</w:t>
            </w:r>
          </w:p>
        </w:tc>
        <w:tc>
          <w:tcPr>
            <w:tcW w:w="936" w:type="dxa"/>
            <w:tcBorders>
              <w:top w:val="nil"/>
              <w:left w:val="nil"/>
              <w:bottom w:val="nil"/>
              <w:right w:val="nil"/>
            </w:tcBorders>
            <w:shd w:val="clear" w:color="000000" w:fill="F2F2F2"/>
            <w:noWrap/>
            <w:vAlign w:val="center"/>
            <w:hideMark/>
          </w:tcPr>
          <w:p w14:paraId="0F279B9B"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123</w:t>
            </w:r>
          </w:p>
        </w:tc>
        <w:tc>
          <w:tcPr>
            <w:tcW w:w="936" w:type="dxa"/>
            <w:tcBorders>
              <w:top w:val="nil"/>
              <w:left w:val="nil"/>
              <w:bottom w:val="nil"/>
              <w:right w:val="nil"/>
            </w:tcBorders>
            <w:shd w:val="clear" w:color="000000" w:fill="F2F2F2"/>
            <w:noWrap/>
            <w:vAlign w:val="center"/>
            <w:hideMark/>
          </w:tcPr>
          <w:p w14:paraId="7D893DE8"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122</w:t>
            </w:r>
          </w:p>
        </w:tc>
        <w:tc>
          <w:tcPr>
            <w:tcW w:w="936" w:type="dxa"/>
            <w:tcBorders>
              <w:top w:val="nil"/>
              <w:left w:val="nil"/>
              <w:bottom w:val="nil"/>
              <w:right w:val="nil"/>
            </w:tcBorders>
            <w:shd w:val="clear" w:color="000000" w:fill="F2F2F2"/>
            <w:noWrap/>
            <w:vAlign w:val="center"/>
            <w:hideMark/>
          </w:tcPr>
          <w:p w14:paraId="1518DAC1"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124</w:t>
            </w:r>
          </w:p>
        </w:tc>
        <w:tc>
          <w:tcPr>
            <w:tcW w:w="1048" w:type="dxa"/>
            <w:tcBorders>
              <w:top w:val="nil"/>
              <w:left w:val="nil"/>
              <w:bottom w:val="nil"/>
              <w:right w:val="nil"/>
            </w:tcBorders>
            <w:shd w:val="clear" w:color="000000" w:fill="FFFFFF"/>
            <w:vAlign w:val="center"/>
            <w:hideMark/>
          </w:tcPr>
          <w:p w14:paraId="758CE01F" w14:textId="77777777" w:rsidR="00F9453E" w:rsidRPr="00667CD1" w:rsidRDefault="00F9453E" w:rsidP="00F9453E">
            <w:pPr>
              <w:jc w:val="center"/>
              <w:rPr>
                <w:rFonts w:ascii="Arial" w:hAnsi="Arial" w:cs="Arial"/>
                <w:sz w:val="12"/>
                <w:szCs w:val="12"/>
                <w:lang w:eastAsia="en-AU"/>
              </w:rPr>
            </w:pPr>
            <w:r w:rsidRPr="00667CD1">
              <w:rPr>
                <w:rFonts w:ascii="Arial" w:hAnsi="Arial" w:cs="Arial"/>
                <w:sz w:val="12"/>
                <w:szCs w:val="12"/>
                <w:lang w:eastAsia="en-AU"/>
              </w:rPr>
              <w:t>6.0</w:t>
            </w:r>
          </w:p>
        </w:tc>
      </w:tr>
      <w:tr w:rsidR="00F9453E" w:rsidRPr="00667CD1" w14:paraId="1B19A48C" w14:textId="77777777" w:rsidTr="00824630">
        <w:trPr>
          <w:trHeight w:val="345"/>
        </w:trPr>
        <w:tc>
          <w:tcPr>
            <w:tcW w:w="3496" w:type="dxa"/>
            <w:tcBorders>
              <w:top w:val="single" w:sz="4" w:space="0" w:color="auto"/>
              <w:left w:val="nil"/>
              <w:bottom w:val="single" w:sz="4" w:space="0" w:color="auto"/>
              <w:right w:val="nil"/>
            </w:tcBorders>
            <w:shd w:val="clear" w:color="000000" w:fill="FFFFFF"/>
            <w:vAlign w:val="center"/>
            <w:hideMark/>
          </w:tcPr>
          <w:p w14:paraId="7C26D638" w14:textId="77777777" w:rsidR="00F9453E" w:rsidRPr="00667CD1" w:rsidRDefault="00F9453E" w:rsidP="00F9453E">
            <w:pPr>
              <w:rPr>
                <w:rFonts w:ascii="Arial" w:hAnsi="Arial" w:cs="Arial"/>
                <w:b/>
                <w:color w:val="008EBA"/>
                <w:sz w:val="12"/>
                <w:szCs w:val="12"/>
                <w:lang w:eastAsia="en-AU"/>
              </w:rPr>
            </w:pPr>
            <w:r w:rsidRPr="00667CD1">
              <w:rPr>
                <w:rFonts w:ascii="Arial" w:hAnsi="Arial" w:cs="Arial"/>
                <w:b/>
                <w:color w:val="008EBA"/>
                <w:sz w:val="12"/>
                <w:szCs w:val="12"/>
                <w:lang w:eastAsia="en-AU"/>
              </w:rPr>
              <w:t xml:space="preserve">Total National Partnership payments </w:t>
            </w:r>
          </w:p>
        </w:tc>
        <w:tc>
          <w:tcPr>
            <w:tcW w:w="936" w:type="dxa"/>
            <w:tcBorders>
              <w:top w:val="single" w:sz="4" w:space="0" w:color="auto"/>
              <w:left w:val="nil"/>
              <w:bottom w:val="single" w:sz="4" w:space="0" w:color="auto"/>
              <w:right w:val="nil"/>
            </w:tcBorders>
            <w:shd w:val="clear" w:color="000000" w:fill="FFFFFF"/>
            <w:noWrap/>
            <w:vAlign w:val="center"/>
            <w:hideMark/>
          </w:tcPr>
          <w:p w14:paraId="78F512E2" w14:textId="77777777" w:rsidR="00F9453E" w:rsidRPr="00667CD1" w:rsidRDefault="00F9453E" w:rsidP="00F9453E">
            <w:pPr>
              <w:jc w:val="center"/>
              <w:rPr>
                <w:rFonts w:ascii="Arial" w:hAnsi="Arial" w:cs="Arial"/>
                <w:b/>
                <w:color w:val="008EBA"/>
                <w:sz w:val="12"/>
                <w:szCs w:val="12"/>
                <w:lang w:eastAsia="en-AU"/>
              </w:rPr>
            </w:pPr>
            <w:r w:rsidRPr="00667CD1">
              <w:rPr>
                <w:rFonts w:ascii="Arial" w:hAnsi="Arial" w:cs="Arial"/>
                <w:b/>
                <w:color w:val="008EBA"/>
                <w:sz w:val="12"/>
                <w:szCs w:val="12"/>
                <w:lang w:eastAsia="en-AU"/>
              </w:rPr>
              <w:t>2,737</w:t>
            </w:r>
          </w:p>
        </w:tc>
        <w:tc>
          <w:tcPr>
            <w:tcW w:w="936" w:type="dxa"/>
            <w:tcBorders>
              <w:top w:val="single" w:sz="4" w:space="0" w:color="auto"/>
              <w:left w:val="nil"/>
              <w:bottom w:val="single" w:sz="4" w:space="0" w:color="auto"/>
              <w:right w:val="nil"/>
            </w:tcBorders>
            <w:shd w:val="clear" w:color="auto" w:fill="auto"/>
            <w:noWrap/>
            <w:vAlign w:val="center"/>
            <w:hideMark/>
          </w:tcPr>
          <w:p w14:paraId="6CE261B5" w14:textId="77777777" w:rsidR="00F9453E" w:rsidRPr="00667CD1" w:rsidRDefault="00F9453E" w:rsidP="00F9453E">
            <w:pPr>
              <w:jc w:val="center"/>
              <w:rPr>
                <w:rFonts w:ascii="Arial" w:hAnsi="Arial" w:cs="Arial"/>
                <w:b/>
                <w:color w:val="008EBA"/>
                <w:sz w:val="12"/>
                <w:szCs w:val="12"/>
                <w:lang w:eastAsia="en-AU"/>
              </w:rPr>
            </w:pPr>
            <w:r w:rsidRPr="00667CD1">
              <w:rPr>
                <w:rFonts w:ascii="Arial" w:hAnsi="Arial" w:cs="Arial"/>
                <w:b/>
                <w:color w:val="008EBA"/>
                <w:sz w:val="12"/>
                <w:szCs w:val="12"/>
                <w:lang w:eastAsia="en-AU"/>
              </w:rPr>
              <w:t>3,886</w:t>
            </w:r>
          </w:p>
        </w:tc>
        <w:tc>
          <w:tcPr>
            <w:tcW w:w="936" w:type="dxa"/>
            <w:tcBorders>
              <w:top w:val="single" w:sz="4" w:space="0" w:color="auto"/>
              <w:left w:val="nil"/>
              <w:bottom w:val="single" w:sz="4" w:space="0" w:color="auto"/>
              <w:right w:val="nil"/>
            </w:tcBorders>
            <w:shd w:val="clear" w:color="000000" w:fill="F2F2F2"/>
            <w:noWrap/>
            <w:vAlign w:val="center"/>
            <w:hideMark/>
          </w:tcPr>
          <w:p w14:paraId="43CB5577" w14:textId="77777777" w:rsidR="00F9453E" w:rsidRPr="00667CD1" w:rsidRDefault="00F9453E" w:rsidP="00F9453E">
            <w:pPr>
              <w:jc w:val="center"/>
              <w:rPr>
                <w:rFonts w:ascii="Arial" w:hAnsi="Arial" w:cs="Arial"/>
                <w:b/>
                <w:color w:val="008EBA"/>
                <w:sz w:val="12"/>
                <w:szCs w:val="12"/>
                <w:lang w:eastAsia="en-AU"/>
              </w:rPr>
            </w:pPr>
            <w:r w:rsidRPr="00667CD1">
              <w:rPr>
                <w:rFonts w:ascii="Arial" w:hAnsi="Arial" w:cs="Arial"/>
                <w:b/>
                <w:color w:val="008EBA"/>
                <w:sz w:val="12"/>
                <w:szCs w:val="12"/>
                <w:lang w:eastAsia="en-AU"/>
              </w:rPr>
              <w:t>3,996</w:t>
            </w:r>
          </w:p>
        </w:tc>
        <w:tc>
          <w:tcPr>
            <w:tcW w:w="936" w:type="dxa"/>
            <w:tcBorders>
              <w:top w:val="single" w:sz="4" w:space="0" w:color="auto"/>
              <w:left w:val="nil"/>
              <w:bottom w:val="single" w:sz="4" w:space="0" w:color="auto"/>
              <w:right w:val="nil"/>
            </w:tcBorders>
            <w:shd w:val="clear" w:color="000000" w:fill="F2F2F2"/>
            <w:noWrap/>
            <w:vAlign w:val="center"/>
            <w:hideMark/>
          </w:tcPr>
          <w:p w14:paraId="6A9A81AE" w14:textId="77777777" w:rsidR="00F9453E" w:rsidRPr="00667CD1" w:rsidRDefault="00F9453E" w:rsidP="00F9453E">
            <w:pPr>
              <w:jc w:val="center"/>
              <w:rPr>
                <w:rFonts w:ascii="Arial" w:hAnsi="Arial" w:cs="Arial"/>
                <w:b/>
                <w:color w:val="008EBA"/>
                <w:sz w:val="12"/>
                <w:szCs w:val="12"/>
                <w:lang w:eastAsia="en-AU"/>
              </w:rPr>
            </w:pPr>
            <w:r w:rsidRPr="00667CD1">
              <w:rPr>
                <w:rFonts w:ascii="Arial" w:hAnsi="Arial" w:cs="Arial"/>
                <w:b/>
                <w:color w:val="008EBA"/>
                <w:sz w:val="12"/>
                <w:szCs w:val="12"/>
                <w:lang w:eastAsia="en-AU"/>
              </w:rPr>
              <w:t>4,166</w:t>
            </w:r>
          </w:p>
        </w:tc>
        <w:tc>
          <w:tcPr>
            <w:tcW w:w="936" w:type="dxa"/>
            <w:tcBorders>
              <w:top w:val="single" w:sz="4" w:space="0" w:color="auto"/>
              <w:left w:val="nil"/>
              <w:bottom w:val="single" w:sz="4" w:space="0" w:color="auto"/>
              <w:right w:val="nil"/>
            </w:tcBorders>
            <w:shd w:val="clear" w:color="000000" w:fill="F2F2F2"/>
            <w:noWrap/>
            <w:vAlign w:val="center"/>
            <w:hideMark/>
          </w:tcPr>
          <w:p w14:paraId="446DED0B" w14:textId="77777777" w:rsidR="00F9453E" w:rsidRPr="00667CD1" w:rsidRDefault="00F9453E" w:rsidP="00F9453E">
            <w:pPr>
              <w:jc w:val="center"/>
              <w:rPr>
                <w:rFonts w:ascii="Arial" w:hAnsi="Arial" w:cs="Arial"/>
                <w:b/>
                <w:color w:val="008EBA"/>
                <w:sz w:val="12"/>
                <w:szCs w:val="12"/>
                <w:lang w:eastAsia="en-AU"/>
              </w:rPr>
            </w:pPr>
            <w:r w:rsidRPr="00667CD1">
              <w:rPr>
                <w:rFonts w:ascii="Arial" w:hAnsi="Arial" w:cs="Arial"/>
                <w:b/>
                <w:color w:val="008EBA"/>
                <w:sz w:val="12"/>
                <w:szCs w:val="12"/>
                <w:lang w:eastAsia="en-AU"/>
              </w:rPr>
              <w:t>3,955</w:t>
            </w:r>
          </w:p>
        </w:tc>
        <w:tc>
          <w:tcPr>
            <w:tcW w:w="936" w:type="dxa"/>
            <w:tcBorders>
              <w:top w:val="single" w:sz="4" w:space="0" w:color="auto"/>
              <w:left w:val="nil"/>
              <w:bottom w:val="single" w:sz="4" w:space="0" w:color="auto"/>
              <w:right w:val="nil"/>
            </w:tcBorders>
            <w:shd w:val="clear" w:color="000000" w:fill="F2F2F2"/>
            <w:noWrap/>
            <w:vAlign w:val="center"/>
            <w:hideMark/>
          </w:tcPr>
          <w:p w14:paraId="482B8A00" w14:textId="77777777" w:rsidR="00F9453E" w:rsidRPr="00667CD1" w:rsidRDefault="00F9453E" w:rsidP="00F9453E">
            <w:pPr>
              <w:jc w:val="center"/>
              <w:rPr>
                <w:rFonts w:ascii="Arial" w:hAnsi="Arial" w:cs="Arial"/>
                <w:b/>
                <w:color w:val="008EBA"/>
                <w:sz w:val="12"/>
                <w:szCs w:val="12"/>
                <w:lang w:eastAsia="en-AU"/>
              </w:rPr>
            </w:pPr>
            <w:r w:rsidRPr="00667CD1">
              <w:rPr>
                <w:rFonts w:ascii="Arial" w:hAnsi="Arial" w:cs="Arial"/>
                <w:b/>
                <w:color w:val="008EBA"/>
                <w:sz w:val="12"/>
                <w:szCs w:val="12"/>
                <w:lang w:eastAsia="en-AU"/>
              </w:rPr>
              <w:t>3,984</w:t>
            </w:r>
          </w:p>
        </w:tc>
        <w:tc>
          <w:tcPr>
            <w:tcW w:w="1048" w:type="dxa"/>
            <w:tcBorders>
              <w:top w:val="single" w:sz="4" w:space="0" w:color="auto"/>
              <w:left w:val="nil"/>
              <w:bottom w:val="single" w:sz="4" w:space="0" w:color="auto"/>
              <w:right w:val="nil"/>
            </w:tcBorders>
            <w:shd w:val="clear" w:color="000000" w:fill="F2F2F2"/>
            <w:noWrap/>
            <w:vAlign w:val="center"/>
            <w:hideMark/>
          </w:tcPr>
          <w:p w14:paraId="4959F505" w14:textId="77777777" w:rsidR="00F9453E" w:rsidRPr="00667CD1" w:rsidRDefault="00F9453E" w:rsidP="00F9453E">
            <w:pPr>
              <w:jc w:val="center"/>
              <w:rPr>
                <w:rFonts w:ascii="Arial" w:hAnsi="Arial" w:cs="Arial"/>
                <w:b/>
                <w:bCs/>
                <w:color w:val="00ABE6"/>
                <w:sz w:val="12"/>
                <w:szCs w:val="12"/>
                <w:lang w:eastAsia="en-AU"/>
              </w:rPr>
            </w:pPr>
            <w:r w:rsidRPr="00667CD1">
              <w:rPr>
                <w:rFonts w:ascii="Arial" w:hAnsi="Arial" w:cs="Arial"/>
                <w:b/>
                <w:color w:val="008EBA"/>
                <w:sz w:val="12"/>
                <w:szCs w:val="12"/>
                <w:lang w:eastAsia="en-AU"/>
              </w:rPr>
              <w:t>0.6</w:t>
            </w:r>
          </w:p>
        </w:tc>
      </w:tr>
    </w:tbl>
    <w:p w14:paraId="3AEC4151" w14:textId="77777777" w:rsidR="00975029" w:rsidRPr="00667CD1" w:rsidRDefault="00975029" w:rsidP="00975029">
      <w:pPr>
        <w:rPr>
          <w:rFonts w:ascii="Arial" w:eastAsiaTheme="minorHAnsi" w:hAnsi="Arial" w:cs="Arial"/>
          <w:sz w:val="2"/>
          <w:szCs w:val="2"/>
        </w:rPr>
      </w:pPr>
    </w:p>
    <w:p w14:paraId="57A22F76" w14:textId="77777777" w:rsidR="00975029" w:rsidRPr="00667CD1" w:rsidRDefault="00975029" w:rsidP="003B4998">
      <w:pPr>
        <w:pStyle w:val="ListParagraph"/>
        <w:numPr>
          <w:ilvl w:val="0"/>
          <w:numId w:val="11"/>
        </w:numPr>
        <w:spacing w:after="200" w:line="276" w:lineRule="auto"/>
        <w:ind w:left="426" w:hanging="426"/>
        <w:rPr>
          <w:rFonts w:ascii="Arial" w:hAnsi="Arial" w:cs="Arial"/>
          <w:sz w:val="14"/>
          <w:szCs w:val="14"/>
        </w:rPr>
      </w:pPr>
      <w:r w:rsidRPr="00667CD1">
        <w:rPr>
          <w:rFonts w:ascii="Arial" w:hAnsi="Arial" w:cs="Arial"/>
          <w:sz w:val="14"/>
          <w:szCs w:val="14"/>
        </w:rPr>
        <w:t>Includes Asset Recycling Initiative payments.</w:t>
      </w:r>
    </w:p>
    <w:p w14:paraId="22BE7FCB" w14:textId="3EC072FC" w:rsidR="003F6F42" w:rsidRPr="00667CD1" w:rsidRDefault="003F6F42" w:rsidP="003F6F42">
      <w:pPr>
        <w:pStyle w:val="Heading3"/>
        <w:numPr>
          <w:ilvl w:val="0"/>
          <w:numId w:val="0"/>
        </w:numPr>
        <w:ind w:left="720" w:hanging="720"/>
        <w:rPr>
          <w:rFonts w:eastAsiaTheme="minorHAnsi"/>
          <w:sz w:val="22"/>
          <w:szCs w:val="28"/>
        </w:rPr>
      </w:pPr>
      <w:bookmarkStart w:id="10" w:name="_Hlk56184615"/>
      <w:r w:rsidRPr="00667CD1">
        <w:rPr>
          <w:rFonts w:eastAsiaTheme="minorHAnsi"/>
          <w:sz w:val="22"/>
          <w:szCs w:val="28"/>
        </w:rPr>
        <w:t xml:space="preserve">Other </w:t>
      </w:r>
      <w:r w:rsidR="00065FDC" w:rsidRPr="00667CD1">
        <w:rPr>
          <w:rFonts w:eastAsiaTheme="minorHAnsi"/>
          <w:sz w:val="22"/>
          <w:szCs w:val="28"/>
        </w:rPr>
        <w:t>Commonwealth payments</w:t>
      </w:r>
    </w:p>
    <w:bookmarkEnd w:id="10"/>
    <w:p w14:paraId="639661A8" w14:textId="43BBD19D" w:rsidR="00065FDC" w:rsidRPr="00667CD1" w:rsidRDefault="6EA06C90" w:rsidP="00DC5EFC">
      <w:pPr>
        <w:pStyle w:val="BodyText"/>
        <w:rPr>
          <w:sz w:val="20"/>
          <w:szCs w:val="16"/>
        </w:rPr>
      </w:pPr>
      <w:r w:rsidRPr="00667CD1">
        <w:rPr>
          <w:sz w:val="20"/>
          <w:szCs w:val="16"/>
        </w:rPr>
        <w:t>Other Commonwealth payments are forecast to be $6</w:t>
      </w:r>
      <w:r w:rsidR="20B33041" w:rsidRPr="00667CD1">
        <w:rPr>
          <w:sz w:val="20"/>
          <w:szCs w:val="16"/>
        </w:rPr>
        <w:t>43.7</w:t>
      </w:r>
      <w:r w:rsidRPr="00667CD1">
        <w:rPr>
          <w:sz w:val="20"/>
          <w:szCs w:val="16"/>
        </w:rPr>
        <w:t xml:space="preserve"> million in 2020-21. This represents </w:t>
      </w:r>
      <w:r w:rsidR="5EFD303E" w:rsidRPr="00667CD1">
        <w:rPr>
          <w:sz w:val="20"/>
          <w:szCs w:val="16"/>
        </w:rPr>
        <w:t>a</w:t>
      </w:r>
      <w:r w:rsidRPr="00667CD1">
        <w:rPr>
          <w:sz w:val="20"/>
          <w:szCs w:val="16"/>
        </w:rPr>
        <w:t xml:space="preserve"> $1</w:t>
      </w:r>
      <w:r w:rsidR="20B33041" w:rsidRPr="00667CD1">
        <w:rPr>
          <w:sz w:val="20"/>
          <w:szCs w:val="16"/>
        </w:rPr>
        <w:t>88.4</w:t>
      </w:r>
      <w:r w:rsidRPr="00667CD1">
        <w:rPr>
          <w:sz w:val="20"/>
          <w:szCs w:val="16"/>
        </w:rPr>
        <w:t xml:space="preserve"> million increase in revenue since 2019-20. Over the four years to 2023-24, other Commonwealth payments have </w:t>
      </w:r>
      <w:r w:rsidR="3D1D9E92" w:rsidRPr="00667CD1">
        <w:rPr>
          <w:sz w:val="20"/>
          <w:szCs w:val="16"/>
        </w:rPr>
        <w:t>increased</w:t>
      </w:r>
      <w:r w:rsidRPr="00667CD1">
        <w:rPr>
          <w:sz w:val="20"/>
          <w:szCs w:val="16"/>
        </w:rPr>
        <w:t xml:space="preserve"> by $</w:t>
      </w:r>
      <w:r w:rsidR="20B33041" w:rsidRPr="00667CD1">
        <w:rPr>
          <w:sz w:val="20"/>
          <w:szCs w:val="16"/>
        </w:rPr>
        <w:t>603.2</w:t>
      </w:r>
      <w:r w:rsidRPr="00667CD1">
        <w:rPr>
          <w:sz w:val="20"/>
          <w:szCs w:val="16"/>
        </w:rPr>
        <w:t xml:space="preserve"> million</w:t>
      </w:r>
      <w:r w:rsidR="7CC5E283" w:rsidRPr="00667CD1">
        <w:rPr>
          <w:sz w:val="20"/>
          <w:szCs w:val="16"/>
        </w:rPr>
        <w:t xml:space="preserve"> since the 2019-20 Half-Yearly Review</w:t>
      </w:r>
      <w:r w:rsidRPr="00667CD1">
        <w:rPr>
          <w:sz w:val="20"/>
          <w:szCs w:val="16"/>
        </w:rPr>
        <w:t>. These revisions reflect a</w:t>
      </w:r>
      <w:r w:rsidR="04152EAC" w:rsidRPr="00667CD1">
        <w:rPr>
          <w:sz w:val="20"/>
          <w:szCs w:val="16"/>
        </w:rPr>
        <w:t xml:space="preserve"> forecast</w:t>
      </w:r>
      <w:r w:rsidRPr="00667CD1">
        <w:rPr>
          <w:sz w:val="20"/>
          <w:szCs w:val="16"/>
        </w:rPr>
        <w:t xml:space="preserve"> additional $270 million over 2020-21 and 2021-22 for Bushfire Local Economies Recovery </w:t>
      </w:r>
      <w:r w:rsidR="66D5C1D8" w:rsidRPr="00667CD1">
        <w:rPr>
          <w:sz w:val="20"/>
          <w:szCs w:val="16"/>
        </w:rPr>
        <w:t>funding</w:t>
      </w:r>
      <w:r w:rsidRPr="00667CD1">
        <w:rPr>
          <w:sz w:val="20"/>
          <w:szCs w:val="16"/>
        </w:rPr>
        <w:t xml:space="preserve"> </w:t>
      </w:r>
      <w:proofErr w:type="gramStart"/>
      <w:r w:rsidRPr="00667CD1">
        <w:rPr>
          <w:sz w:val="20"/>
          <w:szCs w:val="16"/>
        </w:rPr>
        <w:t>and also</w:t>
      </w:r>
      <w:proofErr w:type="gramEnd"/>
      <w:r w:rsidRPr="00667CD1">
        <w:rPr>
          <w:sz w:val="20"/>
          <w:szCs w:val="16"/>
        </w:rPr>
        <w:t xml:space="preserve"> the reclassification of $181 million </w:t>
      </w:r>
      <w:r w:rsidR="735D331E" w:rsidRPr="00667CD1">
        <w:rPr>
          <w:sz w:val="20"/>
          <w:szCs w:val="16"/>
        </w:rPr>
        <w:t xml:space="preserve">over the four years to 2023-24 </w:t>
      </w:r>
      <w:r w:rsidRPr="00667CD1">
        <w:rPr>
          <w:sz w:val="20"/>
          <w:szCs w:val="16"/>
        </w:rPr>
        <w:t>for the Aged Care Assessment Program to this category</w:t>
      </w:r>
      <w:r w:rsidRPr="00667CD1" w:rsidDel="00A47499">
        <w:rPr>
          <w:sz w:val="20"/>
          <w:szCs w:val="16"/>
        </w:rPr>
        <w:t>.</w:t>
      </w:r>
    </w:p>
    <w:p w14:paraId="5BC38668" w14:textId="77777777" w:rsidR="00065FDC" w:rsidRPr="00667CD1" w:rsidRDefault="00065FDC" w:rsidP="00065FDC">
      <w:pPr>
        <w:pStyle w:val="Heading3"/>
        <w:numPr>
          <w:ilvl w:val="0"/>
          <w:numId w:val="0"/>
        </w:numPr>
        <w:ind w:left="720" w:hanging="720"/>
        <w:rPr>
          <w:rFonts w:eastAsiaTheme="minorHAnsi"/>
          <w:sz w:val="22"/>
          <w:szCs w:val="28"/>
        </w:rPr>
      </w:pPr>
      <w:r w:rsidRPr="00667CD1">
        <w:rPr>
          <w:rFonts w:eastAsiaTheme="minorHAnsi"/>
          <w:sz w:val="22"/>
          <w:szCs w:val="28"/>
        </w:rPr>
        <w:lastRenderedPageBreak/>
        <w:t>Other grants</w:t>
      </w:r>
    </w:p>
    <w:p w14:paraId="112482F0" w14:textId="2939FAA4" w:rsidR="00CF54F6" w:rsidRPr="00667CD1" w:rsidRDefault="003F6F42" w:rsidP="00DC5EFC">
      <w:pPr>
        <w:pStyle w:val="BodyText"/>
        <w:rPr>
          <w:sz w:val="20"/>
          <w:szCs w:val="16"/>
        </w:rPr>
      </w:pPr>
      <w:r w:rsidRPr="00667CD1">
        <w:rPr>
          <w:sz w:val="20"/>
          <w:szCs w:val="16"/>
        </w:rPr>
        <w:t>Other grants are expected to provide $</w:t>
      </w:r>
      <w:r w:rsidR="00933AA6" w:rsidRPr="00667CD1">
        <w:rPr>
          <w:sz w:val="20"/>
          <w:szCs w:val="16"/>
        </w:rPr>
        <w:t>638.3</w:t>
      </w:r>
      <w:r w:rsidRPr="00667CD1">
        <w:rPr>
          <w:sz w:val="20"/>
          <w:szCs w:val="16"/>
        </w:rPr>
        <w:t xml:space="preserve"> million in 20</w:t>
      </w:r>
      <w:r w:rsidR="00065FDC" w:rsidRPr="00667CD1">
        <w:rPr>
          <w:sz w:val="20"/>
          <w:szCs w:val="16"/>
        </w:rPr>
        <w:t>20-21</w:t>
      </w:r>
      <w:r w:rsidRPr="00667CD1">
        <w:rPr>
          <w:sz w:val="20"/>
          <w:szCs w:val="16"/>
        </w:rPr>
        <w:t xml:space="preserve"> and grow by </w:t>
      </w:r>
      <w:r w:rsidR="001362D5" w:rsidRPr="00667CD1">
        <w:rPr>
          <w:sz w:val="20"/>
          <w:szCs w:val="16"/>
        </w:rPr>
        <w:t>1.8</w:t>
      </w:r>
      <w:r w:rsidR="00065FDC" w:rsidRPr="00667CD1">
        <w:rPr>
          <w:sz w:val="20"/>
          <w:szCs w:val="16"/>
        </w:rPr>
        <w:t xml:space="preserve"> </w:t>
      </w:r>
      <w:r w:rsidRPr="00667CD1">
        <w:rPr>
          <w:sz w:val="20"/>
          <w:szCs w:val="16"/>
        </w:rPr>
        <w:t>per</w:t>
      </w:r>
      <w:r w:rsidR="00065FDC" w:rsidRPr="00667CD1">
        <w:rPr>
          <w:sz w:val="20"/>
          <w:szCs w:val="16"/>
        </w:rPr>
        <w:t xml:space="preserve"> </w:t>
      </w:r>
      <w:r w:rsidRPr="00667CD1">
        <w:rPr>
          <w:sz w:val="20"/>
          <w:szCs w:val="16"/>
        </w:rPr>
        <w:t xml:space="preserve">cent </w:t>
      </w:r>
      <w:r w:rsidR="009E6E6A" w:rsidRPr="00667CD1">
        <w:rPr>
          <w:sz w:val="20"/>
          <w:szCs w:val="16"/>
        </w:rPr>
        <w:t xml:space="preserve">per annum </w:t>
      </w:r>
      <w:r w:rsidR="00065FDC" w:rsidRPr="00667CD1">
        <w:rPr>
          <w:sz w:val="20"/>
          <w:szCs w:val="16"/>
        </w:rPr>
        <w:t xml:space="preserve">on average </w:t>
      </w:r>
      <w:r w:rsidRPr="00667CD1">
        <w:rPr>
          <w:sz w:val="20"/>
          <w:szCs w:val="16"/>
        </w:rPr>
        <w:t>over the four years to 202</w:t>
      </w:r>
      <w:r w:rsidR="00065FDC" w:rsidRPr="00667CD1">
        <w:rPr>
          <w:sz w:val="20"/>
          <w:szCs w:val="16"/>
        </w:rPr>
        <w:t>3</w:t>
      </w:r>
      <w:r w:rsidRPr="00667CD1">
        <w:rPr>
          <w:sz w:val="20"/>
          <w:szCs w:val="16"/>
        </w:rPr>
        <w:t>-2</w:t>
      </w:r>
      <w:r w:rsidR="00065FDC" w:rsidRPr="00667CD1">
        <w:rPr>
          <w:sz w:val="20"/>
          <w:szCs w:val="16"/>
        </w:rPr>
        <w:t>4</w:t>
      </w:r>
      <w:r w:rsidRPr="00667CD1">
        <w:rPr>
          <w:sz w:val="20"/>
          <w:szCs w:val="16"/>
        </w:rPr>
        <w:t>.</w:t>
      </w:r>
    </w:p>
    <w:p w14:paraId="1122EF0E" w14:textId="77777777" w:rsidR="000E2C4A" w:rsidRPr="00667CD1" w:rsidRDefault="000E2C4A" w:rsidP="000E2C4A">
      <w:pPr>
        <w:rPr>
          <w:sz w:val="4"/>
          <w:szCs w:val="4"/>
        </w:rPr>
      </w:pPr>
    </w:p>
    <w:tbl>
      <w:tblPr>
        <w:tblW w:w="9615" w:type="dxa"/>
        <w:jc w:val="right"/>
        <w:shd w:val="clear" w:color="auto" w:fill="F2F2F2" w:themeFill="background1" w:themeFillShade="F2"/>
        <w:tblLayout w:type="fixed"/>
        <w:tblCellMar>
          <w:left w:w="0" w:type="dxa"/>
          <w:right w:w="0" w:type="dxa"/>
        </w:tblCellMar>
        <w:tblLook w:val="04A0" w:firstRow="1" w:lastRow="0" w:firstColumn="1" w:lastColumn="0" w:noHBand="0" w:noVBand="1"/>
        <w:tblCaption w:val="Box 4.4: Driving federation reform: the NSW Review of Federal Financial Relations"/>
        <w:tblDescription w:val="Box 4.4: Driving federation reform: the NSW Review of Federal Financial Relations"/>
      </w:tblPr>
      <w:tblGrid>
        <w:gridCol w:w="9615"/>
      </w:tblGrid>
      <w:tr w:rsidR="002A190E" w:rsidRPr="00667CD1" w14:paraId="5BB8A9C7" w14:textId="77777777" w:rsidTr="6341F97D">
        <w:trPr>
          <w:trHeight w:val="653"/>
          <w:jc w:val="right"/>
        </w:trPr>
        <w:tc>
          <w:tcPr>
            <w:tcW w:w="9615" w:type="dxa"/>
            <w:shd w:val="clear" w:color="auto" w:fill="F2F2F2" w:themeFill="background1" w:themeFillShade="F2"/>
            <w:tcMar>
              <w:top w:w="0" w:type="dxa"/>
              <w:left w:w="108" w:type="dxa"/>
              <w:bottom w:w="0" w:type="dxa"/>
              <w:right w:w="108" w:type="dxa"/>
            </w:tcMar>
          </w:tcPr>
          <w:p w14:paraId="7568B0E9" w14:textId="692936B5" w:rsidR="002A190E" w:rsidRPr="00667CD1" w:rsidRDefault="1C919611" w:rsidP="009375D4">
            <w:pPr>
              <w:pStyle w:val="Box51BoxHeading"/>
              <w:rPr>
                <w:rFonts w:eastAsia="Arial"/>
                <w:sz w:val="19"/>
                <w:szCs w:val="16"/>
              </w:rPr>
            </w:pPr>
            <w:r w:rsidRPr="00667CD1">
              <w:rPr>
                <w:rFonts w:eastAsia="Arial"/>
                <w:sz w:val="19"/>
                <w:szCs w:val="16"/>
              </w:rPr>
              <w:t>Box 4.</w:t>
            </w:r>
            <w:r w:rsidR="00CE179C" w:rsidRPr="00667CD1">
              <w:rPr>
                <w:rFonts w:eastAsia="Arial"/>
                <w:sz w:val="19"/>
                <w:szCs w:val="16"/>
              </w:rPr>
              <w:t>4</w:t>
            </w:r>
            <w:r w:rsidRPr="00667CD1">
              <w:rPr>
                <w:rFonts w:eastAsia="Arial"/>
                <w:sz w:val="19"/>
                <w:szCs w:val="16"/>
              </w:rPr>
              <w:t xml:space="preserve">: </w:t>
            </w:r>
            <w:r w:rsidR="5E633546" w:rsidRPr="00667CD1">
              <w:rPr>
                <w:rFonts w:eastAsia="Arial"/>
                <w:sz w:val="19"/>
                <w:szCs w:val="16"/>
              </w:rPr>
              <w:t>Driving federation reform: the</w:t>
            </w:r>
            <w:r w:rsidR="00FE5A29" w:rsidRPr="00667CD1">
              <w:rPr>
                <w:rFonts w:eastAsia="Arial"/>
                <w:sz w:val="19"/>
                <w:szCs w:val="16"/>
              </w:rPr>
              <w:t xml:space="preserve"> NSW</w:t>
            </w:r>
            <w:r w:rsidR="5E633546" w:rsidRPr="00667CD1">
              <w:rPr>
                <w:rFonts w:eastAsia="Arial"/>
                <w:sz w:val="19"/>
                <w:szCs w:val="16"/>
              </w:rPr>
              <w:t xml:space="preserve"> </w:t>
            </w:r>
            <w:r w:rsidR="00DD1E5A" w:rsidRPr="00667CD1">
              <w:rPr>
                <w:rFonts w:eastAsia="Arial"/>
                <w:sz w:val="19"/>
                <w:szCs w:val="16"/>
              </w:rPr>
              <w:t>Review of</w:t>
            </w:r>
            <w:r w:rsidR="5E633546" w:rsidRPr="00667CD1">
              <w:rPr>
                <w:rFonts w:eastAsia="Arial"/>
                <w:sz w:val="19"/>
                <w:szCs w:val="16"/>
              </w:rPr>
              <w:t xml:space="preserve"> </w:t>
            </w:r>
            <w:r w:rsidR="48C2BCB2" w:rsidRPr="00667CD1">
              <w:rPr>
                <w:rFonts w:eastAsia="Arial"/>
                <w:sz w:val="19"/>
                <w:szCs w:val="16"/>
              </w:rPr>
              <w:t>Federal Financial Relations</w:t>
            </w:r>
          </w:p>
          <w:p w14:paraId="60EF844F" w14:textId="1977EC47" w:rsidR="00415A13" w:rsidRPr="00667CD1" w:rsidRDefault="00415A13" w:rsidP="00820C69">
            <w:pPr>
              <w:pStyle w:val="BodyTextBox"/>
              <w:rPr>
                <w:rFonts w:eastAsia="Calibri"/>
                <w:sz w:val="20"/>
                <w:szCs w:val="20"/>
              </w:rPr>
            </w:pPr>
            <w:r w:rsidRPr="00667CD1">
              <w:rPr>
                <w:rFonts w:eastAsia="Calibri"/>
                <w:sz w:val="20"/>
                <w:szCs w:val="20"/>
              </w:rPr>
              <w:t xml:space="preserve">As the Nation’s largest </w:t>
            </w:r>
            <w:r w:rsidR="00023C2C" w:rsidRPr="00667CD1">
              <w:rPr>
                <w:rFonts w:eastAsia="Calibri"/>
                <w:sz w:val="20"/>
                <w:szCs w:val="20"/>
              </w:rPr>
              <w:t>S</w:t>
            </w:r>
            <w:r w:rsidRPr="00667CD1">
              <w:rPr>
                <w:rFonts w:eastAsia="Calibri"/>
                <w:sz w:val="20"/>
                <w:szCs w:val="20"/>
              </w:rPr>
              <w:t xml:space="preserve">tate economy, it is incumbent on New South Wales to take a leading role in driving a stronger, more effective Federation, where </w:t>
            </w:r>
            <w:r w:rsidR="00972E18" w:rsidRPr="00667CD1">
              <w:rPr>
                <w:rFonts w:eastAsia="Calibri"/>
                <w:sz w:val="20"/>
                <w:szCs w:val="20"/>
              </w:rPr>
              <w:t>Commonwealth</w:t>
            </w:r>
            <w:r w:rsidRPr="00667CD1">
              <w:rPr>
                <w:rFonts w:eastAsia="Calibri"/>
                <w:sz w:val="20"/>
                <w:szCs w:val="20"/>
              </w:rPr>
              <w:t xml:space="preserve">-state relations support the autonomy and ability of states to sustainably fund and deliver services and </w:t>
            </w:r>
            <w:r w:rsidR="00D56ADC" w:rsidRPr="00667CD1">
              <w:rPr>
                <w:rFonts w:eastAsia="Calibri"/>
                <w:sz w:val="20"/>
                <w:szCs w:val="20"/>
              </w:rPr>
              <w:t xml:space="preserve">critical </w:t>
            </w:r>
            <w:r w:rsidRPr="00667CD1">
              <w:rPr>
                <w:rFonts w:eastAsia="Calibri"/>
                <w:sz w:val="20"/>
                <w:szCs w:val="20"/>
              </w:rPr>
              <w:t>infrastructure</w:t>
            </w:r>
            <w:r w:rsidR="00102F9D" w:rsidRPr="00667CD1">
              <w:rPr>
                <w:rFonts w:eastAsia="Calibri"/>
                <w:sz w:val="20"/>
                <w:szCs w:val="20"/>
              </w:rPr>
              <w:t xml:space="preserve"> </w:t>
            </w:r>
            <w:r w:rsidR="00320628" w:rsidRPr="00667CD1">
              <w:rPr>
                <w:rFonts w:eastAsia="Calibri"/>
                <w:sz w:val="20"/>
                <w:szCs w:val="20"/>
              </w:rPr>
              <w:t>to benefit the people of New South Wales</w:t>
            </w:r>
            <w:r w:rsidRPr="00667CD1">
              <w:rPr>
                <w:rFonts w:eastAsia="Calibri"/>
                <w:sz w:val="20"/>
                <w:szCs w:val="20"/>
              </w:rPr>
              <w:t>.</w:t>
            </w:r>
          </w:p>
          <w:p w14:paraId="23F50ECB" w14:textId="353A8DEC" w:rsidR="00052CD2" w:rsidRPr="00667CD1" w:rsidRDefault="00052CD2" w:rsidP="00820C69">
            <w:pPr>
              <w:pStyle w:val="BodyTextBox"/>
              <w:rPr>
                <w:rFonts w:eastAsia="Calibri"/>
                <w:sz w:val="20"/>
                <w:szCs w:val="20"/>
              </w:rPr>
            </w:pPr>
            <w:r w:rsidRPr="00667CD1">
              <w:rPr>
                <w:rFonts w:eastAsia="Calibri"/>
                <w:sz w:val="20"/>
                <w:szCs w:val="20"/>
              </w:rPr>
              <w:t>In the 2019-20 Budget, the NSW Government announced an independent review into federal financial relations, appointing a panel of pre</w:t>
            </w:r>
            <w:r w:rsidR="000F35D9" w:rsidRPr="00667CD1">
              <w:rPr>
                <w:rFonts w:eastAsia="Calibri"/>
                <w:sz w:val="20"/>
                <w:szCs w:val="20"/>
              </w:rPr>
              <w:t>-</w:t>
            </w:r>
            <w:r w:rsidRPr="00667CD1">
              <w:rPr>
                <w:rFonts w:eastAsia="Calibri"/>
                <w:sz w:val="20"/>
                <w:szCs w:val="20"/>
              </w:rPr>
              <w:t xml:space="preserve">eminent experts to lead the review. The panel was chaired by Mr David </w:t>
            </w:r>
            <w:proofErr w:type="spellStart"/>
            <w:r w:rsidRPr="00667CD1">
              <w:rPr>
                <w:rFonts w:eastAsia="Calibri"/>
                <w:sz w:val="20"/>
                <w:szCs w:val="20"/>
              </w:rPr>
              <w:t>Thodey</w:t>
            </w:r>
            <w:proofErr w:type="spellEnd"/>
            <w:r w:rsidRPr="00667CD1">
              <w:rPr>
                <w:rFonts w:eastAsia="Calibri"/>
                <w:sz w:val="20"/>
                <w:szCs w:val="20"/>
              </w:rPr>
              <w:t xml:space="preserve"> AO and included the Rt Hon Sir Bill English KNZM, the Hon John Anderson AO, Professor Anne Twomey, Professor John </w:t>
            </w:r>
            <w:proofErr w:type="spellStart"/>
            <w:r w:rsidRPr="00667CD1">
              <w:rPr>
                <w:rFonts w:eastAsia="Calibri"/>
                <w:sz w:val="20"/>
                <w:szCs w:val="20"/>
              </w:rPr>
              <w:t>Freebairn</w:t>
            </w:r>
            <w:proofErr w:type="spellEnd"/>
            <w:r w:rsidRPr="00667CD1">
              <w:rPr>
                <w:rFonts w:eastAsia="Calibri"/>
                <w:sz w:val="20"/>
                <w:szCs w:val="20"/>
              </w:rPr>
              <w:t xml:space="preserve"> AO and Ms Jane Halton AO PSM. The panel drew together leading experts in public policy reform, microeconomics and tax, constitutional law and federal financial relations. </w:t>
            </w:r>
          </w:p>
          <w:p w14:paraId="44CAF680" w14:textId="532921F5" w:rsidR="002A190E" w:rsidRPr="00667CD1" w:rsidRDefault="00547A1C" w:rsidP="00820C69">
            <w:pPr>
              <w:pStyle w:val="BodyTextBox"/>
              <w:rPr>
                <w:rFonts w:eastAsia="Calibri"/>
                <w:sz w:val="20"/>
                <w:szCs w:val="20"/>
              </w:rPr>
            </w:pPr>
            <w:r w:rsidRPr="00667CD1">
              <w:rPr>
                <w:rFonts w:eastAsia="Calibri"/>
                <w:sz w:val="20"/>
                <w:szCs w:val="20"/>
              </w:rPr>
              <w:t>The Review explored the key challenges and opportunities for the N</w:t>
            </w:r>
            <w:r w:rsidR="00C30F7B" w:rsidRPr="00667CD1">
              <w:rPr>
                <w:rFonts w:eastAsia="Calibri"/>
                <w:sz w:val="20"/>
                <w:szCs w:val="20"/>
              </w:rPr>
              <w:t xml:space="preserve">ew </w:t>
            </w:r>
            <w:r w:rsidRPr="00667CD1">
              <w:rPr>
                <w:rFonts w:eastAsia="Calibri"/>
                <w:sz w:val="20"/>
                <w:szCs w:val="20"/>
              </w:rPr>
              <w:t>S</w:t>
            </w:r>
            <w:r w:rsidR="00C30F7B" w:rsidRPr="00667CD1">
              <w:rPr>
                <w:rFonts w:eastAsia="Calibri"/>
                <w:sz w:val="20"/>
                <w:szCs w:val="20"/>
              </w:rPr>
              <w:t xml:space="preserve">outh </w:t>
            </w:r>
            <w:r w:rsidRPr="00667CD1">
              <w:rPr>
                <w:rFonts w:eastAsia="Calibri"/>
                <w:sz w:val="20"/>
                <w:szCs w:val="20"/>
              </w:rPr>
              <w:t>W</w:t>
            </w:r>
            <w:r w:rsidR="00C30F7B" w:rsidRPr="00667CD1">
              <w:rPr>
                <w:rFonts w:eastAsia="Calibri"/>
                <w:sz w:val="20"/>
                <w:szCs w:val="20"/>
              </w:rPr>
              <w:t>ales</w:t>
            </w:r>
            <w:r w:rsidRPr="00667CD1">
              <w:rPr>
                <w:rFonts w:eastAsia="Calibri"/>
                <w:sz w:val="20"/>
                <w:szCs w:val="20"/>
              </w:rPr>
              <w:t xml:space="preserve"> revenue system and Commonwealth-state relations. Extensive consultation, supported by a discussion paper and draft report, spanned a broad range of viewpoints across the community, industry, think tanks, academia and all levels of </w:t>
            </w:r>
            <w:r w:rsidR="48C2BCB2" w:rsidRPr="00667CD1" w:rsidDel="00547A1C">
              <w:rPr>
                <w:rFonts w:eastAsia="Calibri"/>
                <w:sz w:val="20"/>
                <w:szCs w:val="20"/>
              </w:rPr>
              <w:t>government</w:t>
            </w:r>
            <w:r w:rsidR="48C2BCB2" w:rsidRPr="00667CD1">
              <w:rPr>
                <w:rFonts w:eastAsia="Calibri"/>
                <w:sz w:val="20"/>
                <w:szCs w:val="20"/>
              </w:rPr>
              <w:t>.</w:t>
            </w:r>
          </w:p>
          <w:p w14:paraId="1B7858F4" w14:textId="392BD1D7" w:rsidR="004739EF" w:rsidRPr="00667CD1" w:rsidRDefault="00556018" w:rsidP="00820C69">
            <w:pPr>
              <w:pStyle w:val="BodyTextBox"/>
              <w:rPr>
                <w:rFonts w:eastAsia="Calibri"/>
                <w:sz w:val="20"/>
                <w:szCs w:val="20"/>
              </w:rPr>
            </w:pPr>
            <w:r w:rsidRPr="00667CD1">
              <w:rPr>
                <w:rFonts w:eastAsia="Calibri"/>
                <w:sz w:val="20"/>
                <w:szCs w:val="20"/>
              </w:rPr>
              <w:t>In the context of the devastating 2019-20 bushfires, COVID-19 pandemic and subsequent economic and fiscal downturn across states and territories, the recommendations of the Review’s final report focus on reform of the tax system and federal financial relations to better support the State’s economic recovery, sustainably fund and deliver essential services and infrastructure, and shore up the State’s financial capacity to respond to future crises. The Review also focused on the need for taxes to be as low as possible and changing the tax mix to reduce reliance on inefficient and harmful taxes.</w:t>
            </w:r>
          </w:p>
          <w:p w14:paraId="411F7D89" w14:textId="3FFB39B0" w:rsidR="002A190E" w:rsidRPr="00667CD1" w:rsidRDefault="00051A69" w:rsidP="00820C69">
            <w:pPr>
              <w:pStyle w:val="BodyTextBox"/>
              <w:rPr>
                <w:rFonts w:eastAsia="Calibri"/>
                <w:sz w:val="20"/>
                <w:szCs w:val="20"/>
              </w:rPr>
            </w:pPr>
            <w:r w:rsidRPr="00667CD1">
              <w:rPr>
                <w:rFonts w:eastAsia="Calibri"/>
                <w:sz w:val="20"/>
                <w:szCs w:val="20"/>
              </w:rPr>
              <w:t xml:space="preserve">The Review recommended </w:t>
            </w:r>
            <w:r w:rsidR="0025320E" w:rsidRPr="00667CD1">
              <w:rPr>
                <w:rFonts w:eastAsia="Calibri"/>
                <w:sz w:val="20"/>
                <w:szCs w:val="20"/>
              </w:rPr>
              <w:t>the following areas of reform:</w:t>
            </w:r>
          </w:p>
          <w:p w14:paraId="2985004C" w14:textId="767A9312" w:rsidR="002A190E" w:rsidRPr="00667CD1" w:rsidRDefault="48C2BCB2" w:rsidP="00DC5EFC">
            <w:pPr>
              <w:pStyle w:val="Bullet1inabox"/>
              <w:rPr>
                <w:rFonts w:asciiTheme="minorHAnsi" w:eastAsiaTheme="minorEastAsia" w:hAnsiTheme="minorHAnsi" w:cstheme="minorBidi"/>
                <w:sz w:val="20"/>
                <w:szCs w:val="20"/>
              </w:rPr>
            </w:pPr>
            <w:r w:rsidRPr="00667CD1">
              <w:rPr>
                <w:sz w:val="20"/>
                <w:szCs w:val="18"/>
              </w:rPr>
              <w:t>phas</w:t>
            </w:r>
            <w:r w:rsidR="7102AA77" w:rsidRPr="00667CD1">
              <w:rPr>
                <w:sz w:val="20"/>
                <w:szCs w:val="18"/>
              </w:rPr>
              <w:t>e</w:t>
            </w:r>
            <w:r w:rsidRPr="00667CD1">
              <w:rPr>
                <w:sz w:val="20"/>
                <w:szCs w:val="18"/>
              </w:rPr>
              <w:t xml:space="preserve"> out some of the State’s most </w:t>
            </w:r>
            <w:r w:rsidR="00D675DB" w:rsidRPr="00667CD1">
              <w:rPr>
                <w:sz w:val="20"/>
                <w:szCs w:val="18"/>
              </w:rPr>
              <w:t>inefficient</w:t>
            </w:r>
            <w:r w:rsidRPr="00667CD1">
              <w:rPr>
                <w:sz w:val="20"/>
                <w:szCs w:val="18"/>
              </w:rPr>
              <w:t xml:space="preserve"> taxes, including transfer duties and insurance</w:t>
            </w:r>
            <w:r w:rsidR="0085167A" w:rsidRPr="00667CD1">
              <w:rPr>
                <w:sz w:val="20"/>
                <w:szCs w:val="18"/>
              </w:rPr>
              <w:t xml:space="preserve"> taxes</w:t>
            </w:r>
          </w:p>
          <w:p w14:paraId="0BE2E486" w14:textId="19A8A97B" w:rsidR="002A190E" w:rsidRPr="00667CD1" w:rsidRDefault="48C2BCB2" w:rsidP="00DC5EFC">
            <w:pPr>
              <w:pStyle w:val="Bullet1inabox"/>
              <w:rPr>
                <w:sz w:val="20"/>
                <w:szCs w:val="18"/>
              </w:rPr>
            </w:pPr>
            <w:r w:rsidRPr="00667CD1">
              <w:rPr>
                <w:sz w:val="20"/>
                <w:szCs w:val="18"/>
              </w:rPr>
              <w:t>work with other states to</w:t>
            </w:r>
            <w:r w:rsidR="007A1558" w:rsidRPr="00667CD1">
              <w:rPr>
                <w:sz w:val="20"/>
                <w:szCs w:val="18"/>
              </w:rPr>
              <w:t xml:space="preserve"> </w:t>
            </w:r>
            <w:r w:rsidRPr="00667CD1" w:rsidDel="007A1558">
              <w:rPr>
                <w:sz w:val="20"/>
                <w:szCs w:val="18"/>
              </w:rPr>
              <w:t xml:space="preserve">address the hollowing out </w:t>
            </w:r>
            <w:r w:rsidR="00F753C5" w:rsidRPr="00667CD1">
              <w:rPr>
                <w:sz w:val="20"/>
                <w:szCs w:val="18"/>
              </w:rPr>
              <w:t>of payroll tax</w:t>
            </w:r>
            <w:r w:rsidR="00A53E51" w:rsidRPr="00667CD1">
              <w:rPr>
                <w:sz w:val="20"/>
                <w:szCs w:val="18"/>
              </w:rPr>
              <w:t xml:space="preserve">, support </w:t>
            </w:r>
            <w:r w:rsidR="002B74E3" w:rsidRPr="00667CD1">
              <w:rPr>
                <w:sz w:val="20"/>
                <w:szCs w:val="18"/>
              </w:rPr>
              <w:t>harmonis</w:t>
            </w:r>
            <w:r w:rsidR="00A53E51" w:rsidRPr="00667CD1">
              <w:rPr>
                <w:sz w:val="20"/>
                <w:szCs w:val="18"/>
              </w:rPr>
              <w:t>ation and reduce</w:t>
            </w:r>
            <w:r w:rsidRPr="00667CD1" w:rsidDel="007A1558">
              <w:rPr>
                <w:sz w:val="20"/>
                <w:szCs w:val="18"/>
              </w:rPr>
              <w:t xml:space="preserve"> </w:t>
            </w:r>
            <w:r w:rsidRPr="00667CD1">
              <w:rPr>
                <w:sz w:val="20"/>
                <w:szCs w:val="18"/>
              </w:rPr>
              <w:t xml:space="preserve">complexity </w:t>
            </w:r>
          </w:p>
          <w:p w14:paraId="4BA1CA8D" w14:textId="742079EA" w:rsidR="002A190E" w:rsidRPr="00667CD1" w:rsidRDefault="00A77E04" w:rsidP="00DC5EFC">
            <w:pPr>
              <w:pStyle w:val="Bullet1inabox"/>
              <w:rPr>
                <w:sz w:val="20"/>
                <w:szCs w:val="18"/>
              </w:rPr>
            </w:pPr>
            <w:r w:rsidRPr="00667CD1">
              <w:rPr>
                <w:sz w:val="20"/>
                <w:szCs w:val="18"/>
              </w:rPr>
              <w:t xml:space="preserve">transition </w:t>
            </w:r>
            <w:r w:rsidR="001C5084" w:rsidRPr="00667CD1">
              <w:rPr>
                <w:sz w:val="20"/>
                <w:szCs w:val="18"/>
              </w:rPr>
              <w:t xml:space="preserve">to </w:t>
            </w:r>
            <w:r w:rsidR="00745D70" w:rsidRPr="00667CD1">
              <w:rPr>
                <w:sz w:val="20"/>
                <w:szCs w:val="18"/>
              </w:rPr>
              <w:t>the</w:t>
            </w:r>
            <w:r w:rsidR="009D3964" w:rsidRPr="00667CD1">
              <w:rPr>
                <w:sz w:val="20"/>
                <w:szCs w:val="18"/>
              </w:rPr>
              <w:t xml:space="preserve"> use of broad-based land taxes, to promote a more equitable and efficient tax system</w:t>
            </w:r>
          </w:p>
          <w:p w14:paraId="62E48F6B" w14:textId="32831EFD" w:rsidR="002A190E" w:rsidRPr="00667CD1" w:rsidRDefault="48C2BCB2" w:rsidP="00DC5EFC">
            <w:pPr>
              <w:pStyle w:val="Bullet1inabox"/>
              <w:rPr>
                <w:sz w:val="20"/>
                <w:szCs w:val="18"/>
              </w:rPr>
            </w:pPr>
            <w:r w:rsidRPr="00667CD1">
              <w:rPr>
                <w:sz w:val="20"/>
                <w:szCs w:val="18"/>
              </w:rPr>
              <w:t>work with other states to modernise the w</w:t>
            </w:r>
            <w:r w:rsidR="00DA46A8" w:rsidRPr="00667CD1">
              <w:rPr>
                <w:sz w:val="20"/>
                <w:szCs w:val="18"/>
              </w:rPr>
              <w:t>ay that roads are used and funded</w:t>
            </w:r>
            <w:r w:rsidRPr="00667CD1">
              <w:rPr>
                <w:sz w:val="20"/>
                <w:szCs w:val="18"/>
              </w:rPr>
              <w:t>.</w:t>
            </w:r>
          </w:p>
          <w:p w14:paraId="49612DA5" w14:textId="1EFE033A" w:rsidR="00A50628" w:rsidRPr="00667CD1" w:rsidRDefault="48C2BCB2" w:rsidP="00820C69">
            <w:pPr>
              <w:pStyle w:val="BodyTextBox"/>
              <w:rPr>
                <w:rFonts w:eastAsia="Calibri"/>
                <w:sz w:val="20"/>
                <w:szCs w:val="20"/>
              </w:rPr>
            </w:pPr>
            <w:r w:rsidRPr="00667CD1">
              <w:rPr>
                <w:rFonts w:eastAsia="Calibri"/>
                <w:sz w:val="20"/>
                <w:szCs w:val="20"/>
              </w:rPr>
              <w:t>By commissioning this independent Review and by actively driving forums such as the Board of Treasurers in our intergovernmental landscape, N</w:t>
            </w:r>
            <w:r w:rsidR="00B36259" w:rsidRPr="00667CD1">
              <w:rPr>
                <w:rFonts w:eastAsia="Calibri"/>
                <w:sz w:val="20"/>
                <w:szCs w:val="20"/>
              </w:rPr>
              <w:t xml:space="preserve">ew </w:t>
            </w:r>
            <w:r w:rsidRPr="00667CD1">
              <w:rPr>
                <w:rFonts w:eastAsia="Calibri"/>
                <w:sz w:val="20"/>
                <w:szCs w:val="20"/>
              </w:rPr>
              <w:t>S</w:t>
            </w:r>
            <w:r w:rsidR="00B36259" w:rsidRPr="00667CD1">
              <w:rPr>
                <w:rFonts w:eastAsia="Calibri"/>
                <w:sz w:val="20"/>
                <w:szCs w:val="20"/>
              </w:rPr>
              <w:t xml:space="preserve">outh </w:t>
            </w:r>
            <w:r w:rsidRPr="00667CD1">
              <w:rPr>
                <w:rFonts w:eastAsia="Calibri"/>
                <w:sz w:val="20"/>
                <w:szCs w:val="20"/>
              </w:rPr>
              <w:t>W</w:t>
            </w:r>
            <w:r w:rsidR="00B36259" w:rsidRPr="00667CD1">
              <w:rPr>
                <w:rFonts w:eastAsia="Calibri"/>
                <w:sz w:val="20"/>
                <w:szCs w:val="20"/>
              </w:rPr>
              <w:t>ales</w:t>
            </w:r>
            <w:r w:rsidRPr="00667CD1">
              <w:rPr>
                <w:rFonts w:eastAsia="Calibri"/>
                <w:sz w:val="20"/>
                <w:szCs w:val="20"/>
              </w:rPr>
              <w:t xml:space="preserve"> is at the forefront of federation reform. </w:t>
            </w:r>
          </w:p>
          <w:p w14:paraId="5B0B4DE8" w14:textId="41A87354" w:rsidR="002A190E" w:rsidRPr="00667CD1" w:rsidRDefault="00BB418C" w:rsidP="00820C69">
            <w:pPr>
              <w:pStyle w:val="BodyTextBox"/>
              <w:rPr>
                <w:rFonts w:eastAsia="Arial"/>
                <w:sz w:val="18"/>
                <w:szCs w:val="18"/>
              </w:rPr>
            </w:pPr>
            <w:r w:rsidRPr="00667CD1">
              <w:rPr>
                <w:rFonts w:eastAsia="Calibri"/>
                <w:sz w:val="20"/>
                <w:szCs w:val="20"/>
              </w:rPr>
              <w:t xml:space="preserve">Through </w:t>
            </w:r>
            <w:r w:rsidR="00F560EE" w:rsidRPr="00667CD1">
              <w:rPr>
                <w:rFonts w:eastAsia="Calibri"/>
                <w:sz w:val="20"/>
                <w:szCs w:val="20"/>
              </w:rPr>
              <w:t>wide-ranging</w:t>
            </w:r>
            <w:r w:rsidRPr="00667CD1">
              <w:rPr>
                <w:rFonts w:eastAsia="Calibri"/>
                <w:sz w:val="20"/>
                <w:szCs w:val="20"/>
              </w:rPr>
              <w:t xml:space="preserve"> consultation and public discourse, the Review has generated a renewed national conversation on </w:t>
            </w:r>
            <w:r w:rsidR="00121180" w:rsidRPr="00667CD1">
              <w:rPr>
                <w:rFonts w:eastAsia="Calibri"/>
                <w:sz w:val="20"/>
                <w:szCs w:val="20"/>
              </w:rPr>
              <w:t>f</w:t>
            </w:r>
            <w:r w:rsidRPr="00667CD1">
              <w:rPr>
                <w:rFonts w:eastAsia="Calibri"/>
                <w:sz w:val="20"/>
                <w:szCs w:val="20"/>
              </w:rPr>
              <w:t>ederation reform and promoted wide-reading public debate. In the coming months, the Government will continue to explore reform opportunities informed by the Review and its recommendations</w:t>
            </w:r>
            <w:r w:rsidR="48C2BCB2" w:rsidRPr="00667CD1">
              <w:rPr>
                <w:rFonts w:eastAsia="Calibri"/>
                <w:sz w:val="20"/>
                <w:szCs w:val="20"/>
              </w:rPr>
              <w:t>.</w:t>
            </w:r>
          </w:p>
        </w:tc>
      </w:tr>
    </w:tbl>
    <w:p w14:paraId="59650BF4" w14:textId="45F94564" w:rsidR="00A82C68" w:rsidRPr="00667CD1" w:rsidRDefault="00096C76" w:rsidP="00FF688F">
      <w:pPr>
        <w:pStyle w:val="Heading2"/>
        <w:ind w:left="170" w:hanging="170"/>
        <w:rPr>
          <w:sz w:val="24"/>
          <w:szCs w:val="28"/>
        </w:rPr>
      </w:pPr>
      <w:r w:rsidRPr="00667CD1">
        <w:rPr>
          <w:sz w:val="24"/>
          <w:szCs w:val="28"/>
        </w:rPr>
        <w:t>Non-tax revenues</w:t>
      </w:r>
    </w:p>
    <w:p w14:paraId="2D07DB90" w14:textId="6AB238B2" w:rsidR="00E22AE6" w:rsidRPr="00667CD1" w:rsidRDefault="00813D86" w:rsidP="00DC5EFC">
      <w:pPr>
        <w:pStyle w:val="BodyText"/>
        <w:rPr>
          <w:sz w:val="20"/>
          <w:szCs w:val="16"/>
        </w:rPr>
      </w:pPr>
      <w:r w:rsidRPr="00667CD1">
        <w:rPr>
          <w:sz w:val="20"/>
          <w:szCs w:val="16"/>
        </w:rPr>
        <w:t>T</w:t>
      </w:r>
      <w:r w:rsidR="00E22AE6" w:rsidRPr="00667CD1">
        <w:rPr>
          <w:sz w:val="20"/>
          <w:szCs w:val="16"/>
        </w:rPr>
        <w:t xml:space="preserve">he NSW Government </w:t>
      </w:r>
      <w:r w:rsidR="00EE5405" w:rsidRPr="00667CD1">
        <w:rPr>
          <w:sz w:val="20"/>
          <w:szCs w:val="16"/>
        </w:rPr>
        <w:t xml:space="preserve">collects </w:t>
      </w:r>
      <w:r w:rsidR="00E22AE6" w:rsidRPr="00667CD1">
        <w:rPr>
          <w:sz w:val="20"/>
          <w:szCs w:val="16"/>
        </w:rPr>
        <w:t xml:space="preserve">revenue </w:t>
      </w:r>
      <w:r w:rsidR="00EE5405" w:rsidRPr="00667CD1">
        <w:rPr>
          <w:sz w:val="20"/>
          <w:szCs w:val="16"/>
        </w:rPr>
        <w:t xml:space="preserve">through </w:t>
      </w:r>
      <w:proofErr w:type="gramStart"/>
      <w:r w:rsidR="00EE5405" w:rsidRPr="00667CD1">
        <w:rPr>
          <w:sz w:val="20"/>
          <w:szCs w:val="16"/>
        </w:rPr>
        <w:t>a number of</w:t>
      </w:r>
      <w:proofErr w:type="gramEnd"/>
      <w:r w:rsidR="00EE5405" w:rsidRPr="00667CD1">
        <w:rPr>
          <w:sz w:val="20"/>
          <w:szCs w:val="16"/>
        </w:rPr>
        <w:t xml:space="preserve"> sources beyond taxation. </w:t>
      </w:r>
      <w:r w:rsidR="00D31C3D" w:rsidRPr="00667CD1">
        <w:rPr>
          <w:sz w:val="20"/>
          <w:szCs w:val="16"/>
        </w:rPr>
        <w:t xml:space="preserve">This section outlines </w:t>
      </w:r>
      <w:r w:rsidR="00974185" w:rsidRPr="00667CD1">
        <w:rPr>
          <w:sz w:val="20"/>
          <w:szCs w:val="16"/>
        </w:rPr>
        <w:t>current forecasts.</w:t>
      </w:r>
    </w:p>
    <w:p w14:paraId="148883DB" w14:textId="79C08311" w:rsidR="00A82C68" w:rsidRPr="00667CD1" w:rsidRDefault="00A82C68" w:rsidP="00A82C68">
      <w:pPr>
        <w:pStyle w:val="Heading3"/>
        <w:numPr>
          <w:ilvl w:val="0"/>
          <w:numId w:val="0"/>
        </w:numPr>
        <w:ind w:left="720" w:hanging="720"/>
        <w:rPr>
          <w:rFonts w:eastAsiaTheme="minorHAnsi"/>
          <w:sz w:val="22"/>
          <w:szCs w:val="28"/>
        </w:rPr>
      </w:pPr>
      <w:r w:rsidRPr="00667CD1">
        <w:rPr>
          <w:rFonts w:eastAsiaTheme="minorHAnsi"/>
          <w:sz w:val="22"/>
          <w:szCs w:val="28"/>
        </w:rPr>
        <w:t>Sale of goods and services</w:t>
      </w:r>
    </w:p>
    <w:p w14:paraId="7807FA64" w14:textId="2A14FC9F" w:rsidR="00AE5FDD" w:rsidRPr="00667CD1" w:rsidRDefault="00AE5FDD" w:rsidP="00DC5EFC">
      <w:pPr>
        <w:pStyle w:val="BodyText"/>
        <w:rPr>
          <w:sz w:val="20"/>
          <w:szCs w:val="16"/>
        </w:rPr>
      </w:pPr>
      <w:r w:rsidRPr="00667CD1">
        <w:rPr>
          <w:sz w:val="20"/>
          <w:szCs w:val="16"/>
        </w:rPr>
        <w:t xml:space="preserve">After falling by </w:t>
      </w:r>
      <w:r w:rsidR="00922EFC" w:rsidRPr="00667CD1">
        <w:rPr>
          <w:sz w:val="20"/>
          <w:szCs w:val="16"/>
        </w:rPr>
        <w:t>10.6</w:t>
      </w:r>
      <w:r w:rsidRPr="00667CD1">
        <w:rPr>
          <w:sz w:val="20"/>
          <w:szCs w:val="16"/>
        </w:rPr>
        <w:t xml:space="preserve"> per cent in 2019-20, sales</w:t>
      </w:r>
      <w:r w:rsidR="00474FC1" w:rsidRPr="00667CD1">
        <w:rPr>
          <w:sz w:val="20"/>
          <w:szCs w:val="16"/>
        </w:rPr>
        <w:t xml:space="preserve"> of goods and services revenue is forecast to </w:t>
      </w:r>
      <w:r w:rsidR="000A5704" w:rsidRPr="00667CD1">
        <w:rPr>
          <w:sz w:val="20"/>
          <w:szCs w:val="16"/>
        </w:rPr>
        <w:t>grow by only 0.</w:t>
      </w:r>
      <w:r w:rsidR="00AD34BF" w:rsidRPr="00667CD1">
        <w:rPr>
          <w:sz w:val="20"/>
          <w:szCs w:val="16"/>
        </w:rPr>
        <w:t>8</w:t>
      </w:r>
      <w:r w:rsidR="000A5704" w:rsidRPr="00667CD1">
        <w:rPr>
          <w:sz w:val="20"/>
          <w:szCs w:val="16"/>
        </w:rPr>
        <w:t xml:space="preserve"> per cent per annum on average over the four years to 2023-24. </w:t>
      </w:r>
      <w:r w:rsidRPr="00667CD1">
        <w:rPr>
          <w:sz w:val="20"/>
          <w:szCs w:val="16"/>
        </w:rPr>
        <w:t>Revenue has been downgraded by $1.</w:t>
      </w:r>
      <w:r w:rsidR="00DA43DB" w:rsidRPr="00667CD1">
        <w:rPr>
          <w:sz w:val="20"/>
          <w:szCs w:val="16"/>
        </w:rPr>
        <w:t>4</w:t>
      </w:r>
      <w:r w:rsidR="008477E3" w:rsidRPr="00667CD1">
        <w:rPr>
          <w:sz w:val="20"/>
          <w:szCs w:val="16"/>
        </w:rPr>
        <w:t xml:space="preserve"> </w:t>
      </w:r>
      <w:r w:rsidR="00474FC1" w:rsidRPr="00667CD1">
        <w:rPr>
          <w:sz w:val="20"/>
          <w:szCs w:val="16"/>
        </w:rPr>
        <w:t xml:space="preserve">billion </w:t>
      </w:r>
      <w:r w:rsidR="00BD2A41" w:rsidRPr="00667CD1">
        <w:rPr>
          <w:sz w:val="20"/>
          <w:szCs w:val="16"/>
        </w:rPr>
        <w:t xml:space="preserve">in </w:t>
      </w:r>
      <w:r w:rsidR="00474FC1" w:rsidRPr="00667CD1">
        <w:rPr>
          <w:sz w:val="20"/>
          <w:szCs w:val="16"/>
        </w:rPr>
        <w:t>2020-21</w:t>
      </w:r>
      <w:r w:rsidRPr="00667CD1">
        <w:rPr>
          <w:sz w:val="20"/>
          <w:szCs w:val="16"/>
        </w:rPr>
        <w:t xml:space="preserve"> </w:t>
      </w:r>
      <w:r w:rsidR="00F50088" w:rsidRPr="00667CD1">
        <w:rPr>
          <w:sz w:val="20"/>
          <w:szCs w:val="16"/>
        </w:rPr>
        <w:t>compared to the 2019-20 Half</w:t>
      </w:r>
      <w:r w:rsidRPr="00667CD1">
        <w:rPr>
          <w:sz w:val="20"/>
          <w:szCs w:val="16"/>
        </w:rPr>
        <w:t>-</w:t>
      </w:r>
      <w:r w:rsidR="00F50088" w:rsidRPr="00667CD1">
        <w:rPr>
          <w:sz w:val="20"/>
          <w:szCs w:val="16"/>
        </w:rPr>
        <w:t>Yearly Review</w:t>
      </w:r>
      <w:r w:rsidRPr="00667CD1">
        <w:rPr>
          <w:sz w:val="20"/>
          <w:szCs w:val="16"/>
        </w:rPr>
        <w:t xml:space="preserve">, driven </w:t>
      </w:r>
      <w:r w:rsidR="00DA43DB" w:rsidRPr="00667CD1">
        <w:rPr>
          <w:sz w:val="20"/>
          <w:szCs w:val="16"/>
        </w:rPr>
        <w:t xml:space="preserve">partly </w:t>
      </w:r>
      <w:r w:rsidRPr="00667CD1">
        <w:rPr>
          <w:sz w:val="20"/>
          <w:szCs w:val="16"/>
        </w:rPr>
        <w:t xml:space="preserve">by lower </w:t>
      </w:r>
      <w:r w:rsidR="009D4336" w:rsidRPr="00667CD1">
        <w:rPr>
          <w:sz w:val="20"/>
          <w:szCs w:val="16"/>
        </w:rPr>
        <w:t xml:space="preserve">fare </w:t>
      </w:r>
      <w:r w:rsidRPr="00667CD1" w:rsidDel="009D4336">
        <w:rPr>
          <w:sz w:val="20"/>
          <w:szCs w:val="16"/>
        </w:rPr>
        <w:t>revenue</w:t>
      </w:r>
      <w:r w:rsidRPr="00667CD1">
        <w:rPr>
          <w:sz w:val="20"/>
          <w:szCs w:val="16"/>
        </w:rPr>
        <w:t xml:space="preserve"> </w:t>
      </w:r>
      <w:r w:rsidR="000A5704" w:rsidRPr="00667CD1">
        <w:rPr>
          <w:sz w:val="20"/>
          <w:szCs w:val="16"/>
        </w:rPr>
        <w:t>collected by Transport NSW</w:t>
      </w:r>
      <w:r w:rsidRPr="00667CD1">
        <w:rPr>
          <w:sz w:val="20"/>
          <w:szCs w:val="16"/>
        </w:rPr>
        <w:t xml:space="preserve">. This reflects </w:t>
      </w:r>
      <w:r w:rsidR="000A5704" w:rsidRPr="00667CD1">
        <w:rPr>
          <w:sz w:val="20"/>
          <w:szCs w:val="16"/>
        </w:rPr>
        <w:t xml:space="preserve">lower patronage on public transport </w:t>
      </w:r>
      <w:r w:rsidRPr="00667CD1">
        <w:rPr>
          <w:sz w:val="20"/>
          <w:szCs w:val="16"/>
        </w:rPr>
        <w:t>resulting from the COVID-19 pandemic.</w:t>
      </w:r>
    </w:p>
    <w:p w14:paraId="5044211B" w14:textId="72F53B3F" w:rsidR="00BD2A41" w:rsidRPr="00667CD1" w:rsidRDefault="00AE5FDD" w:rsidP="00DC5EFC">
      <w:pPr>
        <w:pStyle w:val="BodyText"/>
        <w:rPr>
          <w:rFonts w:eastAsia="Arial"/>
          <w:sz w:val="20"/>
          <w:szCs w:val="16"/>
        </w:rPr>
      </w:pPr>
      <w:r w:rsidRPr="00667CD1">
        <w:rPr>
          <w:sz w:val="20"/>
          <w:szCs w:val="16"/>
        </w:rPr>
        <w:t>From 2021-22, forecast revenue is $</w:t>
      </w:r>
      <w:r w:rsidR="6C195D9C" w:rsidRPr="00667CD1">
        <w:rPr>
          <w:sz w:val="20"/>
          <w:szCs w:val="16"/>
        </w:rPr>
        <w:t>2</w:t>
      </w:r>
      <w:r w:rsidR="003928C9" w:rsidRPr="00667CD1">
        <w:rPr>
          <w:sz w:val="20"/>
          <w:szCs w:val="16"/>
        </w:rPr>
        <w:t>80</w:t>
      </w:r>
      <w:r w:rsidR="6C195D9C" w:rsidRPr="00667CD1">
        <w:rPr>
          <w:sz w:val="20"/>
          <w:szCs w:val="16"/>
        </w:rPr>
        <w:t>.6</w:t>
      </w:r>
      <w:r w:rsidRPr="00667CD1">
        <w:rPr>
          <w:sz w:val="20"/>
          <w:szCs w:val="16"/>
        </w:rPr>
        <w:t xml:space="preserve"> million higher </w:t>
      </w:r>
      <w:r w:rsidR="000D4666" w:rsidRPr="00667CD1">
        <w:rPr>
          <w:sz w:val="20"/>
          <w:szCs w:val="16"/>
        </w:rPr>
        <w:t xml:space="preserve">over the three years to 2023-24 </w:t>
      </w:r>
      <w:r w:rsidR="00C660C7" w:rsidRPr="00667CD1">
        <w:rPr>
          <w:sz w:val="20"/>
          <w:szCs w:val="16"/>
        </w:rPr>
        <w:t>i</w:t>
      </w:r>
      <w:r w:rsidR="000D4666" w:rsidRPr="00667CD1">
        <w:rPr>
          <w:sz w:val="20"/>
          <w:szCs w:val="16"/>
        </w:rPr>
        <w:t>n</w:t>
      </w:r>
      <w:r w:rsidR="00C660C7" w:rsidRPr="00667CD1">
        <w:rPr>
          <w:sz w:val="20"/>
          <w:szCs w:val="16"/>
        </w:rPr>
        <w:t xml:space="preserve"> </w:t>
      </w:r>
      <w:r w:rsidR="000D4666" w:rsidRPr="00667CD1">
        <w:rPr>
          <w:sz w:val="20"/>
          <w:szCs w:val="16"/>
        </w:rPr>
        <w:t>comparison to forecasts</w:t>
      </w:r>
      <w:r w:rsidRPr="00667CD1">
        <w:rPr>
          <w:sz w:val="20"/>
          <w:szCs w:val="16"/>
        </w:rPr>
        <w:t xml:space="preserve"> at the 2019-20 Half-Yearly Review.</w:t>
      </w:r>
      <w:r w:rsidR="66DCE0FF" w:rsidRPr="00667CD1">
        <w:rPr>
          <w:rFonts w:eastAsia="Arial"/>
          <w:sz w:val="20"/>
          <w:szCs w:val="16"/>
        </w:rPr>
        <w:t xml:space="preserve"> This largely reflects a $1.8 billion upgrade to </w:t>
      </w:r>
      <w:r w:rsidR="000D4666" w:rsidRPr="00667CD1">
        <w:rPr>
          <w:rFonts w:eastAsia="Arial"/>
          <w:sz w:val="20"/>
          <w:szCs w:val="16"/>
        </w:rPr>
        <w:t xml:space="preserve">expected </w:t>
      </w:r>
      <w:r w:rsidR="66DCE0FF" w:rsidRPr="00667CD1">
        <w:rPr>
          <w:rFonts w:eastAsia="Arial"/>
          <w:sz w:val="20"/>
          <w:szCs w:val="16"/>
        </w:rPr>
        <w:t>revenue from Transport NSW</w:t>
      </w:r>
      <w:r w:rsidR="00842B7A" w:rsidRPr="00667CD1">
        <w:rPr>
          <w:rFonts w:eastAsia="Arial"/>
          <w:sz w:val="20"/>
          <w:szCs w:val="16"/>
        </w:rPr>
        <w:t>,</w:t>
      </w:r>
      <w:r w:rsidR="66DCE0FF" w:rsidRPr="00667CD1">
        <w:rPr>
          <w:rFonts w:eastAsia="Arial"/>
          <w:sz w:val="20"/>
          <w:szCs w:val="16"/>
        </w:rPr>
        <w:t xml:space="preserve"> driven by an increase in fee for service revenue from </w:t>
      </w:r>
      <w:r w:rsidR="00F2667C" w:rsidRPr="00667CD1">
        <w:rPr>
          <w:rFonts w:eastAsia="Arial"/>
          <w:sz w:val="20"/>
          <w:szCs w:val="16"/>
        </w:rPr>
        <w:t xml:space="preserve">the </w:t>
      </w:r>
      <w:r w:rsidR="66DCE0FF" w:rsidRPr="00667CD1">
        <w:rPr>
          <w:rFonts w:eastAsia="Arial"/>
          <w:sz w:val="20"/>
          <w:szCs w:val="16"/>
        </w:rPr>
        <w:t>T</w:t>
      </w:r>
      <w:r w:rsidR="00F2667C" w:rsidRPr="00667CD1">
        <w:rPr>
          <w:rFonts w:eastAsia="Arial"/>
          <w:sz w:val="20"/>
          <w:szCs w:val="16"/>
        </w:rPr>
        <w:t xml:space="preserve">ransport </w:t>
      </w:r>
      <w:r w:rsidR="66DCE0FF" w:rsidRPr="00667CD1">
        <w:rPr>
          <w:rFonts w:eastAsia="Arial"/>
          <w:sz w:val="20"/>
          <w:szCs w:val="16"/>
        </w:rPr>
        <w:t>A</w:t>
      </w:r>
      <w:r w:rsidR="00F2667C" w:rsidRPr="00667CD1">
        <w:rPr>
          <w:rFonts w:eastAsia="Arial"/>
          <w:sz w:val="20"/>
          <w:szCs w:val="16"/>
        </w:rPr>
        <w:t xml:space="preserve">sset </w:t>
      </w:r>
      <w:r w:rsidR="66DCE0FF" w:rsidRPr="00667CD1">
        <w:rPr>
          <w:rFonts w:eastAsia="Arial"/>
          <w:sz w:val="20"/>
          <w:szCs w:val="16"/>
        </w:rPr>
        <w:t>H</w:t>
      </w:r>
      <w:r w:rsidR="00F2667C" w:rsidRPr="00667CD1">
        <w:rPr>
          <w:rFonts w:eastAsia="Arial"/>
          <w:sz w:val="20"/>
          <w:szCs w:val="16"/>
        </w:rPr>
        <w:t xml:space="preserve">olding </w:t>
      </w:r>
      <w:r w:rsidR="66DCE0FF" w:rsidRPr="00667CD1">
        <w:rPr>
          <w:rFonts w:eastAsia="Arial"/>
          <w:sz w:val="20"/>
          <w:szCs w:val="16"/>
        </w:rPr>
        <w:t>E</w:t>
      </w:r>
      <w:r w:rsidR="00F2667C" w:rsidRPr="00667CD1">
        <w:rPr>
          <w:rFonts w:eastAsia="Arial"/>
          <w:sz w:val="20"/>
          <w:szCs w:val="16"/>
        </w:rPr>
        <w:t>ntity</w:t>
      </w:r>
      <w:r w:rsidR="00C40166" w:rsidRPr="00667CD1">
        <w:rPr>
          <w:rFonts w:eastAsia="Arial"/>
          <w:sz w:val="20"/>
          <w:szCs w:val="16"/>
        </w:rPr>
        <w:t xml:space="preserve"> (</w:t>
      </w:r>
      <w:r w:rsidR="66DCE0FF" w:rsidRPr="00667CD1">
        <w:rPr>
          <w:rFonts w:eastAsia="Arial"/>
          <w:sz w:val="20"/>
          <w:szCs w:val="16"/>
        </w:rPr>
        <w:t>TAHE</w:t>
      </w:r>
      <w:r w:rsidR="00C40166" w:rsidRPr="00667CD1">
        <w:rPr>
          <w:rFonts w:eastAsia="Arial"/>
          <w:sz w:val="20"/>
          <w:szCs w:val="16"/>
        </w:rPr>
        <w:t>)</w:t>
      </w:r>
      <w:r w:rsidR="00842B7A" w:rsidRPr="00667CD1">
        <w:rPr>
          <w:rFonts w:eastAsia="Arial"/>
          <w:sz w:val="20"/>
          <w:szCs w:val="16"/>
        </w:rPr>
        <w:t>.</w:t>
      </w:r>
      <w:r w:rsidR="66DCE0FF" w:rsidRPr="00667CD1">
        <w:rPr>
          <w:rFonts w:eastAsia="Arial"/>
          <w:sz w:val="20"/>
          <w:szCs w:val="16"/>
        </w:rPr>
        <w:t xml:space="preserve"> </w:t>
      </w:r>
      <w:r w:rsidR="00842B7A" w:rsidRPr="00667CD1">
        <w:rPr>
          <w:rFonts w:eastAsia="Arial"/>
          <w:sz w:val="20"/>
          <w:szCs w:val="16"/>
        </w:rPr>
        <w:t xml:space="preserve">This is </w:t>
      </w:r>
      <w:r w:rsidR="66DCE0FF" w:rsidRPr="00667CD1">
        <w:rPr>
          <w:rFonts w:eastAsia="Arial"/>
          <w:sz w:val="20"/>
          <w:szCs w:val="16"/>
        </w:rPr>
        <w:t>associated with increased spending on rail projects</w:t>
      </w:r>
      <w:r w:rsidR="00FB66D5" w:rsidRPr="00667CD1">
        <w:rPr>
          <w:rFonts w:eastAsia="Arial"/>
          <w:sz w:val="20"/>
          <w:szCs w:val="16"/>
        </w:rPr>
        <w:t xml:space="preserve"> -</w:t>
      </w:r>
      <w:r w:rsidR="66DCE0FF" w:rsidRPr="00667CD1">
        <w:rPr>
          <w:rFonts w:eastAsia="Arial"/>
          <w:sz w:val="20"/>
          <w:szCs w:val="16"/>
        </w:rPr>
        <w:t xml:space="preserve"> including </w:t>
      </w:r>
      <w:r w:rsidR="00FB66D5" w:rsidRPr="00667CD1">
        <w:rPr>
          <w:rFonts w:eastAsia="Arial"/>
          <w:sz w:val="20"/>
          <w:szCs w:val="16"/>
        </w:rPr>
        <w:t xml:space="preserve">the </w:t>
      </w:r>
      <w:r w:rsidR="66DCE0FF" w:rsidRPr="00667CD1">
        <w:rPr>
          <w:rFonts w:eastAsia="Arial"/>
          <w:sz w:val="20"/>
          <w:szCs w:val="16"/>
        </w:rPr>
        <w:t xml:space="preserve">Regional Rail Fleet program, New Intercity Fleet, More Trains, More Services, and Transport </w:t>
      </w:r>
      <w:r w:rsidR="0087170A" w:rsidRPr="00667CD1">
        <w:rPr>
          <w:rFonts w:eastAsia="Arial"/>
          <w:sz w:val="20"/>
          <w:szCs w:val="16"/>
        </w:rPr>
        <w:t>A</w:t>
      </w:r>
      <w:r w:rsidR="66DCE0FF" w:rsidRPr="00667CD1">
        <w:rPr>
          <w:rFonts w:eastAsia="Arial"/>
          <w:sz w:val="20"/>
          <w:szCs w:val="16"/>
        </w:rPr>
        <w:t xml:space="preserve">ccess </w:t>
      </w:r>
      <w:r w:rsidR="0087170A" w:rsidRPr="00667CD1">
        <w:rPr>
          <w:rFonts w:eastAsia="Arial"/>
          <w:sz w:val="20"/>
          <w:szCs w:val="16"/>
        </w:rPr>
        <w:t>P</w:t>
      </w:r>
      <w:r w:rsidR="66DCE0FF" w:rsidRPr="00667CD1">
        <w:rPr>
          <w:rFonts w:eastAsia="Arial"/>
          <w:sz w:val="20"/>
          <w:szCs w:val="16"/>
        </w:rPr>
        <w:t>rogram.</w:t>
      </w:r>
    </w:p>
    <w:p w14:paraId="166A3357" w14:textId="6E35B736" w:rsidR="0065231F" w:rsidRPr="00667CD1" w:rsidRDefault="00CC694A" w:rsidP="00DC5EFC">
      <w:pPr>
        <w:pStyle w:val="BodyText"/>
        <w:rPr>
          <w:rStyle w:val="eop"/>
          <w:color w:val="000000"/>
          <w:sz w:val="20"/>
          <w:szCs w:val="16"/>
          <w:shd w:val="clear" w:color="auto" w:fill="FFFFFF"/>
        </w:rPr>
      </w:pPr>
      <w:r w:rsidRPr="00667CD1">
        <w:rPr>
          <w:sz w:val="20"/>
          <w:szCs w:val="16"/>
        </w:rPr>
        <w:lastRenderedPageBreak/>
        <w:t>The upgrade from Transport NSW is mostly offset by downgrades to forecast</w:t>
      </w:r>
      <w:r w:rsidR="0087170A" w:rsidRPr="00667CD1">
        <w:rPr>
          <w:sz w:val="20"/>
          <w:szCs w:val="16"/>
        </w:rPr>
        <w:t xml:space="preserve"> </w:t>
      </w:r>
      <w:r w:rsidRPr="00667CD1">
        <w:rPr>
          <w:sz w:val="20"/>
          <w:szCs w:val="16"/>
        </w:rPr>
        <w:t>revenue collected by the Ministry of Health and the Department of Education.</w:t>
      </w:r>
      <w:r w:rsidR="00A11706" w:rsidRPr="00667CD1" w:rsidDel="00A11706">
        <w:rPr>
          <w:sz w:val="20"/>
          <w:szCs w:val="16"/>
        </w:rPr>
        <w:t xml:space="preserve"> </w:t>
      </w:r>
      <w:r w:rsidR="0065231F" w:rsidRPr="00667CD1">
        <w:rPr>
          <w:rStyle w:val="normaltextrun"/>
          <w:color w:val="000000"/>
          <w:sz w:val="20"/>
          <w:szCs w:val="16"/>
          <w:shd w:val="clear" w:color="auto" w:fill="FFFFFF"/>
        </w:rPr>
        <w:t>Forecast revenue collected by the Ministry of Health is $826.0 million lower over the four years to 2023-24. This</w:t>
      </w:r>
      <w:r w:rsidR="00F5512B" w:rsidRPr="00667CD1">
        <w:rPr>
          <w:rStyle w:val="normaltextrun"/>
          <w:color w:val="000000" w:themeColor="text1"/>
          <w:sz w:val="20"/>
          <w:szCs w:val="16"/>
        </w:rPr>
        <w:t xml:space="preserve"> primar</w:t>
      </w:r>
      <w:r w:rsidR="0087170A" w:rsidRPr="00667CD1">
        <w:rPr>
          <w:rStyle w:val="normaltextrun"/>
          <w:color w:val="000000" w:themeColor="text1"/>
          <w:sz w:val="20"/>
          <w:szCs w:val="16"/>
        </w:rPr>
        <w:t>i</w:t>
      </w:r>
      <w:r w:rsidR="00F5512B" w:rsidRPr="00667CD1">
        <w:rPr>
          <w:rStyle w:val="normaltextrun"/>
          <w:color w:val="000000" w:themeColor="text1"/>
          <w:sz w:val="20"/>
          <w:szCs w:val="16"/>
        </w:rPr>
        <w:t>ly</w:t>
      </w:r>
      <w:r w:rsidR="0065231F" w:rsidRPr="00667CD1">
        <w:rPr>
          <w:rStyle w:val="normaltextrun"/>
          <w:color w:val="000000"/>
          <w:sz w:val="20"/>
          <w:szCs w:val="16"/>
          <w:shd w:val="clear" w:color="auto" w:fill="FFFFFF"/>
        </w:rPr>
        <w:t xml:space="preserve"> reflects revised estimates of infrastructure and facility charges collected from private practitioners, and the estimated impact of reduced single room supplement payments from private health funds.</w:t>
      </w:r>
    </w:p>
    <w:p w14:paraId="2ECBD27A" w14:textId="6E35B736" w:rsidR="000A5704" w:rsidRPr="00667CD1" w:rsidRDefault="0065231F" w:rsidP="00DC5EFC">
      <w:pPr>
        <w:pStyle w:val="BodyText"/>
        <w:rPr>
          <w:rStyle w:val="normaltextrun"/>
          <w:color w:val="000000" w:themeColor="text1"/>
          <w:sz w:val="20"/>
          <w:szCs w:val="16"/>
        </w:rPr>
      </w:pPr>
      <w:r w:rsidRPr="00667CD1">
        <w:rPr>
          <w:rStyle w:val="normaltextrun"/>
          <w:color w:val="000000"/>
          <w:sz w:val="20"/>
          <w:szCs w:val="16"/>
          <w:shd w:val="clear" w:color="auto" w:fill="FFFFFF"/>
        </w:rPr>
        <w:t>Revenue collected by the Department of Education is also forecast to be $6</w:t>
      </w:r>
      <w:r w:rsidR="00D14BFD" w:rsidRPr="00667CD1">
        <w:rPr>
          <w:rStyle w:val="normaltextrun"/>
          <w:color w:val="000000"/>
          <w:sz w:val="20"/>
          <w:szCs w:val="16"/>
          <w:shd w:val="clear" w:color="auto" w:fill="FFFFFF"/>
        </w:rPr>
        <w:t>46.4</w:t>
      </w:r>
      <w:r w:rsidRPr="00667CD1">
        <w:rPr>
          <w:rStyle w:val="normaltextrun"/>
          <w:color w:val="000000"/>
          <w:sz w:val="20"/>
          <w:szCs w:val="16"/>
          <w:shd w:val="clear" w:color="auto" w:fill="FFFFFF"/>
        </w:rPr>
        <w:t xml:space="preserve"> million lower over the four years to 2023-24</w:t>
      </w:r>
      <w:r w:rsidR="00F02369" w:rsidRPr="00667CD1">
        <w:rPr>
          <w:rStyle w:val="normaltextrun"/>
          <w:color w:val="000000"/>
          <w:sz w:val="20"/>
          <w:szCs w:val="16"/>
          <w:shd w:val="clear" w:color="auto" w:fill="FFFFFF"/>
        </w:rPr>
        <w:t xml:space="preserve">. This is </w:t>
      </w:r>
      <w:r w:rsidRPr="00667CD1">
        <w:rPr>
          <w:rStyle w:val="normaltextrun"/>
          <w:color w:val="000000"/>
          <w:sz w:val="20"/>
          <w:szCs w:val="16"/>
          <w:shd w:val="clear" w:color="auto" w:fill="FFFFFF"/>
        </w:rPr>
        <w:t xml:space="preserve">due to </w:t>
      </w:r>
      <w:r w:rsidR="00F02369" w:rsidRPr="00667CD1">
        <w:rPr>
          <w:rStyle w:val="normaltextrun"/>
          <w:color w:val="000000"/>
          <w:sz w:val="20"/>
          <w:szCs w:val="16"/>
          <w:shd w:val="clear" w:color="auto" w:fill="FFFFFF"/>
        </w:rPr>
        <w:t>a combination of</w:t>
      </w:r>
      <w:r w:rsidR="00881708" w:rsidRPr="00667CD1">
        <w:rPr>
          <w:rStyle w:val="normaltextrun"/>
          <w:color w:val="000000" w:themeColor="text1"/>
          <w:sz w:val="20"/>
          <w:szCs w:val="16"/>
        </w:rPr>
        <w:t xml:space="preserve"> </w:t>
      </w:r>
      <w:r w:rsidRPr="00667CD1">
        <w:rPr>
          <w:rStyle w:val="normaltextrun"/>
          <w:color w:val="000000"/>
          <w:sz w:val="20"/>
          <w:szCs w:val="16"/>
          <w:shd w:val="clear" w:color="auto" w:fill="FFFFFF"/>
        </w:rPr>
        <w:t>downgrades in fee for service revenue</w:t>
      </w:r>
      <w:r w:rsidR="00F02369" w:rsidRPr="00667CD1">
        <w:rPr>
          <w:rStyle w:val="normaltextrun"/>
          <w:color w:val="000000"/>
          <w:sz w:val="20"/>
          <w:szCs w:val="16"/>
          <w:shd w:val="clear" w:color="auto" w:fill="FFFFFF"/>
        </w:rPr>
        <w:t xml:space="preserve"> and a shift in</w:t>
      </w:r>
      <w:r w:rsidRPr="00667CD1">
        <w:rPr>
          <w:rStyle w:val="normaltextrun"/>
          <w:color w:val="000000"/>
          <w:sz w:val="20"/>
          <w:szCs w:val="16"/>
          <w:shd w:val="clear" w:color="auto" w:fill="FFFFFF"/>
        </w:rPr>
        <w:t xml:space="preserve"> recognition from sales of goods and services to fees and fines.</w:t>
      </w:r>
    </w:p>
    <w:p w14:paraId="7E36A4F3" w14:textId="631E6AB3" w:rsidR="00A6669E" w:rsidRPr="00667CD1" w:rsidRDefault="0077628D" w:rsidP="00216F72">
      <w:pPr>
        <w:pStyle w:val="Table4X"/>
        <w:tabs>
          <w:tab w:val="clear" w:pos="1134"/>
          <w:tab w:val="left" w:pos="1276"/>
        </w:tabs>
        <w:ind w:left="1276" w:hanging="1276"/>
        <w:rPr>
          <w:sz w:val="18"/>
          <w:szCs w:val="18"/>
        </w:rPr>
      </w:pPr>
      <w:r w:rsidRPr="00667CD1">
        <w:rPr>
          <w:sz w:val="18"/>
          <w:szCs w:val="18"/>
        </w:rPr>
        <w:t>Sale of goods and services</w:t>
      </w:r>
      <w:r w:rsidR="0034140C" w:rsidRPr="00667CD1">
        <w:rPr>
          <w:sz w:val="18"/>
          <w:szCs w:val="18"/>
        </w:rPr>
        <w:t xml:space="preserve"> </w:t>
      </w:r>
    </w:p>
    <w:tbl>
      <w:tblPr>
        <w:tblW w:w="9420" w:type="dxa"/>
        <w:tblLook w:val="04A0" w:firstRow="1" w:lastRow="0" w:firstColumn="1" w:lastColumn="0" w:noHBand="0" w:noVBand="1"/>
        <w:tblCaption w:val="Table 4.10: Sale of goods and services "/>
        <w:tblDescription w:val="Table 4.10: Sale of goods and services "/>
      </w:tblPr>
      <w:tblGrid>
        <w:gridCol w:w="2815"/>
        <w:gridCol w:w="916"/>
        <w:gridCol w:w="916"/>
        <w:gridCol w:w="916"/>
        <w:gridCol w:w="916"/>
        <w:gridCol w:w="916"/>
        <w:gridCol w:w="916"/>
        <w:gridCol w:w="1109"/>
      </w:tblGrid>
      <w:tr w:rsidR="00B74858" w:rsidRPr="00667CD1" w14:paraId="4EE1897F" w14:textId="77777777" w:rsidTr="000E2C4A">
        <w:trPr>
          <w:trHeight w:val="300"/>
        </w:trPr>
        <w:tc>
          <w:tcPr>
            <w:tcW w:w="2815" w:type="dxa"/>
            <w:tcBorders>
              <w:top w:val="nil"/>
              <w:left w:val="nil"/>
              <w:bottom w:val="nil"/>
              <w:right w:val="nil"/>
            </w:tcBorders>
            <w:shd w:val="clear" w:color="000000" w:fill="008EBA"/>
            <w:vAlign w:val="center"/>
            <w:hideMark/>
          </w:tcPr>
          <w:p w14:paraId="620DF6CC" w14:textId="77777777" w:rsidR="00B74858" w:rsidRPr="00667CD1" w:rsidRDefault="00B74858" w:rsidP="00B74858">
            <w:pPr>
              <w:jc w:val="center"/>
              <w:rPr>
                <w:rFonts w:ascii="Arial" w:hAnsi="Arial" w:cs="Arial"/>
                <w:i/>
                <w:iCs/>
                <w:color w:val="FFFFFF"/>
                <w:sz w:val="12"/>
                <w:szCs w:val="12"/>
                <w:lang w:eastAsia="en-AU"/>
              </w:rPr>
            </w:pPr>
            <w:r w:rsidRPr="00667CD1">
              <w:rPr>
                <w:rFonts w:ascii="Arial" w:hAnsi="Arial" w:cs="Arial"/>
                <w:i/>
                <w:iCs/>
                <w:color w:val="FFFFFF"/>
                <w:sz w:val="12"/>
                <w:szCs w:val="12"/>
                <w:lang w:eastAsia="en-AU"/>
              </w:rPr>
              <w:t> </w:t>
            </w:r>
          </w:p>
        </w:tc>
        <w:tc>
          <w:tcPr>
            <w:tcW w:w="916" w:type="dxa"/>
            <w:tcBorders>
              <w:top w:val="nil"/>
              <w:left w:val="nil"/>
              <w:bottom w:val="nil"/>
              <w:right w:val="nil"/>
            </w:tcBorders>
            <w:shd w:val="clear" w:color="000000" w:fill="008EBA"/>
            <w:noWrap/>
            <w:vAlign w:val="bottom"/>
            <w:hideMark/>
          </w:tcPr>
          <w:p w14:paraId="4CC1D676"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2018-19</w:t>
            </w:r>
          </w:p>
        </w:tc>
        <w:tc>
          <w:tcPr>
            <w:tcW w:w="916" w:type="dxa"/>
            <w:tcBorders>
              <w:top w:val="nil"/>
              <w:left w:val="nil"/>
              <w:bottom w:val="nil"/>
              <w:right w:val="nil"/>
            </w:tcBorders>
            <w:shd w:val="clear" w:color="000000" w:fill="008EBA"/>
            <w:noWrap/>
            <w:vAlign w:val="bottom"/>
            <w:hideMark/>
          </w:tcPr>
          <w:p w14:paraId="434D4B5A"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2019-20</w:t>
            </w:r>
          </w:p>
        </w:tc>
        <w:tc>
          <w:tcPr>
            <w:tcW w:w="916" w:type="dxa"/>
            <w:tcBorders>
              <w:top w:val="nil"/>
              <w:left w:val="nil"/>
              <w:bottom w:val="nil"/>
              <w:right w:val="nil"/>
            </w:tcBorders>
            <w:shd w:val="clear" w:color="000000" w:fill="008EBA"/>
            <w:noWrap/>
            <w:vAlign w:val="bottom"/>
            <w:hideMark/>
          </w:tcPr>
          <w:p w14:paraId="07509769"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2020-21</w:t>
            </w:r>
          </w:p>
        </w:tc>
        <w:tc>
          <w:tcPr>
            <w:tcW w:w="916" w:type="dxa"/>
            <w:tcBorders>
              <w:top w:val="nil"/>
              <w:left w:val="nil"/>
              <w:bottom w:val="nil"/>
              <w:right w:val="nil"/>
            </w:tcBorders>
            <w:shd w:val="clear" w:color="000000" w:fill="008EBA"/>
            <w:noWrap/>
            <w:vAlign w:val="bottom"/>
            <w:hideMark/>
          </w:tcPr>
          <w:p w14:paraId="39CD5735"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2021-22</w:t>
            </w:r>
          </w:p>
        </w:tc>
        <w:tc>
          <w:tcPr>
            <w:tcW w:w="916" w:type="dxa"/>
            <w:tcBorders>
              <w:top w:val="nil"/>
              <w:left w:val="nil"/>
              <w:bottom w:val="nil"/>
              <w:right w:val="nil"/>
            </w:tcBorders>
            <w:shd w:val="clear" w:color="000000" w:fill="008EBA"/>
            <w:noWrap/>
            <w:vAlign w:val="bottom"/>
            <w:hideMark/>
          </w:tcPr>
          <w:p w14:paraId="159771B6"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2022-23</w:t>
            </w:r>
          </w:p>
        </w:tc>
        <w:tc>
          <w:tcPr>
            <w:tcW w:w="916" w:type="dxa"/>
            <w:tcBorders>
              <w:top w:val="nil"/>
              <w:left w:val="nil"/>
              <w:bottom w:val="nil"/>
              <w:right w:val="nil"/>
            </w:tcBorders>
            <w:shd w:val="clear" w:color="000000" w:fill="008EBA"/>
            <w:noWrap/>
            <w:vAlign w:val="bottom"/>
            <w:hideMark/>
          </w:tcPr>
          <w:p w14:paraId="6DF20458"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2023-24</w:t>
            </w:r>
          </w:p>
        </w:tc>
        <w:tc>
          <w:tcPr>
            <w:tcW w:w="1109" w:type="dxa"/>
            <w:vMerge w:val="restart"/>
            <w:tcBorders>
              <w:top w:val="nil"/>
              <w:left w:val="nil"/>
              <w:bottom w:val="nil"/>
              <w:right w:val="nil"/>
            </w:tcBorders>
            <w:shd w:val="clear" w:color="000000" w:fill="4F4F4F"/>
            <w:vAlign w:val="center"/>
            <w:hideMark/>
          </w:tcPr>
          <w:p w14:paraId="789D8AC4"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 Average growth p.a. 2019-20 to 2023-24</w:t>
            </w:r>
          </w:p>
        </w:tc>
      </w:tr>
      <w:tr w:rsidR="00B74858" w:rsidRPr="00667CD1" w14:paraId="6B1096EF" w14:textId="77777777" w:rsidTr="000E2C4A">
        <w:trPr>
          <w:trHeight w:val="225"/>
        </w:trPr>
        <w:tc>
          <w:tcPr>
            <w:tcW w:w="2815" w:type="dxa"/>
            <w:tcBorders>
              <w:top w:val="nil"/>
              <w:left w:val="nil"/>
              <w:right w:val="nil"/>
            </w:tcBorders>
            <w:shd w:val="clear" w:color="000000" w:fill="008EBA"/>
            <w:vAlign w:val="bottom"/>
            <w:hideMark/>
          </w:tcPr>
          <w:p w14:paraId="3D64B690" w14:textId="77777777" w:rsidR="00B74858" w:rsidRPr="00667CD1" w:rsidRDefault="00B74858" w:rsidP="00B74858">
            <w:pPr>
              <w:jc w:val="center"/>
              <w:rPr>
                <w:rFonts w:ascii="Arial" w:hAnsi="Arial" w:cs="Arial"/>
                <w:i/>
                <w:iCs/>
                <w:color w:val="FFFFFF"/>
                <w:sz w:val="12"/>
                <w:szCs w:val="12"/>
                <w:lang w:eastAsia="en-AU"/>
              </w:rPr>
            </w:pPr>
            <w:r w:rsidRPr="00667CD1">
              <w:rPr>
                <w:rFonts w:ascii="Arial" w:hAnsi="Arial" w:cs="Arial"/>
                <w:i/>
                <w:iCs/>
                <w:color w:val="FFFFFF"/>
                <w:sz w:val="12"/>
                <w:szCs w:val="12"/>
                <w:lang w:eastAsia="en-AU"/>
              </w:rPr>
              <w:t> </w:t>
            </w:r>
          </w:p>
        </w:tc>
        <w:tc>
          <w:tcPr>
            <w:tcW w:w="916" w:type="dxa"/>
            <w:tcBorders>
              <w:top w:val="nil"/>
              <w:left w:val="nil"/>
              <w:right w:val="nil"/>
            </w:tcBorders>
            <w:shd w:val="clear" w:color="000000" w:fill="008EBA"/>
            <w:noWrap/>
            <w:vAlign w:val="center"/>
            <w:hideMark/>
          </w:tcPr>
          <w:p w14:paraId="5BBC7B97" w14:textId="6F93C7B5"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916" w:type="dxa"/>
            <w:tcBorders>
              <w:top w:val="nil"/>
              <w:left w:val="nil"/>
              <w:right w:val="nil"/>
            </w:tcBorders>
            <w:shd w:val="clear" w:color="000000" w:fill="008EBA"/>
            <w:noWrap/>
            <w:vAlign w:val="center"/>
            <w:hideMark/>
          </w:tcPr>
          <w:p w14:paraId="68DE426B"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916" w:type="dxa"/>
            <w:tcBorders>
              <w:top w:val="nil"/>
              <w:left w:val="nil"/>
              <w:right w:val="nil"/>
            </w:tcBorders>
            <w:shd w:val="clear" w:color="000000" w:fill="008EBA"/>
            <w:vAlign w:val="center"/>
            <w:hideMark/>
          </w:tcPr>
          <w:p w14:paraId="31A6F8A9"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Budget</w:t>
            </w:r>
          </w:p>
        </w:tc>
        <w:tc>
          <w:tcPr>
            <w:tcW w:w="2748" w:type="dxa"/>
            <w:gridSpan w:val="3"/>
            <w:tcBorders>
              <w:top w:val="nil"/>
              <w:left w:val="nil"/>
              <w:right w:val="nil"/>
            </w:tcBorders>
            <w:shd w:val="clear" w:color="000000" w:fill="008EBA"/>
            <w:vAlign w:val="center"/>
            <w:hideMark/>
          </w:tcPr>
          <w:p w14:paraId="6D9E338C"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Forward Estimates</w:t>
            </w:r>
          </w:p>
        </w:tc>
        <w:tc>
          <w:tcPr>
            <w:tcW w:w="1109" w:type="dxa"/>
            <w:vMerge/>
            <w:tcBorders>
              <w:top w:val="nil"/>
              <w:left w:val="nil"/>
              <w:bottom w:val="nil"/>
              <w:right w:val="nil"/>
            </w:tcBorders>
            <w:vAlign w:val="center"/>
            <w:hideMark/>
          </w:tcPr>
          <w:p w14:paraId="692C7EFD" w14:textId="77777777" w:rsidR="00B74858" w:rsidRPr="00667CD1" w:rsidRDefault="00B74858" w:rsidP="00B74858">
            <w:pPr>
              <w:rPr>
                <w:rFonts w:ascii="Arial" w:hAnsi="Arial" w:cs="Arial"/>
                <w:color w:val="FFFFFF"/>
                <w:sz w:val="12"/>
                <w:szCs w:val="12"/>
                <w:lang w:eastAsia="en-AU"/>
              </w:rPr>
            </w:pPr>
          </w:p>
        </w:tc>
      </w:tr>
      <w:tr w:rsidR="00B74858" w:rsidRPr="00667CD1" w14:paraId="42F28801" w14:textId="77777777" w:rsidTr="000E2C4A">
        <w:trPr>
          <w:trHeight w:val="300"/>
        </w:trPr>
        <w:tc>
          <w:tcPr>
            <w:tcW w:w="2815" w:type="dxa"/>
            <w:tcBorders>
              <w:top w:val="nil"/>
              <w:left w:val="nil"/>
              <w:bottom w:val="nil"/>
              <w:right w:val="nil"/>
            </w:tcBorders>
            <w:shd w:val="clear" w:color="000000" w:fill="00426F"/>
            <w:hideMark/>
          </w:tcPr>
          <w:p w14:paraId="767B45A8" w14:textId="77777777" w:rsidR="00B74858" w:rsidRPr="00667CD1" w:rsidRDefault="00B74858" w:rsidP="00B74858">
            <w:pPr>
              <w:jc w:val="center"/>
              <w:rPr>
                <w:rFonts w:ascii="Arial" w:hAnsi="Arial" w:cs="Arial"/>
                <w:i/>
                <w:iCs/>
                <w:color w:val="FFFFFF"/>
                <w:sz w:val="12"/>
                <w:szCs w:val="12"/>
                <w:lang w:eastAsia="en-AU"/>
              </w:rPr>
            </w:pPr>
            <w:r w:rsidRPr="00667CD1">
              <w:rPr>
                <w:rFonts w:ascii="Arial" w:hAnsi="Arial" w:cs="Arial"/>
                <w:i/>
                <w:iCs/>
                <w:color w:val="FFFFFF"/>
                <w:sz w:val="12"/>
                <w:szCs w:val="12"/>
                <w:lang w:eastAsia="en-AU"/>
              </w:rPr>
              <w:t> </w:t>
            </w:r>
          </w:p>
        </w:tc>
        <w:tc>
          <w:tcPr>
            <w:tcW w:w="916" w:type="dxa"/>
            <w:tcBorders>
              <w:top w:val="nil"/>
              <w:left w:val="nil"/>
              <w:bottom w:val="nil"/>
              <w:right w:val="nil"/>
            </w:tcBorders>
            <w:shd w:val="clear" w:color="000000" w:fill="00426F"/>
            <w:hideMark/>
          </w:tcPr>
          <w:p w14:paraId="722C4187"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16" w:type="dxa"/>
            <w:tcBorders>
              <w:top w:val="nil"/>
              <w:left w:val="nil"/>
              <w:bottom w:val="nil"/>
              <w:right w:val="nil"/>
            </w:tcBorders>
            <w:shd w:val="clear" w:color="000000" w:fill="00426F"/>
            <w:hideMark/>
          </w:tcPr>
          <w:p w14:paraId="26DACFDB"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16" w:type="dxa"/>
            <w:tcBorders>
              <w:top w:val="nil"/>
              <w:left w:val="nil"/>
              <w:bottom w:val="nil"/>
              <w:right w:val="nil"/>
            </w:tcBorders>
            <w:shd w:val="clear" w:color="000000" w:fill="00426F"/>
            <w:hideMark/>
          </w:tcPr>
          <w:p w14:paraId="3364C91E"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16" w:type="dxa"/>
            <w:tcBorders>
              <w:top w:val="nil"/>
              <w:left w:val="nil"/>
              <w:bottom w:val="nil"/>
              <w:right w:val="nil"/>
            </w:tcBorders>
            <w:shd w:val="clear" w:color="000000" w:fill="00426F"/>
            <w:hideMark/>
          </w:tcPr>
          <w:p w14:paraId="3C846575"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16" w:type="dxa"/>
            <w:tcBorders>
              <w:top w:val="nil"/>
              <w:left w:val="nil"/>
              <w:bottom w:val="nil"/>
              <w:right w:val="nil"/>
            </w:tcBorders>
            <w:shd w:val="clear" w:color="000000" w:fill="00426F"/>
            <w:hideMark/>
          </w:tcPr>
          <w:p w14:paraId="3E350003"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916" w:type="dxa"/>
            <w:tcBorders>
              <w:top w:val="nil"/>
              <w:left w:val="nil"/>
              <w:bottom w:val="nil"/>
              <w:right w:val="nil"/>
            </w:tcBorders>
            <w:shd w:val="clear" w:color="000000" w:fill="00426F"/>
            <w:hideMark/>
          </w:tcPr>
          <w:p w14:paraId="124E4A03" w14:textId="77777777" w:rsidR="00B74858" w:rsidRPr="00667CD1" w:rsidRDefault="00B74858" w:rsidP="00B74858">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1109" w:type="dxa"/>
            <w:vMerge/>
            <w:tcBorders>
              <w:top w:val="nil"/>
              <w:left w:val="nil"/>
              <w:bottom w:val="nil"/>
              <w:right w:val="nil"/>
            </w:tcBorders>
            <w:vAlign w:val="center"/>
            <w:hideMark/>
          </w:tcPr>
          <w:p w14:paraId="6079FD2D" w14:textId="77777777" w:rsidR="00B74858" w:rsidRPr="00667CD1" w:rsidRDefault="00B74858" w:rsidP="00B74858">
            <w:pPr>
              <w:rPr>
                <w:rFonts w:ascii="Arial" w:hAnsi="Arial" w:cs="Arial"/>
                <w:color w:val="FFFFFF"/>
                <w:sz w:val="12"/>
                <w:szCs w:val="12"/>
                <w:lang w:eastAsia="en-AU"/>
              </w:rPr>
            </w:pPr>
          </w:p>
        </w:tc>
      </w:tr>
      <w:tr w:rsidR="00B74858" w:rsidRPr="00667CD1" w14:paraId="7FBC1A81" w14:textId="77777777" w:rsidTr="00EA33D1">
        <w:trPr>
          <w:trHeight w:val="300"/>
        </w:trPr>
        <w:tc>
          <w:tcPr>
            <w:tcW w:w="2815" w:type="dxa"/>
            <w:tcBorders>
              <w:top w:val="nil"/>
              <w:left w:val="nil"/>
              <w:bottom w:val="nil"/>
              <w:right w:val="nil"/>
            </w:tcBorders>
            <w:shd w:val="clear" w:color="000000" w:fill="FFFFFF"/>
            <w:noWrap/>
            <w:vAlign w:val="center"/>
            <w:hideMark/>
          </w:tcPr>
          <w:p w14:paraId="6D587457" w14:textId="77777777" w:rsidR="00B74858" w:rsidRPr="00667CD1" w:rsidRDefault="00B74858" w:rsidP="00B74858">
            <w:pPr>
              <w:rPr>
                <w:rFonts w:ascii="Arial" w:hAnsi="Arial" w:cs="Arial"/>
                <w:sz w:val="12"/>
                <w:szCs w:val="12"/>
                <w:lang w:eastAsia="en-AU"/>
              </w:rPr>
            </w:pPr>
            <w:r w:rsidRPr="00667CD1">
              <w:rPr>
                <w:rFonts w:ascii="Arial" w:hAnsi="Arial" w:cs="Arial"/>
                <w:sz w:val="12"/>
                <w:szCs w:val="12"/>
                <w:lang w:eastAsia="en-AU"/>
              </w:rPr>
              <w:t>Rents and leases</w:t>
            </w:r>
          </w:p>
        </w:tc>
        <w:tc>
          <w:tcPr>
            <w:tcW w:w="916" w:type="dxa"/>
            <w:tcBorders>
              <w:top w:val="nil"/>
              <w:left w:val="nil"/>
              <w:bottom w:val="nil"/>
              <w:right w:val="nil"/>
            </w:tcBorders>
            <w:shd w:val="clear" w:color="000000" w:fill="FFFFFF"/>
            <w:noWrap/>
            <w:vAlign w:val="center"/>
            <w:hideMark/>
          </w:tcPr>
          <w:p w14:paraId="75740F9C" w14:textId="4B405E20" w:rsidR="00B74858" w:rsidRPr="00667CD1" w:rsidRDefault="00756C9B" w:rsidP="00EA33D1">
            <w:pPr>
              <w:jc w:val="right"/>
              <w:rPr>
                <w:rFonts w:ascii="Arial" w:hAnsi="Arial" w:cs="Arial"/>
                <w:sz w:val="12"/>
                <w:szCs w:val="12"/>
                <w:lang w:eastAsia="en-AU"/>
              </w:rPr>
            </w:pPr>
            <w:r w:rsidRPr="00667CD1">
              <w:rPr>
                <w:rFonts w:ascii="Arial" w:hAnsi="Arial" w:cs="Arial"/>
                <w:sz w:val="12"/>
                <w:szCs w:val="12"/>
                <w:lang w:eastAsia="en-AU"/>
              </w:rPr>
              <w:t>343</w:t>
            </w:r>
          </w:p>
        </w:tc>
        <w:tc>
          <w:tcPr>
            <w:tcW w:w="916" w:type="dxa"/>
            <w:tcBorders>
              <w:top w:val="nil"/>
              <w:left w:val="nil"/>
              <w:bottom w:val="nil"/>
              <w:right w:val="nil"/>
            </w:tcBorders>
            <w:shd w:val="clear" w:color="000000" w:fill="FFFFFF"/>
            <w:noWrap/>
            <w:vAlign w:val="center"/>
            <w:hideMark/>
          </w:tcPr>
          <w:p w14:paraId="0087C3FE"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325</w:t>
            </w:r>
          </w:p>
        </w:tc>
        <w:tc>
          <w:tcPr>
            <w:tcW w:w="916" w:type="dxa"/>
            <w:tcBorders>
              <w:top w:val="nil"/>
              <w:left w:val="nil"/>
              <w:bottom w:val="nil"/>
              <w:right w:val="nil"/>
            </w:tcBorders>
            <w:shd w:val="clear" w:color="000000" w:fill="F2F2F2"/>
            <w:noWrap/>
            <w:vAlign w:val="center"/>
            <w:hideMark/>
          </w:tcPr>
          <w:p w14:paraId="7376A589"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251</w:t>
            </w:r>
          </w:p>
        </w:tc>
        <w:tc>
          <w:tcPr>
            <w:tcW w:w="916" w:type="dxa"/>
            <w:tcBorders>
              <w:top w:val="nil"/>
              <w:left w:val="nil"/>
              <w:bottom w:val="nil"/>
              <w:right w:val="nil"/>
            </w:tcBorders>
            <w:shd w:val="clear" w:color="000000" w:fill="F2F2F2"/>
            <w:noWrap/>
            <w:vAlign w:val="center"/>
            <w:hideMark/>
          </w:tcPr>
          <w:p w14:paraId="29B976CD"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251</w:t>
            </w:r>
          </w:p>
        </w:tc>
        <w:tc>
          <w:tcPr>
            <w:tcW w:w="916" w:type="dxa"/>
            <w:tcBorders>
              <w:top w:val="nil"/>
              <w:left w:val="nil"/>
              <w:bottom w:val="nil"/>
              <w:right w:val="nil"/>
            </w:tcBorders>
            <w:shd w:val="clear" w:color="000000" w:fill="F2F2F2"/>
            <w:noWrap/>
            <w:vAlign w:val="center"/>
            <w:hideMark/>
          </w:tcPr>
          <w:p w14:paraId="4B0F696B"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256</w:t>
            </w:r>
          </w:p>
        </w:tc>
        <w:tc>
          <w:tcPr>
            <w:tcW w:w="916" w:type="dxa"/>
            <w:tcBorders>
              <w:top w:val="nil"/>
              <w:left w:val="nil"/>
              <w:bottom w:val="nil"/>
              <w:right w:val="nil"/>
            </w:tcBorders>
            <w:shd w:val="clear" w:color="000000" w:fill="F2F2F2"/>
            <w:noWrap/>
            <w:vAlign w:val="center"/>
            <w:hideMark/>
          </w:tcPr>
          <w:p w14:paraId="294C0AA2"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250</w:t>
            </w:r>
          </w:p>
        </w:tc>
        <w:tc>
          <w:tcPr>
            <w:tcW w:w="1109" w:type="dxa"/>
            <w:tcBorders>
              <w:top w:val="nil"/>
              <w:left w:val="nil"/>
              <w:bottom w:val="nil"/>
              <w:right w:val="nil"/>
            </w:tcBorders>
            <w:shd w:val="clear" w:color="000000" w:fill="FFFFFF"/>
            <w:vAlign w:val="center"/>
            <w:hideMark/>
          </w:tcPr>
          <w:p w14:paraId="6540BDBE" w14:textId="77777777" w:rsidR="00B74858" w:rsidRPr="00667CD1" w:rsidRDefault="00B74858" w:rsidP="00B74858">
            <w:pPr>
              <w:jc w:val="center"/>
              <w:rPr>
                <w:rFonts w:ascii="Arial" w:hAnsi="Arial" w:cs="Arial"/>
                <w:sz w:val="12"/>
                <w:szCs w:val="12"/>
                <w:lang w:eastAsia="en-AU"/>
              </w:rPr>
            </w:pPr>
            <w:r w:rsidRPr="00667CD1">
              <w:rPr>
                <w:rFonts w:ascii="Arial" w:hAnsi="Arial" w:cs="Arial"/>
                <w:sz w:val="12"/>
                <w:szCs w:val="12"/>
                <w:lang w:eastAsia="en-AU"/>
              </w:rPr>
              <w:t>(6.4)</w:t>
            </w:r>
          </w:p>
        </w:tc>
      </w:tr>
      <w:tr w:rsidR="00B74858" w:rsidRPr="00667CD1" w14:paraId="2800A31C" w14:textId="77777777" w:rsidTr="00EA33D1">
        <w:trPr>
          <w:trHeight w:val="300"/>
        </w:trPr>
        <w:tc>
          <w:tcPr>
            <w:tcW w:w="2815" w:type="dxa"/>
            <w:tcBorders>
              <w:top w:val="nil"/>
              <w:left w:val="nil"/>
              <w:bottom w:val="nil"/>
              <w:right w:val="nil"/>
            </w:tcBorders>
            <w:shd w:val="clear" w:color="000000" w:fill="FFFFFF"/>
            <w:noWrap/>
            <w:vAlign w:val="center"/>
            <w:hideMark/>
          </w:tcPr>
          <w:p w14:paraId="6E51CA0F" w14:textId="77777777" w:rsidR="00B74858" w:rsidRPr="00667CD1" w:rsidRDefault="00B74858" w:rsidP="00B74858">
            <w:pPr>
              <w:rPr>
                <w:rFonts w:ascii="Arial" w:hAnsi="Arial" w:cs="Arial"/>
                <w:sz w:val="12"/>
                <w:szCs w:val="12"/>
                <w:lang w:eastAsia="en-AU"/>
              </w:rPr>
            </w:pPr>
            <w:r w:rsidRPr="00667CD1">
              <w:rPr>
                <w:rFonts w:ascii="Arial" w:hAnsi="Arial" w:cs="Arial"/>
                <w:sz w:val="12"/>
                <w:szCs w:val="12"/>
                <w:lang w:eastAsia="en-AU"/>
              </w:rPr>
              <w:t>Fee for service</w:t>
            </w:r>
          </w:p>
        </w:tc>
        <w:tc>
          <w:tcPr>
            <w:tcW w:w="916" w:type="dxa"/>
            <w:tcBorders>
              <w:top w:val="nil"/>
              <w:left w:val="nil"/>
              <w:bottom w:val="nil"/>
              <w:right w:val="nil"/>
            </w:tcBorders>
            <w:shd w:val="clear" w:color="000000" w:fill="FFFFFF"/>
            <w:noWrap/>
            <w:vAlign w:val="center"/>
            <w:hideMark/>
          </w:tcPr>
          <w:p w14:paraId="52C1A3C0" w14:textId="7F67CB63"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2,</w:t>
            </w:r>
            <w:r w:rsidR="00756C9B" w:rsidRPr="00667CD1">
              <w:rPr>
                <w:rFonts w:ascii="Arial" w:hAnsi="Arial" w:cs="Arial"/>
                <w:sz w:val="12"/>
                <w:szCs w:val="12"/>
                <w:lang w:eastAsia="en-AU"/>
              </w:rPr>
              <w:t>605</w:t>
            </w:r>
          </w:p>
        </w:tc>
        <w:tc>
          <w:tcPr>
            <w:tcW w:w="916" w:type="dxa"/>
            <w:tcBorders>
              <w:top w:val="nil"/>
              <w:left w:val="nil"/>
              <w:bottom w:val="nil"/>
              <w:right w:val="nil"/>
            </w:tcBorders>
            <w:shd w:val="clear" w:color="000000" w:fill="FFFFFF"/>
            <w:noWrap/>
            <w:vAlign w:val="center"/>
            <w:hideMark/>
          </w:tcPr>
          <w:p w14:paraId="69B3D1CB"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2,145</w:t>
            </w:r>
          </w:p>
        </w:tc>
        <w:tc>
          <w:tcPr>
            <w:tcW w:w="916" w:type="dxa"/>
            <w:tcBorders>
              <w:top w:val="nil"/>
              <w:left w:val="nil"/>
              <w:bottom w:val="nil"/>
              <w:right w:val="nil"/>
            </w:tcBorders>
            <w:shd w:val="clear" w:color="000000" w:fill="F2F2F2"/>
            <w:noWrap/>
            <w:vAlign w:val="center"/>
            <w:hideMark/>
          </w:tcPr>
          <w:p w14:paraId="328438CE"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3,091</w:t>
            </w:r>
          </w:p>
        </w:tc>
        <w:tc>
          <w:tcPr>
            <w:tcW w:w="916" w:type="dxa"/>
            <w:tcBorders>
              <w:top w:val="nil"/>
              <w:left w:val="nil"/>
              <w:bottom w:val="nil"/>
              <w:right w:val="nil"/>
            </w:tcBorders>
            <w:shd w:val="clear" w:color="000000" w:fill="F2F2F2"/>
            <w:noWrap/>
            <w:vAlign w:val="center"/>
            <w:hideMark/>
          </w:tcPr>
          <w:p w14:paraId="15840B6F"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4,053</w:t>
            </w:r>
          </w:p>
        </w:tc>
        <w:tc>
          <w:tcPr>
            <w:tcW w:w="916" w:type="dxa"/>
            <w:tcBorders>
              <w:top w:val="nil"/>
              <w:left w:val="nil"/>
              <w:bottom w:val="nil"/>
              <w:right w:val="nil"/>
            </w:tcBorders>
            <w:shd w:val="clear" w:color="000000" w:fill="F2F2F2"/>
            <w:noWrap/>
            <w:vAlign w:val="center"/>
            <w:hideMark/>
          </w:tcPr>
          <w:p w14:paraId="05B75794"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3,011</w:t>
            </w:r>
          </w:p>
        </w:tc>
        <w:tc>
          <w:tcPr>
            <w:tcW w:w="916" w:type="dxa"/>
            <w:tcBorders>
              <w:top w:val="nil"/>
              <w:left w:val="nil"/>
              <w:bottom w:val="nil"/>
              <w:right w:val="nil"/>
            </w:tcBorders>
            <w:shd w:val="clear" w:color="000000" w:fill="F2F2F2"/>
            <w:noWrap/>
            <w:vAlign w:val="center"/>
            <w:hideMark/>
          </w:tcPr>
          <w:p w14:paraId="65A7695C"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1,918</w:t>
            </w:r>
          </w:p>
        </w:tc>
        <w:tc>
          <w:tcPr>
            <w:tcW w:w="1109" w:type="dxa"/>
            <w:tcBorders>
              <w:top w:val="nil"/>
              <w:left w:val="nil"/>
              <w:bottom w:val="nil"/>
              <w:right w:val="nil"/>
            </w:tcBorders>
            <w:shd w:val="clear" w:color="000000" w:fill="FFFFFF"/>
            <w:vAlign w:val="center"/>
            <w:hideMark/>
          </w:tcPr>
          <w:p w14:paraId="6281C8C9" w14:textId="77777777" w:rsidR="00B74858" w:rsidRPr="00667CD1" w:rsidRDefault="00B74858" w:rsidP="00B74858">
            <w:pPr>
              <w:jc w:val="center"/>
              <w:rPr>
                <w:rFonts w:ascii="Arial" w:hAnsi="Arial" w:cs="Arial"/>
                <w:sz w:val="12"/>
                <w:szCs w:val="12"/>
                <w:lang w:eastAsia="en-AU"/>
              </w:rPr>
            </w:pPr>
            <w:r w:rsidRPr="00667CD1">
              <w:rPr>
                <w:rFonts w:ascii="Arial" w:hAnsi="Arial" w:cs="Arial"/>
                <w:sz w:val="12"/>
                <w:szCs w:val="12"/>
                <w:lang w:eastAsia="en-AU"/>
              </w:rPr>
              <w:t>(2.8)</w:t>
            </w:r>
          </w:p>
        </w:tc>
      </w:tr>
      <w:tr w:rsidR="00B74858" w:rsidRPr="00667CD1" w14:paraId="6B8A9C93" w14:textId="77777777" w:rsidTr="00EA33D1">
        <w:trPr>
          <w:trHeight w:val="300"/>
        </w:trPr>
        <w:tc>
          <w:tcPr>
            <w:tcW w:w="2815" w:type="dxa"/>
            <w:tcBorders>
              <w:top w:val="nil"/>
              <w:left w:val="nil"/>
              <w:bottom w:val="nil"/>
              <w:right w:val="nil"/>
            </w:tcBorders>
            <w:shd w:val="clear" w:color="000000" w:fill="FFFFFF"/>
            <w:noWrap/>
            <w:vAlign w:val="center"/>
            <w:hideMark/>
          </w:tcPr>
          <w:p w14:paraId="3B7E25B7" w14:textId="77777777" w:rsidR="00B74858" w:rsidRPr="00667CD1" w:rsidRDefault="00B74858" w:rsidP="00B74858">
            <w:pPr>
              <w:rPr>
                <w:rFonts w:ascii="Arial" w:hAnsi="Arial" w:cs="Arial"/>
                <w:sz w:val="12"/>
                <w:szCs w:val="12"/>
                <w:lang w:eastAsia="en-AU"/>
              </w:rPr>
            </w:pPr>
            <w:r w:rsidRPr="00667CD1">
              <w:rPr>
                <w:rFonts w:ascii="Arial" w:hAnsi="Arial" w:cs="Arial"/>
                <w:sz w:val="12"/>
                <w:szCs w:val="12"/>
                <w:lang w:eastAsia="en-AU"/>
              </w:rPr>
              <w:t>Entry fees</w:t>
            </w:r>
          </w:p>
        </w:tc>
        <w:tc>
          <w:tcPr>
            <w:tcW w:w="916" w:type="dxa"/>
            <w:tcBorders>
              <w:top w:val="nil"/>
              <w:left w:val="nil"/>
              <w:bottom w:val="nil"/>
              <w:right w:val="nil"/>
            </w:tcBorders>
            <w:shd w:val="clear" w:color="000000" w:fill="FFFFFF"/>
            <w:noWrap/>
            <w:vAlign w:val="center"/>
            <w:hideMark/>
          </w:tcPr>
          <w:p w14:paraId="7179AE53"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64</w:t>
            </w:r>
          </w:p>
        </w:tc>
        <w:tc>
          <w:tcPr>
            <w:tcW w:w="916" w:type="dxa"/>
            <w:tcBorders>
              <w:top w:val="nil"/>
              <w:left w:val="nil"/>
              <w:bottom w:val="nil"/>
              <w:right w:val="nil"/>
            </w:tcBorders>
            <w:shd w:val="clear" w:color="000000" w:fill="FFFFFF"/>
            <w:noWrap/>
            <w:vAlign w:val="center"/>
            <w:hideMark/>
          </w:tcPr>
          <w:p w14:paraId="6421A5FA"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43</w:t>
            </w:r>
          </w:p>
        </w:tc>
        <w:tc>
          <w:tcPr>
            <w:tcW w:w="916" w:type="dxa"/>
            <w:tcBorders>
              <w:top w:val="nil"/>
              <w:left w:val="nil"/>
              <w:bottom w:val="nil"/>
              <w:right w:val="nil"/>
            </w:tcBorders>
            <w:shd w:val="clear" w:color="000000" w:fill="F2F2F2"/>
            <w:noWrap/>
            <w:vAlign w:val="center"/>
            <w:hideMark/>
          </w:tcPr>
          <w:p w14:paraId="79E96386"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23</w:t>
            </w:r>
          </w:p>
        </w:tc>
        <w:tc>
          <w:tcPr>
            <w:tcW w:w="916" w:type="dxa"/>
            <w:tcBorders>
              <w:top w:val="nil"/>
              <w:left w:val="nil"/>
              <w:bottom w:val="nil"/>
              <w:right w:val="nil"/>
            </w:tcBorders>
            <w:shd w:val="clear" w:color="000000" w:fill="F2F2F2"/>
            <w:noWrap/>
            <w:vAlign w:val="center"/>
            <w:hideMark/>
          </w:tcPr>
          <w:p w14:paraId="099C079D"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53</w:t>
            </w:r>
          </w:p>
        </w:tc>
        <w:tc>
          <w:tcPr>
            <w:tcW w:w="916" w:type="dxa"/>
            <w:tcBorders>
              <w:top w:val="nil"/>
              <w:left w:val="nil"/>
              <w:bottom w:val="nil"/>
              <w:right w:val="nil"/>
            </w:tcBorders>
            <w:shd w:val="clear" w:color="000000" w:fill="F2F2F2"/>
            <w:noWrap/>
            <w:vAlign w:val="center"/>
            <w:hideMark/>
          </w:tcPr>
          <w:p w14:paraId="41DCD64C"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58</w:t>
            </w:r>
          </w:p>
        </w:tc>
        <w:tc>
          <w:tcPr>
            <w:tcW w:w="916" w:type="dxa"/>
            <w:tcBorders>
              <w:top w:val="nil"/>
              <w:left w:val="nil"/>
              <w:bottom w:val="nil"/>
              <w:right w:val="nil"/>
            </w:tcBorders>
            <w:shd w:val="clear" w:color="000000" w:fill="F2F2F2"/>
            <w:noWrap/>
            <w:vAlign w:val="center"/>
            <w:hideMark/>
          </w:tcPr>
          <w:p w14:paraId="5015E74B"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59</w:t>
            </w:r>
          </w:p>
        </w:tc>
        <w:tc>
          <w:tcPr>
            <w:tcW w:w="1109" w:type="dxa"/>
            <w:tcBorders>
              <w:top w:val="nil"/>
              <w:left w:val="nil"/>
              <w:bottom w:val="nil"/>
              <w:right w:val="nil"/>
            </w:tcBorders>
            <w:shd w:val="clear" w:color="000000" w:fill="FFFFFF"/>
            <w:vAlign w:val="center"/>
            <w:hideMark/>
          </w:tcPr>
          <w:p w14:paraId="7356FF3C" w14:textId="77777777" w:rsidR="00B74858" w:rsidRPr="00667CD1" w:rsidRDefault="00B74858" w:rsidP="00B74858">
            <w:pPr>
              <w:jc w:val="center"/>
              <w:rPr>
                <w:rFonts w:ascii="Arial" w:hAnsi="Arial" w:cs="Arial"/>
                <w:sz w:val="12"/>
                <w:szCs w:val="12"/>
                <w:lang w:eastAsia="en-AU"/>
              </w:rPr>
            </w:pPr>
            <w:r w:rsidRPr="00667CD1">
              <w:rPr>
                <w:rFonts w:ascii="Arial" w:hAnsi="Arial" w:cs="Arial"/>
                <w:sz w:val="12"/>
                <w:szCs w:val="12"/>
                <w:lang w:eastAsia="en-AU"/>
              </w:rPr>
              <w:t>8.2</w:t>
            </w:r>
          </w:p>
        </w:tc>
      </w:tr>
      <w:tr w:rsidR="00B74858" w:rsidRPr="00667CD1" w14:paraId="2114E898" w14:textId="77777777" w:rsidTr="00EA33D1">
        <w:trPr>
          <w:trHeight w:val="300"/>
        </w:trPr>
        <w:tc>
          <w:tcPr>
            <w:tcW w:w="2815" w:type="dxa"/>
            <w:tcBorders>
              <w:top w:val="nil"/>
              <w:left w:val="nil"/>
              <w:bottom w:val="nil"/>
              <w:right w:val="nil"/>
            </w:tcBorders>
            <w:shd w:val="clear" w:color="000000" w:fill="FFFFFF"/>
            <w:noWrap/>
            <w:vAlign w:val="center"/>
            <w:hideMark/>
          </w:tcPr>
          <w:p w14:paraId="3FA5B64D" w14:textId="77777777" w:rsidR="00B74858" w:rsidRPr="00667CD1" w:rsidRDefault="00B74858" w:rsidP="00B74858">
            <w:pPr>
              <w:rPr>
                <w:rFonts w:ascii="Arial" w:hAnsi="Arial" w:cs="Arial"/>
                <w:sz w:val="12"/>
                <w:szCs w:val="12"/>
                <w:lang w:eastAsia="en-AU"/>
              </w:rPr>
            </w:pPr>
            <w:r w:rsidRPr="00667CD1">
              <w:rPr>
                <w:rFonts w:ascii="Arial" w:hAnsi="Arial" w:cs="Arial"/>
                <w:sz w:val="12"/>
                <w:szCs w:val="12"/>
                <w:lang w:eastAsia="en-AU"/>
              </w:rPr>
              <w:t>Patient fees and hospital charges</w:t>
            </w:r>
          </w:p>
        </w:tc>
        <w:tc>
          <w:tcPr>
            <w:tcW w:w="916" w:type="dxa"/>
            <w:tcBorders>
              <w:top w:val="nil"/>
              <w:left w:val="nil"/>
              <w:bottom w:val="nil"/>
              <w:right w:val="nil"/>
            </w:tcBorders>
            <w:shd w:val="clear" w:color="000000" w:fill="FFFFFF"/>
            <w:noWrap/>
            <w:vAlign w:val="center"/>
            <w:hideMark/>
          </w:tcPr>
          <w:p w14:paraId="534F8E66"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1,070</w:t>
            </w:r>
          </w:p>
        </w:tc>
        <w:tc>
          <w:tcPr>
            <w:tcW w:w="916" w:type="dxa"/>
            <w:tcBorders>
              <w:top w:val="nil"/>
              <w:left w:val="nil"/>
              <w:bottom w:val="nil"/>
              <w:right w:val="nil"/>
            </w:tcBorders>
            <w:shd w:val="clear" w:color="000000" w:fill="FFFFFF"/>
            <w:noWrap/>
            <w:vAlign w:val="center"/>
            <w:hideMark/>
          </w:tcPr>
          <w:p w14:paraId="2E16C482"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975</w:t>
            </w:r>
          </w:p>
        </w:tc>
        <w:tc>
          <w:tcPr>
            <w:tcW w:w="916" w:type="dxa"/>
            <w:tcBorders>
              <w:top w:val="nil"/>
              <w:left w:val="nil"/>
              <w:bottom w:val="nil"/>
              <w:right w:val="nil"/>
            </w:tcBorders>
            <w:shd w:val="clear" w:color="000000" w:fill="F2F2F2"/>
            <w:noWrap/>
            <w:vAlign w:val="center"/>
            <w:hideMark/>
          </w:tcPr>
          <w:p w14:paraId="3A7D86D2"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1,088</w:t>
            </w:r>
          </w:p>
        </w:tc>
        <w:tc>
          <w:tcPr>
            <w:tcW w:w="916" w:type="dxa"/>
            <w:tcBorders>
              <w:top w:val="nil"/>
              <w:left w:val="nil"/>
              <w:bottom w:val="nil"/>
              <w:right w:val="nil"/>
            </w:tcBorders>
            <w:shd w:val="clear" w:color="000000" w:fill="F2F2F2"/>
            <w:noWrap/>
            <w:vAlign w:val="center"/>
            <w:hideMark/>
          </w:tcPr>
          <w:p w14:paraId="7CA9E6B9"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1,110</w:t>
            </w:r>
          </w:p>
        </w:tc>
        <w:tc>
          <w:tcPr>
            <w:tcW w:w="916" w:type="dxa"/>
            <w:tcBorders>
              <w:top w:val="nil"/>
              <w:left w:val="nil"/>
              <w:bottom w:val="nil"/>
              <w:right w:val="nil"/>
            </w:tcBorders>
            <w:shd w:val="clear" w:color="000000" w:fill="F2F2F2"/>
            <w:noWrap/>
            <w:vAlign w:val="center"/>
            <w:hideMark/>
          </w:tcPr>
          <w:p w14:paraId="1D054F81"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1,151</w:t>
            </w:r>
          </w:p>
        </w:tc>
        <w:tc>
          <w:tcPr>
            <w:tcW w:w="916" w:type="dxa"/>
            <w:tcBorders>
              <w:top w:val="nil"/>
              <w:left w:val="nil"/>
              <w:bottom w:val="nil"/>
              <w:right w:val="nil"/>
            </w:tcBorders>
            <w:shd w:val="clear" w:color="000000" w:fill="F2F2F2"/>
            <w:noWrap/>
            <w:vAlign w:val="center"/>
            <w:hideMark/>
          </w:tcPr>
          <w:p w14:paraId="6FC7CAEC"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1,163</w:t>
            </w:r>
          </w:p>
        </w:tc>
        <w:tc>
          <w:tcPr>
            <w:tcW w:w="1109" w:type="dxa"/>
            <w:tcBorders>
              <w:top w:val="nil"/>
              <w:left w:val="nil"/>
              <w:bottom w:val="nil"/>
              <w:right w:val="nil"/>
            </w:tcBorders>
            <w:shd w:val="clear" w:color="000000" w:fill="FFFFFF"/>
            <w:vAlign w:val="center"/>
            <w:hideMark/>
          </w:tcPr>
          <w:p w14:paraId="5EC0AF60" w14:textId="77777777" w:rsidR="00B74858" w:rsidRPr="00667CD1" w:rsidRDefault="00B74858" w:rsidP="00B74858">
            <w:pPr>
              <w:jc w:val="center"/>
              <w:rPr>
                <w:rFonts w:ascii="Arial" w:hAnsi="Arial" w:cs="Arial"/>
                <w:sz w:val="12"/>
                <w:szCs w:val="12"/>
                <w:lang w:eastAsia="en-AU"/>
              </w:rPr>
            </w:pPr>
            <w:r w:rsidRPr="00667CD1">
              <w:rPr>
                <w:rFonts w:ascii="Arial" w:hAnsi="Arial" w:cs="Arial"/>
                <w:sz w:val="12"/>
                <w:szCs w:val="12"/>
                <w:lang w:eastAsia="en-AU"/>
              </w:rPr>
              <w:t>4.5</w:t>
            </w:r>
          </w:p>
        </w:tc>
      </w:tr>
      <w:tr w:rsidR="00B74858" w:rsidRPr="00667CD1" w14:paraId="26C696F2" w14:textId="77777777" w:rsidTr="00EA33D1">
        <w:trPr>
          <w:trHeight w:val="300"/>
        </w:trPr>
        <w:tc>
          <w:tcPr>
            <w:tcW w:w="2815" w:type="dxa"/>
            <w:tcBorders>
              <w:top w:val="nil"/>
              <w:left w:val="nil"/>
              <w:bottom w:val="nil"/>
              <w:right w:val="nil"/>
            </w:tcBorders>
            <w:shd w:val="clear" w:color="000000" w:fill="FFFFFF"/>
            <w:vAlign w:val="center"/>
            <w:hideMark/>
          </w:tcPr>
          <w:p w14:paraId="3A2BC638" w14:textId="4315EE3C" w:rsidR="00B74858" w:rsidRPr="00667CD1" w:rsidRDefault="00B74858" w:rsidP="00B74858">
            <w:pPr>
              <w:rPr>
                <w:rFonts w:ascii="Arial" w:hAnsi="Arial" w:cs="Arial"/>
                <w:sz w:val="12"/>
                <w:szCs w:val="12"/>
                <w:lang w:eastAsia="en-AU"/>
              </w:rPr>
            </w:pPr>
            <w:r w:rsidRPr="00667CD1">
              <w:rPr>
                <w:rFonts w:ascii="Arial" w:hAnsi="Arial" w:cs="Arial"/>
                <w:sz w:val="12"/>
                <w:szCs w:val="12"/>
                <w:lang w:eastAsia="en-AU"/>
              </w:rPr>
              <w:t xml:space="preserve">Department of Veterans' Affairs </w:t>
            </w:r>
          </w:p>
        </w:tc>
        <w:tc>
          <w:tcPr>
            <w:tcW w:w="916" w:type="dxa"/>
            <w:tcBorders>
              <w:top w:val="nil"/>
              <w:left w:val="nil"/>
              <w:bottom w:val="nil"/>
              <w:right w:val="nil"/>
            </w:tcBorders>
            <w:shd w:val="clear" w:color="000000" w:fill="FFFFFF"/>
            <w:noWrap/>
            <w:vAlign w:val="center"/>
            <w:hideMark/>
          </w:tcPr>
          <w:p w14:paraId="3C601242"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252</w:t>
            </w:r>
          </w:p>
        </w:tc>
        <w:tc>
          <w:tcPr>
            <w:tcW w:w="916" w:type="dxa"/>
            <w:tcBorders>
              <w:top w:val="nil"/>
              <w:left w:val="nil"/>
              <w:bottom w:val="nil"/>
              <w:right w:val="nil"/>
            </w:tcBorders>
            <w:shd w:val="clear" w:color="000000" w:fill="FFFFFF"/>
            <w:noWrap/>
            <w:vAlign w:val="center"/>
            <w:hideMark/>
          </w:tcPr>
          <w:p w14:paraId="4CA9457E"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210</w:t>
            </w:r>
          </w:p>
        </w:tc>
        <w:tc>
          <w:tcPr>
            <w:tcW w:w="916" w:type="dxa"/>
            <w:tcBorders>
              <w:top w:val="nil"/>
              <w:left w:val="nil"/>
              <w:bottom w:val="nil"/>
              <w:right w:val="nil"/>
            </w:tcBorders>
            <w:shd w:val="clear" w:color="000000" w:fill="F2F2F2"/>
            <w:noWrap/>
            <w:vAlign w:val="center"/>
            <w:hideMark/>
          </w:tcPr>
          <w:p w14:paraId="14DBD29C"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188</w:t>
            </w:r>
          </w:p>
        </w:tc>
        <w:tc>
          <w:tcPr>
            <w:tcW w:w="916" w:type="dxa"/>
            <w:tcBorders>
              <w:top w:val="nil"/>
              <w:left w:val="nil"/>
              <w:bottom w:val="nil"/>
              <w:right w:val="nil"/>
            </w:tcBorders>
            <w:shd w:val="clear" w:color="000000" w:fill="F2F2F2"/>
            <w:noWrap/>
            <w:vAlign w:val="center"/>
            <w:hideMark/>
          </w:tcPr>
          <w:p w14:paraId="502B6A5C"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177</w:t>
            </w:r>
          </w:p>
        </w:tc>
        <w:tc>
          <w:tcPr>
            <w:tcW w:w="916" w:type="dxa"/>
            <w:tcBorders>
              <w:top w:val="nil"/>
              <w:left w:val="nil"/>
              <w:bottom w:val="nil"/>
              <w:right w:val="nil"/>
            </w:tcBorders>
            <w:shd w:val="clear" w:color="000000" w:fill="F2F2F2"/>
            <w:noWrap/>
            <w:vAlign w:val="center"/>
            <w:hideMark/>
          </w:tcPr>
          <w:p w14:paraId="2C9C3466"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166</w:t>
            </w:r>
          </w:p>
        </w:tc>
        <w:tc>
          <w:tcPr>
            <w:tcW w:w="916" w:type="dxa"/>
            <w:tcBorders>
              <w:top w:val="nil"/>
              <w:left w:val="nil"/>
              <w:bottom w:val="nil"/>
              <w:right w:val="nil"/>
            </w:tcBorders>
            <w:shd w:val="clear" w:color="000000" w:fill="F2F2F2"/>
            <w:noWrap/>
            <w:vAlign w:val="center"/>
            <w:hideMark/>
          </w:tcPr>
          <w:p w14:paraId="7F92F2E2"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156</w:t>
            </w:r>
          </w:p>
        </w:tc>
        <w:tc>
          <w:tcPr>
            <w:tcW w:w="1109" w:type="dxa"/>
            <w:tcBorders>
              <w:top w:val="nil"/>
              <w:left w:val="nil"/>
              <w:bottom w:val="nil"/>
              <w:right w:val="nil"/>
            </w:tcBorders>
            <w:shd w:val="clear" w:color="000000" w:fill="FFFFFF"/>
            <w:vAlign w:val="center"/>
            <w:hideMark/>
          </w:tcPr>
          <w:p w14:paraId="437CD365" w14:textId="77777777" w:rsidR="00B74858" w:rsidRPr="00667CD1" w:rsidRDefault="00B74858" w:rsidP="00B74858">
            <w:pPr>
              <w:jc w:val="center"/>
              <w:rPr>
                <w:rFonts w:ascii="Arial" w:hAnsi="Arial" w:cs="Arial"/>
                <w:sz w:val="12"/>
                <w:szCs w:val="12"/>
                <w:lang w:eastAsia="en-AU"/>
              </w:rPr>
            </w:pPr>
            <w:r w:rsidRPr="00667CD1">
              <w:rPr>
                <w:rFonts w:ascii="Arial" w:hAnsi="Arial" w:cs="Arial"/>
                <w:sz w:val="12"/>
                <w:szCs w:val="12"/>
                <w:lang w:eastAsia="en-AU"/>
              </w:rPr>
              <w:t>(7.1)</w:t>
            </w:r>
          </w:p>
        </w:tc>
      </w:tr>
      <w:tr w:rsidR="00B74858" w:rsidRPr="00667CD1" w14:paraId="7ACEBE36" w14:textId="77777777" w:rsidTr="00EA33D1">
        <w:trPr>
          <w:trHeight w:val="290"/>
        </w:trPr>
        <w:tc>
          <w:tcPr>
            <w:tcW w:w="2815" w:type="dxa"/>
            <w:tcBorders>
              <w:top w:val="nil"/>
              <w:left w:val="nil"/>
              <w:bottom w:val="nil"/>
              <w:right w:val="nil"/>
            </w:tcBorders>
            <w:shd w:val="clear" w:color="000000" w:fill="FFFFFF"/>
            <w:noWrap/>
            <w:vAlign w:val="center"/>
            <w:hideMark/>
          </w:tcPr>
          <w:p w14:paraId="2B997FCE" w14:textId="77777777" w:rsidR="00B74858" w:rsidRPr="00667CD1" w:rsidRDefault="00B74858" w:rsidP="00B74858">
            <w:pPr>
              <w:rPr>
                <w:rFonts w:ascii="Arial" w:hAnsi="Arial" w:cs="Arial"/>
                <w:sz w:val="12"/>
                <w:szCs w:val="12"/>
                <w:lang w:eastAsia="en-AU"/>
              </w:rPr>
            </w:pPr>
            <w:r w:rsidRPr="00667CD1">
              <w:rPr>
                <w:rFonts w:ascii="Arial" w:hAnsi="Arial" w:cs="Arial"/>
                <w:sz w:val="12"/>
                <w:szCs w:val="12"/>
                <w:lang w:eastAsia="en-AU"/>
              </w:rPr>
              <w:t>Court fees</w:t>
            </w:r>
          </w:p>
        </w:tc>
        <w:tc>
          <w:tcPr>
            <w:tcW w:w="916" w:type="dxa"/>
            <w:tcBorders>
              <w:top w:val="nil"/>
              <w:left w:val="nil"/>
              <w:bottom w:val="nil"/>
              <w:right w:val="nil"/>
            </w:tcBorders>
            <w:shd w:val="clear" w:color="000000" w:fill="FFFFFF"/>
            <w:noWrap/>
            <w:vAlign w:val="center"/>
            <w:hideMark/>
          </w:tcPr>
          <w:p w14:paraId="3AC8DD06"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134</w:t>
            </w:r>
          </w:p>
        </w:tc>
        <w:tc>
          <w:tcPr>
            <w:tcW w:w="916" w:type="dxa"/>
            <w:tcBorders>
              <w:top w:val="nil"/>
              <w:left w:val="nil"/>
              <w:bottom w:val="nil"/>
              <w:right w:val="nil"/>
            </w:tcBorders>
            <w:shd w:val="clear" w:color="000000" w:fill="FFFFFF"/>
            <w:noWrap/>
            <w:vAlign w:val="center"/>
            <w:hideMark/>
          </w:tcPr>
          <w:p w14:paraId="46D40B31"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138</w:t>
            </w:r>
          </w:p>
        </w:tc>
        <w:tc>
          <w:tcPr>
            <w:tcW w:w="916" w:type="dxa"/>
            <w:tcBorders>
              <w:top w:val="nil"/>
              <w:left w:val="nil"/>
              <w:bottom w:val="nil"/>
              <w:right w:val="nil"/>
            </w:tcBorders>
            <w:shd w:val="clear" w:color="000000" w:fill="F2F2F2"/>
            <w:noWrap/>
            <w:vAlign w:val="center"/>
            <w:hideMark/>
          </w:tcPr>
          <w:p w14:paraId="4FBE32BD"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137</w:t>
            </w:r>
          </w:p>
        </w:tc>
        <w:tc>
          <w:tcPr>
            <w:tcW w:w="916" w:type="dxa"/>
            <w:tcBorders>
              <w:top w:val="nil"/>
              <w:left w:val="nil"/>
              <w:bottom w:val="nil"/>
              <w:right w:val="nil"/>
            </w:tcBorders>
            <w:shd w:val="clear" w:color="000000" w:fill="F2F2F2"/>
            <w:noWrap/>
            <w:vAlign w:val="center"/>
            <w:hideMark/>
          </w:tcPr>
          <w:p w14:paraId="4EAD51A1"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128</w:t>
            </w:r>
          </w:p>
        </w:tc>
        <w:tc>
          <w:tcPr>
            <w:tcW w:w="916" w:type="dxa"/>
            <w:tcBorders>
              <w:top w:val="nil"/>
              <w:left w:val="nil"/>
              <w:bottom w:val="nil"/>
              <w:right w:val="nil"/>
            </w:tcBorders>
            <w:shd w:val="clear" w:color="000000" w:fill="F2F2F2"/>
            <w:noWrap/>
            <w:vAlign w:val="center"/>
            <w:hideMark/>
          </w:tcPr>
          <w:p w14:paraId="6A216693"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127</w:t>
            </w:r>
          </w:p>
        </w:tc>
        <w:tc>
          <w:tcPr>
            <w:tcW w:w="916" w:type="dxa"/>
            <w:tcBorders>
              <w:top w:val="nil"/>
              <w:left w:val="nil"/>
              <w:bottom w:val="nil"/>
              <w:right w:val="nil"/>
            </w:tcBorders>
            <w:shd w:val="clear" w:color="000000" w:fill="F2F2F2"/>
            <w:noWrap/>
            <w:vAlign w:val="center"/>
            <w:hideMark/>
          </w:tcPr>
          <w:p w14:paraId="1E69147C"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126</w:t>
            </w:r>
          </w:p>
        </w:tc>
        <w:tc>
          <w:tcPr>
            <w:tcW w:w="1109" w:type="dxa"/>
            <w:tcBorders>
              <w:top w:val="nil"/>
              <w:left w:val="nil"/>
              <w:bottom w:val="nil"/>
              <w:right w:val="nil"/>
            </w:tcBorders>
            <w:shd w:val="clear" w:color="000000" w:fill="FFFFFF"/>
            <w:vAlign w:val="center"/>
            <w:hideMark/>
          </w:tcPr>
          <w:p w14:paraId="40438EEC" w14:textId="77777777" w:rsidR="00B74858" w:rsidRPr="00667CD1" w:rsidRDefault="00B74858" w:rsidP="00B74858">
            <w:pPr>
              <w:jc w:val="center"/>
              <w:rPr>
                <w:rFonts w:ascii="Arial" w:hAnsi="Arial" w:cs="Arial"/>
                <w:sz w:val="12"/>
                <w:szCs w:val="12"/>
                <w:lang w:eastAsia="en-AU"/>
              </w:rPr>
            </w:pPr>
            <w:r w:rsidRPr="00667CD1">
              <w:rPr>
                <w:rFonts w:ascii="Arial" w:hAnsi="Arial" w:cs="Arial"/>
                <w:sz w:val="12"/>
                <w:szCs w:val="12"/>
                <w:lang w:eastAsia="en-AU"/>
              </w:rPr>
              <w:t>(2.3)</w:t>
            </w:r>
          </w:p>
        </w:tc>
      </w:tr>
      <w:tr w:rsidR="00B74858" w:rsidRPr="00667CD1" w14:paraId="4BB3147D" w14:textId="77777777" w:rsidTr="00EA33D1">
        <w:trPr>
          <w:trHeight w:val="290"/>
        </w:trPr>
        <w:tc>
          <w:tcPr>
            <w:tcW w:w="2815" w:type="dxa"/>
            <w:tcBorders>
              <w:top w:val="nil"/>
              <w:left w:val="nil"/>
              <w:bottom w:val="nil"/>
              <w:right w:val="nil"/>
            </w:tcBorders>
            <w:shd w:val="clear" w:color="000000" w:fill="FFFFFF"/>
            <w:noWrap/>
            <w:vAlign w:val="center"/>
            <w:hideMark/>
          </w:tcPr>
          <w:p w14:paraId="68640C95" w14:textId="77777777" w:rsidR="00B74858" w:rsidRPr="00667CD1" w:rsidRDefault="00B74858" w:rsidP="00B74858">
            <w:pPr>
              <w:rPr>
                <w:rFonts w:ascii="Arial" w:hAnsi="Arial" w:cs="Arial"/>
                <w:sz w:val="12"/>
                <w:szCs w:val="12"/>
                <w:lang w:eastAsia="en-AU"/>
              </w:rPr>
            </w:pPr>
            <w:r w:rsidRPr="00667CD1">
              <w:rPr>
                <w:rFonts w:ascii="Arial" w:hAnsi="Arial" w:cs="Arial"/>
                <w:sz w:val="12"/>
                <w:szCs w:val="12"/>
                <w:lang w:eastAsia="en-AU"/>
              </w:rPr>
              <w:t>Road tolls</w:t>
            </w:r>
          </w:p>
        </w:tc>
        <w:tc>
          <w:tcPr>
            <w:tcW w:w="916" w:type="dxa"/>
            <w:tcBorders>
              <w:top w:val="nil"/>
              <w:left w:val="nil"/>
              <w:bottom w:val="nil"/>
              <w:right w:val="nil"/>
            </w:tcBorders>
            <w:shd w:val="clear" w:color="000000" w:fill="FFFFFF"/>
            <w:noWrap/>
            <w:vAlign w:val="center"/>
            <w:hideMark/>
          </w:tcPr>
          <w:p w14:paraId="6143B0C7"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158</w:t>
            </w:r>
          </w:p>
        </w:tc>
        <w:tc>
          <w:tcPr>
            <w:tcW w:w="916" w:type="dxa"/>
            <w:tcBorders>
              <w:top w:val="nil"/>
              <w:left w:val="nil"/>
              <w:bottom w:val="nil"/>
              <w:right w:val="nil"/>
            </w:tcBorders>
            <w:shd w:val="clear" w:color="000000" w:fill="FFFFFF"/>
            <w:noWrap/>
            <w:vAlign w:val="center"/>
            <w:hideMark/>
          </w:tcPr>
          <w:p w14:paraId="7CE1BDC5"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138</w:t>
            </w:r>
          </w:p>
        </w:tc>
        <w:tc>
          <w:tcPr>
            <w:tcW w:w="916" w:type="dxa"/>
            <w:tcBorders>
              <w:top w:val="nil"/>
              <w:left w:val="nil"/>
              <w:bottom w:val="nil"/>
              <w:right w:val="nil"/>
            </w:tcBorders>
            <w:shd w:val="clear" w:color="000000" w:fill="F2F2F2"/>
            <w:noWrap/>
            <w:vAlign w:val="center"/>
            <w:hideMark/>
          </w:tcPr>
          <w:p w14:paraId="7B3A3BF4"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136</w:t>
            </w:r>
          </w:p>
        </w:tc>
        <w:tc>
          <w:tcPr>
            <w:tcW w:w="916" w:type="dxa"/>
            <w:tcBorders>
              <w:top w:val="nil"/>
              <w:left w:val="nil"/>
              <w:bottom w:val="nil"/>
              <w:right w:val="nil"/>
            </w:tcBorders>
            <w:shd w:val="clear" w:color="000000" w:fill="F2F2F2"/>
            <w:noWrap/>
            <w:vAlign w:val="center"/>
            <w:hideMark/>
          </w:tcPr>
          <w:p w14:paraId="041AF68E"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163</w:t>
            </w:r>
          </w:p>
        </w:tc>
        <w:tc>
          <w:tcPr>
            <w:tcW w:w="916" w:type="dxa"/>
            <w:tcBorders>
              <w:top w:val="nil"/>
              <w:left w:val="nil"/>
              <w:bottom w:val="nil"/>
              <w:right w:val="nil"/>
            </w:tcBorders>
            <w:shd w:val="clear" w:color="000000" w:fill="F2F2F2"/>
            <w:noWrap/>
            <w:vAlign w:val="center"/>
            <w:hideMark/>
          </w:tcPr>
          <w:p w14:paraId="19716341"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164</w:t>
            </w:r>
          </w:p>
        </w:tc>
        <w:tc>
          <w:tcPr>
            <w:tcW w:w="916" w:type="dxa"/>
            <w:tcBorders>
              <w:top w:val="nil"/>
              <w:left w:val="nil"/>
              <w:bottom w:val="nil"/>
              <w:right w:val="nil"/>
            </w:tcBorders>
            <w:shd w:val="clear" w:color="000000" w:fill="F2F2F2"/>
            <w:noWrap/>
            <w:vAlign w:val="center"/>
            <w:hideMark/>
          </w:tcPr>
          <w:p w14:paraId="2DF97AE6"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173</w:t>
            </w:r>
          </w:p>
        </w:tc>
        <w:tc>
          <w:tcPr>
            <w:tcW w:w="1109" w:type="dxa"/>
            <w:tcBorders>
              <w:top w:val="nil"/>
              <w:left w:val="nil"/>
              <w:bottom w:val="nil"/>
              <w:right w:val="nil"/>
            </w:tcBorders>
            <w:shd w:val="clear" w:color="000000" w:fill="FFFFFF"/>
            <w:vAlign w:val="center"/>
            <w:hideMark/>
          </w:tcPr>
          <w:p w14:paraId="56EC8B91" w14:textId="77777777" w:rsidR="00B74858" w:rsidRPr="00667CD1" w:rsidRDefault="00B74858" w:rsidP="00B74858">
            <w:pPr>
              <w:jc w:val="center"/>
              <w:rPr>
                <w:rFonts w:ascii="Arial" w:hAnsi="Arial" w:cs="Arial"/>
                <w:sz w:val="12"/>
                <w:szCs w:val="12"/>
                <w:lang w:eastAsia="en-AU"/>
              </w:rPr>
            </w:pPr>
            <w:r w:rsidRPr="00667CD1">
              <w:rPr>
                <w:rFonts w:ascii="Arial" w:hAnsi="Arial" w:cs="Arial"/>
                <w:sz w:val="12"/>
                <w:szCs w:val="12"/>
                <w:lang w:eastAsia="en-AU"/>
              </w:rPr>
              <w:t>5.7</w:t>
            </w:r>
          </w:p>
        </w:tc>
      </w:tr>
      <w:tr w:rsidR="00B74858" w:rsidRPr="00667CD1" w14:paraId="27FA9E50" w14:textId="77777777" w:rsidTr="00EA33D1">
        <w:trPr>
          <w:trHeight w:val="300"/>
        </w:trPr>
        <w:tc>
          <w:tcPr>
            <w:tcW w:w="2815" w:type="dxa"/>
            <w:tcBorders>
              <w:top w:val="nil"/>
              <w:left w:val="nil"/>
              <w:bottom w:val="nil"/>
              <w:right w:val="nil"/>
            </w:tcBorders>
            <w:shd w:val="clear" w:color="000000" w:fill="FFFFFF"/>
            <w:vAlign w:val="center"/>
            <w:hideMark/>
          </w:tcPr>
          <w:p w14:paraId="3025DEF2" w14:textId="77777777" w:rsidR="00B74858" w:rsidRPr="00667CD1" w:rsidRDefault="00B74858" w:rsidP="00B74858">
            <w:pPr>
              <w:rPr>
                <w:rFonts w:ascii="Arial" w:hAnsi="Arial" w:cs="Arial"/>
                <w:sz w:val="12"/>
                <w:szCs w:val="12"/>
                <w:lang w:eastAsia="en-AU"/>
              </w:rPr>
            </w:pPr>
            <w:r w:rsidRPr="00667CD1">
              <w:rPr>
                <w:rFonts w:ascii="Arial" w:hAnsi="Arial" w:cs="Arial"/>
                <w:sz w:val="12"/>
                <w:szCs w:val="12"/>
                <w:lang w:eastAsia="en-AU"/>
              </w:rPr>
              <w:t>Other sales of goods and services</w:t>
            </w:r>
          </w:p>
        </w:tc>
        <w:tc>
          <w:tcPr>
            <w:tcW w:w="916" w:type="dxa"/>
            <w:tcBorders>
              <w:top w:val="nil"/>
              <w:left w:val="nil"/>
              <w:bottom w:val="nil"/>
              <w:right w:val="nil"/>
            </w:tcBorders>
            <w:shd w:val="clear" w:color="000000" w:fill="FFFFFF"/>
            <w:noWrap/>
            <w:vAlign w:val="center"/>
            <w:hideMark/>
          </w:tcPr>
          <w:p w14:paraId="37E6B418"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5,119</w:t>
            </w:r>
          </w:p>
        </w:tc>
        <w:tc>
          <w:tcPr>
            <w:tcW w:w="916" w:type="dxa"/>
            <w:tcBorders>
              <w:top w:val="nil"/>
              <w:left w:val="nil"/>
              <w:bottom w:val="nil"/>
              <w:right w:val="nil"/>
            </w:tcBorders>
            <w:shd w:val="clear" w:color="000000" w:fill="FFFFFF"/>
            <w:noWrap/>
            <w:vAlign w:val="center"/>
            <w:hideMark/>
          </w:tcPr>
          <w:p w14:paraId="2897CFD1"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4,739</w:t>
            </w:r>
          </w:p>
        </w:tc>
        <w:tc>
          <w:tcPr>
            <w:tcW w:w="916" w:type="dxa"/>
            <w:tcBorders>
              <w:top w:val="nil"/>
              <w:left w:val="nil"/>
              <w:bottom w:val="nil"/>
              <w:right w:val="nil"/>
            </w:tcBorders>
            <w:shd w:val="clear" w:color="000000" w:fill="F2F2F2"/>
            <w:noWrap/>
            <w:vAlign w:val="center"/>
            <w:hideMark/>
          </w:tcPr>
          <w:p w14:paraId="630C4942"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4,646</w:t>
            </w:r>
          </w:p>
        </w:tc>
        <w:tc>
          <w:tcPr>
            <w:tcW w:w="916" w:type="dxa"/>
            <w:tcBorders>
              <w:top w:val="nil"/>
              <w:left w:val="nil"/>
              <w:bottom w:val="nil"/>
              <w:right w:val="nil"/>
            </w:tcBorders>
            <w:shd w:val="clear" w:color="000000" w:fill="F2F2F2"/>
            <w:noWrap/>
            <w:vAlign w:val="center"/>
            <w:hideMark/>
          </w:tcPr>
          <w:p w14:paraId="69635BFD"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4,867</w:t>
            </w:r>
          </w:p>
        </w:tc>
        <w:tc>
          <w:tcPr>
            <w:tcW w:w="916" w:type="dxa"/>
            <w:tcBorders>
              <w:top w:val="nil"/>
              <w:left w:val="nil"/>
              <w:bottom w:val="nil"/>
              <w:right w:val="nil"/>
            </w:tcBorders>
            <w:shd w:val="clear" w:color="000000" w:fill="F2F2F2"/>
            <w:noWrap/>
            <w:vAlign w:val="center"/>
            <w:hideMark/>
          </w:tcPr>
          <w:p w14:paraId="23CCF225"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4,985</w:t>
            </w:r>
          </w:p>
        </w:tc>
        <w:tc>
          <w:tcPr>
            <w:tcW w:w="916" w:type="dxa"/>
            <w:tcBorders>
              <w:top w:val="nil"/>
              <w:left w:val="nil"/>
              <w:bottom w:val="nil"/>
              <w:right w:val="nil"/>
            </w:tcBorders>
            <w:shd w:val="clear" w:color="000000" w:fill="F2F2F2"/>
            <w:noWrap/>
            <w:vAlign w:val="center"/>
            <w:hideMark/>
          </w:tcPr>
          <w:p w14:paraId="08724B3D" w14:textId="77777777" w:rsidR="00B74858" w:rsidRPr="00667CD1" w:rsidRDefault="00B74858" w:rsidP="00EA33D1">
            <w:pPr>
              <w:jc w:val="right"/>
              <w:rPr>
                <w:rFonts w:ascii="Arial" w:hAnsi="Arial" w:cs="Arial"/>
                <w:sz w:val="12"/>
                <w:szCs w:val="12"/>
                <w:lang w:eastAsia="en-AU"/>
              </w:rPr>
            </w:pPr>
            <w:r w:rsidRPr="00667CD1">
              <w:rPr>
                <w:rFonts w:ascii="Arial" w:hAnsi="Arial" w:cs="Arial"/>
                <w:sz w:val="12"/>
                <w:szCs w:val="12"/>
                <w:lang w:eastAsia="en-AU"/>
              </w:rPr>
              <w:t>5,144</w:t>
            </w:r>
          </w:p>
        </w:tc>
        <w:tc>
          <w:tcPr>
            <w:tcW w:w="1109" w:type="dxa"/>
            <w:tcBorders>
              <w:top w:val="nil"/>
              <w:left w:val="nil"/>
              <w:bottom w:val="nil"/>
              <w:right w:val="nil"/>
            </w:tcBorders>
            <w:shd w:val="clear" w:color="000000" w:fill="FFFFFF"/>
            <w:vAlign w:val="center"/>
            <w:hideMark/>
          </w:tcPr>
          <w:p w14:paraId="23BD15D0" w14:textId="77777777" w:rsidR="00B74858" w:rsidRPr="00667CD1" w:rsidRDefault="00B74858" w:rsidP="00B74858">
            <w:pPr>
              <w:jc w:val="center"/>
              <w:rPr>
                <w:rFonts w:ascii="Arial" w:hAnsi="Arial" w:cs="Arial"/>
                <w:sz w:val="12"/>
                <w:szCs w:val="12"/>
                <w:lang w:eastAsia="en-AU"/>
              </w:rPr>
            </w:pPr>
            <w:r w:rsidRPr="00667CD1">
              <w:rPr>
                <w:rFonts w:ascii="Arial" w:hAnsi="Arial" w:cs="Arial"/>
                <w:sz w:val="12"/>
                <w:szCs w:val="12"/>
                <w:lang w:eastAsia="en-AU"/>
              </w:rPr>
              <w:t>2.1</w:t>
            </w:r>
          </w:p>
        </w:tc>
      </w:tr>
      <w:tr w:rsidR="00B74858" w:rsidRPr="00667CD1" w14:paraId="4EDA1A08" w14:textId="77777777" w:rsidTr="00EA33D1">
        <w:trPr>
          <w:trHeight w:val="300"/>
        </w:trPr>
        <w:tc>
          <w:tcPr>
            <w:tcW w:w="2815" w:type="dxa"/>
            <w:tcBorders>
              <w:top w:val="single" w:sz="4" w:space="0" w:color="auto"/>
              <w:left w:val="nil"/>
              <w:bottom w:val="single" w:sz="4" w:space="0" w:color="auto"/>
              <w:right w:val="nil"/>
            </w:tcBorders>
            <w:shd w:val="clear" w:color="000000" w:fill="FFFFFF"/>
            <w:noWrap/>
            <w:vAlign w:val="center"/>
            <w:hideMark/>
          </w:tcPr>
          <w:p w14:paraId="54981D0E" w14:textId="77777777" w:rsidR="00B74858" w:rsidRPr="00667CD1" w:rsidRDefault="00B74858" w:rsidP="00B74858">
            <w:pPr>
              <w:rPr>
                <w:rFonts w:ascii="Arial" w:hAnsi="Arial" w:cs="Arial"/>
                <w:b/>
                <w:color w:val="008EBA"/>
                <w:sz w:val="12"/>
                <w:szCs w:val="12"/>
                <w:lang w:eastAsia="en-AU"/>
              </w:rPr>
            </w:pPr>
            <w:r w:rsidRPr="00667CD1">
              <w:rPr>
                <w:rFonts w:ascii="Arial" w:hAnsi="Arial" w:cs="Arial"/>
                <w:b/>
                <w:color w:val="008EBA"/>
                <w:sz w:val="12"/>
                <w:szCs w:val="12"/>
                <w:lang w:eastAsia="en-AU"/>
              </w:rPr>
              <w:t xml:space="preserve">Sale of goods and services </w:t>
            </w:r>
          </w:p>
        </w:tc>
        <w:tc>
          <w:tcPr>
            <w:tcW w:w="916" w:type="dxa"/>
            <w:tcBorders>
              <w:top w:val="single" w:sz="4" w:space="0" w:color="auto"/>
              <w:left w:val="nil"/>
              <w:bottom w:val="single" w:sz="4" w:space="0" w:color="auto"/>
              <w:right w:val="nil"/>
            </w:tcBorders>
            <w:shd w:val="clear" w:color="000000" w:fill="FFFFFF"/>
            <w:noWrap/>
            <w:vAlign w:val="center"/>
            <w:hideMark/>
          </w:tcPr>
          <w:p w14:paraId="6A9F928D" w14:textId="5F5B43AE" w:rsidR="00B74858" w:rsidRPr="00667CD1" w:rsidRDefault="00B74858" w:rsidP="00EA33D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9,</w:t>
            </w:r>
            <w:r w:rsidR="00D65C21" w:rsidRPr="00667CD1">
              <w:rPr>
                <w:rFonts w:ascii="Arial" w:hAnsi="Arial" w:cs="Arial"/>
                <w:b/>
                <w:color w:val="008EBA"/>
                <w:sz w:val="12"/>
                <w:szCs w:val="12"/>
                <w:lang w:eastAsia="en-AU"/>
              </w:rPr>
              <w:t>745</w:t>
            </w:r>
          </w:p>
        </w:tc>
        <w:tc>
          <w:tcPr>
            <w:tcW w:w="916" w:type="dxa"/>
            <w:tcBorders>
              <w:top w:val="single" w:sz="4" w:space="0" w:color="auto"/>
              <w:left w:val="nil"/>
              <w:bottom w:val="single" w:sz="4" w:space="0" w:color="auto"/>
              <w:right w:val="nil"/>
            </w:tcBorders>
            <w:shd w:val="clear" w:color="000000" w:fill="FFFFFF"/>
            <w:noWrap/>
            <w:vAlign w:val="center"/>
            <w:hideMark/>
          </w:tcPr>
          <w:p w14:paraId="06C61DB8" w14:textId="77777777" w:rsidR="00B74858" w:rsidRPr="00667CD1" w:rsidRDefault="00B74858" w:rsidP="00EA33D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8,713</w:t>
            </w:r>
          </w:p>
        </w:tc>
        <w:tc>
          <w:tcPr>
            <w:tcW w:w="916" w:type="dxa"/>
            <w:tcBorders>
              <w:top w:val="single" w:sz="4" w:space="0" w:color="auto"/>
              <w:left w:val="nil"/>
              <w:bottom w:val="single" w:sz="4" w:space="0" w:color="auto"/>
              <w:right w:val="nil"/>
            </w:tcBorders>
            <w:shd w:val="clear" w:color="000000" w:fill="F2F2F2"/>
            <w:noWrap/>
            <w:vAlign w:val="center"/>
            <w:hideMark/>
          </w:tcPr>
          <w:p w14:paraId="796EBDEF" w14:textId="77777777" w:rsidR="00B74858" w:rsidRPr="00667CD1" w:rsidRDefault="00B74858" w:rsidP="00EA33D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9,560</w:t>
            </w:r>
          </w:p>
        </w:tc>
        <w:tc>
          <w:tcPr>
            <w:tcW w:w="916" w:type="dxa"/>
            <w:tcBorders>
              <w:top w:val="single" w:sz="4" w:space="0" w:color="auto"/>
              <w:left w:val="nil"/>
              <w:bottom w:val="single" w:sz="4" w:space="0" w:color="auto"/>
              <w:right w:val="nil"/>
            </w:tcBorders>
            <w:shd w:val="clear" w:color="000000" w:fill="F2F2F2"/>
            <w:noWrap/>
            <w:vAlign w:val="center"/>
            <w:hideMark/>
          </w:tcPr>
          <w:p w14:paraId="28796C77" w14:textId="77777777" w:rsidR="00B74858" w:rsidRPr="00667CD1" w:rsidRDefault="00B74858" w:rsidP="00EA33D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10,802</w:t>
            </w:r>
          </w:p>
        </w:tc>
        <w:tc>
          <w:tcPr>
            <w:tcW w:w="916" w:type="dxa"/>
            <w:tcBorders>
              <w:top w:val="single" w:sz="4" w:space="0" w:color="auto"/>
              <w:left w:val="nil"/>
              <w:bottom w:val="single" w:sz="4" w:space="0" w:color="auto"/>
              <w:right w:val="nil"/>
            </w:tcBorders>
            <w:shd w:val="clear" w:color="000000" w:fill="F2F2F2"/>
            <w:noWrap/>
            <w:vAlign w:val="center"/>
            <w:hideMark/>
          </w:tcPr>
          <w:p w14:paraId="5542E7C6" w14:textId="77777777" w:rsidR="00B74858" w:rsidRPr="00667CD1" w:rsidRDefault="00B74858" w:rsidP="00EA33D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9,919</w:t>
            </w:r>
          </w:p>
        </w:tc>
        <w:tc>
          <w:tcPr>
            <w:tcW w:w="916" w:type="dxa"/>
            <w:tcBorders>
              <w:top w:val="single" w:sz="4" w:space="0" w:color="auto"/>
              <w:left w:val="nil"/>
              <w:bottom w:val="single" w:sz="4" w:space="0" w:color="auto"/>
              <w:right w:val="nil"/>
            </w:tcBorders>
            <w:shd w:val="clear" w:color="000000" w:fill="F2F2F2"/>
            <w:noWrap/>
            <w:vAlign w:val="center"/>
            <w:hideMark/>
          </w:tcPr>
          <w:p w14:paraId="02C268E8" w14:textId="77777777" w:rsidR="00B74858" w:rsidRPr="00667CD1" w:rsidRDefault="00B74858" w:rsidP="00EA33D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8,988</w:t>
            </w:r>
          </w:p>
        </w:tc>
        <w:tc>
          <w:tcPr>
            <w:tcW w:w="1109" w:type="dxa"/>
            <w:tcBorders>
              <w:top w:val="single" w:sz="4" w:space="0" w:color="auto"/>
              <w:left w:val="nil"/>
              <w:bottom w:val="single" w:sz="4" w:space="0" w:color="auto"/>
              <w:right w:val="nil"/>
            </w:tcBorders>
            <w:shd w:val="clear" w:color="000000" w:fill="F2F2F2"/>
            <w:noWrap/>
            <w:vAlign w:val="center"/>
            <w:hideMark/>
          </w:tcPr>
          <w:p w14:paraId="773F34D0" w14:textId="77777777" w:rsidR="00B74858" w:rsidRPr="00667CD1" w:rsidRDefault="00B74858" w:rsidP="00B74858">
            <w:pPr>
              <w:jc w:val="center"/>
              <w:rPr>
                <w:rFonts w:ascii="Arial" w:hAnsi="Arial" w:cs="Arial"/>
                <w:b/>
                <w:color w:val="008EBA"/>
                <w:sz w:val="12"/>
                <w:szCs w:val="12"/>
                <w:lang w:eastAsia="en-AU"/>
              </w:rPr>
            </w:pPr>
            <w:r w:rsidRPr="00667CD1">
              <w:rPr>
                <w:rFonts w:ascii="Arial" w:hAnsi="Arial" w:cs="Arial"/>
                <w:b/>
                <w:color w:val="008EBA"/>
                <w:sz w:val="12"/>
                <w:szCs w:val="12"/>
                <w:lang w:eastAsia="en-AU"/>
              </w:rPr>
              <w:t>0.8</w:t>
            </w:r>
          </w:p>
        </w:tc>
      </w:tr>
    </w:tbl>
    <w:p w14:paraId="1DF7845D" w14:textId="77777777" w:rsidR="00A6669E" w:rsidRPr="00667CD1" w:rsidRDefault="00A6669E" w:rsidP="00055D45">
      <w:pPr>
        <w:pStyle w:val="Heading3"/>
        <w:numPr>
          <w:ilvl w:val="0"/>
          <w:numId w:val="0"/>
        </w:numPr>
        <w:ind w:left="720" w:hanging="720"/>
        <w:rPr>
          <w:rFonts w:eastAsiaTheme="minorHAnsi"/>
          <w:sz w:val="22"/>
          <w:szCs w:val="28"/>
        </w:rPr>
      </w:pPr>
      <w:r w:rsidRPr="00667CD1">
        <w:rPr>
          <w:rFonts w:eastAsiaTheme="minorHAnsi"/>
          <w:sz w:val="22"/>
          <w:szCs w:val="28"/>
        </w:rPr>
        <w:t>Interest income</w:t>
      </w:r>
    </w:p>
    <w:p w14:paraId="42859E14" w14:textId="1D9A26F3" w:rsidR="009E6E6A" w:rsidRPr="00667CD1" w:rsidRDefault="009E6E6A" w:rsidP="00DC5EFC">
      <w:pPr>
        <w:pStyle w:val="BodyText"/>
        <w:rPr>
          <w:sz w:val="20"/>
          <w:szCs w:val="16"/>
        </w:rPr>
      </w:pPr>
      <w:bookmarkStart w:id="11" w:name="_Hlk516818031"/>
      <w:r w:rsidRPr="00667CD1">
        <w:rPr>
          <w:sz w:val="20"/>
          <w:szCs w:val="16"/>
        </w:rPr>
        <w:t xml:space="preserve">Interest income includes returns on managed bond investments, including investments made by </w:t>
      </w:r>
      <w:proofErr w:type="spellStart"/>
      <w:r w:rsidRPr="00667CD1">
        <w:rPr>
          <w:sz w:val="20"/>
          <w:szCs w:val="16"/>
        </w:rPr>
        <w:t>TCorp</w:t>
      </w:r>
      <w:proofErr w:type="spellEnd"/>
      <w:r w:rsidRPr="00667CD1">
        <w:rPr>
          <w:sz w:val="20"/>
          <w:szCs w:val="16"/>
        </w:rPr>
        <w:t>, and interest earned on bank deposits</w:t>
      </w:r>
      <w:r w:rsidR="00B61391" w:rsidRPr="00667CD1">
        <w:rPr>
          <w:sz w:val="20"/>
          <w:szCs w:val="16"/>
        </w:rPr>
        <w:t>.</w:t>
      </w:r>
      <w:r w:rsidRPr="00667CD1">
        <w:rPr>
          <w:sz w:val="20"/>
          <w:szCs w:val="16"/>
        </w:rPr>
        <w:t xml:space="preserve"> </w:t>
      </w:r>
      <w:r w:rsidR="00B61391" w:rsidRPr="00667CD1">
        <w:rPr>
          <w:sz w:val="20"/>
          <w:szCs w:val="16"/>
        </w:rPr>
        <w:t>This income is</w:t>
      </w:r>
      <w:r w:rsidR="00214356" w:rsidRPr="00667CD1">
        <w:rPr>
          <w:sz w:val="20"/>
          <w:szCs w:val="16"/>
        </w:rPr>
        <w:t xml:space="preserve"> expected to be </w:t>
      </w:r>
      <w:r w:rsidRPr="00667CD1">
        <w:rPr>
          <w:sz w:val="20"/>
          <w:szCs w:val="16"/>
        </w:rPr>
        <w:t>$</w:t>
      </w:r>
      <w:r w:rsidR="005D1895" w:rsidRPr="00667CD1">
        <w:rPr>
          <w:sz w:val="20"/>
          <w:szCs w:val="16"/>
        </w:rPr>
        <w:t>301.8</w:t>
      </w:r>
      <w:r w:rsidRPr="00667CD1">
        <w:rPr>
          <w:sz w:val="20"/>
          <w:szCs w:val="16"/>
        </w:rPr>
        <w:t xml:space="preserve"> million in </w:t>
      </w:r>
      <w:r w:rsidR="00AC7189" w:rsidRPr="00667CD1">
        <w:rPr>
          <w:sz w:val="20"/>
          <w:szCs w:val="16"/>
        </w:rPr>
        <w:t>2020</w:t>
      </w:r>
      <w:r w:rsidRPr="00667CD1">
        <w:rPr>
          <w:sz w:val="20"/>
          <w:szCs w:val="16"/>
        </w:rPr>
        <w:t>-2</w:t>
      </w:r>
      <w:r w:rsidR="00AC7189" w:rsidRPr="00667CD1">
        <w:rPr>
          <w:sz w:val="20"/>
          <w:szCs w:val="16"/>
        </w:rPr>
        <w:t>1</w:t>
      </w:r>
      <w:r w:rsidR="00AC228C" w:rsidRPr="00667CD1">
        <w:rPr>
          <w:sz w:val="20"/>
          <w:szCs w:val="16"/>
        </w:rPr>
        <w:t>, or $</w:t>
      </w:r>
      <w:r w:rsidR="007315A4" w:rsidRPr="00667CD1">
        <w:rPr>
          <w:sz w:val="20"/>
          <w:szCs w:val="16"/>
        </w:rPr>
        <w:t>1</w:t>
      </w:r>
      <w:r w:rsidR="00737250" w:rsidRPr="00667CD1">
        <w:rPr>
          <w:sz w:val="20"/>
          <w:szCs w:val="16"/>
        </w:rPr>
        <w:t>11.9</w:t>
      </w:r>
      <w:r w:rsidR="00AC228C" w:rsidRPr="00667CD1">
        <w:rPr>
          <w:sz w:val="20"/>
          <w:szCs w:val="16"/>
        </w:rPr>
        <w:t xml:space="preserve"> million lower than forecast at the 2019-20 </w:t>
      </w:r>
      <w:r w:rsidR="009F7B3E" w:rsidRPr="00667CD1">
        <w:rPr>
          <w:sz w:val="20"/>
          <w:szCs w:val="16"/>
        </w:rPr>
        <w:t>Half-Yearly</w:t>
      </w:r>
      <w:r w:rsidR="00AC228C" w:rsidRPr="00667CD1">
        <w:rPr>
          <w:sz w:val="20"/>
          <w:szCs w:val="16"/>
        </w:rPr>
        <w:t xml:space="preserve"> Review. </w:t>
      </w:r>
      <w:r w:rsidRPr="00667CD1">
        <w:rPr>
          <w:sz w:val="20"/>
          <w:szCs w:val="16"/>
        </w:rPr>
        <w:t xml:space="preserve">Forecast </w:t>
      </w:r>
      <w:r w:rsidR="00AC228C" w:rsidRPr="00667CD1">
        <w:rPr>
          <w:sz w:val="20"/>
          <w:szCs w:val="16"/>
        </w:rPr>
        <w:t>interest income is also $</w:t>
      </w:r>
      <w:r w:rsidR="00F9328C" w:rsidRPr="00667CD1">
        <w:rPr>
          <w:sz w:val="20"/>
          <w:szCs w:val="16"/>
        </w:rPr>
        <w:t>265.4</w:t>
      </w:r>
      <w:r w:rsidR="00AC228C" w:rsidRPr="00667CD1">
        <w:rPr>
          <w:sz w:val="20"/>
          <w:szCs w:val="16"/>
        </w:rPr>
        <w:t xml:space="preserve"> million lower</w:t>
      </w:r>
      <w:r w:rsidRPr="00667CD1">
        <w:rPr>
          <w:sz w:val="20"/>
          <w:szCs w:val="16"/>
        </w:rPr>
        <w:t xml:space="preserve"> </w:t>
      </w:r>
      <w:r w:rsidR="00AC228C" w:rsidRPr="00667CD1">
        <w:rPr>
          <w:sz w:val="20"/>
          <w:szCs w:val="16"/>
        </w:rPr>
        <w:t>over the four years to 2023-24</w:t>
      </w:r>
      <w:r w:rsidR="0087170A" w:rsidRPr="00667CD1">
        <w:rPr>
          <w:sz w:val="20"/>
          <w:szCs w:val="16"/>
        </w:rPr>
        <w:t>,</w:t>
      </w:r>
      <w:r w:rsidRPr="00667CD1">
        <w:rPr>
          <w:sz w:val="20"/>
          <w:szCs w:val="16"/>
        </w:rPr>
        <w:t xml:space="preserve"> primarily due to </w:t>
      </w:r>
      <w:r w:rsidR="00AC228C" w:rsidRPr="00667CD1">
        <w:rPr>
          <w:sz w:val="20"/>
          <w:szCs w:val="16"/>
        </w:rPr>
        <w:t xml:space="preserve">lower </w:t>
      </w:r>
      <w:r w:rsidR="00120F99" w:rsidRPr="00667CD1">
        <w:rPr>
          <w:sz w:val="20"/>
          <w:szCs w:val="16"/>
        </w:rPr>
        <w:t xml:space="preserve">interest rates which will flow through into </w:t>
      </w:r>
      <w:r w:rsidR="00992237" w:rsidRPr="00667CD1">
        <w:rPr>
          <w:sz w:val="20"/>
          <w:szCs w:val="16"/>
        </w:rPr>
        <w:t xml:space="preserve">lower </w:t>
      </w:r>
      <w:r w:rsidR="00AC228C" w:rsidRPr="00667CD1">
        <w:rPr>
          <w:sz w:val="20"/>
          <w:szCs w:val="16"/>
        </w:rPr>
        <w:t>expected returns on</w:t>
      </w:r>
      <w:r w:rsidRPr="00667CD1">
        <w:rPr>
          <w:sz w:val="20"/>
          <w:szCs w:val="16"/>
        </w:rPr>
        <w:t xml:space="preserve"> </w:t>
      </w:r>
      <w:r w:rsidR="003C6C9B" w:rsidRPr="00667CD1">
        <w:rPr>
          <w:sz w:val="20"/>
          <w:szCs w:val="16"/>
        </w:rPr>
        <w:t>deposits</w:t>
      </w:r>
      <w:r w:rsidRPr="00667CD1">
        <w:rPr>
          <w:sz w:val="20"/>
          <w:szCs w:val="16"/>
        </w:rPr>
        <w:t>.</w:t>
      </w:r>
    </w:p>
    <w:p w14:paraId="2F9F3045" w14:textId="088B9666" w:rsidR="00492554" w:rsidRPr="00667CD1" w:rsidRDefault="00152E83" w:rsidP="00384E74">
      <w:pPr>
        <w:pStyle w:val="Heading3"/>
        <w:numPr>
          <w:ilvl w:val="0"/>
          <w:numId w:val="0"/>
        </w:numPr>
        <w:ind w:left="720" w:hanging="720"/>
        <w:rPr>
          <w:sz w:val="22"/>
          <w:szCs w:val="28"/>
        </w:rPr>
      </w:pPr>
      <w:r w:rsidRPr="00667CD1">
        <w:rPr>
          <w:rFonts w:eastAsiaTheme="minorHAnsi"/>
          <w:sz w:val="22"/>
          <w:szCs w:val="28"/>
        </w:rPr>
        <w:t>Dividends and income tax equivalents</w:t>
      </w:r>
    </w:p>
    <w:p w14:paraId="0D0D2CF9" w14:textId="62B38FA2" w:rsidR="002E29ED" w:rsidRPr="00667CD1" w:rsidRDefault="00590874" w:rsidP="00DC5EFC">
      <w:pPr>
        <w:pStyle w:val="BodyText"/>
        <w:rPr>
          <w:sz w:val="20"/>
          <w:szCs w:val="16"/>
        </w:rPr>
      </w:pPr>
      <w:bookmarkStart w:id="12" w:name="_Hlk516488521"/>
      <w:r w:rsidRPr="00667CD1">
        <w:rPr>
          <w:sz w:val="20"/>
          <w:szCs w:val="16"/>
        </w:rPr>
        <w:t>State-owned corporations pay dividends that provid</w:t>
      </w:r>
      <w:r w:rsidR="00B64298" w:rsidRPr="00667CD1">
        <w:rPr>
          <w:sz w:val="20"/>
          <w:szCs w:val="16"/>
        </w:rPr>
        <w:t>e</w:t>
      </w:r>
      <w:r w:rsidRPr="00667CD1">
        <w:rPr>
          <w:sz w:val="20"/>
          <w:szCs w:val="16"/>
        </w:rPr>
        <w:t xml:space="preserve"> a commercially appropriate return on government investment. These dividends support investment in essential government services. </w:t>
      </w:r>
    </w:p>
    <w:p w14:paraId="3C243C28" w14:textId="71D14D9E" w:rsidR="651F9A16" w:rsidRPr="00667CD1" w:rsidRDefault="27247D41" w:rsidP="00DC5EFC">
      <w:pPr>
        <w:pStyle w:val="BodyText"/>
        <w:rPr>
          <w:sz w:val="20"/>
          <w:szCs w:val="16"/>
        </w:rPr>
      </w:pPr>
      <w:r w:rsidRPr="00667CD1">
        <w:rPr>
          <w:sz w:val="20"/>
          <w:szCs w:val="16"/>
        </w:rPr>
        <w:t xml:space="preserve">Dividends and income tax equivalents have been revised down by $259.1 million for 2020-21 since the 2019-20 Half-Yearly Review. Revenue is expected to be $7.8 million higher over the four years to 2023-24. </w:t>
      </w:r>
    </w:p>
    <w:p w14:paraId="783CD717" w14:textId="507F8663" w:rsidR="27247D41" w:rsidRPr="00667CD1" w:rsidRDefault="27247D41" w:rsidP="00DC5EFC">
      <w:pPr>
        <w:pStyle w:val="BodyText"/>
        <w:rPr>
          <w:sz w:val="20"/>
          <w:szCs w:val="16"/>
        </w:rPr>
      </w:pPr>
      <w:r w:rsidRPr="00667CD1">
        <w:rPr>
          <w:sz w:val="20"/>
          <w:szCs w:val="16"/>
        </w:rPr>
        <w:t xml:space="preserve">The main driver of the downgrade in 2020-21 is the deferral of dividend income from </w:t>
      </w:r>
      <w:proofErr w:type="spellStart"/>
      <w:r w:rsidRPr="00667CD1">
        <w:rPr>
          <w:sz w:val="20"/>
          <w:szCs w:val="16"/>
        </w:rPr>
        <w:t>Landcom</w:t>
      </w:r>
      <w:proofErr w:type="spellEnd"/>
      <w:r w:rsidRPr="00667CD1">
        <w:rPr>
          <w:sz w:val="20"/>
          <w:szCs w:val="16"/>
        </w:rPr>
        <w:t xml:space="preserve"> from 2020-21 to 2022-23 and 2023-24. This is due to a slow</w:t>
      </w:r>
      <w:r w:rsidR="00E91E36" w:rsidRPr="00667CD1">
        <w:rPr>
          <w:sz w:val="20"/>
          <w:szCs w:val="16"/>
        </w:rPr>
        <w:t>-</w:t>
      </w:r>
      <w:r w:rsidRPr="00667CD1">
        <w:rPr>
          <w:sz w:val="20"/>
          <w:szCs w:val="16"/>
        </w:rPr>
        <w:t xml:space="preserve">down in the sales market and the resultant deferral of forthcoming major transactions. </w:t>
      </w:r>
      <w:r w:rsidR="00B9307B" w:rsidRPr="00667CD1">
        <w:rPr>
          <w:sz w:val="20"/>
          <w:szCs w:val="16"/>
        </w:rPr>
        <w:t>The i</w:t>
      </w:r>
      <w:r w:rsidRPr="00667CD1">
        <w:rPr>
          <w:sz w:val="20"/>
          <w:szCs w:val="16"/>
        </w:rPr>
        <w:t xml:space="preserve">ncrease in revenue over the four years to 2023-24 is mostly driven by </w:t>
      </w:r>
      <w:proofErr w:type="spellStart"/>
      <w:r w:rsidRPr="00667CD1">
        <w:rPr>
          <w:sz w:val="20"/>
          <w:szCs w:val="16"/>
        </w:rPr>
        <w:t>Landcom’s</w:t>
      </w:r>
      <w:proofErr w:type="spellEnd"/>
      <w:r w:rsidRPr="00667CD1">
        <w:rPr>
          <w:sz w:val="20"/>
          <w:szCs w:val="16"/>
        </w:rPr>
        <w:t xml:space="preserve"> decision to target a deferral of $400 million over 2022-23 and 2023-24.</w:t>
      </w:r>
    </w:p>
    <w:p w14:paraId="2A0DD8D3" w14:textId="7C79975C" w:rsidR="27247D41" w:rsidRPr="00667CD1" w:rsidRDefault="00EA0EA9" w:rsidP="00DC5EFC">
      <w:pPr>
        <w:pStyle w:val="BodyText"/>
        <w:rPr>
          <w:sz w:val="20"/>
          <w:szCs w:val="16"/>
        </w:rPr>
      </w:pPr>
      <w:r w:rsidRPr="00667CD1">
        <w:rPr>
          <w:sz w:val="20"/>
          <w:szCs w:val="16"/>
        </w:rPr>
        <w:t>The r</w:t>
      </w:r>
      <w:r w:rsidR="27247D41" w:rsidRPr="00667CD1">
        <w:rPr>
          <w:sz w:val="20"/>
          <w:szCs w:val="16"/>
        </w:rPr>
        <w:t xml:space="preserve">evenue increase in the forward years is partly offset by reduced forecast dividend income by Port Authority of NSW as a result of the COVID-19 pandemic and the interruption of cruise activity, and downturn of the bulk liquids, container, and vehicle trade. Forestry Corporation of NSW </w:t>
      </w:r>
      <w:r w:rsidR="56AF77E8" w:rsidRPr="00667CD1">
        <w:rPr>
          <w:sz w:val="20"/>
          <w:szCs w:val="16"/>
        </w:rPr>
        <w:t>is</w:t>
      </w:r>
      <w:r w:rsidR="27247D41" w:rsidRPr="00667CD1">
        <w:rPr>
          <w:sz w:val="20"/>
          <w:szCs w:val="16"/>
        </w:rPr>
        <w:t xml:space="preserve"> also forecasting a reduction in dividend income over the four years following the </w:t>
      </w:r>
      <w:r w:rsidR="004F715B" w:rsidRPr="00667CD1">
        <w:rPr>
          <w:sz w:val="20"/>
          <w:szCs w:val="16"/>
        </w:rPr>
        <w:br w:type="textWrapping" w:clear="all"/>
      </w:r>
      <w:r w:rsidR="27247D41" w:rsidRPr="00667CD1">
        <w:rPr>
          <w:sz w:val="20"/>
          <w:szCs w:val="16"/>
        </w:rPr>
        <w:t>2019-20 bushfires.</w:t>
      </w:r>
    </w:p>
    <w:bookmarkEnd w:id="11"/>
    <w:bookmarkEnd w:id="12"/>
    <w:p w14:paraId="7026916B" w14:textId="107F5778" w:rsidR="0077628D" w:rsidRPr="00667CD1" w:rsidRDefault="0077628D" w:rsidP="00055D45">
      <w:pPr>
        <w:pStyle w:val="Heading3"/>
        <w:numPr>
          <w:ilvl w:val="0"/>
          <w:numId w:val="0"/>
        </w:numPr>
        <w:ind w:left="720" w:hanging="720"/>
        <w:rPr>
          <w:rFonts w:eastAsiaTheme="minorHAnsi"/>
          <w:sz w:val="22"/>
          <w:szCs w:val="28"/>
        </w:rPr>
      </w:pPr>
      <w:r w:rsidRPr="00667CD1">
        <w:rPr>
          <w:rFonts w:eastAsiaTheme="minorHAnsi"/>
          <w:sz w:val="22"/>
          <w:szCs w:val="28"/>
        </w:rPr>
        <w:t>O</w:t>
      </w:r>
      <w:r w:rsidR="00226043" w:rsidRPr="00667CD1">
        <w:rPr>
          <w:rFonts w:eastAsiaTheme="minorHAnsi"/>
          <w:sz w:val="22"/>
          <w:szCs w:val="28"/>
        </w:rPr>
        <w:t>ther dividends and d</w:t>
      </w:r>
      <w:r w:rsidRPr="00667CD1">
        <w:rPr>
          <w:rFonts w:eastAsiaTheme="minorHAnsi"/>
          <w:sz w:val="22"/>
          <w:szCs w:val="28"/>
        </w:rPr>
        <w:t xml:space="preserve">istributions </w:t>
      </w:r>
    </w:p>
    <w:p w14:paraId="61BE5560" w14:textId="2DB88B73" w:rsidR="00D4080D" w:rsidRPr="00667CD1" w:rsidRDefault="00061BAD" w:rsidP="790851F7">
      <w:pPr>
        <w:spacing w:before="160" w:after="100" w:line="240" w:lineRule="atLeast"/>
        <w:rPr>
          <w:rFonts w:ascii="Arial" w:eastAsiaTheme="minorEastAsia" w:hAnsi="Arial" w:cs="Arial"/>
          <w:noProof/>
          <w:highlight w:val="yellow"/>
          <w:lang w:eastAsia="x-none"/>
        </w:rPr>
      </w:pPr>
      <w:bookmarkStart w:id="13" w:name="_Hlk9948230"/>
      <w:r w:rsidRPr="00667CD1">
        <w:rPr>
          <w:rFonts w:ascii="Arial" w:eastAsiaTheme="minorEastAsia" w:hAnsi="Arial" w:cs="Arial"/>
          <w:noProof/>
        </w:rPr>
        <w:t xml:space="preserve">Other dividends and distributions are received from entities other than State Owned Corporations and </w:t>
      </w:r>
      <w:r w:rsidR="00E91E36" w:rsidRPr="00667CD1">
        <w:rPr>
          <w:rFonts w:ascii="Arial" w:eastAsiaTheme="minorEastAsia" w:hAnsi="Arial" w:cs="Arial"/>
          <w:noProof/>
        </w:rPr>
        <w:t xml:space="preserve">investment distibutions </w:t>
      </w:r>
      <w:r w:rsidR="004D7638" w:rsidRPr="00667CD1">
        <w:rPr>
          <w:rFonts w:ascii="Arial" w:eastAsiaTheme="minorEastAsia" w:hAnsi="Arial" w:cs="Arial"/>
          <w:noProof/>
        </w:rPr>
        <w:t xml:space="preserve">and </w:t>
      </w:r>
      <w:r w:rsidR="00D4080D" w:rsidRPr="00667CD1">
        <w:rPr>
          <w:rFonts w:ascii="Arial" w:eastAsiaTheme="minorEastAsia" w:hAnsi="Arial" w:cs="Arial"/>
          <w:noProof/>
        </w:rPr>
        <w:t>are expected to be</w:t>
      </w:r>
      <w:r w:rsidR="00E5530E" w:rsidRPr="00667CD1">
        <w:rPr>
          <w:rFonts w:ascii="Arial" w:eastAsiaTheme="minorEastAsia" w:hAnsi="Arial" w:cs="Arial"/>
          <w:noProof/>
        </w:rPr>
        <w:t xml:space="preserve"> </w:t>
      </w:r>
      <w:r w:rsidR="00D4080D" w:rsidRPr="00667CD1">
        <w:rPr>
          <w:rFonts w:ascii="Arial" w:eastAsiaTheme="minorEastAsia" w:hAnsi="Arial" w:cs="Arial"/>
          <w:noProof/>
        </w:rPr>
        <w:t>$1.8 billion in 2020-21, or $23.</w:t>
      </w:r>
      <w:r w:rsidR="00363D6B" w:rsidRPr="00667CD1">
        <w:rPr>
          <w:rFonts w:ascii="Arial" w:eastAsiaTheme="minorEastAsia" w:hAnsi="Arial" w:cs="Arial"/>
          <w:noProof/>
        </w:rPr>
        <w:t xml:space="preserve">8 </w:t>
      </w:r>
      <w:r w:rsidR="00D4080D" w:rsidRPr="00667CD1">
        <w:rPr>
          <w:rFonts w:ascii="Arial" w:eastAsiaTheme="minorEastAsia" w:hAnsi="Arial" w:cs="Arial"/>
          <w:noProof/>
        </w:rPr>
        <w:t>million</w:t>
      </w:r>
      <w:r w:rsidR="00E5530E" w:rsidRPr="00667CD1">
        <w:rPr>
          <w:rFonts w:ascii="Arial" w:eastAsiaTheme="minorEastAsia" w:hAnsi="Arial" w:cs="Arial"/>
          <w:noProof/>
        </w:rPr>
        <w:t xml:space="preserve"> </w:t>
      </w:r>
      <w:r w:rsidR="00D4080D" w:rsidRPr="00667CD1">
        <w:rPr>
          <w:rFonts w:ascii="Arial" w:eastAsiaTheme="minorEastAsia" w:hAnsi="Arial" w:cs="Arial"/>
          <w:noProof/>
        </w:rPr>
        <w:t>lower than forecast at the 2019-20 Half-Yearly Review.</w:t>
      </w:r>
      <w:r w:rsidR="00E5530E" w:rsidRPr="00667CD1">
        <w:rPr>
          <w:rFonts w:ascii="Arial" w:eastAsiaTheme="minorEastAsia" w:hAnsi="Arial" w:cs="Arial"/>
          <w:noProof/>
        </w:rPr>
        <w:t xml:space="preserve"> </w:t>
      </w:r>
      <w:r w:rsidR="00D4080D" w:rsidRPr="00667CD1">
        <w:rPr>
          <w:rFonts w:ascii="Arial" w:eastAsiaTheme="minorEastAsia" w:hAnsi="Arial" w:cs="Arial"/>
          <w:noProof/>
        </w:rPr>
        <w:t>Forecast revenue from</w:t>
      </w:r>
      <w:r w:rsidR="00E5530E" w:rsidRPr="00667CD1">
        <w:rPr>
          <w:rFonts w:ascii="Arial" w:eastAsiaTheme="minorEastAsia" w:hAnsi="Arial" w:cs="Arial"/>
          <w:noProof/>
        </w:rPr>
        <w:t xml:space="preserve"> </w:t>
      </w:r>
      <w:r w:rsidR="00D4080D" w:rsidRPr="00667CD1">
        <w:rPr>
          <w:rFonts w:ascii="Arial" w:eastAsiaTheme="minorEastAsia" w:hAnsi="Arial" w:cs="Arial"/>
          <w:noProof/>
        </w:rPr>
        <w:t>other dividends and distributions</w:t>
      </w:r>
      <w:r w:rsidR="00E5530E" w:rsidRPr="00667CD1">
        <w:rPr>
          <w:rFonts w:ascii="Arial" w:eastAsiaTheme="minorEastAsia" w:hAnsi="Arial" w:cs="Arial"/>
          <w:noProof/>
        </w:rPr>
        <w:t xml:space="preserve"> </w:t>
      </w:r>
      <w:r w:rsidR="00D4080D" w:rsidRPr="00667CD1">
        <w:rPr>
          <w:rFonts w:ascii="Arial" w:eastAsiaTheme="minorEastAsia" w:hAnsi="Arial" w:cs="Arial"/>
          <w:noProof/>
        </w:rPr>
        <w:t>is $</w:t>
      </w:r>
      <w:r w:rsidR="00363D6B" w:rsidRPr="00667CD1">
        <w:rPr>
          <w:rFonts w:ascii="Arial" w:eastAsiaTheme="minorEastAsia" w:hAnsi="Arial" w:cs="Arial"/>
          <w:noProof/>
        </w:rPr>
        <w:t>485</w:t>
      </w:r>
      <w:r w:rsidR="00D4080D" w:rsidRPr="00667CD1">
        <w:rPr>
          <w:rFonts w:ascii="Arial" w:eastAsiaTheme="minorEastAsia" w:hAnsi="Arial" w:cs="Arial"/>
          <w:noProof/>
        </w:rPr>
        <w:t>.</w:t>
      </w:r>
      <w:r w:rsidR="00363D6B" w:rsidRPr="00667CD1">
        <w:rPr>
          <w:rFonts w:ascii="Arial" w:eastAsiaTheme="minorEastAsia" w:hAnsi="Arial" w:cs="Arial"/>
          <w:noProof/>
        </w:rPr>
        <w:t>4</w:t>
      </w:r>
      <w:r w:rsidR="00D4080D" w:rsidRPr="00667CD1">
        <w:rPr>
          <w:rFonts w:ascii="Arial" w:eastAsiaTheme="minorEastAsia" w:hAnsi="Arial" w:cs="Arial"/>
          <w:noProof/>
        </w:rPr>
        <w:t xml:space="preserve"> million higher over the four years to 2023-24.</w:t>
      </w:r>
      <w:r w:rsidR="00E5530E" w:rsidRPr="00667CD1">
        <w:rPr>
          <w:rFonts w:ascii="Arial" w:eastAsiaTheme="minorEastAsia" w:hAnsi="Arial" w:cs="Arial"/>
          <w:noProof/>
        </w:rPr>
        <w:t xml:space="preserve"> </w:t>
      </w:r>
      <w:r w:rsidR="00D4080D" w:rsidRPr="00667CD1">
        <w:rPr>
          <w:rFonts w:ascii="Arial" w:eastAsiaTheme="minorEastAsia" w:hAnsi="Arial" w:cs="Arial"/>
          <w:noProof/>
        </w:rPr>
        <w:t xml:space="preserve">This is due to updated assumptions around future expected investment return rates, shifts in underlying fund cashflows and, for the NSW Generations Fund, the impacts of additional contributions </w:t>
      </w:r>
      <w:r w:rsidR="00AA7C85" w:rsidRPr="00667CD1">
        <w:rPr>
          <w:rFonts w:ascii="Arial" w:eastAsiaTheme="minorEastAsia" w:hAnsi="Arial" w:cs="Arial"/>
          <w:noProof/>
        </w:rPr>
        <w:t>in accordance</w:t>
      </w:r>
      <w:r w:rsidR="00D4080D" w:rsidRPr="00667CD1">
        <w:rPr>
          <w:rFonts w:ascii="Arial" w:eastAsiaTheme="minorEastAsia" w:hAnsi="Arial" w:cs="Arial"/>
          <w:noProof/>
        </w:rPr>
        <w:t xml:space="preserve"> with the Government’s fiscal repair strategy.</w:t>
      </w:r>
    </w:p>
    <w:bookmarkEnd w:id="13"/>
    <w:p w14:paraId="4C88F17C" w14:textId="62310E16" w:rsidR="0045410D" w:rsidRPr="00667CD1" w:rsidRDefault="0077628D" w:rsidP="007F4076">
      <w:pPr>
        <w:pStyle w:val="Heading3"/>
        <w:numPr>
          <w:ilvl w:val="0"/>
          <w:numId w:val="0"/>
        </w:numPr>
        <w:ind w:left="720" w:hanging="720"/>
        <w:rPr>
          <w:rFonts w:eastAsiaTheme="minorHAnsi"/>
          <w:sz w:val="22"/>
          <w:szCs w:val="28"/>
        </w:rPr>
      </w:pPr>
      <w:r w:rsidRPr="00667CD1">
        <w:rPr>
          <w:rFonts w:eastAsiaTheme="minorHAnsi"/>
          <w:sz w:val="22"/>
          <w:szCs w:val="28"/>
        </w:rPr>
        <w:lastRenderedPageBreak/>
        <w:t>Fines,</w:t>
      </w:r>
      <w:r w:rsidR="00660BF0" w:rsidRPr="00667CD1">
        <w:rPr>
          <w:rFonts w:eastAsiaTheme="minorHAnsi"/>
          <w:sz w:val="22"/>
          <w:szCs w:val="28"/>
        </w:rPr>
        <w:t xml:space="preserve"> regulatory fees, licences and other r</w:t>
      </w:r>
      <w:r w:rsidRPr="00667CD1">
        <w:rPr>
          <w:rFonts w:eastAsiaTheme="minorHAnsi"/>
          <w:sz w:val="22"/>
          <w:szCs w:val="28"/>
        </w:rPr>
        <w:t xml:space="preserve">evenue </w:t>
      </w:r>
      <w:r w:rsidR="004D7638" w:rsidRPr="00667CD1">
        <w:rPr>
          <w:rFonts w:eastAsiaTheme="minorHAnsi"/>
          <w:sz w:val="22"/>
          <w:szCs w:val="28"/>
        </w:rPr>
        <w:t>(excluding royalties)</w:t>
      </w:r>
    </w:p>
    <w:p w14:paraId="0ABE1EEE" w14:textId="7424B5C1" w:rsidR="00474FC1" w:rsidRPr="00667CD1" w:rsidRDefault="64A8F6E6" w:rsidP="00DC5EFC">
      <w:pPr>
        <w:pStyle w:val="BodyText"/>
        <w:rPr>
          <w:sz w:val="20"/>
          <w:szCs w:val="16"/>
        </w:rPr>
      </w:pPr>
      <w:r w:rsidRPr="00667CD1">
        <w:rPr>
          <w:sz w:val="20"/>
          <w:szCs w:val="16"/>
        </w:rPr>
        <w:t>Total revenue from fines, regulatory fees, licences and other revenue is forecast to be $3.0</w:t>
      </w:r>
      <w:r w:rsidR="004D7638" w:rsidRPr="00667CD1">
        <w:rPr>
          <w:sz w:val="20"/>
          <w:szCs w:val="16"/>
        </w:rPr>
        <w:t> </w:t>
      </w:r>
      <w:r w:rsidRPr="00667CD1">
        <w:rPr>
          <w:sz w:val="20"/>
          <w:szCs w:val="16"/>
        </w:rPr>
        <w:t xml:space="preserve">billion in </w:t>
      </w:r>
      <w:proofErr w:type="gramStart"/>
      <w:r w:rsidRPr="00667CD1">
        <w:rPr>
          <w:sz w:val="20"/>
          <w:szCs w:val="16"/>
        </w:rPr>
        <w:t>2020-21, and</w:t>
      </w:r>
      <w:proofErr w:type="gramEnd"/>
      <w:r w:rsidRPr="00667CD1">
        <w:rPr>
          <w:sz w:val="20"/>
          <w:szCs w:val="16"/>
        </w:rPr>
        <w:t xml:space="preserve"> is forecast to grow at an average annual rate of 4.2 per cent over the four years to 2023-24.</w:t>
      </w:r>
    </w:p>
    <w:p w14:paraId="5910EB01" w14:textId="2F16FDC0" w:rsidR="409DDD4C" w:rsidRPr="00667CD1" w:rsidRDefault="17AB9CBF" w:rsidP="00DC5EFC">
      <w:pPr>
        <w:pStyle w:val="BodyText"/>
        <w:rPr>
          <w:sz w:val="20"/>
          <w:szCs w:val="16"/>
        </w:rPr>
      </w:pPr>
      <w:r w:rsidRPr="00667CD1">
        <w:rPr>
          <w:sz w:val="20"/>
          <w:szCs w:val="16"/>
        </w:rPr>
        <w:t xml:space="preserve">Fines revenue is forecast to be $651.1 million in 2020-21 and $3.2 billion over the four years to 2023-24, an upward revision since the 2019-20 Half-Yearly Review. The additional fines revenue is due to the Government’s </w:t>
      </w:r>
      <w:r w:rsidR="00903286" w:rsidRPr="00667CD1">
        <w:rPr>
          <w:sz w:val="20"/>
          <w:szCs w:val="16"/>
        </w:rPr>
        <w:t xml:space="preserve">Towards Zero </w:t>
      </w:r>
      <w:r w:rsidR="00A05C34" w:rsidRPr="00667CD1">
        <w:rPr>
          <w:sz w:val="20"/>
          <w:szCs w:val="16"/>
        </w:rPr>
        <w:t>initiative</w:t>
      </w:r>
      <w:r w:rsidRPr="00667CD1">
        <w:rPr>
          <w:sz w:val="20"/>
          <w:szCs w:val="16"/>
        </w:rPr>
        <w:t xml:space="preserve"> to reduce trauma on N</w:t>
      </w:r>
      <w:r w:rsidR="00346F2C" w:rsidRPr="00667CD1">
        <w:rPr>
          <w:sz w:val="20"/>
          <w:szCs w:val="16"/>
        </w:rPr>
        <w:t>ew South Wales</w:t>
      </w:r>
      <w:r w:rsidRPr="00667CD1">
        <w:rPr>
          <w:sz w:val="20"/>
          <w:szCs w:val="16"/>
        </w:rPr>
        <w:t xml:space="preserve"> roads, which includes a roll out of </w:t>
      </w:r>
      <w:proofErr w:type="gramStart"/>
      <w:r w:rsidRPr="00667CD1">
        <w:rPr>
          <w:sz w:val="20"/>
          <w:szCs w:val="16"/>
        </w:rPr>
        <w:t>red light</w:t>
      </w:r>
      <w:proofErr w:type="gramEnd"/>
      <w:r w:rsidRPr="00667CD1">
        <w:rPr>
          <w:sz w:val="20"/>
          <w:szCs w:val="16"/>
        </w:rPr>
        <w:t xml:space="preserve"> speed cameras and optimising mobile speed cameras.</w:t>
      </w:r>
    </w:p>
    <w:p w14:paraId="5F4471BF" w14:textId="57690D01" w:rsidR="000618E8" w:rsidRPr="00667CD1" w:rsidRDefault="00474FC1" w:rsidP="00DC5EFC">
      <w:pPr>
        <w:pStyle w:val="BodyText"/>
        <w:rPr>
          <w:sz w:val="20"/>
          <w:szCs w:val="16"/>
        </w:rPr>
      </w:pPr>
      <w:r w:rsidRPr="00667CD1">
        <w:rPr>
          <w:sz w:val="20"/>
          <w:szCs w:val="16"/>
        </w:rPr>
        <w:t xml:space="preserve">Other revenues </w:t>
      </w:r>
      <w:r w:rsidR="0CBA9B58" w:rsidRPr="00667CD1">
        <w:rPr>
          <w:sz w:val="20"/>
          <w:szCs w:val="16"/>
        </w:rPr>
        <w:t>are expected to be</w:t>
      </w:r>
      <w:r w:rsidRPr="00667CD1">
        <w:rPr>
          <w:sz w:val="20"/>
          <w:szCs w:val="16"/>
        </w:rPr>
        <w:t xml:space="preserve"> </w:t>
      </w:r>
      <w:r w:rsidR="0CBA9B58" w:rsidRPr="00667CD1">
        <w:rPr>
          <w:sz w:val="20"/>
          <w:szCs w:val="16"/>
        </w:rPr>
        <w:t>$6.3 billion over the four years to 2023-24</w:t>
      </w:r>
      <w:r w:rsidR="00C05CE9" w:rsidRPr="00667CD1">
        <w:rPr>
          <w:sz w:val="20"/>
          <w:szCs w:val="16"/>
        </w:rPr>
        <w:t>,</w:t>
      </w:r>
      <w:r w:rsidR="0CBA9B58" w:rsidRPr="00667CD1">
        <w:rPr>
          <w:sz w:val="20"/>
          <w:szCs w:val="16"/>
        </w:rPr>
        <w:t xml:space="preserve"> which is </w:t>
      </w:r>
      <w:r w:rsidR="00C05CE9" w:rsidRPr="00667CD1">
        <w:rPr>
          <w:sz w:val="20"/>
          <w:szCs w:val="16"/>
        </w:rPr>
        <w:t xml:space="preserve">a </w:t>
      </w:r>
      <w:r w:rsidR="0CBA9B58" w:rsidRPr="00667CD1">
        <w:rPr>
          <w:sz w:val="20"/>
          <w:szCs w:val="16"/>
        </w:rPr>
        <w:t>$2.</w:t>
      </w:r>
      <w:r w:rsidR="2CFF88DD" w:rsidRPr="00667CD1">
        <w:rPr>
          <w:sz w:val="20"/>
          <w:szCs w:val="16"/>
        </w:rPr>
        <w:t>2</w:t>
      </w:r>
      <w:r w:rsidR="004D7638" w:rsidRPr="00667CD1">
        <w:rPr>
          <w:sz w:val="20"/>
          <w:szCs w:val="16"/>
        </w:rPr>
        <w:t> </w:t>
      </w:r>
      <w:r w:rsidR="0CBA9B58" w:rsidRPr="00667CD1">
        <w:rPr>
          <w:sz w:val="20"/>
          <w:szCs w:val="16"/>
        </w:rPr>
        <w:t>billion decrease since the 20</w:t>
      </w:r>
      <w:r w:rsidR="01340079" w:rsidRPr="00667CD1">
        <w:rPr>
          <w:sz w:val="20"/>
          <w:szCs w:val="16"/>
        </w:rPr>
        <w:t>19-20 Half-Yearly Review. This</w:t>
      </w:r>
      <w:r w:rsidR="0CBA9B58" w:rsidRPr="00667CD1">
        <w:rPr>
          <w:sz w:val="20"/>
          <w:szCs w:val="16"/>
        </w:rPr>
        <w:t xml:space="preserve"> </w:t>
      </w:r>
      <w:r w:rsidR="287CF6A8" w:rsidRPr="00667CD1">
        <w:rPr>
          <w:sz w:val="20"/>
          <w:szCs w:val="16"/>
        </w:rPr>
        <w:t xml:space="preserve">is </w:t>
      </w:r>
      <w:r w:rsidRPr="00667CD1">
        <w:rPr>
          <w:sz w:val="20"/>
          <w:szCs w:val="16"/>
        </w:rPr>
        <w:t xml:space="preserve">partially explained by lower Special Infrastructure Contributions (SIC) </w:t>
      </w:r>
      <w:r w:rsidR="00F92645" w:rsidRPr="00667CD1">
        <w:rPr>
          <w:sz w:val="20"/>
          <w:szCs w:val="16"/>
        </w:rPr>
        <w:t xml:space="preserve">than </w:t>
      </w:r>
      <w:r w:rsidR="005D7057" w:rsidRPr="00667CD1">
        <w:rPr>
          <w:sz w:val="20"/>
          <w:szCs w:val="16"/>
        </w:rPr>
        <w:t>forecast</w:t>
      </w:r>
      <w:r w:rsidRPr="00667CD1">
        <w:rPr>
          <w:sz w:val="20"/>
          <w:szCs w:val="16"/>
        </w:rPr>
        <w:t xml:space="preserve"> at </w:t>
      </w:r>
      <w:r w:rsidR="005D7057" w:rsidRPr="00667CD1">
        <w:rPr>
          <w:sz w:val="20"/>
          <w:szCs w:val="16"/>
        </w:rPr>
        <w:t xml:space="preserve">the </w:t>
      </w:r>
      <w:r w:rsidRPr="00667CD1">
        <w:rPr>
          <w:sz w:val="20"/>
          <w:szCs w:val="16"/>
        </w:rPr>
        <w:t>2019-20 Half-Yearly Review</w:t>
      </w:r>
      <w:r w:rsidR="00E7667B" w:rsidRPr="00667CD1">
        <w:rPr>
          <w:sz w:val="20"/>
          <w:szCs w:val="16"/>
        </w:rPr>
        <w:t xml:space="preserve">; </w:t>
      </w:r>
      <w:r w:rsidR="006E7327" w:rsidRPr="00667CD1">
        <w:rPr>
          <w:sz w:val="20"/>
          <w:szCs w:val="16"/>
        </w:rPr>
        <w:t xml:space="preserve">reflecting </w:t>
      </w:r>
      <w:r w:rsidR="00E7667B" w:rsidRPr="00667CD1">
        <w:rPr>
          <w:sz w:val="20"/>
          <w:szCs w:val="16"/>
        </w:rPr>
        <w:t xml:space="preserve">weaker building activity </w:t>
      </w:r>
      <w:r w:rsidR="00C36602" w:rsidRPr="00667CD1">
        <w:rPr>
          <w:sz w:val="20"/>
          <w:szCs w:val="16"/>
        </w:rPr>
        <w:t xml:space="preserve">and therefore fewer SIC payments to the State </w:t>
      </w:r>
      <w:r w:rsidR="00A748A7" w:rsidRPr="00667CD1">
        <w:rPr>
          <w:sz w:val="20"/>
          <w:szCs w:val="16"/>
        </w:rPr>
        <w:t>from</w:t>
      </w:r>
      <w:r w:rsidR="00C36602" w:rsidRPr="00667CD1">
        <w:rPr>
          <w:sz w:val="20"/>
          <w:szCs w:val="16"/>
        </w:rPr>
        <w:t xml:space="preserve"> developers</w:t>
      </w:r>
      <w:r w:rsidR="68179EBF" w:rsidRPr="00667CD1">
        <w:rPr>
          <w:sz w:val="20"/>
          <w:szCs w:val="16"/>
        </w:rPr>
        <w:t>.</w:t>
      </w:r>
      <w:r w:rsidR="6ADB9AE5" w:rsidRPr="00667CD1">
        <w:rPr>
          <w:sz w:val="20"/>
          <w:szCs w:val="16"/>
        </w:rPr>
        <w:t xml:space="preserve"> Revenue from donations has also been revised down due to a reduction in voluntary </w:t>
      </w:r>
      <w:r w:rsidR="00FD30DC" w:rsidRPr="00667CD1">
        <w:rPr>
          <w:sz w:val="20"/>
          <w:szCs w:val="16"/>
        </w:rPr>
        <w:t xml:space="preserve">parental </w:t>
      </w:r>
      <w:r w:rsidR="6ADB9AE5" w:rsidRPr="00667CD1">
        <w:rPr>
          <w:sz w:val="20"/>
          <w:szCs w:val="16"/>
        </w:rPr>
        <w:t>donations and contributions as a result of drought, bushfire and COVID-19 related hardship.</w:t>
      </w:r>
    </w:p>
    <w:p w14:paraId="080B2F41" w14:textId="77777777" w:rsidR="000618E8" w:rsidRPr="00667CD1" w:rsidRDefault="000618E8">
      <w:pPr>
        <w:spacing w:after="200" w:line="276" w:lineRule="auto"/>
        <w:rPr>
          <w:rFonts w:ascii="Arial" w:eastAsiaTheme="minorHAnsi" w:hAnsi="Arial" w:cs="Arial"/>
          <w:noProof/>
          <w:lang w:eastAsia="x-none"/>
        </w:rPr>
      </w:pPr>
      <w:r w:rsidRPr="00667CD1">
        <w:rPr>
          <w:sz w:val="16"/>
          <w:szCs w:val="16"/>
        </w:rPr>
        <w:br w:type="page"/>
      </w:r>
    </w:p>
    <w:p w14:paraId="1D4D2827" w14:textId="7B0760C2" w:rsidR="0077628D" w:rsidRPr="00667CD1" w:rsidRDefault="0077628D" w:rsidP="003B4788">
      <w:pPr>
        <w:pStyle w:val="Table4X"/>
        <w:tabs>
          <w:tab w:val="clear" w:pos="1134"/>
          <w:tab w:val="left" w:pos="1276"/>
        </w:tabs>
        <w:ind w:left="1276" w:hanging="1276"/>
        <w:rPr>
          <w:sz w:val="18"/>
          <w:szCs w:val="18"/>
        </w:rPr>
      </w:pPr>
      <w:r w:rsidRPr="00667CD1">
        <w:rPr>
          <w:sz w:val="18"/>
          <w:szCs w:val="18"/>
        </w:rPr>
        <w:lastRenderedPageBreak/>
        <w:t>Fines, regulatory fees</w:t>
      </w:r>
      <w:r w:rsidR="00B71D02" w:rsidRPr="00667CD1">
        <w:rPr>
          <w:sz w:val="18"/>
          <w:szCs w:val="18"/>
        </w:rPr>
        <w:t>, licences</w:t>
      </w:r>
      <w:r w:rsidRPr="00667CD1">
        <w:rPr>
          <w:sz w:val="18"/>
          <w:szCs w:val="18"/>
        </w:rPr>
        <w:t xml:space="preserve"> and other revenues</w:t>
      </w:r>
    </w:p>
    <w:tbl>
      <w:tblPr>
        <w:tblW w:w="9240" w:type="dxa"/>
        <w:tblLook w:val="04A0" w:firstRow="1" w:lastRow="0" w:firstColumn="1" w:lastColumn="0" w:noHBand="0" w:noVBand="1"/>
        <w:tblCaption w:val="Table 4.11: Fines, regulatory fees, licences and other revenues"/>
        <w:tblDescription w:val="Table 4.11: Fines, regulatory fees, licences and other revenues"/>
      </w:tblPr>
      <w:tblGrid>
        <w:gridCol w:w="2943"/>
        <w:gridCol w:w="876"/>
        <w:gridCol w:w="876"/>
        <w:gridCol w:w="876"/>
        <w:gridCol w:w="876"/>
        <w:gridCol w:w="876"/>
        <w:gridCol w:w="876"/>
        <w:gridCol w:w="1041"/>
      </w:tblGrid>
      <w:tr w:rsidR="00BA0814" w:rsidRPr="00667CD1" w14:paraId="5BB87B7B" w14:textId="77777777" w:rsidTr="000E2C4A">
        <w:trPr>
          <w:trHeight w:val="300"/>
        </w:trPr>
        <w:tc>
          <w:tcPr>
            <w:tcW w:w="2943" w:type="dxa"/>
            <w:tcBorders>
              <w:top w:val="nil"/>
              <w:left w:val="nil"/>
              <w:bottom w:val="nil"/>
              <w:right w:val="nil"/>
            </w:tcBorders>
            <w:shd w:val="clear" w:color="000000" w:fill="008EBA"/>
            <w:vAlign w:val="center"/>
            <w:hideMark/>
          </w:tcPr>
          <w:p w14:paraId="08AAB466"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876" w:type="dxa"/>
            <w:tcBorders>
              <w:top w:val="nil"/>
              <w:left w:val="nil"/>
              <w:bottom w:val="nil"/>
              <w:right w:val="nil"/>
            </w:tcBorders>
            <w:shd w:val="clear" w:color="000000" w:fill="008EBA"/>
            <w:noWrap/>
            <w:vAlign w:val="bottom"/>
            <w:hideMark/>
          </w:tcPr>
          <w:p w14:paraId="17D7585E"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2018-19</w:t>
            </w:r>
          </w:p>
        </w:tc>
        <w:tc>
          <w:tcPr>
            <w:tcW w:w="876" w:type="dxa"/>
            <w:tcBorders>
              <w:top w:val="nil"/>
              <w:left w:val="nil"/>
              <w:bottom w:val="nil"/>
              <w:right w:val="nil"/>
            </w:tcBorders>
            <w:shd w:val="clear" w:color="000000" w:fill="008EBA"/>
            <w:noWrap/>
            <w:vAlign w:val="bottom"/>
            <w:hideMark/>
          </w:tcPr>
          <w:p w14:paraId="3B65C12D"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2019-20</w:t>
            </w:r>
          </w:p>
        </w:tc>
        <w:tc>
          <w:tcPr>
            <w:tcW w:w="876" w:type="dxa"/>
            <w:tcBorders>
              <w:top w:val="nil"/>
              <w:left w:val="nil"/>
              <w:bottom w:val="nil"/>
              <w:right w:val="nil"/>
            </w:tcBorders>
            <w:shd w:val="clear" w:color="000000" w:fill="008EBA"/>
            <w:noWrap/>
            <w:vAlign w:val="bottom"/>
            <w:hideMark/>
          </w:tcPr>
          <w:p w14:paraId="49B0A993"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2020-21</w:t>
            </w:r>
          </w:p>
        </w:tc>
        <w:tc>
          <w:tcPr>
            <w:tcW w:w="876" w:type="dxa"/>
            <w:tcBorders>
              <w:top w:val="nil"/>
              <w:left w:val="nil"/>
              <w:bottom w:val="nil"/>
              <w:right w:val="nil"/>
            </w:tcBorders>
            <w:shd w:val="clear" w:color="000000" w:fill="008EBA"/>
            <w:noWrap/>
            <w:vAlign w:val="bottom"/>
            <w:hideMark/>
          </w:tcPr>
          <w:p w14:paraId="19663828"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2021-22</w:t>
            </w:r>
          </w:p>
        </w:tc>
        <w:tc>
          <w:tcPr>
            <w:tcW w:w="876" w:type="dxa"/>
            <w:tcBorders>
              <w:top w:val="nil"/>
              <w:left w:val="nil"/>
              <w:bottom w:val="nil"/>
              <w:right w:val="nil"/>
            </w:tcBorders>
            <w:shd w:val="clear" w:color="000000" w:fill="008EBA"/>
            <w:noWrap/>
            <w:vAlign w:val="bottom"/>
            <w:hideMark/>
          </w:tcPr>
          <w:p w14:paraId="01852283"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2022-23</w:t>
            </w:r>
          </w:p>
        </w:tc>
        <w:tc>
          <w:tcPr>
            <w:tcW w:w="876" w:type="dxa"/>
            <w:tcBorders>
              <w:top w:val="nil"/>
              <w:left w:val="nil"/>
              <w:bottom w:val="nil"/>
              <w:right w:val="nil"/>
            </w:tcBorders>
            <w:shd w:val="clear" w:color="000000" w:fill="008EBA"/>
            <w:noWrap/>
            <w:vAlign w:val="bottom"/>
            <w:hideMark/>
          </w:tcPr>
          <w:p w14:paraId="6B89B61B"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2023-24</w:t>
            </w:r>
          </w:p>
        </w:tc>
        <w:tc>
          <w:tcPr>
            <w:tcW w:w="1041" w:type="dxa"/>
            <w:vMerge w:val="restart"/>
            <w:tcBorders>
              <w:top w:val="nil"/>
              <w:left w:val="nil"/>
              <w:bottom w:val="nil"/>
              <w:right w:val="nil"/>
            </w:tcBorders>
            <w:shd w:val="clear" w:color="000000" w:fill="4F4F4F"/>
            <w:vAlign w:val="center"/>
            <w:hideMark/>
          </w:tcPr>
          <w:p w14:paraId="1D1C24B2"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 Average growth p.a. 2019-20 to 2023-24</w:t>
            </w:r>
          </w:p>
        </w:tc>
      </w:tr>
      <w:tr w:rsidR="00BA0814" w:rsidRPr="00667CD1" w14:paraId="5DE902D2" w14:textId="77777777" w:rsidTr="000E2C4A">
        <w:trPr>
          <w:trHeight w:val="255"/>
        </w:trPr>
        <w:tc>
          <w:tcPr>
            <w:tcW w:w="2943" w:type="dxa"/>
            <w:tcBorders>
              <w:top w:val="nil"/>
              <w:left w:val="nil"/>
              <w:right w:val="nil"/>
            </w:tcBorders>
            <w:shd w:val="clear" w:color="000000" w:fill="008EBA"/>
            <w:vAlign w:val="bottom"/>
            <w:hideMark/>
          </w:tcPr>
          <w:p w14:paraId="4F660E13"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876" w:type="dxa"/>
            <w:tcBorders>
              <w:top w:val="nil"/>
              <w:left w:val="nil"/>
              <w:right w:val="nil"/>
            </w:tcBorders>
            <w:shd w:val="clear" w:color="000000" w:fill="008EBA"/>
            <w:noWrap/>
            <w:vAlign w:val="center"/>
            <w:hideMark/>
          </w:tcPr>
          <w:p w14:paraId="1936DA6D"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876" w:type="dxa"/>
            <w:tcBorders>
              <w:top w:val="nil"/>
              <w:left w:val="nil"/>
              <w:right w:val="nil"/>
            </w:tcBorders>
            <w:shd w:val="clear" w:color="000000" w:fill="008EBA"/>
            <w:noWrap/>
            <w:vAlign w:val="center"/>
            <w:hideMark/>
          </w:tcPr>
          <w:p w14:paraId="6866542C"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Actual</w:t>
            </w:r>
          </w:p>
        </w:tc>
        <w:tc>
          <w:tcPr>
            <w:tcW w:w="876" w:type="dxa"/>
            <w:tcBorders>
              <w:top w:val="nil"/>
              <w:left w:val="nil"/>
              <w:right w:val="nil"/>
            </w:tcBorders>
            <w:shd w:val="clear" w:color="000000" w:fill="008EBA"/>
            <w:vAlign w:val="center"/>
            <w:hideMark/>
          </w:tcPr>
          <w:p w14:paraId="38B80E40"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Budget</w:t>
            </w:r>
          </w:p>
        </w:tc>
        <w:tc>
          <w:tcPr>
            <w:tcW w:w="2628" w:type="dxa"/>
            <w:gridSpan w:val="3"/>
            <w:tcBorders>
              <w:top w:val="nil"/>
              <w:left w:val="nil"/>
              <w:right w:val="nil"/>
            </w:tcBorders>
            <w:shd w:val="clear" w:color="000000" w:fill="008EBA"/>
            <w:vAlign w:val="center"/>
            <w:hideMark/>
          </w:tcPr>
          <w:p w14:paraId="0807872B"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Forward Estimates</w:t>
            </w:r>
          </w:p>
        </w:tc>
        <w:tc>
          <w:tcPr>
            <w:tcW w:w="1041" w:type="dxa"/>
            <w:vMerge/>
            <w:tcBorders>
              <w:top w:val="nil"/>
              <w:left w:val="nil"/>
              <w:bottom w:val="nil"/>
              <w:right w:val="nil"/>
            </w:tcBorders>
            <w:vAlign w:val="center"/>
            <w:hideMark/>
          </w:tcPr>
          <w:p w14:paraId="23D92EE6" w14:textId="77777777" w:rsidR="00BA0814" w:rsidRPr="00667CD1" w:rsidRDefault="00BA0814" w:rsidP="00BA0814">
            <w:pPr>
              <w:rPr>
                <w:rFonts w:ascii="Arial" w:hAnsi="Arial" w:cs="Arial"/>
                <w:color w:val="FFFFFF"/>
                <w:sz w:val="12"/>
                <w:szCs w:val="12"/>
                <w:lang w:eastAsia="en-AU"/>
              </w:rPr>
            </w:pPr>
          </w:p>
        </w:tc>
      </w:tr>
      <w:tr w:rsidR="00BA0814" w:rsidRPr="00667CD1" w14:paraId="34023025" w14:textId="77777777" w:rsidTr="000E2C4A">
        <w:trPr>
          <w:trHeight w:val="270"/>
        </w:trPr>
        <w:tc>
          <w:tcPr>
            <w:tcW w:w="2943" w:type="dxa"/>
            <w:tcBorders>
              <w:top w:val="nil"/>
              <w:left w:val="nil"/>
              <w:bottom w:val="nil"/>
              <w:right w:val="nil"/>
            </w:tcBorders>
            <w:shd w:val="clear" w:color="000000" w:fill="00426F"/>
            <w:hideMark/>
          </w:tcPr>
          <w:p w14:paraId="4F1E2740"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 </w:t>
            </w:r>
          </w:p>
        </w:tc>
        <w:tc>
          <w:tcPr>
            <w:tcW w:w="876" w:type="dxa"/>
            <w:tcBorders>
              <w:top w:val="nil"/>
              <w:left w:val="nil"/>
              <w:bottom w:val="nil"/>
              <w:right w:val="nil"/>
            </w:tcBorders>
            <w:shd w:val="clear" w:color="000000" w:fill="00426F"/>
            <w:hideMark/>
          </w:tcPr>
          <w:p w14:paraId="52D4B0D8"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76" w:type="dxa"/>
            <w:tcBorders>
              <w:top w:val="nil"/>
              <w:left w:val="nil"/>
              <w:bottom w:val="nil"/>
              <w:right w:val="nil"/>
            </w:tcBorders>
            <w:shd w:val="clear" w:color="000000" w:fill="00426F"/>
            <w:hideMark/>
          </w:tcPr>
          <w:p w14:paraId="44912C34"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76" w:type="dxa"/>
            <w:tcBorders>
              <w:top w:val="nil"/>
              <w:left w:val="nil"/>
              <w:bottom w:val="nil"/>
              <w:right w:val="nil"/>
            </w:tcBorders>
            <w:shd w:val="clear" w:color="000000" w:fill="00426F"/>
            <w:hideMark/>
          </w:tcPr>
          <w:p w14:paraId="1059A9A6"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76" w:type="dxa"/>
            <w:tcBorders>
              <w:top w:val="nil"/>
              <w:left w:val="nil"/>
              <w:bottom w:val="nil"/>
              <w:right w:val="nil"/>
            </w:tcBorders>
            <w:shd w:val="clear" w:color="000000" w:fill="00426F"/>
            <w:hideMark/>
          </w:tcPr>
          <w:p w14:paraId="5ACE0837"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76" w:type="dxa"/>
            <w:tcBorders>
              <w:top w:val="nil"/>
              <w:left w:val="nil"/>
              <w:bottom w:val="nil"/>
              <w:right w:val="nil"/>
            </w:tcBorders>
            <w:shd w:val="clear" w:color="000000" w:fill="00426F"/>
            <w:hideMark/>
          </w:tcPr>
          <w:p w14:paraId="2D1E07B0"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876" w:type="dxa"/>
            <w:tcBorders>
              <w:top w:val="nil"/>
              <w:left w:val="nil"/>
              <w:bottom w:val="nil"/>
              <w:right w:val="nil"/>
            </w:tcBorders>
            <w:shd w:val="clear" w:color="000000" w:fill="00426F"/>
            <w:hideMark/>
          </w:tcPr>
          <w:p w14:paraId="7419BF61" w14:textId="77777777" w:rsidR="00BA0814" w:rsidRPr="00667CD1" w:rsidRDefault="00BA0814" w:rsidP="00BA0814">
            <w:pPr>
              <w:jc w:val="center"/>
              <w:rPr>
                <w:rFonts w:ascii="Arial" w:hAnsi="Arial" w:cs="Arial"/>
                <w:color w:val="FFFFFF"/>
                <w:sz w:val="12"/>
                <w:szCs w:val="12"/>
                <w:lang w:eastAsia="en-AU"/>
              </w:rPr>
            </w:pPr>
            <w:r w:rsidRPr="00667CD1">
              <w:rPr>
                <w:rFonts w:ascii="Arial" w:hAnsi="Arial" w:cs="Arial"/>
                <w:color w:val="FFFFFF"/>
                <w:sz w:val="12"/>
                <w:szCs w:val="12"/>
                <w:lang w:eastAsia="en-AU"/>
              </w:rPr>
              <w:t>$m</w:t>
            </w:r>
          </w:p>
        </w:tc>
        <w:tc>
          <w:tcPr>
            <w:tcW w:w="1041" w:type="dxa"/>
            <w:vMerge/>
            <w:tcBorders>
              <w:top w:val="nil"/>
              <w:left w:val="nil"/>
              <w:bottom w:val="nil"/>
              <w:right w:val="nil"/>
            </w:tcBorders>
            <w:vAlign w:val="center"/>
            <w:hideMark/>
          </w:tcPr>
          <w:p w14:paraId="1ACFE147" w14:textId="77777777" w:rsidR="00BA0814" w:rsidRPr="00667CD1" w:rsidRDefault="00BA0814" w:rsidP="00BA0814">
            <w:pPr>
              <w:rPr>
                <w:rFonts w:ascii="Arial" w:hAnsi="Arial" w:cs="Arial"/>
                <w:color w:val="FFFFFF"/>
                <w:sz w:val="12"/>
                <w:szCs w:val="12"/>
                <w:lang w:eastAsia="en-AU"/>
              </w:rPr>
            </w:pPr>
          </w:p>
        </w:tc>
      </w:tr>
      <w:tr w:rsidR="00BA0814" w:rsidRPr="00667CD1" w14:paraId="5A475338" w14:textId="77777777" w:rsidTr="00EA33D1">
        <w:trPr>
          <w:trHeight w:val="290"/>
        </w:trPr>
        <w:tc>
          <w:tcPr>
            <w:tcW w:w="2943" w:type="dxa"/>
            <w:tcBorders>
              <w:top w:val="nil"/>
              <w:left w:val="nil"/>
              <w:bottom w:val="nil"/>
              <w:right w:val="nil"/>
            </w:tcBorders>
            <w:shd w:val="clear" w:color="000000" w:fill="FFFFFF"/>
            <w:noWrap/>
            <w:vAlign w:val="center"/>
            <w:hideMark/>
          </w:tcPr>
          <w:p w14:paraId="52FDBCA1" w14:textId="77777777" w:rsidR="00BA0814" w:rsidRPr="00667CD1" w:rsidRDefault="00BA0814" w:rsidP="00BA0814">
            <w:pPr>
              <w:rPr>
                <w:rFonts w:ascii="Arial" w:hAnsi="Arial" w:cs="Arial"/>
                <w:sz w:val="12"/>
                <w:szCs w:val="12"/>
                <w:lang w:eastAsia="en-AU"/>
              </w:rPr>
            </w:pPr>
            <w:r w:rsidRPr="00667CD1">
              <w:rPr>
                <w:rFonts w:ascii="Arial" w:hAnsi="Arial" w:cs="Arial"/>
                <w:sz w:val="12"/>
                <w:szCs w:val="12"/>
                <w:lang w:eastAsia="en-AU"/>
              </w:rPr>
              <w:t>Fines</w:t>
            </w:r>
          </w:p>
        </w:tc>
        <w:tc>
          <w:tcPr>
            <w:tcW w:w="876" w:type="dxa"/>
            <w:tcBorders>
              <w:top w:val="nil"/>
              <w:left w:val="nil"/>
              <w:bottom w:val="nil"/>
              <w:right w:val="nil"/>
            </w:tcBorders>
            <w:shd w:val="clear" w:color="000000" w:fill="FFFFFF"/>
            <w:noWrap/>
            <w:vAlign w:val="center"/>
            <w:hideMark/>
          </w:tcPr>
          <w:p w14:paraId="6B3A4760"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653</w:t>
            </w:r>
          </w:p>
        </w:tc>
        <w:tc>
          <w:tcPr>
            <w:tcW w:w="876" w:type="dxa"/>
            <w:tcBorders>
              <w:top w:val="nil"/>
              <w:left w:val="nil"/>
              <w:bottom w:val="nil"/>
              <w:right w:val="nil"/>
            </w:tcBorders>
            <w:shd w:val="clear" w:color="000000" w:fill="FFFFFF"/>
            <w:noWrap/>
            <w:vAlign w:val="center"/>
            <w:hideMark/>
          </w:tcPr>
          <w:p w14:paraId="35D11461"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596</w:t>
            </w:r>
          </w:p>
        </w:tc>
        <w:tc>
          <w:tcPr>
            <w:tcW w:w="876" w:type="dxa"/>
            <w:tcBorders>
              <w:top w:val="nil"/>
              <w:left w:val="nil"/>
              <w:bottom w:val="nil"/>
              <w:right w:val="nil"/>
            </w:tcBorders>
            <w:shd w:val="clear" w:color="000000" w:fill="F2F2F2"/>
            <w:noWrap/>
            <w:vAlign w:val="center"/>
            <w:hideMark/>
          </w:tcPr>
          <w:p w14:paraId="3107934C"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651</w:t>
            </w:r>
          </w:p>
        </w:tc>
        <w:tc>
          <w:tcPr>
            <w:tcW w:w="876" w:type="dxa"/>
            <w:tcBorders>
              <w:top w:val="nil"/>
              <w:left w:val="nil"/>
              <w:bottom w:val="nil"/>
              <w:right w:val="nil"/>
            </w:tcBorders>
            <w:shd w:val="clear" w:color="000000" w:fill="F2F2F2"/>
            <w:noWrap/>
            <w:vAlign w:val="center"/>
            <w:hideMark/>
          </w:tcPr>
          <w:p w14:paraId="0AAA9E15"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864</w:t>
            </w:r>
          </w:p>
        </w:tc>
        <w:tc>
          <w:tcPr>
            <w:tcW w:w="876" w:type="dxa"/>
            <w:tcBorders>
              <w:top w:val="nil"/>
              <w:left w:val="nil"/>
              <w:bottom w:val="nil"/>
              <w:right w:val="nil"/>
            </w:tcBorders>
            <w:shd w:val="clear" w:color="000000" w:fill="F2F2F2"/>
            <w:noWrap/>
            <w:vAlign w:val="center"/>
            <w:hideMark/>
          </w:tcPr>
          <w:p w14:paraId="4E7F4C71"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868</w:t>
            </w:r>
          </w:p>
        </w:tc>
        <w:tc>
          <w:tcPr>
            <w:tcW w:w="876" w:type="dxa"/>
            <w:tcBorders>
              <w:top w:val="nil"/>
              <w:left w:val="nil"/>
              <w:bottom w:val="nil"/>
              <w:right w:val="nil"/>
            </w:tcBorders>
            <w:shd w:val="clear" w:color="000000" w:fill="F2F2F2"/>
            <w:noWrap/>
            <w:vAlign w:val="center"/>
            <w:hideMark/>
          </w:tcPr>
          <w:p w14:paraId="04A46977"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864</w:t>
            </w:r>
          </w:p>
        </w:tc>
        <w:tc>
          <w:tcPr>
            <w:tcW w:w="1041" w:type="dxa"/>
            <w:tcBorders>
              <w:top w:val="nil"/>
              <w:left w:val="nil"/>
              <w:bottom w:val="nil"/>
              <w:right w:val="nil"/>
            </w:tcBorders>
            <w:shd w:val="clear" w:color="000000" w:fill="FFFFFF"/>
            <w:vAlign w:val="center"/>
            <w:hideMark/>
          </w:tcPr>
          <w:p w14:paraId="326EA89D" w14:textId="77777777" w:rsidR="00BA0814" w:rsidRPr="00667CD1" w:rsidRDefault="00BA0814" w:rsidP="00BA0814">
            <w:pPr>
              <w:jc w:val="center"/>
              <w:rPr>
                <w:rFonts w:ascii="Arial" w:hAnsi="Arial" w:cs="Arial"/>
                <w:sz w:val="12"/>
                <w:szCs w:val="12"/>
                <w:lang w:eastAsia="en-AU"/>
              </w:rPr>
            </w:pPr>
            <w:r w:rsidRPr="00667CD1">
              <w:rPr>
                <w:rFonts w:ascii="Arial" w:hAnsi="Arial" w:cs="Arial"/>
                <w:sz w:val="12"/>
                <w:szCs w:val="12"/>
                <w:lang w:eastAsia="en-AU"/>
              </w:rPr>
              <w:t>9.7</w:t>
            </w:r>
          </w:p>
        </w:tc>
      </w:tr>
      <w:tr w:rsidR="00BA0814" w:rsidRPr="00667CD1" w14:paraId="37BFB4A8" w14:textId="77777777" w:rsidTr="00EA33D1">
        <w:trPr>
          <w:trHeight w:val="290"/>
        </w:trPr>
        <w:tc>
          <w:tcPr>
            <w:tcW w:w="2943" w:type="dxa"/>
            <w:tcBorders>
              <w:top w:val="nil"/>
              <w:left w:val="nil"/>
              <w:bottom w:val="nil"/>
              <w:right w:val="nil"/>
            </w:tcBorders>
            <w:shd w:val="clear" w:color="000000" w:fill="FFFFFF"/>
            <w:noWrap/>
            <w:vAlign w:val="center"/>
            <w:hideMark/>
          </w:tcPr>
          <w:p w14:paraId="7D50706B" w14:textId="77777777" w:rsidR="00BA0814" w:rsidRPr="00667CD1" w:rsidRDefault="00BA0814" w:rsidP="00BA0814">
            <w:pPr>
              <w:rPr>
                <w:rFonts w:ascii="Arial" w:hAnsi="Arial" w:cs="Arial"/>
                <w:sz w:val="12"/>
                <w:szCs w:val="12"/>
                <w:lang w:eastAsia="en-AU"/>
              </w:rPr>
            </w:pPr>
            <w:r w:rsidRPr="00667CD1">
              <w:rPr>
                <w:rFonts w:ascii="Arial" w:hAnsi="Arial" w:cs="Arial"/>
                <w:sz w:val="12"/>
                <w:szCs w:val="12"/>
                <w:lang w:eastAsia="en-AU"/>
              </w:rPr>
              <w:t>Regulatory fees</w:t>
            </w:r>
          </w:p>
        </w:tc>
        <w:tc>
          <w:tcPr>
            <w:tcW w:w="876" w:type="dxa"/>
            <w:tcBorders>
              <w:top w:val="nil"/>
              <w:left w:val="nil"/>
              <w:bottom w:val="nil"/>
              <w:right w:val="nil"/>
            </w:tcBorders>
            <w:shd w:val="clear" w:color="000000" w:fill="FFFFFF"/>
            <w:noWrap/>
            <w:vAlign w:val="center"/>
            <w:hideMark/>
          </w:tcPr>
          <w:p w14:paraId="11F5BA5A"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117</w:t>
            </w:r>
          </w:p>
        </w:tc>
        <w:tc>
          <w:tcPr>
            <w:tcW w:w="876" w:type="dxa"/>
            <w:tcBorders>
              <w:top w:val="nil"/>
              <w:left w:val="nil"/>
              <w:bottom w:val="nil"/>
              <w:right w:val="nil"/>
            </w:tcBorders>
            <w:shd w:val="clear" w:color="000000" w:fill="FFFFFF"/>
            <w:noWrap/>
            <w:vAlign w:val="center"/>
            <w:hideMark/>
          </w:tcPr>
          <w:p w14:paraId="1AFABD61"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174</w:t>
            </w:r>
          </w:p>
        </w:tc>
        <w:tc>
          <w:tcPr>
            <w:tcW w:w="876" w:type="dxa"/>
            <w:tcBorders>
              <w:top w:val="nil"/>
              <w:left w:val="nil"/>
              <w:bottom w:val="nil"/>
              <w:right w:val="nil"/>
            </w:tcBorders>
            <w:shd w:val="clear" w:color="000000" w:fill="F2F2F2"/>
            <w:noWrap/>
            <w:vAlign w:val="center"/>
            <w:hideMark/>
          </w:tcPr>
          <w:p w14:paraId="203FEBEF"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145</w:t>
            </w:r>
          </w:p>
        </w:tc>
        <w:tc>
          <w:tcPr>
            <w:tcW w:w="876" w:type="dxa"/>
            <w:tcBorders>
              <w:top w:val="nil"/>
              <w:left w:val="nil"/>
              <w:bottom w:val="nil"/>
              <w:right w:val="nil"/>
            </w:tcBorders>
            <w:shd w:val="clear" w:color="000000" w:fill="F2F2F2"/>
            <w:noWrap/>
            <w:vAlign w:val="center"/>
            <w:hideMark/>
          </w:tcPr>
          <w:p w14:paraId="4F4B046B"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198</w:t>
            </w:r>
          </w:p>
        </w:tc>
        <w:tc>
          <w:tcPr>
            <w:tcW w:w="876" w:type="dxa"/>
            <w:tcBorders>
              <w:top w:val="nil"/>
              <w:left w:val="nil"/>
              <w:bottom w:val="nil"/>
              <w:right w:val="nil"/>
            </w:tcBorders>
            <w:shd w:val="clear" w:color="000000" w:fill="F2F2F2"/>
            <w:noWrap/>
            <w:vAlign w:val="center"/>
            <w:hideMark/>
          </w:tcPr>
          <w:p w14:paraId="0BF5597C"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161</w:t>
            </w:r>
          </w:p>
        </w:tc>
        <w:tc>
          <w:tcPr>
            <w:tcW w:w="876" w:type="dxa"/>
            <w:tcBorders>
              <w:top w:val="nil"/>
              <w:left w:val="nil"/>
              <w:bottom w:val="nil"/>
              <w:right w:val="nil"/>
            </w:tcBorders>
            <w:shd w:val="clear" w:color="000000" w:fill="F2F2F2"/>
            <w:noWrap/>
            <w:vAlign w:val="center"/>
            <w:hideMark/>
          </w:tcPr>
          <w:p w14:paraId="5E76B101"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175</w:t>
            </w:r>
          </w:p>
        </w:tc>
        <w:tc>
          <w:tcPr>
            <w:tcW w:w="1041" w:type="dxa"/>
            <w:tcBorders>
              <w:top w:val="nil"/>
              <w:left w:val="nil"/>
              <w:bottom w:val="nil"/>
              <w:right w:val="nil"/>
            </w:tcBorders>
            <w:shd w:val="clear" w:color="000000" w:fill="FFFFFF"/>
            <w:vAlign w:val="center"/>
            <w:hideMark/>
          </w:tcPr>
          <w:p w14:paraId="0A714DBB" w14:textId="77777777" w:rsidR="00BA0814" w:rsidRPr="00667CD1" w:rsidRDefault="00BA0814" w:rsidP="00BA0814">
            <w:pPr>
              <w:jc w:val="center"/>
              <w:rPr>
                <w:rFonts w:ascii="Arial" w:hAnsi="Arial" w:cs="Arial"/>
                <w:sz w:val="12"/>
                <w:szCs w:val="12"/>
                <w:lang w:eastAsia="en-AU"/>
              </w:rPr>
            </w:pPr>
            <w:r w:rsidRPr="00667CD1">
              <w:rPr>
                <w:rFonts w:ascii="Arial" w:hAnsi="Arial" w:cs="Arial"/>
                <w:sz w:val="12"/>
                <w:szCs w:val="12"/>
                <w:lang w:eastAsia="en-AU"/>
              </w:rPr>
              <w:t>0.2</w:t>
            </w:r>
          </w:p>
        </w:tc>
      </w:tr>
      <w:tr w:rsidR="00BA0814" w:rsidRPr="00667CD1" w14:paraId="46ABC035" w14:textId="77777777" w:rsidTr="00EA33D1">
        <w:trPr>
          <w:trHeight w:val="290"/>
        </w:trPr>
        <w:tc>
          <w:tcPr>
            <w:tcW w:w="2943" w:type="dxa"/>
            <w:tcBorders>
              <w:top w:val="nil"/>
              <w:left w:val="nil"/>
              <w:bottom w:val="nil"/>
              <w:right w:val="nil"/>
            </w:tcBorders>
            <w:shd w:val="clear" w:color="000000" w:fill="FFFFFF"/>
            <w:noWrap/>
            <w:vAlign w:val="center"/>
            <w:hideMark/>
          </w:tcPr>
          <w:p w14:paraId="508273F0" w14:textId="77777777" w:rsidR="00BA0814" w:rsidRPr="00667CD1" w:rsidRDefault="00BA0814" w:rsidP="00BA0814">
            <w:pPr>
              <w:rPr>
                <w:rFonts w:ascii="Arial" w:hAnsi="Arial" w:cs="Arial"/>
                <w:sz w:val="12"/>
                <w:szCs w:val="12"/>
                <w:lang w:eastAsia="en-AU"/>
              </w:rPr>
            </w:pPr>
            <w:r w:rsidRPr="00667CD1">
              <w:rPr>
                <w:rFonts w:ascii="Arial" w:hAnsi="Arial" w:cs="Arial"/>
                <w:sz w:val="12"/>
                <w:szCs w:val="12"/>
                <w:lang w:eastAsia="en-AU"/>
              </w:rPr>
              <w:t>Licences</w:t>
            </w:r>
          </w:p>
        </w:tc>
        <w:tc>
          <w:tcPr>
            <w:tcW w:w="876" w:type="dxa"/>
            <w:tcBorders>
              <w:top w:val="nil"/>
              <w:left w:val="nil"/>
              <w:bottom w:val="nil"/>
              <w:right w:val="nil"/>
            </w:tcBorders>
            <w:shd w:val="clear" w:color="000000" w:fill="FFFFFF"/>
            <w:noWrap/>
            <w:vAlign w:val="center"/>
            <w:hideMark/>
          </w:tcPr>
          <w:p w14:paraId="37A68F09"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623</w:t>
            </w:r>
          </w:p>
        </w:tc>
        <w:tc>
          <w:tcPr>
            <w:tcW w:w="876" w:type="dxa"/>
            <w:tcBorders>
              <w:top w:val="nil"/>
              <w:left w:val="nil"/>
              <w:bottom w:val="nil"/>
              <w:right w:val="nil"/>
            </w:tcBorders>
            <w:shd w:val="clear" w:color="000000" w:fill="FFFFFF"/>
            <w:noWrap/>
            <w:vAlign w:val="center"/>
            <w:hideMark/>
          </w:tcPr>
          <w:p w14:paraId="0BCA25BD"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655</w:t>
            </w:r>
          </w:p>
        </w:tc>
        <w:tc>
          <w:tcPr>
            <w:tcW w:w="876" w:type="dxa"/>
            <w:tcBorders>
              <w:top w:val="nil"/>
              <w:left w:val="nil"/>
              <w:bottom w:val="nil"/>
              <w:right w:val="nil"/>
            </w:tcBorders>
            <w:shd w:val="clear" w:color="000000" w:fill="F2F2F2"/>
            <w:noWrap/>
            <w:vAlign w:val="center"/>
            <w:hideMark/>
          </w:tcPr>
          <w:p w14:paraId="6516727D"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687</w:t>
            </w:r>
          </w:p>
        </w:tc>
        <w:tc>
          <w:tcPr>
            <w:tcW w:w="876" w:type="dxa"/>
            <w:tcBorders>
              <w:top w:val="nil"/>
              <w:left w:val="nil"/>
              <w:bottom w:val="nil"/>
              <w:right w:val="nil"/>
            </w:tcBorders>
            <w:shd w:val="clear" w:color="000000" w:fill="F2F2F2"/>
            <w:noWrap/>
            <w:vAlign w:val="center"/>
            <w:hideMark/>
          </w:tcPr>
          <w:p w14:paraId="29331368"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650</w:t>
            </w:r>
          </w:p>
        </w:tc>
        <w:tc>
          <w:tcPr>
            <w:tcW w:w="876" w:type="dxa"/>
            <w:tcBorders>
              <w:top w:val="nil"/>
              <w:left w:val="nil"/>
              <w:bottom w:val="nil"/>
              <w:right w:val="nil"/>
            </w:tcBorders>
            <w:shd w:val="clear" w:color="000000" w:fill="F2F2F2"/>
            <w:noWrap/>
            <w:vAlign w:val="center"/>
            <w:hideMark/>
          </w:tcPr>
          <w:p w14:paraId="277C4923"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663</w:t>
            </w:r>
          </w:p>
        </w:tc>
        <w:tc>
          <w:tcPr>
            <w:tcW w:w="876" w:type="dxa"/>
            <w:tcBorders>
              <w:top w:val="nil"/>
              <w:left w:val="nil"/>
              <w:bottom w:val="nil"/>
              <w:right w:val="nil"/>
            </w:tcBorders>
            <w:shd w:val="clear" w:color="000000" w:fill="F2F2F2"/>
            <w:noWrap/>
            <w:vAlign w:val="center"/>
            <w:hideMark/>
          </w:tcPr>
          <w:p w14:paraId="660E7AB6"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696</w:t>
            </w:r>
          </w:p>
        </w:tc>
        <w:tc>
          <w:tcPr>
            <w:tcW w:w="1041" w:type="dxa"/>
            <w:tcBorders>
              <w:top w:val="nil"/>
              <w:left w:val="nil"/>
              <w:bottom w:val="nil"/>
              <w:right w:val="nil"/>
            </w:tcBorders>
            <w:shd w:val="clear" w:color="000000" w:fill="FFFFFF"/>
            <w:vAlign w:val="center"/>
            <w:hideMark/>
          </w:tcPr>
          <w:p w14:paraId="54867E65" w14:textId="77777777" w:rsidR="00BA0814" w:rsidRPr="00667CD1" w:rsidRDefault="00BA0814" w:rsidP="00BA0814">
            <w:pPr>
              <w:jc w:val="center"/>
              <w:rPr>
                <w:rFonts w:ascii="Arial" w:hAnsi="Arial" w:cs="Arial"/>
                <w:sz w:val="12"/>
                <w:szCs w:val="12"/>
                <w:lang w:eastAsia="en-AU"/>
              </w:rPr>
            </w:pPr>
            <w:r w:rsidRPr="00667CD1">
              <w:rPr>
                <w:rFonts w:ascii="Arial" w:hAnsi="Arial" w:cs="Arial"/>
                <w:sz w:val="12"/>
                <w:szCs w:val="12"/>
                <w:lang w:eastAsia="en-AU"/>
              </w:rPr>
              <w:t>1.6</w:t>
            </w:r>
          </w:p>
        </w:tc>
      </w:tr>
      <w:tr w:rsidR="00BA0814" w:rsidRPr="00667CD1" w14:paraId="61039E8C" w14:textId="77777777" w:rsidTr="00EA33D1">
        <w:trPr>
          <w:trHeight w:val="300"/>
        </w:trPr>
        <w:tc>
          <w:tcPr>
            <w:tcW w:w="2943" w:type="dxa"/>
            <w:tcBorders>
              <w:top w:val="nil"/>
              <w:left w:val="nil"/>
              <w:bottom w:val="nil"/>
              <w:right w:val="nil"/>
            </w:tcBorders>
            <w:shd w:val="clear" w:color="000000" w:fill="FFFFFF"/>
            <w:noWrap/>
            <w:vAlign w:val="center"/>
            <w:hideMark/>
          </w:tcPr>
          <w:p w14:paraId="45F99116" w14:textId="77777777" w:rsidR="00BA0814" w:rsidRPr="00667CD1" w:rsidRDefault="00BA0814" w:rsidP="00BA0814">
            <w:pPr>
              <w:rPr>
                <w:rFonts w:ascii="Arial" w:hAnsi="Arial" w:cs="Arial"/>
                <w:sz w:val="12"/>
                <w:szCs w:val="12"/>
                <w:lang w:eastAsia="en-AU"/>
              </w:rPr>
            </w:pPr>
            <w:r w:rsidRPr="00667CD1">
              <w:rPr>
                <w:rFonts w:ascii="Arial" w:hAnsi="Arial" w:cs="Arial"/>
                <w:sz w:val="12"/>
                <w:szCs w:val="12"/>
                <w:lang w:eastAsia="en-AU"/>
              </w:rPr>
              <w:t>Other revenues</w:t>
            </w:r>
          </w:p>
        </w:tc>
        <w:tc>
          <w:tcPr>
            <w:tcW w:w="876" w:type="dxa"/>
            <w:tcBorders>
              <w:top w:val="nil"/>
              <w:left w:val="nil"/>
              <w:bottom w:val="nil"/>
              <w:right w:val="nil"/>
            </w:tcBorders>
            <w:shd w:val="clear" w:color="000000" w:fill="FFFFFF"/>
            <w:noWrap/>
            <w:vAlign w:val="center"/>
            <w:hideMark/>
          </w:tcPr>
          <w:p w14:paraId="123FDF0C" w14:textId="42F28E80"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1,</w:t>
            </w:r>
            <w:r w:rsidR="005F4CEB" w:rsidRPr="00667CD1">
              <w:rPr>
                <w:rFonts w:ascii="Arial" w:hAnsi="Arial" w:cs="Arial"/>
                <w:sz w:val="12"/>
                <w:szCs w:val="12"/>
                <w:lang w:eastAsia="en-AU"/>
              </w:rPr>
              <w:t>193</w:t>
            </w:r>
          </w:p>
        </w:tc>
        <w:tc>
          <w:tcPr>
            <w:tcW w:w="876" w:type="dxa"/>
            <w:tcBorders>
              <w:top w:val="nil"/>
              <w:left w:val="nil"/>
              <w:bottom w:val="nil"/>
              <w:right w:val="nil"/>
            </w:tcBorders>
            <w:shd w:val="clear" w:color="000000" w:fill="FFFFFF"/>
            <w:noWrap/>
            <w:vAlign w:val="center"/>
            <w:hideMark/>
          </w:tcPr>
          <w:p w14:paraId="375C91F9"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1,153</w:t>
            </w:r>
          </w:p>
        </w:tc>
        <w:tc>
          <w:tcPr>
            <w:tcW w:w="876" w:type="dxa"/>
            <w:tcBorders>
              <w:top w:val="nil"/>
              <w:left w:val="nil"/>
              <w:bottom w:val="nil"/>
              <w:right w:val="nil"/>
            </w:tcBorders>
            <w:shd w:val="clear" w:color="000000" w:fill="F2F2F2"/>
            <w:noWrap/>
            <w:vAlign w:val="center"/>
            <w:hideMark/>
          </w:tcPr>
          <w:p w14:paraId="7558C34A"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1,502</w:t>
            </w:r>
          </w:p>
        </w:tc>
        <w:tc>
          <w:tcPr>
            <w:tcW w:w="876" w:type="dxa"/>
            <w:tcBorders>
              <w:top w:val="nil"/>
              <w:left w:val="nil"/>
              <w:bottom w:val="nil"/>
              <w:right w:val="nil"/>
            </w:tcBorders>
            <w:shd w:val="clear" w:color="000000" w:fill="F2F2F2"/>
            <w:noWrap/>
            <w:vAlign w:val="center"/>
            <w:hideMark/>
          </w:tcPr>
          <w:p w14:paraId="6948D2CF"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1,395</w:t>
            </w:r>
          </w:p>
        </w:tc>
        <w:tc>
          <w:tcPr>
            <w:tcW w:w="876" w:type="dxa"/>
            <w:tcBorders>
              <w:top w:val="nil"/>
              <w:left w:val="nil"/>
              <w:bottom w:val="nil"/>
              <w:right w:val="nil"/>
            </w:tcBorders>
            <w:shd w:val="clear" w:color="000000" w:fill="F2F2F2"/>
            <w:noWrap/>
            <w:vAlign w:val="center"/>
            <w:hideMark/>
          </w:tcPr>
          <w:p w14:paraId="29CC42D1"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1,236</w:t>
            </w:r>
          </w:p>
        </w:tc>
        <w:tc>
          <w:tcPr>
            <w:tcW w:w="876" w:type="dxa"/>
            <w:tcBorders>
              <w:top w:val="nil"/>
              <w:left w:val="nil"/>
              <w:bottom w:val="nil"/>
              <w:right w:val="nil"/>
            </w:tcBorders>
            <w:shd w:val="clear" w:color="000000" w:fill="F2F2F2"/>
            <w:noWrap/>
            <w:vAlign w:val="center"/>
            <w:hideMark/>
          </w:tcPr>
          <w:p w14:paraId="1C2C09D2" w14:textId="77777777" w:rsidR="00BA0814" w:rsidRPr="00667CD1" w:rsidRDefault="00BA0814" w:rsidP="00EA33D1">
            <w:pPr>
              <w:jc w:val="right"/>
              <w:rPr>
                <w:rFonts w:ascii="Arial" w:hAnsi="Arial" w:cs="Arial"/>
                <w:sz w:val="12"/>
                <w:szCs w:val="12"/>
                <w:lang w:eastAsia="en-AU"/>
              </w:rPr>
            </w:pPr>
            <w:r w:rsidRPr="00667CD1">
              <w:rPr>
                <w:rFonts w:ascii="Arial" w:hAnsi="Arial" w:cs="Arial"/>
                <w:sz w:val="12"/>
                <w:szCs w:val="12"/>
                <w:lang w:eastAsia="en-AU"/>
              </w:rPr>
              <w:t>1,298</w:t>
            </w:r>
          </w:p>
        </w:tc>
        <w:tc>
          <w:tcPr>
            <w:tcW w:w="1041" w:type="dxa"/>
            <w:tcBorders>
              <w:top w:val="nil"/>
              <w:left w:val="nil"/>
              <w:bottom w:val="nil"/>
              <w:right w:val="nil"/>
            </w:tcBorders>
            <w:shd w:val="clear" w:color="000000" w:fill="FFFFFF"/>
            <w:vAlign w:val="center"/>
            <w:hideMark/>
          </w:tcPr>
          <w:p w14:paraId="6081721D" w14:textId="77777777" w:rsidR="00BA0814" w:rsidRPr="00667CD1" w:rsidRDefault="00BA0814" w:rsidP="00BA0814">
            <w:pPr>
              <w:jc w:val="center"/>
              <w:rPr>
                <w:rFonts w:ascii="Arial" w:hAnsi="Arial" w:cs="Arial"/>
                <w:sz w:val="12"/>
                <w:szCs w:val="12"/>
                <w:lang w:eastAsia="en-AU"/>
              </w:rPr>
            </w:pPr>
            <w:r w:rsidRPr="00667CD1">
              <w:rPr>
                <w:rFonts w:ascii="Arial" w:hAnsi="Arial" w:cs="Arial"/>
                <w:sz w:val="12"/>
                <w:szCs w:val="12"/>
                <w:lang w:eastAsia="en-AU"/>
              </w:rPr>
              <w:t>3.0</w:t>
            </w:r>
          </w:p>
        </w:tc>
      </w:tr>
      <w:tr w:rsidR="00BA0814" w:rsidRPr="00667CD1" w14:paraId="21C0D957" w14:textId="77777777" w:rsidTr="005C3CAC">
        <w:trPr>
          <w:trHeight w:val="397"/>
        </w:trPr>
        <w:tc>
          <w:tcPr>
            <w:tcW w:w="2943" w:type="dxa"/>
            <w:tcBorders>
              <w:top w:val="single" w:sz="4" w:space="0" w:color="auto"/>
              <w:left w:val="nil"/>
              <w:bottom w:val="single" w:sz="4" w:space="0" w:color="auto"/>
              <w:right w:val="nil"/>
            </w:tcBorders>
            <w:shd w:val="clear" w:color="000000" w:fill="FFFFFF"/>
            <w:vAlign w:val="bottom"/>
            <w:hideMark/>
          </w:tcPr>
          <w:p w14:paraId="62E63CCB" w14:textId="77777777" w:rsidR="00BA0814" w:rsidRPr="00667CD1" w:rsidRDefault="00BA0814" w:rsidP="00EA33D1">
            <w:pPr>
              <w:rPr>
                <w:rFonts w:ascii="Arial" w:hAnsi="Arial" w:cs="Arial"/>
                <w:b/>
                <w:color w:val="008EBA"/>
                <w:sz w:val="12"/>
                <w:szCs w:val="12"/>
                <w:lang w:eastAsia="en-AU"/>
              </w:rPr>
            </w:pPr>
            <w:r w:rsidRPr="00667CD1">
              <w:rPr>
                <w:rFonts w:ascii="Arial" w:hAnsi="Arial" w:cs="Arial"/>
                <w:b/>
                <w:color w:val="008EBA"/>
                <w:sz w:val="12"/>
                <w:szCs w:val="12"/>
                <w:lang w:eastAsia="en-AU"/>
              </w:rPr>
              <w:t xml:space="preserve">Total fines, regulatory fees, </w:t>
            </w:r>
            <w:r w:rsidRPr="00667CD1">
              <w:rPr>
                <w:rFonts w:ascii="Arial" w:hAnsi="Arial" w:cs="Arial"/>
                <w:b/>
                <w:color w:val="008EBA"/>
                <w:sz w:val="12"/>
                <w:szCs w:val="12"/>
                <w:lang w:eastAsia="en-AU"/>
              </w:rPr>
              <w:br/>
              <w:t>licences and other revenues</w:t>
            </w:r>
          </w:p>
        </w:tc>
        <w:tc>
          <w:tcPr>
            <w:tcW w:w="876" w:type="dxa"/>
            <w:tcBorders>
              <w:top w:val="single" w:sz="4" w:space="0" w:color="auto"/>
              <w:left w:val="nil"/>
              <w:bottom w:val="single" w:sz="4" w:space="0" w:color="auto"/>
              <w:right w:val="nil"/>
            </w:tcBorders>
            <w:shd w:val="clear" w:color="000000" w:fill="FFFFFF"/>
            <w:vAlign w:val="bottom"/>
            <w:hideMark/>
          </w:tcPr>
          <w:p w14:paraId="35B73314" w14:textId="0FC08D0A" w:rsidR="00BA0814" w:rsidRPr="00667CD1" w:rsidRDefault="00BA0814" w:rsidP="00EA33D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2,</w:t>
            </w:r>
            <w:r w:rsidR="005F4CEB" w:rsidRPr="00667CD1">
              <w:rPr>
                <w:rFonts w:ascii="Arial" w:hAnsi="Arial" w:cs="Arial"/>
                <w:b/>
                <w:color w:val="008EBA"/>
                <w:sz w:val="12"/>
                <w:szCs w:val="12"/>
                <w:lang w:eastAsia="en-AU"/>
              </w:rPr>
              <w:t>586</w:t>
            </w:r>
          </w:p>
        </w:tc>
        <w:tc>
          <w:tcPr>
            <w:tcW w:w="876" w:type="dxa"/>
            <w:tcBorders>
              <w:top w:val="single" w:sz="4" w:space="0" w:color="auto"/>
              <w:left w:val="nil"/>
              <w:bottom w:val="single" w:sz="4" w:space="0" w:color="auto"/>
              <w:right w:val="nil"/>
            </w:tcBorders>
            <w:shd w:val="clear" w:color="000000" w:fill="FFFFFF"/>
            <w:vAlign w:val="bottom"/>
            <w:hideMark/>
          </w:tcPr>
          <w:p w14:paraId="502F5F5B" w14:textId="77777777" w:rsidR="00BA0814" w:rsidRPr="00667CD1" w:rsidRDefault="00BA0814" w:rsidP="00EA33D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2,578</w:t>
            </w:r>
          </w:p>
        </w:tc>
        <w:tc>
          <w:tcPr>
            <w:tcW w:w="876" w:type="dxa"/>
            <w:tcBorders>
              <w:top w:val="single" w:sz="4" w:space="0" w:color="auto"/>
              <w:left w:val="nil"/>
              <w:bottom w:val="single" w:sz="4" w:space="0" w:color="auto"/>
              <w:right w:val="nil"/>
            </w:tcBorders>
            <w:shd w:val="clear" w:color="000000" w:fill="F2F2F2"/>
            <w:vAlign w:val="bottom"/>
            <w:hideMark/>
          </w:tcPr>
          <w:p w14:paraId="4469FEC6" w14:textId="77777777" w:rsidR="00BA0814" w:rsidRPr="00667CD1" w:rsidRDefault="00BA0814" w:rsidP="00EA33D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2,985</w:t>
            </w:r>
          </w:p>
        </w:tc>
        <w:tc>
          <w:tcPr>
            <w:tcW w:w="876" w:type="dxa"/>
            <w:tcBorders>
              <w:top w:val="single" w:sz="4" w:space="0" w:color="auto"/>
              <w:left w:val="nil"/>
              <w:bottom w:val="single" w:sz="4" w:space="0" w:color="auto"/>
              <w:right w:val="nil"/>
            </w:tcBorders>
            <w:shd w:val="clear" w:color="000000" w:fill="F2F2F2"/>
            <w:vAlign w:val="bottom"/>
            <w:hideMark/>
          </w:tcPr>
          <w:p w14:paraId="315FCE2B" w14:textId="77777777" w:rsidR="00BA0814" w:rsidRPr="00667CD1" w:rsidRDefault="00BA0814" w:rsidP="00EA33D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3,108</w:t>
            </w:r>
          </w:p>
        </w:tc>
        <w:tc>
          <w:tcPr>
            <w:tcW w:w="876" w:type="dxa"/>
            <w:tcBorders>
              <w:top w:val="single" w:sz="4" w:space="0" w:color="auto"/>
              <w:left w:val="nil"/>
              <w:bottom w:val="single" w:sz="4" w:space="0" w:color="auto"/>
              <w:right w:val="nil"/>
            </w:tcBorders>
            <w:shd w:val="clear" w:color="000000" w:fill="F2F2F2"/>
            <w:vAlign w:val="bottom"/>
            <w:hideMark/>
          </w:tcPr>
          <w:p w14:paraId="4375121A" w14:textId="77777777" w:rsidR="00BA0814" w:rsidRPr="00667CD1" w:rsidRDefault="00BA0814" w:rsidP="00EA33D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2,927</w:t>
            </w:r>
          </w:p>
        </w:tc>
        <w:tc>
          <w:tcPr>
            <w:tcW w:w="876" w:type="dxa"/>
            <w:tcBorders>
              <w:top w:val="single" w:sz="4" w:space="0" w:color="auto"/>
              <w:left w:val="nil"/>
              <w:bottom w:val="single" w:sz="4" w:space="0" w:color="auto"/>
              <w:right w:val="nil"/>
            </w:tcBorders>
            <w:shd w:val="clear" w:color="000000" w:fill="F2F2F2"/>
            <w:vAlign w:val="bottom"/>
            <w:hideMark/>
          </w:tcPr>
          <w:p w14:paraId="7D44380C" w14:textId="77777777" w:rsidR="00BA0814" w:rsidRPr="00667CD1" w:rsidRDefault="00BA0814" w:rsidP="00EA33D1">
            <w:pPr>
              <w:jc w:val="right"/>
              <w:rPr>
                <w:rFonts w:ascii="Arial" w:hAnsi="Arial" w:cs="Arial"/>
                <w:b/>
                <w:color w:val="008EBA"/>
                <w:sz w:val="12"/>
                <w:szCs w:val="12"/>
                <w:lang w:eastAsia="en-AU"/>
              </w:rPr>
            </w:pPr>
            <w:r w:rsidRPr="00667CD1">
              <w:rPr>
                <w:rFonts w:ascii="Arial" w:hAnsi="Arial" w:cs="Arial"/>
                <w:b/>
                <w:color w:val="008EBA"/>
                <w:sz w:val="12"/>
                <w:szCs w:val="12"/>
                <w:lang w:eastAsia="en-AU"/>
              </w:rPr>
              <w:t>3,034</w:t>
            </w:r>
          </w:p>
        </w:tc>
        <w:tc>
          <w:tcPr>
            <w:tcW w:w="1041" w:type="dxa"/>
            <w:tcBorders>
              <w:top w:val="single" w:sz="4" w:space="0" w:color="auto"/>
              <w:left w:val="nil"/>
              <w:bottom w:val="single" w:sz="4" w:space="0" w:color="auto"/>
              <w:right w:val="nil"/>
            </w:tcBorders>
            <w:shd w:val="clear" w:color="000000" w:fill="FFFFFF"/>
            <w:vAlign w:val="bottom"/>
            <w:hideMark/>
          </w:tcPr>
          <w:p w14:paraId="3D2724F0" w14:textId="77777777" w:rsidR="00BA0814" w:rsidRPr="00667CD1" w:rsidRDefault="00BA0814" w:rsidP="00EA33D1">
            <w:pPr>
              <w:jc w:val="center"/>
              <w:rPr>
                <w:rFonts w:ascii="Arial" w:hAnsi="Arial" w:cs="Arial"/>
                <w:b/>
                <w:color w:val="008EBA"/>
                <w:sz w:val="12"/>
                <w:szCs w:val="12"/>
                <w:lang w:eastAsia="en-AU"/>
              </w:rPr>
            </w:pPr>
            <w:r w:rsidRPr="00667CD1">
              <w:rPr>
                <w:rFonts w:ascii="Arial" w:hAnsi="Arial" w:cs="Arial"/>
                <w:b/>
                <w:color w:val="008EBA"/>
                <w:sz w:val="12"/>
                <w:szCs w:val="12"/>
                <w:lang w:eastAsia="en-AU"/>
              </w:rPr>
              <w:t>4.2</w:t>
            </w:r>
          </w:p>
        </w:tc>
      </w:tr>
    </w:tbl>
    <w:p w14:paraId="7A9B3A21" w14:textId="77777777" w:rsidR="001E5D2B" w:rsidRPr="00667CD1" w:rsidRDefault="001E5D2B" w:rsidP="001E5D2B">
      <w:pPr>
        <w:pStyle w:val="Heading3"/>
        <w:numPr>
          <w:ilvl w:val="0"/>
          <w:numId w:val="0"/>
        </w:numPr>
        <w:ind w:left="720" w:hanging="720"/>
        <w:rPr>
          <w:rFonts w:eastAsiaTheme="minorHAnsi"/>
          <w:sz w:val="22"/>
          <w:szCs w:val="28"/>
        </w:rPr>
      </w:pPr>
      <w:r w:rsidRPr="00667CD1">
        <w:rPr>
          <w:rFonts w:eastAsiaTheme="minorHAnsi"/>
          <w:sz w:val="22"/>
          <w:szCs w:val="28"/>
        </w:rPr>
        <w:t xml:space="preserve">Royalties </w:t>
      </w:r>
    </w:p>
    <w:p w14:paraId="47D3B6FA" w14:textId="19EC4E56" w:rsidR="007434C6" w:rsidRPr="00667CD1" w:rsidRDefault="00F40D78" w:rsidP="00DC5EFC">
      <w:pPr>
        <w:pStyle w:val="BodyText"/>
        <w:rPr>
          <w:sz w:val="20"/>
          <w:szCs w:val="16"/>
        </w:rPr>
      </w:pPr>
      <w:r w:rsidRPr="00667CD1">
        <w:rPr>
          <w:sz w:val="20"/>
          <w:szCs w:val="16"/>
        </w:rPr>
        <w:t xml:space="preserve">Mining royalties are forecast to </w:t>
      </w:r>
      <w:r w:rsidR="00913C12" w:rsidRPr="00667CD1">
        <w:rPr>
          <w:sz w:val="20"/>
          <w:szCs w:val="16"/>
        </w:rPr>
        <w:t>fall to</w:t>
      </w:r>
      <w:r w:rsidRPr="00667CD1">
        <w:rPr>
          <w:sz w:val="20"/>
          <w:szCs w:val="16"/>
        </w:rPr>
        <w:t xml:space="preserve"> $1.4 billion in 2020-21</w:t>
      </w:r>
      <w:r w:rsidR="00CE08CF" w:rsidRPr="00667CD1">
        <w:rPr>
          <w:sz w:val="20"/>
          <w:szCs w:val="16"/>
        </w:rPr>
        <w:t>, with a further</w:t>
      </w:r>
      <w:r w:rsidR="00E81E09" w:rsidRPr="00667CD1">
        <w:rPr>
          <w:sz w:val="20"/>
          <w:szCs w:val="16"/>
        </w:rPr>
        <w:t xml:space="preserve"> $4.</w:t>
      </w:r>
      <w:r w:rsidR="00014622" w:rsidRPr="00667CD1">
        <w:rPr>
          <w:sz w:val="20"/>
          <w:szCs w:val="16"/>
        </w:rPr>
        <w:t xml:space="preserve">6 </w:t>
      </w:r>
      <w:r w:rsidR="00E81E09" w:rsidRPr="00667CD1">
        <w:rPr>
          <w:sz w:val="20"/>
          <w:szCs w:val="16"/>
        </w:rPr>
        <w:t xml:space="preserve">billion </w:t>
      </w:r>
      <w:r w:rsidR="0064057B" w:rsidRPr="00667CD1">
        <w:rPr>
          <w:sz w:val="20"/>
          <w:szCs w:val="16"/>
        </w:rPr>
        <w:t xml:space="preserve">revenue </w:t>
      </w:r>
      <w:r w:rsidR="00E81E09" w:rsidRPr="00667CD1">
        <w:rPr>
          <w:sz w:val="20"/>
          <w:szCs w:val="16"/>
        </w:rPr>
        <w:t>over the three year</w:t>
      </w:r>
      <w:r w:rsidR="00037AA7" w:rsidRPr="00667CD1">
        <w:rPr>
          <w:sz w:val="20"/>
          <w:szCs w:val="16"/>
        </w:rPr>
        <w:t>s</w:t>
      </w:r>
      <w:r w:rsidR="00E81E09" w:rsidRPr="00667CD1">
        <w:rPr>
          <w:sz w:val="20"/>
          <w:szCs w:val="16"/>
        </w:rPr>
        <w:t xml:space="preserve"> to 2023-24. </w:t>
      </w:r>
      <w:r w:rsidR="00885C23" w:rsidRPr="00667CD1">
        <w:rPr>
          <w:sz w:val="20"/>
          <w:szCs w:val="16"/>
        </w:rPr>
        <w:t xml:space="preserve">This </w:t>
      </w:r>
      <w:r w:rsidR="00A77253" w:rsidRPr="00667CD1">
        <w:rPr>
          <w:sz w:val="20"/>
          <w:szCs w:val="16"/>
        </w:rPr>
        <w:t>reflects a</w:t>
      </w:r>
      <w:r w:rsidR="00885C23" w:rsidRPr="00667CD1">
        <w:rPr>
          <w:sz w:val="20"/>
          <w:szCs w:val="16"/>
        </w:rPr>
        <w:t xml:space="preserve"> $1.</w:t>
      </w:r>
      <w:r w:rsidR="005D3EF2" w:rsidRPr="00667CD1">
        <w:rPr>
          <w:sz w:val="20"/>
          <w:szCs w:val="16"/>
        </w:rPr>
        <w:t>4</w:t>
      </w:r>
      <w:r w:rsidR="00885C23" w:rsidRPr="00667CD1">
        <w:rPr>
          <w:sz w:val="20"/>
          <w:szCs w:val="16"/>
        </w:rPr>
        <w:t xml:space="preserve"> billion </w:t>
      </w:r>
      <w:r w:rsidR="00A77253" w:rsidRPr="00667CD1">
        <w:rPr>
          <w:sz w:val="20"/>
          <w:szCs w:val="16"/>
        </w:rPr>
        <w:t xml:space="preserve">downgrade </w:t>
      </w:r>
      <w:r w:rsidR="004338FB" w:rsidRPr="00667CD1">
        <w:rPr>
          <w:sz w:val="20"/>
          <w:szCs w:val="16"/>
        </w:rPr>
        <w:t xml:space="preserve">over the four years to 2023-24 </w:t>
      </w:r>
      <w:r w:rsidR="00A77253" w:rsidRPr="00667CD1">
        <w:rPr>
          <w:sz w:val="20"/>
          <w:szCs w:val="16"/>
        </w:rPr>
        <w:t xml:space="preserve">in comparison to </w:t>
      </w:r>
      <w:r w:rsidR="004338FB" w:rsidRPr="00667CD1">
        <w:rPr>
          <w:sz w:val="20"/>
          <w:szCs w:val="16"/>
        </w:rPr>
        <w:t xml:space="preserve">expectations at </w:t>
      </w:r>
      <w:r w:rsidR="00885C23" w:rsidRPr="00667CD1">
        <w:rPr>
          <w:sz w:val="20"/>
          <w:szCs w:val="16"/>
        </w:rPr>
        <w:t xml:space="preserve">the 2019-20 </w:t>
      </w:r>
      <w:r w:rsidR="009F7B3E" w:rsidRPr="00667CD1">
        <w:rPr>
          <w:sz w:val="20"/>
          <w:szCs w:val="16"/>
        </w:rPr>
        <w:t>Half-Yearly</w:t>
      </w:r>
      <w:r w:rsidR="00885C23" w:rsidRPr="00667CD1">
        <w:rPr>
          <w:sz w:val="20"/>
          <w:szCs w:val="16"/>
        </w:rPr>
        <w:t xml:space="preserve"> Review.</w:t>
      </w:r>
    </w:p>
    <w:p w14:paraId="728A61DE" w14:textId="5D197115" w:rsidR="00F40D78" w:rsidRPr="00667CD1" w:rsidRDefault="00101956" w:rsidP="00DC5EFC">
      <w:pPr>
        <w:pStyle w:val="BodyText"/>
        <w:rPr>
          <w:sz w:val="20"/>
          <w:szCs w:val="16"/>
        </w:rPr>
      </w:pPr>
      <w:r w:rsidRPr="00667CD1">
        <w:rPr>
          <w:sz w:val="20"/>
          <w:szCs w:val="16"/>
        </w:rPr>
        <w:t xml:space="preserve">The </w:t>
      </w:r>
      <w:r w:rsidR="00A77253" w:rsidRPr="00667CD1">
        <w:rPr>
          <w:sz w:val="20"/>
          <w:szCs w:val="16"/>
        </w:rPr>
        <w:t>much weaker outlook for coal royalties</w:t>
      </w:r>
      <w:r w:rsidRPr="00667CD1">
        <w:rPr>
          <w:sz w:val="20"/>
          <w:szCs w:val="16"/>
        </w:rPr>
        <w:t xml:space="preserve"> </w:t>
      </w:r>
      <w:r w:rsidR="00A77253" w:rsidRPr="00667CD1">
        <w:rPr>
          <w:sz w:val="20"/>
          <w:szCs w:val="16"/>
        </w:rPr>
        <w:t>is due to</w:t>
      </w:r>
      <w:r w:rsidRPr="00667CD1">
        <w:rPr>
          <w:sz w:val="20"/>
          <w:szCs w:val="16"/>
        </w:rPr>
        <w:t xml:space="preserve"> </w:t>
      </w:r>
      <w:r w:rsidR="008B4315" w:rsidRPr="00667CD1">
        <w:rPr>
          <w:sz w:val="20"/>
          <w:szCs w:val="16"/>
        </w:rPr>
        <w:t>a</w:t>
      </w:r>
      <w:r w:rsidRPr="00667CD1">
        <w:rPr>
          <w:sz w:val="20"/>
          <w:szCs w:val="16"/>
        </w:rPr>
        <w:t xml:space="preserve"> combination of lower than previously </w:t>
      </w:r>
      <w:r w:rsidR="00A77253" w:rsidRPr="00667CD1">
        <w:rPr>
          <w:sz w:val="20"/>
          <w:szCs w:val="16"/>
        </w:rPr>
        <w:t>forecast</w:t>
      </w:r>
      <w:r w:rsidRPr="00667CD1">
        <w:rPr>
          <w:sz w:val="20"/>
          <w:szCs w:val="16"/>
        </w:rPr>
        <w:t xml:space="preserve"> thermal coal prices </w:t>
      </w:r>
      <w:r w:rsidR="00CE08CF" w:rsidRPr="00667CD1">
        <w:rPr>
          <w:sz w:val="20"/>
          <w:szCs w:val="16"/>
        </w:rPr>
        <w:t>and</w:t>
      </w:r>
      <w:r w:rsidRPr="00667CD1">
        <w:rPr>
          <w:sz w:val="20"/>
          <w:szCs w:val="16"/>
        </w:rPr>
        <w:t xml:space="preserve"> a higher than </w:t>
      </w:r>
      <w:r w:rsidR="00CE08CF" w:rsidRPr="00667CD1">
        <w:rPr>
          <w:sz w:val="20"/>
          <w:szCs w:val="16"/>
        </w:rPr>
        <w:t xml:space="preserve">anticipated </w:t>
      </w:r>
      <w:r w:rsidRPr="00667CD1">
        <w:rPr>
          <w:sz w:val="20"/>
          <w:szCs w:val="16"/>
        </w:rPr>
        <w:t>Australian dollar.</w:t>
      </w:r>
      <w:r w:rsidR="00A77253" w:rsidRPr="00667CD1">
        <w:rPr>
          <w:sz w:val="20"/>
          <w:szCs w:val="16"/>
        </w:rPr>
        <w:t xml:space="preserve"> Improvements to the expectations for</w:t>
      </w:r>
      <w:r w:rsidRPr="00667CD1">
        <w:rPr>
          <w:sz w:val="20"/>
          <w:szCs w:val="16"/>
        </w:rPr>
        <w:t xml:space="preserve"> gold and copper prices </w:t>
      </w:r>
      <w:r w:rsidR="00A77253" w:rsidRPr="00667CD1">
        <w:rPr>
          <w:sz w:val="20"/>
          <w:szCs w:val="16"/>
        </w:rPr>
        <w:t xml:space="preserve">and production volumes </w:t>
      </w:r>
      <w:r w:rsidRPr="00667CD1">
        <w:rPr>
          <w:sz w:val="20"/>
          <w:szCs w:val="16"/>
        </w:rPr>
        <w:t>provide a minor offset.</w:t>
      </w:r>
    </w:p>
    <w:p w14:paraId="247742CE" w14:textId="49BB104A" w:rsidR="0034140C" w:rsidRPr="00667CD1" w:rsidRDefault="00AB7462" w:rsidP="00DC5EFC">
      <w:pPr>
        <w:pStyle w:val="BodyText"/>
        <w:rPr>
          <w:sz w:val="20"/>
          <w:szCs w:val="16"/>
        </w:rPr>
      </w:pPr>
      <w:r w:rsidRPr="00667CD1">
        <w:rPr>
          <w:sz w:val="20"/>
          <w:szCs w:val="16"/>
        </w:rPr>
        <w:t xml:space="preserve">Global coal markets are facing significant </w:t>
      </w:r>
      <w:r w:rsidR="0034140C" w:rsidRPr="00667CD1">
        <w:rPr>
          <w:sz w:val="20"/>
          <w:szCs w:val="16"/>
        </w:rPr>
        <w:t>long</w:t>
      </w:r>
      <w:r w:rsidRPr="00667CD1">
        <w:rPr>
          <w:sz w:val="20"/>
          <w:szCs w:val="16"/>
        </w:rPr>
        <w:t>-</w:t>
      </w:r>
      <w:r w:rsidR="0034140C" w:rsidRPr="00667CD1">
        <w:rPr>
          <w:sz w:val="20"/>
          <w:szCs w:val="16"/>
        </w:rPr>
        <w:t>term structural challenges</w:t>
      </w:r>
      <w:r w:rsidRPr="00667CD1">
        <w:rPr>
          <w:sz w:val="20"/>
          <w:szCs w:val="16"/>
        </w:rPr>
        <w:t xml:space="preserve">. Demand for thermal coal as an energy source has </w:t>
      </w:r>
      <w:r w:rsidR="00CE4435" w:rsidRPr="00667CD1">
        <w:rPr>
          <w:sz w:val="20"/>
          <w:szCs w:val="16"/>
        </w:rPr>
        <w:t>been</w:t>
      </w:r>
      <w:r w:rsidR="00CE08CF" w:rsidRPr="00667CD1">
        <w:rPr>
          <w:sz w:val="20"/>
          <w:szCs w:val="16"/>
        </w:rPr>
        <w:t xml:space="preserve"> weak</w:t>
      </w:r>
      <w:r w:rsidR="00924273" w:rsidRPr="00667CD1">
        <w:rPr>
          <w:sz w:val="20"/>
          <w:szCs w:val="16"/>
        </w:rPr>
        <w:t>en</w:t>
      </w:r>
      <w:r w:rsidR="00CE08CF" w:rsidRPr="00667CD1">
        <w:rPr>
          <w:sz w:val="20"/>
          <w:szCs w:val="16"/>
        </w:rPr>
        <w:t>ing</w:t>
      </w:r>
      <w:r w:rsidR="00EF5297" w:rsidRPr="00667CD1">
        <w:rPr>
          <w:sz w:val="20"/>
          <w:szCs w:val="16"/>
        </w:rPr>
        <w:t>, driven by</w:t>
      </w:r>
      <w:r w:rsidR="000B27F3" w:rsidRPr="00667CD1">
        <w:rPr>
          <w:sz w:val="20"/>
          <w:szCs w:val="16"/>
        </w:rPr>
        <w:t xml:space="preserve"> </w:t>
      </w:r>
      <w:r w:rsidRPr="00667CD1">
        <w:rPr>
          <w:sz w:val="20"/>
          <w:szCs w:val="16"/>
        </w:rPr>
        <w:t>competition from other sources</w:t>
      </w:r>
      <w:r w:rsidR="00CE08CF" w:rsidRPr="00667CD1">
        <w:rPr>
          <w:sz w:val="20"/>
          <w:szCs w:val="16"/>
        </w:rPr>
        <w:t>,</w:t>
      </w:r>
      <w:r w:rsidRPr="00667CD1">
        <w:rPr>
          <w:sz w:val="20"/>
          <w:szCs w:val="16"/>
        </w:rPr>
        <w:t xml:space="preserve"> the </w:t>
      </w:r>
      <w:r w:rsidR="00F11688" w:rsidRPr="00667CD1">
        <w:rPr>
          <w:sz w:val="20"/>
          <w:szCs w:val="16"/>
        </w:rPr>
        <w:t xml:space="preserve">widespread </w:t>
      </w:r>
      <w:r w:rsidRPr="00667CD1">
        <w:rPr>
          <w:sz w:val="20"/>
          <w:szCs w:val="16"/>
        </w:rPr>
        <w:t>substitution</w:t>
      </w:r>
      <w:r w:rsidR="00E81E09" w:rsidRPr="00667CD1">
        <w:rPr>
          <w:sz w:val="20"/>
          <w:szCs w:val="16"/>
        </w:rPr>
        <w:t xml:space="preserve"> away from coal</w:t>
      </w:r>
      <w:r w:rsidR="00CE08CF" w:rsidRPr="00667CD1">
        <w:rPr>
          <w:sz w:val="20"/>
          <w:szCs w:val="16"/>
        </w:rPr>
        <w:t>-</w:t>
      </w:r>
      <w:r w:rsidR="00E81E09" w:rsidRPr="00667CD1">
        <w:rPr>
          <w:sz w:val="20"/>
          <w:szCs w:val="16"/>
        </w:rPr>
        <w:t xml:space="preserve">fired electricity generation into </w:t>
      </w:r>
      <w:r w:rsidR="000B27F3" w:rsidRPr="00667CD1">
        <w:rPr>
          <w:sz w:val="20"/>
          <w:szCs w:val="16"/>
        </w:rPr>
        <w:t>technologies</w:t>
      </w:r>
      <w:r w:rsidR="00E81E09" w:rsidRPr="00667CD1">
        <w:rPr>
          <w:sz w:val="20"/>
          <w:szCs w:val="16"/>
        </w:rPr>
        <w:t xml:space="preserve"> </w:t>
      </w:r>
      <w:r w:rsidR="00EF5297" w:rsidRPr="00667CD1">
        <w:rPr>
          <w:sz w:val="20"/>
          <w:szCs w:val="16"/>
        </w:rPr>
        <w:t>fuelled</w:t>
      </w:r>
      <w:r w:rsidR="000B27F3" w:rsidRPr="00667CD1">
        <w:rPr>
          <w:sz w:val="20"/>
          <w:szCs w:val="16"/>
        </w:rPr>
        <w:t xml:space="preserve"> by i</w:t>
      </w:r>
      <w:r w:rsidR="00E81E09" w:rsidRPr="00667CD1">
        <w:rPr>
          <w:sz w:val="20"/>
          <w:szCs w:val="16"/>
        </w:rPr>
        <w:t>ncreasingly c</w:t>
      </w:r>
      <w:r w:rsidR="00CE08CF" w:rsidRPr="00667CD1">
        <w:rPr>
          <w:sz w:val="20"/>
          <w:szCs w:val="16"/>
        </w:rPr>
        <w:t>ompetitive</w:t>
      </w:r>
      <w:r w:rsidR="00E81E09" w:rsidRPr="00667CD1">
        <w:rPr>
          <w:sz w:val="20"/>
          <w:szCs w:val="16"/>
        </w:rPr>
        <w:t xml:space="preserve"> </w:t>
      </w:r>
      <w:r w:rsidR="00E135E9" w:rsidRPr="00667CD1">
        <w:rPr>
          <w:sz w:val="20"/>
          <w:szCs w:val="16"/>
        </w:rPr>
        <w:t>l</w:t>
      </w:r>
      <w:r w:rsidR="00440AB8" w:rsidRPr="00667CD1">
        <w:rPr>
          <w:sz w:val="20"/>
          <w:szCs w:val="16"/>
        </w:rPr>
        <w:t xml:space="preserve">iquid </w:t>
      </w:r>
      <w:r w:rsidR="00E135E9" w:rsidRPr="00667CD1">
        <w:rPr>
          <w:sz w:val="20"/>
          <w:szCs w:val="16"/>
        </w:rPr>
        <w:t>n</w:t>
      </w:r>
      <w:r w:rsidR="00440AB8" w:rsidRPr="00667CD1">
        <w:rPr>
          <w:sz w:val="20"/>
          <w:szCs w:val="16"/>
        </w:rPr>
        <w:t xml:space="preserve">atural </w:t>
      </w:r>
      <w:r w:rsidR="00E135E9" w:rsidRPr="00667CD1">
        <w:rPr>
          <w:sz w:val="20"/>
          <w:szCs w:val="16"/>
        </w:rPr>
        <w:t>g</w:t>
      </w:r>
      <w:r w:rsidR="00440AB8" w:rsidRPr="00667CD1">
        <w:rPr>
          <w:sz w:val="20"/>
          <w:szCs w:val="16"/>
        </w:rPr>
        <w:t>as</w:t>
      </w:r>
      <w:r w:rsidR="00E81E09" w:rsidRPr="00667CD1">
        <w:rPr>
          <w:sz w:val="20"/>
          <w:szCs w:val="16"/>
        </w:rPr>
        <w:t xml:space="preserve"> and renewable energy sources.</w:t>
      </w:r>
    </w:p>
    <w:sectPr w:rsidR="0034140C" w:rsidRPr="00667CD1" w:rsidSect="00B0722F">
      <w:headerReference w:type="even" r:id="rId18"/>
      <w:headerReference w:type="default" r:id="rId19"/>
      <w:footerReference w:type="even" r:id="rId20"/>
      <w:footerReference w:type="default" r:id="rId21"/>
      <w:footerReference w:type="first" r:id="rId22"/>
      <w:pgSz w:w="11907" w:h="16840" w:code="9"/>
      <w:pgMar w:top="1134" w:right="1134" w:bottom="510" w:left="1134" w:header="454" w:footer="454"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8228CC" w14:textId="77777777" w:rsidR="005C689A" w:rsidRDefault="005C689A" w:rsidP="007563DF">
      <w:r>
        <w:separator/>
      </w:r>
    </w:p>
  </w:endnote>
  <w:endnote w:type="continuationSeparator" w:id="0">
    <w:p w14:paraId="6DE3D8E0" w14:textId="77777777" w:rsidR="005C689A" w:rsidRDefault="005C689A" w:rsidP="007563DF">
      <w:r>
        <w:continuationSeparator/>
      </w:r>
    </w:p>
  </w:endnote>
  <w:endnote w:type="continuationNotice" w:id="1">
    <w:p w14:paraId="09B13E56" w14:textId="77777777" w:rsidR="005C689A" w:rsidRDefault="005C68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auto"/>
    <w:pitch w:val="default"/>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6329C9" w14:textId="0F692D49" w:rsidR="00D454BE" w:rsidRDefault="00D454BE" w:rsidP="008A6479">
    <w:pPr>
      <w:pBdr>
        <w:top w:val="single" w:sz="4" w:space="4" w:color="auto"/>
      </w:pBdr>
      <w:tabs>
        <w:tab w:val="right" w:pos="9639"/>
      </w:tabs>
      <w:rPr>
        <w:rFonts w:ascii="Arial" w:hAnsi="Arial" w:cs="Arial"/>
        <w:sz w:val="18"/>
        <w:szCs w:val="18"/>
      </w:rPr>
    </w:pPr>
    <w:r>
      <w:rPr>
        <w:rFonts w:ascii="Arial" w:hAnsi="Arial" w:cs="Arial"/>
        <w:sz w:val="18"/>
        <w:szCs w:val="18"/>
      </w:rPr>
      <w:t>4</w:t>
    </w:r>
    <w:r w:rsidRPr="008A6479">
      <w:rPr>
        <w:rFonts w:ascii="Arial" w:hAnsi="Arial" w:cs="Arial"/>
        <w:sz w:val="18"/>
        <w:szCs w:val="18"/>
      </w:rPr>
      <w:t xml:space="preserve"> - </w:t>
    </w:r>
    <w:r w:rsidRPr="008A6479">
      <w:rPr>
        <w:rFonts w:ascii="Arial" w:hAnsi="Arial" w:cs="Arial"/>
        <w:sz w:val="18"/>
        <w:szCs w:val="18"/>
      </w:rPr>
      <w:fldChar w:fldCharType="begin"/>
    </w:r>
    <w:r w:rsidRPr="008A6479">
      <w:rPr>
        <w:rFonts w:ascii="Arial" w:hAnsi="Arial" w:cs="Arial"/>
        <w:sz w:val="18"/>
        <w:szCs w:val="18"/>
      </w:rPr>
      <w:instrText xml:space="preserve"> PAGE   \* MERGEFORMAT </w:instrText>
    </w:r>
    <w:r w:rsidRPr="008A6479">
      <w:rPr>
        <w:rFonts w:ascii="Arial" w:hAnsi="Arial" w:cs="Arial"/>
        <w:sz w:val="18"/>
        <w:szCs w:val="18"/>
      </w:rPr>
      <w:fldChar w:fldCharType="separate"/>
    </w:r>
    <w:r>
      <w:rPr>
        <w:rFonts w:ascii="Arial" w:hAnsi="Arial" w:cs="Arial"/>
        <w:noProof/>
        <w:sz w:val="18"/>
        <w:szCs w:val="18"/>
      </w:rPr>
      <w:t>2</w:t>
    </w:r>
    <w:r w:rsidRPr="008A6479">
      <w:rPr>
        <w:rFonts w:ascii="Arial" w:hAnsi="Arial" w:cs="Arial"/>
        <w:noProof/>
        <w:sz w:val="18"/>
        <w:szCs w:val="18"/>
      </w:rPr>
      <w:fldChar w:fldCharType="end"/>
    </w:r>
    <w:r>
      <w:rPr>
        <w:rFonts w:ascii="Arial" w:hAnsi="Arial" w:cs="Arial"/>
        <w:noProof/>
        <w:sz w:val="18"/>
        <w:szCs w:val="18"/>
      </w:rPr>
      <w:tab/>
    </w:r>
    <w:r>
      <w:rPr>
        <w:rFonts w:ascii="Arial" w:hAnsi="Arial" w:cs="Arial"/>
        <w:sz w:val="18"/>
        <w:szCs w:val="18"/>
      </w:rPr>
      <w:t>Budget Statement 2020-21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4B13B2" w14:textId="1E822F12" w:rsidR="00D454BE" w:rsidRDefault="00D454BE" w:rsidP="008A6479">
    <w:pPr>
      <w:pBdr>
        <w:top w:val="single" w:sz="4" w:space="4" w:color="auto"/>
      </w:pBdr>
      <w:tabs>
        <w:tab w:val="right" w:pos="9639"/>
      </w:tabs>
      <w:rPr>
        <w:rFonts w:ascii="Arial" w:hAnsi="Arial" w:cs="Arial"/>
        <w:noProof/>
        <w:sz w:val="18"/>
        <w:szCs w:val="18"/>
      </w:rPr>
    </w:pPr>
    <w:r w:rsidRPr="008A6479">
      <w:rPr>
        <w:rFonts w:ascii="Arial" w:hAnsi="Arial" w:cs="Arial"/>
        <w:sz w:val="18"/>
        <w:szCs w:val="18"/>
      </w:rPr>
      <w:t xml:space="preserve">Budget Statement </w:t>
    </w:r>
    <w:r>
      <w:rPr>
        <w:rFonts w:ascii="Arial" w:hAnsi="Arial" w:cs="Arial"/>
        <w:sz w:val="18"/>
        <w:szCs w:val="18"/>
      </w:rPr>
      <w:t>2020-21</w:t>
    </w:r>
    <w:r>
      <w:rPr>
        <w:rFonts w:ascii="Arial" w:hAnsi="Arial" w:cs="Arial"/>
        <w:sz w:val="18"/>
        <w:szCs w:val="18"/>
      </w:rPr>
      <w:tab/>
      <w:t>4</w:t>
    </w:r>
    <w:r w:rsidRPr="008A6479">
      <w:rPr>
        <w:rFonts w:ascii="Arial" w:hAnsi="Arial" w:cs="Arial"/>
        <w:sz w:val="18"/>
        <w:szCs w:val="18"/>
      </w:rPr>
      <w:t xml:space="preserve"> - </w:t>
    </w:r>
    <w:r w:rsidRPr="008A6479">
      <w:rPr>
        <w:rFonts w:ascii="Arial" w:hAnsi="Arial" w:cs="Arial"/>
        <w:sz w:val="18"/>
        <w:szCs w:val="18"/>
      </w:rPr>
      <w:fldChar w:fldCharType="begin"/>
    </w:r>
    <w:r w:rsidRPr="008A6479">
      <w:rPr>
        <w:rFonts w:ascii="Arial" w:hAnsi="Arial" w:cs="Arial"/>
        <w:sz w:val="18"/>
        <w:szCs w:val="18"/>
      </w:rPr>
      <w:instrText xml:space="preserve"> PAGE   \* MERGEFORMAT </w:instrText>
    </w:r>
    <w:r w:rsidRPr="008A6479">
      <w:rPr>
        <w:rFonts w:ascii="Arial" w:hAnsi="Arial" w:cs="Arial"/>
        <w:sz w:val="18"/>
        <w:szCs w:val="18"/>
      </w:rPr>
      <w:fldChar w:fldCharType="separate"/>
    </w:r>
    <w:r>
      <w:rPr>
        <w:rFonts w:ascii="Arial" w:hAnsi="Arial" w:cs="Arial"/>
        <w:noProof/>
        <w:sz w:val="18"/>
        <w:szCs w:val="18"/>
      </w:rPr>
      <w:t>17</w:t>
    </w:r>
    <w:r w:rsidRPr="008A6479">
      <w:rPr>
        <w:rFonts w:ascii="Arial" w:hAnsi="Arial" w:cs="Arial"/>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A60E41" w14:textId="23481FB8" w:rsidR="00D454BE" w:rsidRDefault="00D454BE" w:rsidP="00F44DEA">
    <w:pPr>
      <w:pBdr>
        <w:top w:val="single" w:sz="4" w:space="4" w:color="auto"/>
      </w:pBdr>
      <w:tabs>
        <w:tab w:val="right" w:pos="9639"/>
      </w:tabs>
      <w:rPr>
        <w:rFonts w:ascii="Arial" w:hAnsi="Arial" w:cs="Arial"/>
        <w:noProof/>
        <w:sz w:val="18"/>
        <w:szCs w:val="18"/>
      </w:rPr>
    </w:pPr>
    <w:r w:rsidRPr="00383217">
      <w:rPr>
        <w:rFonts w:ascii="Arial" w:hAnsi="Arial" w:cs="Arial"/>
        <w:sz w:val="18"/>
        <w:szCs w:val="18"/>
      </w:rPr>
      <w:t xml:space="preserve">Budget Statement </w:t>
    </w:r>
    <w:r>
      <w:rPr>
        <w:rFonts w:ascii="Arial" w:hAnsi="Arial" w:cs="Arial"/>
        <w:sz w:val="18"/>
        <w:szCs w:val="18"/>
      </w:rPr>
      <w:t>2020-21</w:t>
    </w:r>
    <w:r w:rsidRPr="00383217">
      <w:rPr>
        <w:rFonts w:ascii="Arial" w:hAnsi="Arial" w:cs="Arial"/>
        <w:sz w:val="18"/>
        <w:szCs w:val="18"/>
      </w:rPr>
      <w:tab/>
    </w:r>
    <w:r>
      <w:rPr>
        <w:rFonts w:ascii="Arial" w:hAnsi="Arial" w:cs="Arial"/>
        <w:sz w:val="18"/>
        <w:szCs w:val="18"/>
      </w:rPr>
      <w:t>4</w:t>
    </w:r>
    <w:r w:rsidRPr="00383217">
      <w:rPr>
        <w:rFonts w:ascii="Arial" w:hAnsi="Arial" w:cs="Arial"/>
        <w:sz w:val="18"/>
        <w:szCs w:val="18"/>
      </w:rPr>
      <w:t xml:space="preserve"> - </w:t>
    </w:r>
    <w:r w:rsidRPr="00383217">
      <w:rPr>
        <w:rFonts w:ascii="Arial" w:hAnsi="Arial" w:cs="Arial"/>
        <w:sz w:val="18"/>
        <w:szCs w:val="18"/>
      </w:rPr>
      <w:fldChar w:fldCharType="begin"/>
    </w:r>
    <w:r w:rsidRPr="00383217">
      <w:rPr>
        <w:rFonts w:ascii="Arial" w:hAnsi="Arial" w:cs="Arial"/>
        <w:sz w:val="18"/>
        <w:szCs w:val="18"/>
      </w:rPr>
      <w:instrText xml:space="preserve"> PAGE   \* MERGEFORMAT </w:instrText>
    </w:r>
    <w:r w:rsidRPr="00383217">
      <w:rPr>
        <w:rFonts w:ascii="Arial" w:hAnsi="Arial" w:cs="Arial"/>
        <w:sz w:val="18"/>
        <w:szCs w:val="18"/>
      </w:rPr>
      <w:fldChar w:fldCharType="separate"/>
    </w:r>
    <w:r>
      <w:rPr>
        <w:rFonts w:ascii="Arial" w:hAnsi="Arial" w:cs="Arial"/>
        <w:noProof/>
        <w:sz w:val="18"/>
        <w:szCs w:val="18"/>
      </w:rPr>
      <w:t>1</w:t>
    </w:r>
    <w:r w:rsidRPr="00383217">
      <w:rPr>
        <w:rFonts w:ascii="Arial" w:hAnsi="Arial" w:cs="Arial"/>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A4B185" w14:textId="77777777" w:rsidR="005C689A" w:rsidRDefault="005C689A" w:rsidP="007563DF">
      <w:r>
        <w:separator/>
      </w:r>
    </w:p>
  </w:footnote>
  <w:footnote w:type="continuationSeparator" w:id="0">
    <w:p w14:paraId="7374360F" w14:textId="77777777" w:rsidR="005C689A" w:rsidRDefault="005C689A" w:rsidP="007563DF">
      <w:r>
        <w:continuationSeparator/>
      </w:r>
    </w:p>
  </w:footnote>
  <w:footnote w:type="continuationNotice" w:id="1">
    <w:p w14:paraId="6CE17B89" w14:textId="77777777" w:rsidR="005C689A" w:rsidRDefault="005C68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A761AE" w14:textId="77777777" w:rsidR="00D454BE" w:rsidRPr="00665F94" w:rsidRDefault="00D454BE" w:rsidP="006D48F5">
    <w:pPr>
      <w:pBdr>
        <w:bottom w:val="single" w:sz="4" w:space="4" w:color="auto"/>
      </w:pBdr>
      <w:rPr>
        <w:rFonts w:ascii="Arial" w:eastAsia="Calibri" w:hAnsi="Arial" w:cs="Arial"/>
        <w:sz w:val="18"/>
        <w:szCs w:val="18"/>
      </w:rPr>
    </w:pPr>
    <w:r w:rsidRPr="00665F94">
      <w:rPr>
        <w:rFonts w:ascii="Arial" w:eastAsia="Calibri" w:hAnsi="Arial" w:cs="Arial"/>
        <w:sz w:val="18"/>
        <w:szCs w:val="18"/>
      </w:rPr>
      <w:t>Revenue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2BFB13" w14:textId="77777777" w:rsidR="00D454BE" w:rsidRPr="00665F94" w:rsidRDefault="00D454BE" w:rsidP="008A6479">
    <w:pPr>
      <w:pBdr>
        <w:bottom w:val="single" w:sz="4" w:space="4" w:color="auto"/>
      </w:pBdr>
      <w:jc w:val="right"/>
      <w:rPr>
        <w:rFonts w:ascii="Arial" w:eastAsia="Calibri" w:hAnsi="Arial" w:cs="Arial"/>
        <w:sz w:val="18"/>
        <w:szCs w:val="18"/>
      </w:rPr>
    </w:pPr>
    <w:r w:rsidRPr="00665F94">
      <w:rPr>
        <w:rFonts w:ascii="Arial" w:eastAsia="Calibri" w:hAnsi="Arial" w:cs="Arial"/>
        <w:sz w:val="18"/>
        <w:szCs w:val="18"/>
      </w:rPr>
      <w:t>Revenue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DE5882"/>
    <w:multiLevelType w:val="hybridMultilevel"/>
    <w:tmpl w:val="022A7A84"/>
    <w:lvl w:ilvl="0" w:tplc="21EA7204">
      <w:start w:val="1"/>
      <w:numFmt w:val="bullet"/>
      <w:pStyle w:val="Bullet3"/>
      <w:lvlText w:val=""/>
      <w:lvlJc w:val="left"/>
      <w:pPr>
        <w:tabs>
          <w:tab w:val="num" w:pos="6096"/>
        </w:tabs>
        <w:ind w:left="6096" w:hanging="425"/>
      </w:pPr>
      <w:rPr>
        <w:rFonts w:ascii="Symbol" w:hAnsi="Symbol" w:hint="default"/>
        <w:sz w:val="22"/>
      </w:rPr>
    </w:lvl>
    <w:lvl w:ilvl="1" w:tplc="8B8AA224">
      <w:numFmt w:val="decimal"/>
      <w:lvlText w:val=""/>
      <w:lvlJc w:val="left"/>
    </w:lvl>
    <w:lvl w:ilvl="2" w:tplc="D35E689A">
      <w:numFmt w:val="decimal"/>
      <w:lvlText w:val=""/>
      <w:lvlJc w:val="left"/>
    </w:lvl>
    <w:lvl w:ilvl="3" w:tplc="4B76557E">
      <w:numFmt w:val="decimal"/>
      <w:lvlText w:val=""/>
      <w:lvlJc w:val="left"/>
    </w:lvl>
    <w:lvl w:ilvl="4" w:tplc="5B646C92">
      <w:numFmt w:val="decimal"/>
      <w:lvlText w:val=""/>
      <w:lvlJc w:val="left"/>
    </w:lvl>
    <w:lvl w:ilvl="5" w:tplc="8A185E8E">
      <w:numFmt w:val="decimal"/>
      <w:lvlText w:val=""/>
      <w:lvlJc w:val="left"/>
    </w:lvl>
    <w:lvl w:ilvl="6" w:tplc="F978FB4C">
      <w:numFmt w:val="decimal"/>
      <w:lvlText w:val=""/>
      <w:lvlJc w:val="left"/>
    </w:lvl>
    <w:lvl w:ilvl="7" w:tplc="47C2363E">
      <w:numFmt w:val="decimal"/>
      <w:lvlText w:val=""/>
      <w:lvlJc w:val="left"/>
    </w:lvl>
    <w:lvl w:ilvl="8" w:tplc="542205B2">
      <w:numFmt w:val="decimal"/>
      <w:lvlText w:val=""/>
      <w:lvlJc w:val="left"/>
    </w:lvl>
  </w:abstractNum>
  <w:abstractNum w:abstractNumId="1" w15:restartNumberingAfterBreak="0">
    <w:nsid w:val="0B961C97"/>
    <w:multiLevelType w:val="hybridMultilevel"/>
    <w:tmpl w:val="F32CA860"/>
    <w:lvl w:ilvl="0" w:tplc="0ECCEDC6">
      <w:start w:val="1"/>
      <w:numFmt w:val="bullet"/>
      <w:pStyle w:val="Bullet1"/>
      <w:lvlText w:val=""/>
      <w:lvlJc w:val="left"/>
      <w:pPr>
        <w:ind w:left="1780" w:hanging="360"/>
      </w:pPr>
      <w:rPr>
        <w:rFonts w:ascii="Symbol" w:hAnsi="Symbol" w:hint="default"/>
      </w:rPr>
    </w:lvl>
    <w:lvl w:ilvl="1" w:tplc="0C090003" w:tentative="1">
      <w:start w:val="1"/>
      <w:numFmt w:val="bullet"/>
      <w:lvlText w:val="o"/>
      <w:lvlJc w:val="left"/>
      <w:pPr>
        <w:ind w:left="2330" w:hanging="360"/>
      </w:pPr>
      <w:rPr>
        <w:rFonts w:ascii="Courier New" w:hAnsi="Courier New" w:cs="Courier New" w:hint="default"/>
      </w:rPr>
    </w:lvl>
    <w:lvl w:ilvl="2" w:tplc="0C090005" w:tentative="1">
      <w:start w:val="1"/>
      <w:numFmt w:val="bullet"/>
      <w:lvlText w:val=""/>
      <w:lvlJc w:val="left"/>
      <w:pPr>
        <w:ind w:left="3050" w:hanging="360"/>
      </w:pPr>
      <w:rPr>
        <w:rFonts w:ascii="Wingdings" w:hAnsi="Wingdings" w:hint="default"/>
      </w:rPr>
    </w:lvl>
    <w:lvl w:ilvl="3" w:tplc="0C090001" w:tentative="1">
      <w:start w:val="1"/>
      <w:numFmt w:val="bullet"/>
      <w:lvlText w:val=""/>
      <w:lvlJc w:val="left"/>
      <w:pPr>
        <w:ind w:left="3770" w:hanging="360"/>
      </w:pPr>
      <w:rPr>
        <w:rFonts w:ascii="Symbol" w:hAnsi="Symbol" w:hint="default"/>
      </w:rPr>
    </w:lvl>
    <w:lvl w:ilvl="4" w:tplc="0C090003" w:tentative="1">
      <w:start w:val="1"/>
      <w:numFmt w:val="bullet"/>
      <w:lvlText w:val="o"/>
      <w:lvlJc w:val="left"/>
      <w:pPr>
        <w:ind w:left="4490" w:hanging="360"/>
      </w:pPr>
      <w:rPr>
        <w:rFonts w:ascii="Courier New" w:hAnsi="Courier New" w:cs="Courier New" w:hint="default"/>
      </w:rPr>
    </w:lvl>
    <w:lvl w:ilvl="5" w:tplc="0C090005" w:tentative="1">
      <w:start w:val="1"/>
      <w:numFmt w:val="bullet"/>
      <w:lvlText w:val=""/>
      <w:lvlJc w:val="left"/>
      <w:pPr>
        <w:ind w:left="5210" w:hanging="360"/>
      </w:pPr>
      <w:rPr>
        <w:rFonts w:ascii="Wingdings" w:hAnsi="Wingdings" w:hint="default"/>
      </w:rPr>
    </w:lvl>
    <w:lvl w:ilvl="6" w:tplc="0C090001" w:tentative="1">
      <w:start w:val="1"/>
      <w:numFmt w:val="bullet"/>
      <w:lvlText w:val=""/>
      <w:lvlJc w:val="left"/>
      <w:pPr>
        <w:ind w:left="5930" w:hanging="360"/>
      </w:pPr>
      <w:rPr>
        <w:rFonts w:ascii="Symbol" w:hAnsi="Symbol" w:hint="default"/>
      </w:rPr>
    </w:lvl>
    <w:lvl w:ilvl="7" w:tplc="0C090003" w:tentative="1">
      <w:start w:val="1"/>
      <w:numFmt w:val="bullet"/>
      <w:lvlText w:val="o"/>
      <w:lvlJc w:val="left"/>
      <w:pPr>
        <w:ind w:left="6650" w:hanging="360"/>
      </w:pPr>
      <w:rPr>
        <w:rFonts w:ascii="Courier New" w:hAnsi="Courier New" w:cs="Courier New" w:hint="default"/>
      </w:rPr>
    </w:lvl>
    <w:lvl w:ilvl="8" w:tplc="0C090005" w:tentative="1">
      <w:start w:val="1"/>
      <w:numFmt w:val="bullet"/>
      <w:lvlText w:val=""/>
      <w:lvlJc w:val="left"/>
      <w:pPr>
        <w:ind w:left="7370" w:hanging="360"/>
      </w:pPr>
      <w:rPr>
        <w:rFonts w:ascii="Wingdings" w:hAnsi="Wingdings" w:hint="default"/>
      </w:rPr>
    </w:lvl>
  </w:abstractNum>
  <w:abstractNum w:abstractNumId="2" w15:restartNumberingAfterBreak="0">
    <w:nsid w:val="0DCB4AFF"/>
    <w:multiLevelType w:val="hybridMultilevel"/>
    <w:tmpl w:val="C4CC58DA"/>
    <w:lvl w:ilvl="0" w:tplc="54B061C6">
      <w:start w:val="1"/>
      <w:numFmt w:val="bullet"/>
      <w:pStyle w:val="ListBullet1"/>
      <w:lvlText w:val=""/>
      <w:lvlJc w:val="left"/>
      <w:pPr>
        <w:tabs>
          <w:tab w:val="num" w:pos="454"/>
        </w:tabs>
        <w:ind w:left="454" w:hanging="454"/>
      </w:pPr>
      <w:rPr>
        <w:rFonts w:ascii="Symbol" w:hAnsi="Symbol" w:hint="default"/>
      </w:rPr>
    </w:lvl>
    <w:lvl w:ilvl="1" w:tplc="5A70E5E4">
      <w:numFmt w:val="bullet"/>
      <w:lvlText w:val="-"/>
      <w:lvlJc w:val="left"/>
      <w:pPr>
        <w:tabs>
          <w:tab w:val="num" w:pos="1440"/>
        </w:tabs>
        <w:ind w:left="1440" w:hanging="360"/>
      </w:pPr>
      <w:rPr>
        <w:rFonts w:ascii="Arial" w:eastAsia="Times New Roman" w:hAnsi="Arial"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F2D09CA"/>
    <w:multiLevelType w:val="hybridMultilevel"/>
    <w:tmpl w:val="0D12EF80"/>
    <w:lvl w:ilvl="0" w:tplc="4D540E1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32D55888"/>
    <w:multiLevelType w:val="hybridMultilevel"/>
    <w:tmpl w:val="15FCDF06"/>
    <w:lvl w:ilvl="0" w:tplc="B3D81286">
      <w:start w:val="1"/>
      <w:numFmt w:val="decimal"/>
      <w:pStyle w:val="Table4X"/>
      <w:lvlText w:val="Table 4.%1:"/>
      <w:lvlJc w:val="left"/>
      <w:pPr>
        <w:ind w:left="720" w:hanging="720"/>
      </w:pPr>
      <w:rPr>
        <w:rFonts w:ascii="Arial" w:hAnsi="Arial" w:hint="default"/>
        <w:b w:val="0"/>
        <w:i/>
        <w:caps w:val="0"/>
        <w:color w:val="4F4F4F"/>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3552376B"/>
    <w:multiLevelType w:val="hybridMultilevel"/>
    <w:tmpl w:val="C26C5F48"/>
    <w:lvl w:ilvl="0" w:tplc="A15014C4">
      <w:start w:val="1"/>
      <w:numFmt w:val="lowerLetter"/>
      <w:lvlText w:val="(%1)"/>
      <w:lvlJc w:val="left"/>
      <w:pPr>
        <w:ind w:left="720" w:hanging="360"/>
      </w:pPr>
      <w:rPr>
        <w:rFonts w:eastAsia="Times New Roman" w:hint="default"/>
        <w:sz w:val="17"/>
        <w:szCs w:val="17"/>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ACE2EB1"/>
    <w:multiLevelType w:val="hybridMultilevel"/>
    <w:tmpl w:val="CC1A9DD2"/>
    <w:lvl w:ilvl="0" w:tplc="3FCCF5CE">
      <w:start w:val="1"/>
      <w:numFmt w:val="decimal"/>
      <w:pStyle w:val="Heading2"/>
      <w:lvlText w:val="4.%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pStyle w:val="Heading3"/>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3DF944FB"/>
    <w:multiLevelType w:val="hybridMultilevel"/>
    <w:tmpl w:val="96863882"/>
    <w:lvl w:ilvl="0" w:tplc="9A183AB8">
      <w:start w:val="1"/>
      <w:numFmt w:val="bullet"/>
      <w:pStyle w:val="Bullet4"/>
      <w:lvlText w:val=""/>
      <w:lvlJc w:val="left"/>
      <w:pPr>
        <w:tabs>
          <w:tab w:val="num" w:pos="1701"/>
        </w:tabs>
        <w:ind w:left="1701" w:hanging="425"/>
      </w:pPr>
      <w:rPr>
        <w:rFonts w:ascii="Symbol" w:hAnsi="Symbol" w:hint="default"/>
        <w:sz w:val="22"/>
      </w:rPr>
    </w:lvl>
    <w:lvl w:ilvl="1" w:tplc="023ADC90">
      <w:numFmt w:val="decimal"/>
      <w:lvlText w:val=""/>
      <w:lvlJc w:val="left"/>
    </w:lvl>
    <w:lvl w:ilvl="2" w:tplc="1DC6A632">
      <w:numFmt w:val="decimal"/>
      <w:lvlText w:val=""/>
      <w:lvlJc w:val="left"/>
    </w:lvl>
    <w:lvl w:ilvl="3" w:tplc="77F0B53E">
      <w:numFmt w:val="decimal"/>
      <w:lvlText w:val=""/>
      <w:lvlJc w:val="left"/>
    </w:lvl>
    <w:lvl w:ilvl="4" w:tplc="B9B2931C">
      <w:numFmt w:val="decimal"/>
      <w:lvlText w:val=""/>
      <w:lvlJc w:val="left"/>
    </w:lvl>
    <w:lvl w:ilvl="5" w:tplc="39FE30EE">
      <w:numFmt w:val="decimal"/>
      <w:lvlText w:val=""/>
      <w:lvlJc w:val="left"/>
    </w:lvl>
    <w:lvl w:ilvl="6" w:tplc="72165852">
      <w:numFmt w:val="decimal"/>
      <w:lvlText w:val=""/>
      <w:lvlJc w:val="left"/>
    </w:lvl>
    <w:lvl w:ilvl="7" w:tplc="B5D2BC9A">
      <w:numFmt w:val="decimal"/>
      <w:lvlText w:val=""/>
      <w:lvlJc w:val="left"/>
    </w:lvl>
    <w:lvl w:ilvl="8" w:tplc="0BE248EE">
      <w:numFmt w:val="decimal"/>
      <w:lvlText w:val=""/>
      <w:lvlJc w:val="left"/>
    </w:lvl>
  </w:abstractNum>
  <w:abstractNum w:abstractNumId="8" w15:restartNumberingAfterBreak="0">
    <w:nsid w:val="4BB9441E"/>
    <w:multiLevelType w:val="hybridMultilevel"/>
    <w:tmpl w:val="C4767E5A"/>
    <w:lvl w:ilvl="0" w:tplc="11C4EB6A">
      <w:start w:val="1"/>
      <w:numFmt w:val="decimal"/>
      <w:pStyle w:val="BoxHeading"/>
      <w:lvlText w:val="Box 1.%1:"/>
      <w:lvlJc w:val="left"/>
      <w:pPr>
        <w:ind w:left="720" w:hanging="360"/>
      </w:pPr>
      <w:rPr>
        <w:rFonts w:ascii="Arial Bold" w:hAnsi="Arial Bold" w:hint="default"/>
        <w:b/>
        <w:i w:val="0"/>
        <w:sz w:val="23"/>
        <w:u w:color="00ABE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52BD70C2"/>
    <w:multiLevelType w:val="hybridMultilevel"/>
    <w:tmpl w:val="E34EE9D6"/>
    <w:lvl w:ilvl="0" w:tplc="65084DD8">
      <w:start w:val="1"/>
      <w:numFmt w:val="bullet"/>
      <w:pStyle w:val="Bullet2"/>
      <w:lvlText w:val="–"/>
      <w:lvlJc w:val="left"/>
      <w:pPr>
        <w:ind w:left="785" w:hanging="360"/>
      </w:pPr>
      <w:rPr>
        <w:rFonts w:ascii="Lucida Sans" w:hAnsi="Lucida Sans" w:hint="default"/>
        <w:color w:val="008EBA"/>
        <w:sz w:val="23"/>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60CE096B"/>
    <w:multiLevelType w:val="hybridMultilevel"/>
    <w:tmpl w:val="95882AF8"/>
    <w:lvl w:ilvl="0" w:tplc="C2E2E9E2">
      <w:start w:val="1"/>
      <w:numFmt w:val="bullet"/>
      <w:pStyle w:val="Bullet1inabox"/>
      <w:lvlText w:val=""/>
      <w:lvlJc w:val="left"/>
      <w:pPr>
        <w:ind w:left="720" w:hanging="360"/>
      </w:pPr>
      <w:rPr>
        <w:rFonts w:ascii="Symbol" w:hAnsi="Symbol" w:hint="default"/>
        <w:color w:val="008EBA"/>
        <w:sz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55D5F01"/>
    <w:multiLevelType w:val="hybridMultilevel"/>
    <w:tmpl w:val="91586344"/>
    <w:lvl w:ilvl="0" w:tplc="AEC89A66">
      <w:start w:val="1"/>
      <w:numFmt w:val="decimal"/>
      <w:lvlText w:val="Box 4.%1:"/>
      <w:lvlJc w:val="left"/>
      <w:pPr>
        <w:ind w:left="36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 w15:restartNumberingAfterBreak="0">
    <w:nsid w:val="6AE812FE"/>
    <w:multiLevelType w:val="hybridMultilevel"/>
    <w:tmpl w:val="5F585070"/>
    <w:lvl w:ilvl="0" w:tplc="4BBCE72E">
      <w:start w:val="1"/>
      <w:numFmt w:val="bullet"/>
      <w:pStyle w:val="Bulletrecommendtext"/>
      <w:lvlText w:val=""/>
      <w:lvlJc w:val="left"/>
      <w:pPr>
        <w:ind w:left="360" w:hanging="360"/>
      </w:pPr>
      <w:rPr>
        <w:rFonts w:ascii="Wingdings" w:hAnsi="Wingdings" w:hint="default"/>
      </w:rPr>
    </w:lvl>
    <w:lvl w:ilvl="1" w:tplc="0C09000B">
      <w:start w:val="1"/>
      <w:numFmt w:val="bullet"/>
      <w:lvlText w:val=""/>
      <w:lvlJc w:val="left"/>
      <w:pPr>
        <w:ind w:left="1080" w:hanging="360"/>
      </w:pPr>
      <w:rPr>
        <w:rFonts w:ascii="Wingdings" w:hAnsi="Wingding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6BE755BD"/>
    <w:multiLevelType w:val="hybridMultilevel"/>
    <w:tmpl w:val="535EAC2E"/>
    <w:lvl w:ilvl="0" w:tplc="F7180606">
      <w:start w:val="1"/>
      <w:numFmt w:val="lowerLetter"/>
      <w:lvlText w:val="(%1)"/>
      <w:lvlJc w:val="left"/>
      <w:pPr>
        <w:ind w:left="72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78010E7F"/>
    <w:multiLevelType w:val="hybridMultilevel"/>
    <w:tmpl w:val="4AEE1658"/>
    <w:lvl w:ilvl="0" w:tplc="7DE8B6F4">
      <w:start w:val="1"/>
      <w:numFmt w:val="bullet"/>
      <w:pStyle w:val="Bullet2inabox"/>
      <w:lvlText w:val="–"/>
      <w:lvlJc w:val="left"/>
      <w:pPr>
        <w:ind w:left="360" w:hanging="360"/>
      </w:pPr>
      <w:rPr>
        <w:rFonts w:ascii="Lucida Sans" w:hAnsi="Lucida Sans" w:hint="default"/>
        <w:color w:val="008EBA"/>
        <w:sz w:val="23"/>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7A1A1949"/>
    <w:multiLevelType w:val="hybridMultilevel"/>
    <w:tmpl w:val="7DFE196C"/>
    <w:lvl w:ilvl="0" w:tplc="76809DFA">
      <w:start w:val="1"/>
      <w:numFmt w:val="decimal"/>
      <w:pStyle w:val="Chart41"/>
      <w:lvlText w:val="Chart 4.%1:"/>
      <w:lvlJc w:val="left"/>
      <w:pPr>
        <w:ind w:left="360" w:hanging="360"/>
      </w:pPr>
      <w:rPr>
        <w:rFonts w:ascii="Arial" w:hAnsi="Arial" w:hint="default"/>
        <w:b w:val="0"/>
        <w:i/>
        <w:sz w:val="22"/>
        <w:u w:color="4F4F4F"/>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7AD75283"/>
    <w:multiLevelType w:val="multilevel"/>
    <w:tmpl w:val="75387DA8"/>
    <w:lvl w:ilvl="0">
      <w:start w:val="1"/>
      <w:numFmt w:val="decimal"/>
      <w:pStyle w:val="Heading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9"/>
  </w:num>
  <w:num w:numId="2">
    <w:abstractNumId w:val="0"/>
  </w:num>
  <w:num w:numId="3">
    <w:abstractNumId w:val="7"/>
  </w:num>
  <w:num w:numId="4">
    <w:abstractNumId w:val="2"/>
  </w:num>
  <w:num w:numId="5">
    <w:abstractNumId w:val="12"/>
  </w:num>
  <w:num w:numId="6">
    <w:abstractNumId w:val="4"/>
  </w:num>
  <w:num w:numId="7">
    <w:abstractNumId w:val="15"/>
  </w:num>
  <w:num w:numId="8">
    <w:abstractNumId w:val="11"/>
  </w:num>
  <w:num w:numId="9">
    <w:abstractNumId w:val="16"/>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num>
  <w:num w:numId="12">
    <w:abstractNumId w:val="8"/>
  </w:num>
  <w:num w:numId="13">
    <w:abstractNumId w:val="14"/>
  </w:num>
  <w:num w:numId="14">
    <w:abstractNumId w:val="10"/>
  </w:num>
  <w:num w:numId="15">
    <w:abstractNumId w:val="5"/>
  </w:num>
  <w:num w:numId="16">
    <w:abstractNumId w:val="1"/>
  </w:num>
  <w:num w:numId="17">
    <w:abstractNumId w:val="13"/>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70"/>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SV_QUERY_LIST_4F35BF76-6C0D-4D9B-82B2-816C12CF3733" w:val="empty_477D106A-C0D6-4607-AEBD-E2C9D60EA279"/>
  </w:docVars>
  <w:rsids>
    <w:rsidRoot w:val="007563DF"/>
    <w:rsid w:val="00000109"/>
    <w:rsid w:val="0000020D"/>
    <w:rsid w:val="000003AE"/>
    <w:rsid w:val="000003DA"/>
    <w:rsid w:val="00000659"/>
    <w:rsid w:val="000006A4"/>
    <w:rsid w:val="0000071C"/>
    <w:rsid w:val="0000075E"/>
    <w:rsid w:val="00000768"/>
    <w:rsid w:val="00000872"/>
    <w:rsid w:val="000008D5"/>
    <w:rsid w:val="000008E7"/>
    <w:rsid w:val="00000BE0"/>
    <w:rsid w:val="00000D15"/>
    <w:rsid w:val="00000F3C"/>
    <w:rsid w:val="0000111A"/>
    <w:rsid w:val="00001167"/>
    <w:rsid w:val="00001712"/>
    <w:rsid w:val="0000175C"/>
    <w:rsid w:val="0000182B"/>
    <w:rsid w:val="00001AAB"/>
    <w:rsid w:val="000021F6"/>
    <w:rsid w:val="0000222F"/>
    <w:rsid w:val="00002538"/>
    <w:rsid w:val="000025F6"/>
    <w:rsid w:val="00002936"/>
    <w:rsid w:val="00002959"/>
    <w:rsid w:val="00002ACD"/>
    <w:rsid w:val="00002E50"/>
    <w:rsid w:val="00003110"/>
    <w:rsid w:val="0000317D"/>
    <w:rsid w:val="00003418"/>
    <w:rsid w:val="00003594"/>
    <w:rsid w:val="00003712"/>
    <w:rsid w:val="0000376D"/>
    <w:rsid w:val="000037B7"/>
    <w:rsid w:val="00003BDB"/>
    <w:rsid w:val="00003F68"/>
    <w:rsid w:val="00003FBC"/>
    <w:rsid w:val="00004024"/>
    <w:rsid w:val="0000415B"/>
    <w:rsid w:val="000042F0"/>
    <w:rsid w:val="0000432C"/>
    <w:rsid w:val="000043CB"/>
    <w:rsid w:val="000044B1"/>
    <w:rsid w:val="00004B31"/>
    <w:rsid w:val="00004D35"/>
    <w:rsid w:val="0000570C"/>
    <w:rsid w:val="0000586D"/>
    <w:rsid w:val="00005971"/>
    <w:rsid w:val="00005A63"/>
    <w:rsid w:val="00005CAE"/>
    <w:rsid w:val="00005CCF"/>
    <w:rsid w:val="00005E61"/>
    <w:rsid w:val="00005E69"/>
    <w:rsid w:val="000067CE"/>
    <w:rsid w:val="00006AB5"/>
    <w:rsid w:val="00006D05"/>
    <w:rsid w:val="00006E15"/>
    <w:rsid w:val="00006EF0"/>
    <w:rsid w:val="0000708B"/>
    <w:rsid w:val="000072FF"/>
    <w:rsid w:val="000073F2"/>
    <w:rsid w:val="00007557"/>
    <w:rsid w:val="00007619"/>
    <w:rsid w:val="00007B3D"/>
    <w:rsid w:val="00007C09"/>
    <w:rsid w:val="000105E3"/>
    <w:rsid w:val="000108EF"/>
    <w:rsid w:val="00010A4E"/>
    <w:rsid w:val="00010FB7"/>
    <w:rsid w:val="0001100E"/>
    <w:rsid w:val="0001113C"/>
    <w:rsid w:val="00011199"/>
    <w:rsid w:val="000112CB"/>
    <w:rsid w:val="000113AE"/>
    <w:rsid w:val="000116B6"/>
    <w:rsid w:val="0001193D"/>
    <w:rsid w:val="00011940"/>
    <w:rsid w:val="00011A07"/>
    <w:rsid w:val="000120FC"/>
    <w:rsid w:val="00012258"/>
    <w:rsid w:val="00012497"/>
    <w:rsid w:val="000129F8"/>
    <w:rsid w:val="000129FE"/>
    <w:rsid w:val="00012C71"/>
    <w:rsid w:val="0001316D"/>
    <w:rsid w:val="00013253"/>
    <w:rsid w:val="00013320"/>
    <w:rsid w:val="00013720"/>
    <w:rsid w:val="0001372A"/>
    <w:rsid w:val="00013B2B"/>
    <w:rsid w:val="00013F0F"/>
    <w:rsid w:val="00014214"/>
    <w:rsid w:val="000142D8"/>
    <w:rsid w:val="00014622"/>
    <w:rsid w:val="00014638"/>
    <w:rsid w:val="000146FB"/>
    <w:rsid w:val="00014853"/>
    <w:rsid w:val="0001490B"/>
    <w:rsid w:val="00014F67"/>
    <w:rsid w:val="00015106"/>
    <w:rsid w:val="00015142"/>
    <w:rsid w:val="0001528B"/>
    <w:rsid w:val="0001550F"/>
    <w:rsid w:val="0001559A"/>
    <w:rsid w:val="00015B53"/>
    <w:rsid w:val="00015C14"/>
    <w:rsid w:val="00015C93"/>
    <w:rsid w:val="00015DD2"/>
    <w:rsid w:val="0001610E"/>
    <w:rsid w:val="0001631C"/>
    <w:rsid w:val="000163A3"/>
    <w:rsid w:val="00016F48"/>
    <w:rsid w:val="000171EE"/>
    <w:rsid w:val="000176D5"/>
    <w:rsid w:val="00017730"/>
    <w:rsid w:val="000177AB"/>
    <w:rsid w:val="00017963"/>
    <w:rsid w:val="000179E3"/>
    <w:rsid w:val="00017DF4"/>
    <w:rsid w:val="00017EBE"/>
    <w:rsid w:val="000203F0"/>
    <w:rsid w:val="00020870"/>
    <w:rsid w:val="00020DB9"/>
    <w:rsid w:val="00020E84"/>
    <w:rsid w:val="00020E99"/>
    <w:rsid w:val="0002100D"/>
    <w:rsid w:val="0002137A"/>
    <w:rsid w:val="0002140B"/>
    <w:rsid w:val="0002142F"/>
    <w:rsid w:val="00021B42"/>
    <w:rsid w:val="00021CB8"/>
    <w:rsid w:val="00021E33"/>
    <w:rsid w:val="00022030"/>
    <w:rsid w:val="000223B4"/>
    <w:rsid w:val="0002271F"/>
    <w:rsid w:val="000228DA"/>
    <w:rsid w:val="00022945"/>
    <w:rsid w:val="00022D5F"/>
    <w:rsid w:val="00022DA8"/>
    <w:rsid w:val="00022FA5"/>
    <w:rsid w:val="0002351B"/>
    <w:rsid w:val="00023754"/>
    <w:rsid w:val="000238A2"/>
    <w:rsid w:val="00023A5C"/>
    <w:rsid w:val="00023C2C"/>
    <w:rsid w:val="0002428C"/>
    <w:rsid w:val="000242C2"/>
    <w:rsid w:val="0002438A"/>
    <w:rsid w:val="000249E3"/>
    <w:rsid w:val="000249F4"/>
    <w:rsid w:val="00024A01"/>
    <w:rsid w:val="00024A18"/>
    <w:rsid w:val="00024B8B"/>
    <w:rsid w:val="00024BA7"/>
    <w:rsid w:val="00024EA0"/>
    <w:rsid w:val="0002519D"/>
    <w:rsid w:val="0002548E"/>
    <w:rsid w:val="000256F5"/>
    <w:rsid w:val="00025BF2"/>
    <w:rsid w:val="00025C62"/>
    <w:rsid w:val="00025C8C"/>
    <w:rsid w:val="00025D0D"/>
    <w:rsid w:val="00025F6A"/>
    <w:rsid w:val="00026262"/>
    <w:rsid w:val="000262C3"/>
    <w:rsid w:val="000263F2"/>
    <w:rsid w:val="000265D3"/>
    <w:rsid w:val="000268D8"/>
    <w:rsid w:val="000269BC"/>
    <w:rsid w:val="000273A4"/>
    <w:rsid w:val="000274B4"/>
    <w:rsid w:val="0002767E"/>
    <w:rsid w:val="000278E2"/>
    <w:rsid w:val="00027936"/>
    <w:rsid w:val="00027C10"/>
    <w:rsid w:val="00027CCF"/>
    <w:rsid w:val="00030108"/>
    <w:rsid w:val="000307B1"/>
    <w:rsid w:val="000309DE"/>
    <w:rsid w:val="00030B64"/>
    <w:rsid w:val="00031000"/>
    <w:rsid w:val="00031077"/>
    <w:rsid w:val="00031172"/>
    <w:rsid w:val="000314BB"/>
    <w:rsid w:val="000314CD"/>
    <w:rsid w:val="000318A6"/>
    <w:rsid w:val="00031B7C"/>
    <w:rsid w:val="00031ED2"/>
    <w:rsid w:val="0003215A"/>
    <w:rsid w:val="0003276C"/>
    <w:rsid w:val="000329AF"/>
    <w:rsid w:val="00032B2A"/>
    <w:rsid w:val="00032C9D"/>
    <w:rsid w:val="00032CCB"/>
    <w:rsid w:val="00032D8C"/>
    <w:rsid w:val="000331D5"/>
    <w:rsid w:val="0003334A"/>
    <w:rsid w:val="0003344D"/>
    <w:rsid w:val="00033484"/>
    <w:rsid w:val="00033595"/>
    <w:rsid w:val="00033BFB"/>
    <w:rsid w:val="00033F33"/>
    <w:rsid w:val="00033F43"/>
    <w:rsid w:val="00034045"/>
    <w:rsid w:val="000341AA"/>
    <w:rsid w:val="00034310"/>
    <w:rsid w:val="00034600"/>
    <w:rsid w:val="00034DB8"/>
    <w:rsid w:val="00034F92"/>
    <w:rsid w:val="000351D3"/>
    <w:rsid w:val="000351ED"/>
    <w:rsid w:val="00035252"/>
    <w:rsid w:val="000352B3"/>
    <w:rsid w:val="0003551A"/>
    <w:rsid w:val="00035840"/>
    <w:rsid w:val="00035AF8"/>
    <w:rsid w:val="00035F21"/>
    <w:rsid w:val="00036065"/>
    <w:rsid w:val="00036070"/>
    <w:rsid w:val="0003619A"/>
    <w:rsid w:val="0003629F"/>
    <w:rsid w:val="000362DB"/>
    <w:rsid w:val="00036461"/>
    <w:rsid w:val="000364E6"/>
    <w:rsid w:val="000367F5"/>
    <w:rsid w:val="00036B8E"/>
    <w:rsid w:val="00036EC5"/>
    <w:rsid w:val="00037059"/>
    <w:rsid w:val="000371AB"/>
    <w:rsid w:val="00037368"/>
    <w:rsid w:val="00037AA7"/>
    <w:rsid w:val="00037FC8"/>
    <w:rsid w:val="00040427"/>
    <w:rsid w:val="000404BB"/>
    <w:rsid w:val="00040937"/>
    <w:rsid w:val="00040A98"/>
    <w:rsid w:val="00040C6D"/>
    <w:rsid w:val="000410C8"/>
    <w:rsid w:val="000413D7"/>
    <w:rsid w:val="0004219D"/>
    <w:rsid w:val="000421C9"/>
    <w:rsid w:val="000426CF"/>
    <w:rsid w:val="00042906"/>
    <w:rsid w:val="00042994"/>
    <w:rsid w:val="00042DF7"/>
    <w:rsid w:val="00042E51"/>
    <w:rsid w:val="00043298"/>
    <w:rsid w:val="000432B2"/>
    <w:rsid w:val="00043374"/>
    <w:rsid w:val="00043892"/>
    <w:rsid w:val="00043CC9"/>
    <w:rsid w:val="00043D9E"/>
    <w:rsid w:val="00043EB0"/>
    <w:rsid w:val="00043F52"/>
    <w:rsid w:val="00044049"/>
    <w:rsid w:val="000440BE"/>
    <w:rsid w:val="00044125"/>
    <w:rsid w:val="000442B0"/>
    <w:rsid w:val="000442C4"/>
    <w:rsid w:val="00044450"/>
    <w:rsid w:val="000447EF"/>
    <w:rsid w:val="00044801"/>
    <w:rsid w:val="00044954"/>
    <w:rsid w:val="00044995"/>
    <w:rsid w:val="000449B2"/>
    <w:rsid w:val="00044A9B"/>
    <w:rsid w:val="00044C75"/>
    <w:rsid w:val="00044F82"/>
    <w:rsid w:val="0004539D"/>
    <w:rsid w:val="00045436"/>
    <w:rsid w:val="00045663"/>
    <w:rsid w:val="00045697"/>
    <w:rsid w:val="00045AB5"/>
    <w:rsid w:val="00045ADB"/>
    <w:rsid w:val="00045AE2"/>
    <w:rsid w:val="00045B56"/>
    <w:rsid w:val="00045DF7"/>
    <w:rsid w:val="00046600"/>
    <w:rsid w:val="000466FA"/>
    <w:rsid w:val="00046849"/>
    <w:rsid w:val="00046947"/>
    <w:rsid w:val="00046CC2"/>
    <w:rsid w:val="00046D91"/>
    <w:rsid w:val="00046E8B"/>
    <w:rsid w:val="00047167"/>
    <w:rsid w:val="000471BC"/>
    <w:rsid w:val="0004729E"/>
    <w:rsid w:val="0004748B"/>
    <w:rsid w:val="0004758C"/>
    <w:rsid w:val="00047759"/>
    <w:rsid w:val="00047CCD"/>
    <w:rsid w:val="00047E6D"/>
    <w:rsid w:val="00050007"/>
    <w:rsid w:val="00050049"/>
    <w:rsid w:val="0005004B"/>
    <w:rsid w:val="00050083"/>
    <w:rsid w:val="00050091"/>
    <w:rsid w:val="0005042B"/>
    <w:rsid w:val="00050472"/>
    <w:rsid w:val="000506FA"/>
    <w:rsid w:val="00050808"/>
    <w:rsid w:val="00050904"/>
    <w:rsid w:val="000509F7"/>
    <w:rsid w:val="00050A84"/>
    <w:rsid w:val="00050CF4"/>
    <w:rsid w:val="00050E9F"/>
    <w:rsid w:val="00051243"/>
    <w:rsid w:val="000514AF"/>
    <w:rsid w:val="000515BB"/>
    <w:rsid w:val="0005172E"/>
    <w:rsid w:val="000517C4"/>
    <w:rsid w:val="00051979"/>
    <w:rsid w:val="00051A29"/>
    <w:rsid w:val="00051A69"/>
    <w:rsid w:val="00051AA2"/>
    <w:rsid w:val="00051AEA"/>
    <w:rsid w:val="00051D2F"/>
    <w:rsid w:val="00051E77"/>
    <w:rsid w:val="00052005"/>
    <w:rsid w:val="00052085"/>
    <w:rsid w:val="00052844"/>
    <w:rsid w:val="000529F4"/>
    <w:rsid w:val="00052ACC"/>
    <w:rsid w:val="00052B1B"/>
    <w:rsid w:val="00052CD2"/>
    <w:rsid w:val="00052ED6"/>
    <w:rsid w:val="00052FF7"/>
    <w:rsid w:val="0005306C"/>
    <w:rsid w:val="000533E4"/>
    <w:rsid w:val="0005366F"/>
    <w:rsid w:val="00053896"/>
    <w:rsid w:val="00053C0F"/>
    <w:rsid w:val="0005423B"/>
    <w:rsid w:val="00054462"/>
    <w:rsid w:val="00054BA3"/>
    <w:rsid w:val="00054CE7"/>
    <w:rsid w:val="00054CFC"/>
    <w:rsid w:val="00054D24"/>
    <w:rsid w:val="00054DB5"/>
    <w:rsid w:val="00054E2E"/>
    <w:rsid w:val="00054E37"/>
    <w:rsid w:val="00054F5C"/>
    <w:rsid w:val="00054FB1"/>
    <w:rsid w:val="000552B2"/>
    <w:rsid w:val="00055352"/>
    <w:rsid w:val="000555DC"/>
    <w:rsid w:val="00055B6B"/>
    <w:rsid w:val="00055D45"/>
    <w:rsid w:val="00055D84"/>
    <w:rsid w:val="00056342"/>
    <w:rsid w:val="00056947"/>
    <w:rsid w:val="00056C25"/>
    <w:rsid w:val="000574CA"/>
    <w:rsid w:val="000576DD"/>
    <w:rsid w:val="000577AF"/>
    <w:rsid w:val="00057A0A"/>
    <w:rsid w:val="00057A78"/>
    <w:rsid w:val="00057CDB"/>
    <w:rsid w:val="00057D30"/>
    <w:rsid w:val="00060321"/>
    <w:rsid w:val="000606EB"/>
    <w:rsid w:val="000606F6"/>
    <w:rsid w:val="0006075B"/>
    <w:rsid w:val="000607C1"/>
    <w:rsid w:val="000608BD"/>
    <w:rsid w:val="00060900"/>
    <w:rsid w:val="00060916"/>
    <w:rsid w:val="00060A35"/>
    <w:rsid w:val="00060E29"/>
    <w:rsid w:val="00060F66"/>
    <w:rsid w:val="00060F8F"/>
    <w:rsid w:val="0006115F"/>
    <w:rsid w:val="000611A3"/>
    <w:rsid w:val="0006120C"/>
    <w:rsid w:val="00061411"/>
    <w:rsid w:val="0006146E"/>
    <w:rsid w:val="000615DA"/>
    <w:rsid w:val="00061632"/>
    <w:rsid w:val="0006187B"/>
    <w:rsid w:val="000618E8"/>
    <w:rsid w:val="00061BAD"/>
    <w:rsid w:val="00061C3A"/>
    <w:rsid w:val="00061EBB"/>
    <w:rsid w:val="000623E7"/>
    <w:rsid w:val="00062512"/>
    <w:rsid w:val="000626FD"/>
    <w:rsid w:val="00062783"/>
    <w:rsid w:val="000627DD"/>
    <w:rsid w:val="00062892"/>
    <w:rsid w:val="00062A98"/>
    <w:rsid w:val="00062AA7"/>
    <w:rsid w:val="00062AD7"/>
    <w:rsid w:val="00062B93"/>
    <w:rsid w:val="00062E99"/>
    <w:rsid w:val="000632AD"/>
    <w:rsid w:val="00063311"/>
    <w:rsid w:val="000633E6"/>
    <w:rsid w:val="000635AC"/>
    <w:rsid w:val="00063984"/>
    <w:rsid w:val="00063A4A"/>
    <w:rsid w:val="00063AC7"/>
    <w:rsid w:val="00063B81"/>
    <w:rsid w:val="00063BB2"/>
    <w:rsid w:val="00064039"/>
    <w:rsid w:val="0006425D"/>
    <w:rsid w:val="00064326"/>
    <w:rsid w:val="000647A6"/>
    <w:rsid w:val="00064906"/>
    <w:rsid w:val="0006493A"/>
    <w:rsid w:val="00064945"/>
    <w:rsid w:val="00064A46"/>
    <w:rsid w:val="00064B65"/>
    <w:rsid w:val="00064BEE"/>
    <w:rsid w:val="00064C7C"/>
    <w:rsid w:val="00064E22"/>
    <w:rsid w:val="0006513F"/>
    <w:rsid w:val="000651AE"/>
    <w:rsid w:val="000657C5"/>
    <w:rsid w:val="00065AFF"/>
    <w:rsid w:val="00065DC9"/>
    <w:rsid w:val="00065EB8"/>
    <w:rsid w:val="00065FDC"/>
    <w:rsid w:val="00066169"/>
    <w:rsid w:val="00066217"/>
    <w:rsid w:val="00066332"/>
    <w:rsid w:val="00066341"/>
    <w:rsid w:val="00066457"/>
    <w:rsid w:val="000664ED"/>
    <w:rsid w:val="000665AE"/>
    <w:rsid w:val="00066734"/>
    <w:rsid w:val="0006690D"/>
    <w:rsid w:val="00067148"/>
    <w:rsid w:val="00067164"/>
    <w:rsid w:val="000672B5"/>
    <w:rsid w:val="00067563"/>
    <w:rsid w:val="00067ADB"/>
    <w:rsid w:val="00067E6F"/>
    <w:rsid w:val="000700DE"/>
    <w:rsid w:val="000700F0"/>
    <w:rsid w:val="00070145"/>
    <w:rsid w:val="0007048F"/>
    <w:rsid w:val="00070527"/>
    <w:rsid w:val="000705E2"/>
    <w:rsid w:val="0007060A"/>
    <w:rsid w:val="0007067A"/>
    <w:rsid w:val="00070A59"/>
    <w:rsid w:val="00070C9B"/>
    <w:rsid w:val="00070D00"/>
    <w:rsid w:val="00070FE4"/>
    <w:rsid w:val="00071002"/>
    <w:rsid w:val="000710BB"/>
    <w:rsid w:val="0007110D"/>
    <w:rsid w:val="000711B5"/>
    <w:rsid w:val="000715FE"/>
    <w:rsid w:val="000716D1"/>
    <w:rsid w:val="0007195D"/>
    <w:rsid w:val="00071B51"/>
    <w:rsid w:val="00071FBB"/>
    <w:rsid w:val="00072045"/>
    <w:rsid w:val="000724DB"/>
    <w:rsid w:val="00072501"/>
    <w:rsid w:val="0007259A"/>
    <w:rsid w:val="000725C5"/>
    <w:rsid w:val="000726A7"/>
    <w:rsid w:val="0007284D"/>
    <w:rsid w:val="00072D2C"/>
    <w:rsid w:val="00072F22"/>
    <w:rsid w:val="00072FDE"/>
    <w:rsid w:val="000731D2"/>
    <w:rsid w:val="000734C2"/>
    <w:rsid w:val="000734F4"/>
    <w:rsid w:val="00073670"/>
    <w:rsid w:val="000737C8"/>
    <w:rsid w:val="00073D54"/>
    <w:rsid w:val="00073EF1"/>
    <w:rsid w:val="00073FDA"/>
    <w:rsid w:val="0007410D"/>
    <w:rsid w:val="00074192"/>
    <w:rsid w:val="000742E6"/>
    <w:rsid w:val="000743F9"/>
    <w:rsid w:val="00074509"/>
    <w:rsid w:val="00074578"/>
    <w:rsid w:val="000745CA"/>
    <w:rsid w:val="00074605"/>
    <w:rsid w:val="00074C6B"/>
    <w:rsid w:val="00075000"/>
    <w:rsid w:val="000750F8"/>
    <w:rsid w:val="0007512C"/>
    <w:rsid w:val="0007520F"/>
    <w:rsid w:val="000753FA"/>
    <w:rsid w:val="0007577B"/>
    <w:rsid w:val="00075D90"/>
    <w:rsid w:val="00075DAD"/>
    <w:rsid w:val="00075DC8"/>
    <w:rsid w:val="00075E6F"/>
    <w:rsid w:val="00075F1B"/>
    <w:rsid w:val="0007606F"/>
    <w:rsid w:val="000760D4"/>
    <w:rsid w:val="000761E3"/>
    <w:rsid w:val="00076BA3"/>
    <w:rsid w:val="00076CA8"/>
    <w:rsid w:val="00076FC8"/>
    <w:rsid w:val="000771CA"/>
    <w:rsid w:val="000775BE"/>
    <w:rsid w:val="0007770D"/>
    <w:rsid w:val="00077891"/>
    <w:rsid w:val="0007796A"/>
    <w:rsid w:val="00077B9E"/>
    <w:rsid w:val="00077C33"/>
    <w:rsid w:val="00080042"/>
    <w:rsid w:val="00080115"/>
    <w:rsid w:val="00080181"/>
    <w:rsid w:val="00080259"/>
    <w:rsid w:val="00080296"/>
    <w:rsid w:val="000808D4"/>
    <w:rsid w:val="000808D8"/>
    <w:rsid w:val="00080E42"/>
    <w:rsid w:val="00080EFC"/>
    <w:rsid w:val="00081064"/>
    <w:rsid w:val="00081130"/>
    <w:rsid w:val="000811F2"/>
    <w:rsid w:val="000812B2"/>
    <w:rsid w:val="000812B3"/>
    <w:rsid w:val="000812B6"/>
    <w:rsid w:val="00081630"/>
    <w:rsid w:val="0008171F"/>
    <w:rsid w:val="000817DD"/>
    <w:rsid w:val="000819A1"/>
    <w:rsid w:val="00081A92"/>
    <w:rsid w:val="00081D76"/>
    <w:rsid w:val="00081F0D"/>
    <w:rsid w:val="00081FFA"/>
    <w:rsid w:val="000820AC"/>
    <w:rsid w:val="00082220"/>
    <w:rsid w:val="000822B6"/>
    <w:rsid w:val="00082392"/>
    <w:rsid w:val="00082CAB"/>
    <w:rsid w:val="00082CF5"/>
    <w:rsid w:val="00082DC3"/>
    <w:rsid w:val="00082E9B"/>
    <w:rsid w:val="00082E9C"/>
    <w:rsid w:val="00083001"/>
    <w:rsid w:val="000831C5"/>
    <w:rsid w:val="00083827"/>
    <w:rsid w:val="000839A2"/>
    <w:rsid w:val="00083DA7"/>
    <w:rsid w:val="00083E59"/>
    <w:rsid w:val="000841F6"/>
    <w:rsid w:val="000842D8"/>
    <w:rsid w:val="000846A8"/>
    <w:rsid w:val="000847FE"/>
    <w:rsid w:val="00084855"/>
    <w:rsid w:val="00084857"/>
    <w:rsid w:val="00084A05"/>
    <w:rsid w:val="00084A3B"/>
    <w:rsid w:val="00084AB9"/>
    <w:rsid w:val="00084B0A"/>
    <w:rsid w:val="00084D8B"/>
    <w:rsid w:val="00084DD1"/>
    <w:rsid w:val="0008558E"/>
    <w:rsid w:val="00085929"/>
    <w:rsid w:val="00085947"/>
    <w:rsid w:val="00085A99"/>
    <w:rsid w:val="00085BF7"/>
    <w:rsid w:val="00085EC3"/>
    <w:rsid w:val="00086048"/>
    <w:rsid w:val="00086642"/>
    <w:rsid w:val="0008672B"/>
    <w:rsid w:val="00086763"/>
    <w:rsid w:val="000868DE"/>
    <w:rsid w:val="00086C1D"/>
    <w:rsid w:val="0008737F"/>
    <w:rsid w:val="00087880"/>
    <w:rsid w:val="00087C73"/>
    <w:rsid w:val="000900C5"/>
    <w:rsid w:val="0009018D"/>
    <w:rsid w:val="00090405"/>
    <w:rsid w:val="0009057B"/>
    <w:rsid w:val="000906D6"/>
    <w:rsid w:val="000907D5"/>
    <w:rsid w:val="00090DE6"/>
    <w:rsid w:val="00091236"/>
    <w:rsid w:val="0009138B"/>
    <w:rsid w:val="00091930"/>
    <w:rsid w:val="000919D5"/>
    <w:rsid w:val="00091A05"/>
    <w:rsid w:val="00091CA7"/>
    <w:rsid w:val="00091CB5"/>
    <w:rsid w:val="00091E1D"/>
    <w:rsid w:val="00091E3A"/>
    <w:rsid w:val="00092028"/>
    <w:rsid w:val="00092087"/>
    <w:rsid w:val="00092703"/>
    <w:rsid w:val="000928E7"/>
    <w:rsid w:val="00092C9C"/>
    <w:rsid w:val="00092D13"/>
    <w:rsid w:val="000932DA"/>
    <w:rsid w:val="00093C29"/>
    <w:rsid w:val="00093D35"/>
    <w:rsid w:val="00093EBF"/>
    <w:rsid w:val="00094229"/>
    <w:rsid w:val="000943B5"/>
    <w:rsid w:val="000947E2"/>
    <w:rsid w:val="0009480A"/>
    <w:rsid w:val="00094896"/>
    <w:rsid w:val="00094E73"/>
    <w:rsid w:val="00094F49"/>
    <w:rsid w:val="00095152"/>
    <w:rsid w:val="0009535B"/>
    <w:rsid w:val="00095980"/>
    <w:rsid w:val="00095B1D"/>
    <w:rsid w:val="00095BFA"/>
    <w:rsid w:val="00095C21"/>
    <w:rsid w:val="00095E85"/>
    <w:rsid w:val="0009602E"/>
    <w:rsid w:val="0009604B"/>
    <w:rsid w:val="0009678A"/>
    <w:rsid w:val="00096A02"/>
    <w:rsid w:val="00096AFE"/>
    <w:rsid w:val="00096C76"/>
    <w:rsid w:val="00096CFF"/>
    <w:rsid w:val="00096E5C"/>
    <w:rsid w:val="00096EE5"/>
    <w:rsid w:val="000971E1"/>
    <w:rsid w:val="0009723F"/>
    <w:rsid w:val="00097272"/>
    <w:rsid w:val="00097449"/>
    <w:rsid w:val="00097625"/>
    <w:rsid w:val="000976AA"/>
    <w:rsid w:val="00097967"/>
    <w:rsid w:val="00097CF2"/>
    <w:rsid w:val="000A018D"/>
    <w:rsid w:val="000A0244"/>
    <w:rsid w:val="000A04E5"/>
    <w:rsid w:val="000A0615"/>
    <w:rsid w:val="000A06D6"/>
    <w:rsid w:val="000A0738"/>
    <w:rsid w:val="000A0C21"/>
    <w:rsid w:val="000A0CC8"/>
    <w:rsid w:val="000A0CFD"/>
    <w:rsid w:val="000A1060"/>
    <w:rsid w:val="000A108A"/>
    <w:rsid w:val="000A1154"/>
    <w:rsid w:val="000A1387"/>
    <w:rsid w:val="000A139C"/>
    <w:rsid w:val="000A14CD"/>
    <w:rsid w:val="000A150F"/>
    <w:rsid w:val="000A160E"/>
    <w:rsid w:val="000A1A49"/>
    <w:rsid w:val="000A1A6C"/>
    <w:rsid w:val="000A1B23"/>
    <w:rsid w:val="000A1B97"/>
    <w:rsid w:val="000A1C12"/>
    <w:rsid w:val="000A1C5E"/>
    <w:rsid w:val="000A1C65"/>
    <w:rsid w:val="000A1ED4"/>
    <w:rsid w:val="000A204E"/>
    <w:rsid w:val="000A2774"/>
    <w:rsid w:val="000A27E3"/>
    <w:rsid w:val="000A2B37"/>
    <w:rsid w:val="000A34F0"/>
    <w:rsid w:val="000A357C"/>
    <w:rsid w:val="000A35EA"/>
    <w:rsid w:val="000A36D6"/>
    <w:rsid w:val="000A3A5F"/>
    <w:rsid w:val="000A3C85"/>
    <w:rsid w:val="000A3CB5"/>
    <w:rsid w:val="000A4034"/>
    <w:rsid w:val="000A4085"/>
    <w:rsid w:val="000A409B"/>
    <w:rsid w:val="000A40CB"/>
    <w:rsid w:val="000A4472"/>
    <w:rsid w:val="000A466F"/>
    <w:rsid w:val="000A467F"/>
    <w:rsid w:val="000A4845"/>
    <w:rsid w:val="000A49CF"/>
    <w:rsid w:val="000A4A50"/>
    <w:rsid w:val="000A4F64"/>
    <w:rsid w:val="000A50ED"/>
    <w:rsid w:val="000A5224"/>
    <w:rsid w:val="000A548F"/>
    <w:rsid w:val="000A5704"/>
    <w:rsid w:val="000A5AB6"/>
    <w:rsid w:val="000A63AD"/>
    <w:rsid w:val="000A678F"/>
    <w:rsid w:val="000A682C"/>
    <w:rsid w:val="000A6E68"/>
    <w:rsid w:val="000A7184"/>
    <w:rsid w:val="000A71E0"/>
    <w:rsid w:val="000A732F"/>
    <w:rsid w:val="000A7729"/>
    <w:rsid w:val="000A7743"/>
    <w:rsid w:val="000A77CF"/>
    <w:rsid w:val="000A78E2"/>
    <w:rsid w:val="000A7BD5"/>
    <w:rsid w:val="000A7D3B"/>
    <w:rsid w:val="000A7F2F"/>
    <w:rsid w:val="000A7F42"/>
    <w:rsid w:val="000B0401"/>
    <w:rsid w:val="000B043A"/>
    <w:rsid w:val="000B0454"/>
    <w:rsid w:val="000B058F"/>
    <w:rsid w:val="000B06AD"/>
    <w:rsid w:val="000B0890"/>
    <w:rsid w:val="000B090F"/>
    <w:rsid w:val="000B0A48"/>
    <w:rsid w:val="000B0A78"/>
    <w:rsid w:val="000B0CB6"/>
    <w:rsid w:val="000B119B"/>
    <w:rsid w:val="000B11DB"/>
    <w:rsid w:val="000B1648"/>
    <w:rsid w:val="000B16F6"/>
    <w:rsid w:val="000B2213"/>
    <w:rsid w:val="000B25C1"/>
    <w:rsid w:val="000B27BB"/>
    <w:rsid w:val="000B27F3"/>
    <w:rsid w:val="000B2888"/>
    <w:rsid w:val="000B29B4"/>
    <w:rsid w:val="000B29CA"/>
    <w:rsid w:val="000B2BA7"/>
    <w:rsid w:val="000B2CA5"/>
    <w:rsid w:val="000B3140"/>
    <w:rsid w:val="000B3224"/>
    <w:rsid w:val="000B3526"/>
    <w:rsid w:val="000B355F"/>
    <w:rsid w:val="000B35FC"/>
    <w:rsid w:val="000B384D"/>
    <w:rsid w:val="000B3931"/>
    <w:rsid w:val="000B3BEA"/>
    <w:rsid w:val="000B3BFF"/>
    <w:rsid w:val="000B3FD1"/>
    <w:rsid w:val="000B4481"/>
    <w:rsid w:val="000B454A"/>
    <w:rsid w:val="000B472A"/>
    <w:rsid w:val="000B4950"/>
    <w:rsid w:val="000B4B5B"/>
    <w:rsid w:val="000B4B7C"/>
    <w:rsid w:val="000B4BF6"/>
    <w:rsid w:val="000B4C18"/>
    <w:rsid w:val="000B4E0B"/>
    <w:rsid w:val="000B5135"/>
    <w:rsid w:val="000B57CE"/>
    <w:rsid w:val="000B58A5"/>
    <w:rsid w:val="000B58D9"/>
    <w:rsid w:val="000B5960"/>
    <w:rsid w:val="000B5B4B"/>
    <w:rsid w:val="000B5CA3"/>
    <w:rsid w:val="000B6119"/>
    <w:rsid w:val="000B669D"/>
    <w:rsid w:val="000B687B"/>
    <w:rsid w:val="000B68D3"/>
    <w:rsid w:val="000B6AAD"/>
    <w:rsid w:val="000B6AFC"/>
    <w:rsid w:val="000B6CFD"/>
    <w:rsid w:val="000B6D0B"/>
    <w:rsid w:val="000B6DC0"/>
    <w:rsid w:val="000B7317"/>
    <w:rsid w:val="000B7497"/>
    <w:rsid w:val="000B76D6"/>
    <w:rsid w:val="000B7740"/>
    <w:rsid w:val="000B778E"/>
    <w:rsid w:val="000B77C7"/>
    <w:rsid w:val="000B7DB9"/>
    <w:rsid w:val="000B7E0E"/>
    <w:rsid w:val="000C01BF"/>
    <w:rsid w:val="000C037E"/>
    <w:rsid w:val="000C04AD"/>
    <w:rsid w:val="000C0534"/>
    <w:rsid w:val="000C0552"/>
    <w:rsid w:val="000C0666"/>
    <w:rsid w:val="000C0695"/>
    <w:rsid w:val="000C06EE"/>
    <w:rsid w:val="000C0807"/>
    <w:rsid w:val="000C08A7"/>
    <w:rsid w:val="000C0B50"/>
    <w:rsid w:val="000C0BD4"/>
    <w:rsid w:val="000C0BE2"/>
    <w:rsid w:val="000C0CCA"/>
    <w:rsid w:val="000C0D80"/>
    <w:rsid w:val="000C0F0F"/>
    <w:rsid w:val="000C17A1"/>
    <w:rsid w:val="000C1867"/>
    <w:rsid w:val="000C190D"/>
    <w:rsid w:val="000C1C70"/>
    <w:rsid w:val="000C1D7C"/>
    <w:rsid w:val="000C1E2A"/>
    <w:rsid w:val="000C1F01"/>
    <w:rsid w:val="000C218B"/>
    <w:rsid w:val="000C2700"/>
    <w:rsid w:val="000C2C53"/>
    <w:rsid w:val="000C2CF6"/>
    <w:rsid w:val="000C3029"/>
    <w:rsid w:val="000C3192"/>
    <w:rsid w:val="000C3243"/>
    <w:rsid w:val="000C34E9"/>
    <w:rsid w:val="000C3672"/>
    <w:rsid w:val="000C380E"/>
    <w:rsid w:val="000C38FC"/>
    <w:rsid w:val="000C3915"/>
    <w:rsid w:val="000C3A05"/>
    <w:rsid w:val="000C3ACE"/>
    <w:rsid w:val="000C42FF"/>
    <w:rsid w:val="000C445A"/>
    <w:rsid w:val="000C4742"/>
    <w:rsid w:val="000C4869"/>
    <w:rsid w:val="000C4B26"/>
    <w:rsid w:val="000C4CCC"/>
    <w:rsid w:val="000C4E13"/>
    <w:rsid w:val="000C4FA0"/>
    <w:rsid w:val="000C535C"/>
    <w:rsid w:val="000C5449"/>
    <w:rsid w:val="000C5C34"/>
    <w:rsid w:val="000C5D06"/>
    <w:rsid w:val="000C5F26"/>
    <w:rsid w:val="000C603D"/>
    <w:rsid w:val="000C651D"/>
    <w:rsid w:val="000C67B1"/>
    <w:rsid w:val="000C68C3"/>
    <w:rsid w:val="000C695A"/>
    <w:rsid w:val="000C6AA7"/>
    <w:rsid w:val="000C6B6A"/>
    <w:rsid w:val="000C6D16"/>
    <w:rsid w:val="000C6EAA"/>
    <w:rsid w:val="000C70EB"/>
    <w:rsid w:val="000C74C3"/>
    <w:rsid w:val="000C76C1"/>
    <w:rsid w:val="000C76C7"/>
    <w:rsid w:val="000C77B4"/>
    <w:rsid w:val="000C7804"/>
    <w:rsid w:val="000C7893"/>
    <w:rsid w:val="000C7A4E"/>
    <w:rsid w:val="000C7D08"/>
    <w:rsid w:val="000C7D42"/>
    <w:rsid w:val="000C7E4A"/>
    <w:rsid w:val="000C7EDA"/>
    <w:rsid w:val="000C7EEA"/>
    <w:rsid w:val="000D0A1D"/>
    <w:rsid w:val="000D0B98"/>
    <w:rsid w:val="000D0DF8"/>
    <w:rsid w:val="000D104D"/>
    <w:rsid w:val="000D138E"/>
    <w:rsid w:val="000D1BA7"/>
    <w:rsid w:val="000D1BAA"/>
    <w:rsid w:val="000D2155"/>
    <w:rsid w:val="000D25BB"/>
    <w:rsid w:val="000D2665"/>
    <w:rsid w:val="000D26A7"/>
    <w:rsid w:val="000D2858"/>
    <w:rsid w:val="000D289F"/>
    <w:rsid w:val="000D2A10"/>
    <w:rsid w:val="000D2F36"/>
    <w:rsid w:val="000D3008"/>
    <w:rsid w:val="000D3067"/>
    <w:rsid w:val="000D3170"/>
    <w:rsid w:val="000D32EB"/>
    <w:rsid w:val="000D32FC"/>
    <w:rsid w:val="000D3849"/>
    <w:rsid w:val="000D384E"/>
    <w:rsid w:val="000D3C80"/>
    <w:rsid w:val="000D3D42"/>
    <w:rsid w:val="000D3F35"/>
    <w:rsid w:val="000D4181"/>
    <w:rsid w:val="000D42CF"/>
    <w:rsid w:val="000D441B"/>
    <w:rsid w:val="000D4666"/>
    <w:rsid w:val="000D46FA"/>
    <w:rsid w:val="000D482E"/>
    <w:rsid w:val="000D4AD4"/>
    <w:rsid w:val="000D4E65"/>
    <w:rsid w:val="000D5838"/>
    <w:rsid w:val="000D58AA"/>
    <w:rsid w:val="000D59F5"/>
    <w:rsid w:val="000D5AAF"/>
    <w:rsid w:val="000D5B1D"/>
    <w:rsid w:val="000D5D04"/>
    <w:rsid w:val="000D5E8E"/>
    <w:rsid w:val="000D6375"/>
    <w:rsid w:val="000D63F2"/>
    <w:rsid w:val="000D6615"/>
    <w:rsid w:val="000D673F"/>
    <w:rsid w:val="000D68A9"/>
    <w:rsid w:val="000D68E5"/>
    <w:rsid w:val="000D6950"/>
    <w:rsid w:val="000D6D50"/>
    <w:rsid w:val="000D6FAB"/>
    <w:rsid w:val="000D6FE9"/>
    <w:rsid w:val="000D73B4"/>
    <w:rsid w:val="000D7A2F"/>
    <w:rsid w:val="000D7B54"/>
    <w:rsid w:val="000D7D2C"/>
    <w:rsid w:val="000E02F8"/>
    <w:rsid w:val="000E053A"/>
    <w:rsid w:val="000E0932"/>
    <w:rsid w:val="000E0C95"/>
    <w:rsid w:val="000E1741"/>
    <w:rsid w:val="000E17A5"/>
    <w:rsid w:val="000E18C4"/>
    <w:rsid w:val="000E19C0"/>
    <w:rsid w:val="000E1A83"/>
    <w:rsid w:val="000E1BF6"/>
    <w:rsid w:val="000E22FB"/>
    <w:rsid w:val="000E230B"/>
    <w:rsid w:val="000E2344"/>
    <w:rsid w:val="000E26A6"/>
    <w:rsid w:val="000E2C4A"/>
    <w:rsid w:val="000E2D2F"/>
    <w:rsid w:val="000E3090"/>
    <w:rsid w:val="000E316F"/>
    <w:rsid w:val="000E3357"/>
    <w:rsid w:val="000E3638"/>
    <w:rsid w:val="000E3805"/>
    <w:rsid w:val="000E387E"/>
    <w:rsid w:val="000E39B3"/>
    <w:rsid w:val="000E39CB"/>
    <w:rsid w:val="000E3E33"/>
    <w:rsid w:val="000E3EF6"/>
    <w:rsid w:val="000E418E"/>
    <w:rsid w:val="000E41E1"/>
    <w:rsid w:val="000E442A"/>
    <w:rsid w:val="000E452D"/>
    <w:rsid w:val="000E4BFD"/>
    <w:rsid w:val="000E4D6B"/>
    <w:rsid w:val="000E4DC9"/>
    <w:rsid w:val="000E4E03"/>
    <w:rsid w:val="000E4F1A"/>
    <w:rsid w:val="000E5433"/>
    <w:rsid w:val="000E54BC"/>
    <w:rsid w:val="000E5613"/>
    <w:rsid w:val="000E56E0"/>
    <w:rsid w:val="000E5870"/>
    <w:rsid w:val="000E5D8E"/>
    <w:rsid w:val="000E5FFD"/>
    <w:rsid w:val="000E631A"/>
    <w:rsid w:val="000E6441"/>
    <w:rsid w:val="000E6719"/>
    <w:rsid w:val="000E6779"/>
    <w:rsid w:val="000E6EDD"/>
    <w:rsid w:val="000E6F9D"/>
    <w:rsid w:val="000E7009"/>
    <w:rsid w:val="000E726C"/>
    <w:rsid w:val="000E72CD"/>
    <w:rsid w:val="000E75F5"/>
    <w:rsid w:val="000E7745"/>
    <w:rsid w:val="000E7E4E"/>
    <w:rsid w:val="000E7FFD"/>
    <w:rsid w:val="000F00A1"/>
    <w:rsid w:val="000F0131"/>
    <w:rsid w:val="000F02DD"/>
    <w:rsid w:val="000F0573"/>
    <w:rsid w:val="000F05A8"/>
    <w:rsid w:val="000F05C9"/>
    <w:rsid w:val="000F09B4"/>
    <w:rsid w:val="000F0B07"/>
    <w:rsid w:val="000F0E4D"/>
    <w:rsid w:val="000F119F"/>
    <w:rsid w:val="000F1252"/>
    <w:rsid w:val="000F1291"/>
    <w:rsid w:val="000F1548"/>
    <w:rsid w:val="000F1A50"/>
    <w:rsid w:val="000F1AE7"/>
    <w:rsid w:val="000F1C19"/>
    <w:rsid w:val="000F1EE0"/>
    <w:rsid w:val="000F1FDF"/>
    <w:rsid w:val="000F206E"/>
    <w:rsid w:val="000F208C"/>
    <w:rsid w:val="000F2096"/>
    <w:rsid w:val="000F21A4"/>
    <w:rsid w:val="000F2641"/>
    <w:rsid w:val="000F27FE"/>
    <w:rsid w:val="000F28A4"/>
    <w:rsid w:val="000F2A48"/>
    <w:rsid w:val="000F2D93"/>
    <w:rsid w:val="000F315A"/>
    <w:rsid w:val="000F3357"/>
    <w:rsid w:val="000F34FD"/>
    <w:rsid w:val="000F357E"/>
    <w:rsid w:val="000F35D9"/>
    <w:rsid w:val="000F3601"/>
    <w:rsid w:val="000F3955"/>
    <w:rsid w:val="000F398F"/>
    <w:rsid w:val="000F3DCF"/>
    <w:rsid w:val="000F4476"/>
    <w:rsid w:val="000F45EC"/>
    <w:rsid w:val="000F4B8B"/>
    <w:rsid w:val="000F4BFA"/>
    <w:rsid w:val="000F4C41"/>
    <w:rsid w:val="000F4EBA"/>
    <w:rsid w:val="000F50F3"/>
    <w:rsid w:val="000F5245"/>
    <w:rsid w:val="000F5483"/>
    <w:rsid w:val="000F5544"/>
    <w:rsid w:val="000F57AB"/>
    <w:rsid w:val="000F5882"/>
    <w:rsid w:val="000F5B78"/>
    <w:rsid w:val="000F6256"/>
    <w:rsid w:val="000F62FF"/>
    <w:rsid w:val="000F6471"/>
    <w:rsid w:val="000F6899"/>
    <w:rsid w:val="000F69C3"/>
    <w:rsid w:val="000F6A95"/>
    <w:rsid w:val="000F6B4E"/>
    <w:rsid w:val="000F7360"/>
    <w:rsid w:val="000F743D"/>
    <w:rsid w:val="000F74F3"/>
    <w:rsid w:val="000F7726"/>
    <w:rsid w:val="000F79F3"/>
    <w:rsid w:val="000F7DE6"/>
    <w:rsid w:val="000F7E61"/>
    <w:rsid w:val="000F7EDF"/>
    <w:rsid w:val="000F7F16"/>
    <w:rsid w:val="0010004C"/>
    <w:rsid w:val="00100768"/>
    <w:rsid w:val="00100845"/>
    <w:rsid w:val="001008D1"/>
    <w:rsid w:val="00100920"/>
    <w:rsid w:val="00100935"/>
    <w:rsid w:val="00100B1D"/>
    <w:rsid w:val="00100B59"/>
    <w:rsid w:val="00100F1A"/>
    <w:rsid w:val="00100F78"/>
    <w:rsid w:val="001011A4"/>
    <w:rsid w:val="001011AB"/>
    <w:rsid w:val="00101438"/>
    <w:rsid w:val="00101583"/>
    <w:rsid w:val="0010176E"/>
    <w:rsid w:val="00101956"/>
    <w:rsid w:val="00101989"/>
    <w:rsid w:val="00101D3D"/>
    <w:rsid w:val="00102246"/>
    <w:rsid w:val="00102397"/>
    <w:rsid w:val="00102620"/>
    <w:rsid w:val="0010270A"/>
    <w:rsid w:val="00102796"/>
    <w:rsid w:val="00102814"/>
    <w:rsid w:val="00102C52"/>
    <w:rsid w:val="00102C70"/>
    <w:rsid w:val="00102D23"/>
    <w:rsid w:val="00102D25"/>
    <w:rsid w:val="00102DF9"/>
    <w:rsid w:val="00102F9D"/>
    <w:rsid w:val="00103041"/>
    <w:rsid w:val="0010330D"/>
    <w:rsid w:val="001033DA"/>
    <w:rsid w:val="001039A0"/>
    <w:rsid w:val="001039BF"/>
    <w:rsid w:val="00103B14"/>
    <w:rsid w:val="00103CFE"/>
    <w:rsid w:val="00103D05"/>
    <w:rsid w:val="00104007"/>
    <w:rsid w:val="0010408A"/>
    <w:rsid w:val="00104310"/>
    <w:rsid w:val="00104398"/>
    <w:rsid w:val="001046F2"/>
    <w:rsid w:val="001048A9"/>
    <w:rsid w:val="001048CD"/>
    <w:rsid w:val="0010492C"/>
    <w:rsid w:val="00104BA0"/>
    <w:rsid w:val="00104DEC"/>
    <w:rsid w:val="00104F47"/>
    <w:rsid w:val="00105566"/>
    <w:rsid w:val="00105586"/>
    <w:rsid w:val="0010576A"/>
    <w:rsid w:val="00105900"/>
    <w:rsid w:val="00105AF4"/>
    <w:rsid w:val="00105C22"/>
    <w:rsid w:val="00105EC0"/>
    <w:rsid w:val="00105EE8"/>
    <w:rsid w:val="00106038"/>
    <w:rsid w:val="0010604C"/>
    <w:rsid w:val="001061B5"/>
    <w:rsid w:val="00106263"/>
    <w:rsid w:val="001064F2"/>
    <w:rsid w:val="00106644"/>
    <w:rsid w:val="00106826"/>
    <w:rsid w:val="00106B26"/>
    <w:rsid w:val="00106B46"/>
    <w:rsid w:val="00106B65"/>
    <w:rsid w:val="00106FF2"/>
    <w:rsid w:val="00107471"/>
    <w:rsid w:val="001074E7"/>
    <w:rsid w:val="0010786A"/>
    <w:rsid w:val="001078C4"/>
    <w:rsid w:val="00107903"/>
    <w:rsid w:val="00107EAD"/>
    <w:rsid w:val="00107F6F"/>
    <w:rsid w:val="00110360"/>
    <w:rsid w:val="0011040C"/>
    <w:rsid w:val="0011069F"/>
    <w:rsid w:val="001108AC"/>
    <w:rsid w:val="00110B70"/>
    <w:rsid w:val="00110F86"/>
    <w:rsid w:val="0011101A"/>
    <w:rsid w:val="001110C7"/>
    <w:rsid w:val="00111347"/>
    <w:rsid w:val="001114EB"/>
    <w:rsid w:val="001117A0"/>
    <w:rsid w:val="00111968"/>
    <w:rsid w:val="00111A06"/>
    <w:rsid w:val="00111AE1"/>
    <w:rsid w:val="00111B68"/>
    <w:rsid w:val="00111CEE"/>
    <w:rsid w:val="001123C2"/>
    <w:rsid w:val="0011242A"/>
    <w:rsid w:val="001124B6"/>
    <w:rsid w:val="0011270D"/>
    <w:rsid w:val="00112731"/>
    <w:rsid w:val="00112821"/>
    <w:rsid w:val="001128F3"/>
    <w:rsid w:val="00112A08"/>
    <w:rsid w:val="00112D52"/>
    <w:rsid w:val="00112FB8"/>
    <w:rsid w:val="00112FD4"/>
    <w:rsid w:val="0011305F"/>
    <w:rsid w:val="00113581"/>
    <w:rsid w:val="00113ADC"/>
    <w:rsid w:val="00113D86"/>
    <w:rsid w:val="00114154"/>
    <w:rsid w:val="00114174"/>
    <w:rsid w:val="001144AA"/>
    <w:rsid w:val="00114CC8"/>
    <w:rsid w:val="00114D6D"/>
    <w:rsid w:val="00114D95"/>
    <w:rsid w:val="00115249"/>
    <w:rsid w:val="001153E4"/>
    <w:rsid w:val="00115538"/>
    <w:rsid w:val="00115595"/>
    <w:rsid w:val="001159FD"/>
    <w:rsid w:val="00115ADC"/>
    <w:rsid w:val="00115B9A"/>
    <w:rsid w:val="00115C1C"/>
    <w:rsid w:val="0011636D"/>
    <w:rsid w:val="00116A00"/>
    <w:rsid w:val="00116C12"/>
    <w:rsid w:val="00116C5E"/>
    <w:rsid w:val="001173DF"/>
    <w:rsid w:val="00117463"/>
    <w:rsid w:val="0011753E"/>
    <w:rsid w:val="001175B3"/>
    <w:rsid w:val="001175FF"/>
    <w:rsid w:val="00117675"/>
    <w:rsid w:val="00117758"/>
    <w:rsid w:val="001177A8"/>
    <w:rsid w:val="001179FC"/>
    <w:rsid w:val="00117BF2"/>
    <w:rsid w:val="00117FB8"/>
    <w:rsid w:val="00120069"/>
    <w:rsid w:val="001201D1"/>
    <w:rsid w:val="00120316"/>
    <w:rsid w:val="00120608"/>
    <w:rsid w:val="0012069B"/>
    <w:rsid w:val="00120718"/>
    <w:rsid w:val="00120918"/>
    <w:rsid w:val="00120F99"/>
    <w:rsid w:val="00121150"/>
    <w:rsid w:val="00121180"/>
    <w:rsid w:val="00121201"/>
    <w:rsid w:val="0012127B"/>
    <w:rsid w:val="001215E0"/>
    <w:rsid w:val="00121938"/>
    <w:rsid w:val="00121C35"/>
    <w:rsid w:val="00121C8D"/>
    <w:rsid w:val="00121EDB"/>
    <w:rsid w:val="00121EE4"/>
    <w:rsid w:val="00121F42"/>
    <w:rsid w:val="0012215B"/>
    <w:rsid w:val="001223F4"/>
    <w:rsid w:val="001224C0"/>
    <w:rsid w:val="001224F7"/>
    <w:rsid w:val="0012253A"/>
    <w:rsid w:val="0012284B"/>
    <w:rsid w:val="0012294E"/>
    <w:rsid w:val="00122A44"/>
    <w:rsid w:val="00122AB9"/>
    <w:rsid w:val="00122F82"/>
    <w:rsid w:val="00122F8A"/>
    <w:rsid w:val="00123071"/>
    <w:rsid w:val="001238DA"/>
    <w:rsid w:val="00123EA7"/>
    <w:rsid w:val="00123F45"/>
    <w:rsid w:val="00123FDA"/>
    <w:rsid w:val="00124343"/>
    <w:rsid w:val="0012444F"/>
    <w:rsid w:val="00124584"/>
    <w:rsid w:val="00124653"/>
    <w:rsid w:val="001246D0"/>
    <w:rsid w:val="001247CA"/>
    <w:rsid w:val="00124A66"/>
    <w:rsid w:val="00124AAB"/>
    <w:rsid w:val="00124C0A"/>
    <w:rsid w:val="00124C0E"/>
    <w:rsid w:val="00124C3B"/>
    <w:rsid w:val="00124DE9"/>
    <w:rsid w:val="00124EF4"/>
    <w:rsid w:val="0012512C"/>
    <w:rsid w:val="00125537"/>
    <w:rsid w:val="001255AE"/>
    <w:rsid w:val="00125AF1"/>
    <w:rsid w:val="00125DD2"/>
    <w:rsid w:val="001260FD"/>
    <w:rsid w:val="001261C6"/>
    <w:rsid w:val="00126304"/>
    <w:rsid w:val="001265DB"/>
    <w:rsid w:val="00126753"/>
    <w:rsid w:val="00126873"/>
    <w:rsid w:val="001268BE"/>
    <w:rsid w:val="00126B01"/>
    <w:rsid w:val="00126C6C"/>
    <w:rsid w:val="00126ED2"/>
    <w:rsid w:val="00127384"/>
    <w:rsid w:val="00127D4A"/>
    <w:rsid w:val="00127D81"/>
    <w:rsid w:val="00127EE0"/>
    <w:rsid w:val="00127EF8"/>
    <w:rsid w:val="0013018D"/>
    <w:rsid w:val="00130493"/>
    <w:rsid w:val="00130498"/>
    <w:rsid w:val="0013057A"/>
    <w:rsid w:val="0013058B"/>
    <w:rsid w:val="001306E0"/>
    <w:rsid w:val="001308DC"/>
    <w:rsid w:val="00130992"/>
    <w:rsid w:val="00130B34"/>
    <w:rsid w:val="00130B4C"/>
    <w:rsid w:val="00130B5E"/>
    <w:rsid w:val="00130C4A"/>
    <w:rsid w:val="00130E6A"/>
    <w:rsid w:val="001310D5"/>
    <w:rsid w:val="001312AF"/>
    <w:rsid w:val="001315E7"/>
    <w:rsid w:val="00131698"/>
    <w:rsid w:val="001317B7"/>
    <w:rsid w:val="00131949"/>
    <w:rsid w:val="00131A12"/>
    <w:rsid w:val="00131A99"/>
    <w:rsid w:val="00131C71"/>
    <w:rsid w:val="00131EB2"/>
    <w:rsid w:val="00131F3B"/>
    <w:rsid w:val="00132050"/>
    <w:rsid w:val="00132354"/>
    <w:rsid w:val="00132678"/>
    <w:rsid w:val="001327AA"/>
    <w:rsid w:val="00132B75"/>
    <w:rsid w:val="00132BDB"/>
    <w:rsid w:val="00132E1D"/>
    <w:rsid w:val="001331BB"/>
    <w:rsid w:val="00133286"/>
    <w:rsid w:val="0013389A"/>
    <w:rsid w:val="00133B82"/>
    <w:rsid w:val="00133CF9"/>
    <w:rsid w:val="0013407C"/>
    <w:rsid w:val="0013455C"/>
    <w:rsid w:val="00134ABB"/>
    <w:rsid w:val="00134DCB"/>
    <w:rsid w:val="001350C7"/>
    <w:rsid w:val="00135248"/>
    <w:rsid w:val="0013527E"/>
    <w:rsid w:val="0013569D"/>
    <w:rsid w:val="00135730"/>
    <w:rsid w:val="001357B2"/>
    <w:rsid w:val="00135C85"/>
    <w:rsid w:val="00135E88"/>
    <w:rsid w:val="00136298"/>
    <w:rsid w:val="001362D5"/>
    <w:rsid w:val="00136393"/>
    <w:rsid w:val="00136751"/>
    <w:rsid w:val="0013695F"/>
    <w:rsid w:val="00136C3B"/>
    <w:rsid w:val="00136EC7"/>
    <w:rsid w:val="001370CF"/>
    <w:rsid w:val="001373A4"/>
    <w:rsid w:val="00137CD4"/>
    <w:rsid w:val="0014002F"/>
    <w:rsid w:val="00140165"/>
    <w:rsid w:val="0014079B"/>
    <w:rsid w:val="001407C2"/>
    <w:rsid w:val="001408A2"/>
    <w:rsid w:val="00140BB7"/>
    <w:rsid w:val="00140C64"/>
    <w:rsid w:val="00140C70"/>
    <w:rsid w:val="00140CF0"/>
    <w:rsid w:val="00140E0C"/>
    <w:rsid w:val="00140E40"/>
    <w:rsid w:val="00140EF9"/>
    <w:rsid w:val="00140F1F"/>
    <w:rsid w:val="00140F6D"/>
    <w:rsid w:val="00140FAE"/>
    <w:rsid w:val="0014121C"/>
    <w:rsid w:val="0014122E"/>
    <w:rsid w:val="001412AC"/>
    <w:rsid w:val="0014131E"/>
    <w:rsid w:val="00141500"/>
    <w:rsid w:val="00141519"/>
    <w:rsid w:val="00141542"/>
    <w:rsid w:val="00141BDD"/>
    <w:rsid w:val="0014211C"/>
    <w:rsid w:val="00142222"/>
    <w:rsid w:val="001423FF"/>
    <w:rsid w:val="0014240A"/>
    <w:rsid w:val="001425C3"/>
    <w:rsid w:val="001425E8"/>
    <w:rsid w:val="001426F3"/>
    <w:rsid w:val="001427E8"/>
    <w:rsid w:val="00142800"/>
    <w:rsid w:val="001428DA"/>
    <w:rsid w:val="00143097"/>
    <w:rsid w:val="00143425"/>
    <w:rsid w:val="001437ED"/>
    <w:rsid w:val="0014390D"/>
    <w:rsid w:val="0014422B"/>
    <w:rsid w:val="001442FD"/>
    <w:rsid w:val="001443E6"/>
    <w:rsid w:val="00144593"/>
    <w:rsid w:val="001447BA"/>
    <w:rsid w:val="00144852"/>
    <w:rsid w:val="00144CB1"/>
    <w:rsid w:val="00144D56"/>
    <w:rsid w:val="00144DAB"/>
    <w:rsid w:val="00144FD2"/>
    <w:rsid w:val="00145032"/>
    <w:rsid w:val="001450FE"/>
    <w:rsid w:val="001459C4"/>
    <w:rsid w:val="001459F7"/>
    <w:rsid w:val="00145F0E"/>
    <w:rsid w:val="00145FE3"/>
    <w:rsid w:val="0014601F"/>
    <w:rsid w:val="00146540"/>
    <w:rsid w:val="0014660A"/>
    <w:rsid w:val="001466CA"/>
    <w:rsid w:val="001467FE"/>
    <w:rsid w:val="0014687A"/>
    <w:rsid w:val="00146895"/>
    <w:rsid w:val="0014689D"/>
    <w:rsid w:val="00146D98"/>
    <w:rsid w:val="00146DCA"/>
    <w:rsid w:val="00146DD1"/>
    <w:rsid w:val="00146E47"/>
    <w:rsid w:val="00146FDB"/>
    <w:rsid w:val="00147028"/>
    <w:rsid w:val="001472CB"/>
    <w:rsid w:val="00147671"/>
    <w:rsid w:val="00147719"/>
    <w:rsid w:val="001477EC"/>
    <w:rsid w:val="0014783E"/>
    <w:rsid w:val="001502DE"/>
    <w:rsid w:val="00150384"/>
    <w:rsid w:val="00150954"/>
    <w:rsid w:val="00150CE9"/>
    <w:rsid w:val="00150F89"/>
    <w:rsid w:val="00150FC3"/>
    <w:rsid w:val="001510EC"/>
    <w:rsid w:val="001512D5"/>
    <w:rsid w:val="001513C5"/>
    <w:rsid w:val="0015167C"/>
    <w:rsid w:val="00151AD1"/>
    <w:rsid w:val="00151BB8"/>
    <w:rsid w:val="00151C58"/>
    <w:rsid w:val="00151C97"/>
    <w:rsid w:val="0015239F"/>
    <w:rsid w:val="0015242D"/>
    <w:rsid w:val="0015260F"/>
    <w:rsid w:val="0015261B"/>
    <w:rsid w:val="001526D9"/>
    <w:rsid w:val="00152D84"/>
    <w:rsid w:val="00152D98"/>
    <w:rsid w:val="00152DC4"/>
    <w:rsid w:val="00152DF3"/>
    <w:rsid w:val="00152E7C"/>
    <w:rsid w:val="00152E83"/>
    <w:rsid w:val="00152EF3"/>
    <w:rsid w:val="00152F93"/>
    <w:rsid w:val="0015356B"/>
    <w:rsid w:val="00153702"/>
    <w:rsid w:val="001539FD"/>
    <w:rsid w:val="00154037"/>
    <w:rsid w:val="001544C1"/>
    <w:rsid w:val="001544DE"/>
    <w:rsid w:val="001544F0"/>
    <w:rsid w:val="0015457D"/>
    <w:rsid w:val="00154910"/>
    <w:rsid w:val="00154F0A"/>
    <w:rsid w:val="001551F5"/>
    <w:rsid w:val="0015546A"/>
    <w:rsid w:val="0015563D"/>
    <w:rsid w:val="00155AE8"/>
    <w:rsid w:val="00155C73"/>
    <w:rsid w:val="00155C75"/>
    <w:rsid w:val="0015614C"/>
    <w:rsid w:val="00156216"/>
    <w:rsid w:val="00156357"/>
    <w:rsid w:val="00156374"/>
    <w:rsid w:val="00156501"/>
    <w:rsid w:val="001565BF"/>
    <w:rsid w:val="00156BA8"/>
    <w:rsid w:val="00157019"/>
    <w:rsid w:val="00157023"/>
    <w:rsid w:val="001575CE"/>
    <w:rsid w:val="00157972"/>
    <w:rsid w:val="00157A14"/>
    <w:rsid w:val="00157B29"/>
    <w:rsid w:val="00157B5D"/>
    <w:rsid w:val="00157DAA"/>
    <w:rsid w:val="001600A2"/>
    <w:rsid w:val="00160272"/>
    <w:rsid w:val="00160B36"/>
    <w:rsid w:val="00160C16"/>
    <w:rsid w:val="00160CE3"/>
    <w:rsid w:val="00160CF3"/>
    <w:rsid w:val="00161276"/>
    <w:rsid w:val="00161296"/>
    <w:rsid w:val="001614F6"/>
    <w:rsid w:val="00161664"/>
    <w:rsid w:val="001616CA"/>
    <w:rsid w:val="001619E2"/>
    <w:rsid w:val="00161A43"/>
    <w:rsid w:val="001621E3"/>
    <w:rsid w:val="001621E9"/>
    <w:rsid w:val="001624B7"/>
    <w:rsid w:val="0016292D"/>
    <w:rsid w:val="00162AC2"/>
    <w:rsid w:val="00162DB2"/>
    <w:rsid w:val="0016309E"/>
    <w:rsid w:val="001636D5"/>
    <w:rsid w:val="00163737"/>
    <w:rsid w:val="00163751"/>
    <w:rsid w:val="0016383B"/>
    <w:rsid w:val="00163886"/>
    <w:rsid w:val="00163B50"/>
    <w:rsid w:val="00163C41"/>
    <w:rsid w:val="00163CCD"/>
    <w:rsid w:val="00163EA8"/>
    <w:rsid w:val="00163FE5"/>
    <w:rsid w:val="0016413D"/>
    <w:rsid w:val="001641B7"/>
    <w:rsid w:val="00164485"/>
    <w:rsid w:val="0016467F"/>
    <w:rsid w:val="001648DE"/>
    <w:rsid w:val="001648FB"/>
    <w:rsid w:val="001649FD"/>
    <w:rsid w:val="00164E0B"/>
    <w:rsid w:val="00165143"/>
    <w:rsid w:val="001654ED"/>
    <w:rsid w:val="00165A30"/>
    <w:rsid w:val="00165B1D"/>
    <w:rsid w:val="00165C0A"/>
    <w:rsid w:val="00165C3B"/>
    <w:rsid w:val="00166267"/>
    <w:rsid w:val="00166577"/>
    <w:rsid w:val="00166874"/>
    <w:rsid w:val="0016690F"/>
    <w:rsid w:val="00166B89"/>
    <w:rsid w:val="00166BCB"/>
    <w:rsid w:val="0016704A"/>
    <w:rsid w:val="001674BB"/>
    <w:rsid w:val="00167516"/>
    <w:rsid w:val="00167616"/>
    <w:rsid w:val="001676EF"/>
    <w:rsid w:val="00167896"/>
    <w:rsid w:val="00167CEB"/>
    <w:rsid w:val="00167D45"/>
    <w:rsid w:val="00167DE7"/>
    <w:rsid w:val="00167DF9"/>
    <w:rsid w:val="00167FCC"/>
    <w:rsid w:val="00170190"/>
    <w:rsid w:val="001703E4"/>
    <w:rsid w:val="0017056F"/>
    <w:rsid w:val="00170623"/>
    <w:rsid w:val="00170756"/>
    <w:rsid w:val="00170850"/>
    <w:rsid w:val="00170875"/>
    <w:rsid w:val="00170A7F"/>
    <w:rsid w:val="00170B5C"/>
    <w:rsid w:val="00170ED3"/>
    <w:rsid w:val="00170F98"/>
    <w:rsid w:val="00171137"/>
    <w:rsid w:val="00171264"/>
    <w:rsid w:val="00171365"/>
    <w:rsid w:val="00171585"/>
    <w:rsid w:val="0017180B"/>
    <w:rsid w:val="0017195A"/>
    <w:rsid w:val="00171AC7"/>
    <w:rsid w:val="00171DF0"/>
    <w:rsid w:val="0017202F"/>
    <w:rsid w:val="0017212D"/>
    <w:rsid w:val="0017217B"/>
    <w:rsid w:val="00172245"/>
    <w:rsid w:val="0017237A"/>
    <w:rsid w:val="00172415"/>
    <w:rsid w:val="001725CD"/>
    <w:rsid w:val="00172611"/>
    <w:rsid w:val="00172BD4"/>
    <w:rsid w:val="00172BF3"/>
    <w:rsid w:val="00172CBE"/>
    <w:rsid w:val="00172D88"/>
    <w:rsid w:val="0017323E"/>
    <w:rsid w:val="0017348C"/>
    <w:rsid w:val="00173781"/>
    <w:rsid w:val="00173805"/>
    <w:rsid w:val="00173B09"/>
    <w:rsid w:val="00173BE7"/>
    <w:rsid w:val="00174260"/>
    <w:rsid w:val="00174B3C"/>
    <w:rsid w:val="00174D03"/>
    <w:rsid w:val="00174F17"/>
    <w:rsid w:val="00174F43"/>
    <w:rsid w:val="001750A6"/>
    <w:rsid w:val="00175486"/>
    <w:rsid w:val="0017591C"/>
    <w:rsid w:val="0017595B"/>
    <w:rsid w:val="001759C6"/>
    <w:rsid w:val="00176089"/>
    <w:rsid w:val="00176124"/>
    <w:rsid w:val="00176169"/>
    <w:rsid w:val="00176661"/>
    <w:rsid w:val="001766D4"/>
    <w:rsid w:val="00176863"/>
    <w:rsid w:val="001768BC"/>
    <w:rsid w:val="00176E10"/>
    <w:rsid w:val="0017720B"/>
    <w:rsid w:val="0017721E"/>
    <w:rsid w:val="00177667"/>
    <w:rsid w:val="00177743"/>
    <w:rsid w:val="00177AC2"/>
    <w:rsid w:val="0017962C"/>
    <w:rsid w:val="00180575"/>
    <w:rsid w:val="0018089F"/>
    <w:rsid w:val="001808F3"/>
    <w:rsid w:val="00180ECB"/>
    <w:rsid w:val="00180FCC"/>
    <w:rsid w:val="0018122B"/>
    <w:rsid w:val="001813DC"/>
    <w:rsid w:val="00181715"/>
    <w:rsid w:val="00181BDC"/>
    <w:rsid w:val="00181C43"/>
    <w:rsid w:val="00181D4B"/>
    <w:rsid w:val="001823D9"/>
    <w:rsid w:val="00182528"/>
    <w:rsid w:val="00182855"/>
    <w:rsid w:val="00182A5C"/>
    <w:rsid w:val="0018346E"/>
    <w:rsid w:val="00183550"/>
    <w:rsid w:val="001835BF"/>
    <w:rsid w:val="0018361F"/>
    <w:rsid w:val="001837ED"/>
    <w:rsid w:val="001839C9"/>
    <w:rsid w:val="00183A1E"/>
    <w:rsid w:val="00183B8F"/>
    <w:rsid w:val="00183BDA"/>
    <w:rsid w:val="00183D25"/>
    <w:rsid w:val="0018406C"/>
    <w:rsid w:val="00184271"/>
    <w:rsid w:val="00184354"/>
    <w:rsid w:val="001844B7"/>
    <w:rsid w:val="0018451F"/>
    <w:rsid w:val="0018464B"/>
    <w:rsid w:val="00184715"/>
    <w:rsid w:val="00184A6A"/>
    <w:rsid w:val="00184B56"/>
    <w:rsid w:val="00184FA0"/>
    <w:rsid w:val="00185208"/>
    <w:rsid w:val="001852D0"/>
    <w:rsid w:val="0018583E"/>
    <w:rsid w:val="00185895"/>
    <w:rsid w:val="00185938"/>
    <w:rsid w:val="00185F9C"/>
    <w:rsid w:val="00185F9F"/>
    <w:rsid w:val="00186421"/>
    <w:rsid w:val="00186A99"/>
    <w:rsid w:val="0018705A"/>
    <w:rsid w:val="00187066"/>
    <w:rsid w:val="00187250"/>
    <w:rsid w:val="001873C8"/>
    <w:rsid w:val="001875F5"/>
    <w:rsid w:val="00187A1C"/>
    <w:rsid w:val="00187A60"/>
    <w:rsid w:val="00187B49"/>
    <w:rsid w:val="00187BC7"/>
    <w:rsid w:val="00187C51"/>
    <w:rsid w:val="0019002C"/>
    <w:rsid w:val="001904F1"/>
    <w:rsid w:val="00190795"/>
    <w:rsid w:val="001907DD"/>
    <w:rsid w:val="00190809"/>
    <w:rsid w:val="001908EA"/>
    <w:rsid w:val="001908F0"/>
    <w:rsid w:val="001908F1"/>
    <w:rsid w:val="00190D91"/>
    <w:rsid w:val="00190F5F"/>
    <w:rsid w:val="00191027"/>
    <w:rsid w:val="0019113E"/>
    <w:rsid w:val="001912DA"/>
    <w:rsid w:val="00191349"/>
    <w:rsid w:val="00191464"/>
    <w:rsid w:val="001914A4"/>
    <w:rsid w:val="00191538"/>
    <w:rsid w:val="001917C0"/>
    <w:rsid w:val="0019192B"/>
    <w:rsid w:val="00191B63"/>
    <w:rsid w:val="00191D48"/>
    <w:rsid w:val="00191EBF"/>
    <w:rsid w:val="00191FA1"/>
    <w:rsid w:val="00192105"/>
    <w:rsid w:val="001926C6"/>
    <w:rsid w:val="001927DE"/>
    <w:rsid w:val="00192C1A"/>
    <w:rsid w:val="00192CC3"/>
    <w:rsid w:val="00192D2F"/>
    <w:rsid w:val="00193090"/>
    <w:rsid w:val="00193234"/>
    <w:rsid w:val="00193333"/>
    <w:rsid w:val="001935C8"/>
    <w:rsid w:val="001937A3"/>
    <w:rsid w:val="00193E8D"/>
    <w:rsid w:val="00193F4C"/>
    <w:rsid w:val="001940D6"/>
    <w:rsid w:val="001941B2"/>
    <w:rsid w:val="001942E9"/>
    <w:rsid w:val="001945CE"/>
    <w:rsid w:val="001946C9"/>
    <w:rsid w:val="00194716"/>
    <w:rsid w:val="001949DC"/>
    <w:rsid w:val="00194BFA"/>
    <w:rsid w:val="00194E56"/>
    <w:rsid w:val="00194FC2"/>
    <w:rsid w:val="00195146"/>
    <w:rsid w:val="00195391"/>
    <w:rsid w:val="0019553C"/>
    <w:rsid w:val="00195602"/>
    <w:rsid w:val="00195652"/>
    <w:rsid w:val="0019569A"/>
    <w:rsid w:val="00195734"/>
    <w:rsid w:val="00195934"/>
    <w:rsid w:val="00195DD6"/>
    <w:rsid w:val="00195F7A"/>
    <w:rsid w:val="0019634C"/>
    <w:rsid w:val="001963DA"/>
    <w:rsid w:val="00196613"/>
    <w:rsid w:val="00196946"/>
    <w:rsid w:val="00196B99"/>
    <w:rsid w:val="00196CC7"/>
    <w:rsid w:val="00196F84"/>
    <w:rsid w:val="0019712A"/>
    <w:rsid w:val="0019767F"/>
    <w:rsid w:val="0019796E"/>
    <w:rsid w:val="00197B0E"/>
    <w:rsid w:val="001A0123"/>
    <w:rsid w:val="001A0270"/>
    <w:rsid w:val="001A040D"/>
    <w:rsid w:val="001A08A1"/>
    <w:rsid w:val="001A0925"/>
    <w:rsid w:val="001A0930"/>
    <w:rsid w:val="001A096A"/>
    <w:rsid w:val="001A0B4D"/>
    <w:rsid w:val="001A0EDF"/>
    <w:rsid w:val="001A12B6"/>
    <w:rsid w:val="001A12C8"/>
    <w:rsid w:val="001A1445"/>
    <w:rsid w:val="001A1659"/>
    <w:rsid w:val="001A16CD"/>
    <w:rsid w:val="001A1788"/>
    <w:rsid w:val="001A183D"/>
    <w:rsid w:val="001A1899"/>
    <w:rsid w:val="001A1BF5"/>
    <w:rsid w:val="001A1CFB"/>
    <w:rsid w:val="001A1D89"/>
    <w:rsid w:val="001A1D9A"/>
    <w:rsid w:val="001A1E9C"/>
    <w:rsid w:val="001A1FB9"/>
    <w:rsid w:val="001A24E8"/>
    <w:rsid w:val="001A2697"/>
    <w:rsid w:val="001A27CD"/>
    <w:rsid w:val="001A2B43"/>
    <w:rsid w:val="001A2BD2"/>
    <w:rsid w:val="001A2EC4"/>
    <w:rsid w:val="001A2F8C"/>
    <w:rsid w:val="001A3273"/>
    <w:rsid w:val="001A33E6"/>
    <w:rsid w:val="001A3407"/>
    <w:rsid w:val="001A3483"/>
    <w:rsid w:val="001A34E0"/>
    <w:rsid w:val="001A4177"/>
    <w:rsid w:val="001A4209"/>
    <w:rsid w:val="001A44FD"/>
    <w:rsid w:val="001A4504"/>
    <w:rsid w:val="001A4505"/>
    <w:rsid w:val="001A491E"/>
    <w:rsid w:val="001A4AA1"/>
    <w:rsid w:val="001A4BE8"/>
    <w:rsid w:val="001A51DA"/>
    <w:rsid w:val="001A52A6"/>
    <w:rsid w:val="001A55C3"/>
    <w:rsid w:val="001A57F9"/>
    <w:rsid w:val="001A5994"/>
    <w:rsid w:val="001A5F13"/>
    <w:rsid w:val="001A6233"/>
    <w:rsid w:val="001A64CF"/>
    <w:rsid w:val="001A64D1"/>
    <w:rsid w:val="001A6865"/>
    <w:rsid w:val="001A6CEB"/>
    <w:rsid w:val="001A6FB3"/>
    <w:rsid w:val="001A7324"/>
    <w:rsid w:val="001A73A1"/>
    <w:rsid w:val="001A7697"/>
    <w:rsid w:val="001A7803"/>
    <w:rsid w:val="001A7CBA"/>
    <w:rsid w:val="001A7E6A"/>
    <w:rsid w:val="001A7FF3"/>
    <w:rsid w:val="001B031D"/>
    <w:rsid w:val="001B051F"/>
    <w:rsid w:val="001B087B"/>
    <w:rsid w:val="001B0933"/>
    <w:rsid w:val="001B0A14"/>
    <w:rsid w:val="001B0A78"/>
    <w:rsid w:val="001B0BAB"/>
    <w:rsid w:val="001B0BD0"/>
    <w:rsid w:val="001B0D86"/>
    <w:rsid w:val="001B0DBC"/>
    <w:rsid w:val="001B118C"/>
    <w:rsid w:val="001B12E5"/>
    <w:rsid w:val="001B13BA"/>
    <w:rsid w:val="001B1826"/>
    <w:rsid w:val="001B1A50"/>
    <w:rsid w:val="001B1DCC"/>
    <w:rsid w:val="001B1DF3"/>
    <w:rsid w:val="001B2429"/>
    <w:rsid w:val="001B2442"/>
    <w:rsid w:val="001B28AF"/>
    <w:rsid w:val="001B28F5"/>
    <w:rsid w:val="001B2ABD"/>
    <w:rsid w:val="001B2C06"/>
    <w:rsid w:val="001B2C34"/>
    <w:rsid w:val="001B2CB0"/>
    <w:rsid w:val="001B325A"/>
    <w:rsid w:val="001B353C"/>
    <w:rsid w:val="001B3573"/>
    <w:rsid w:val="001B362D"/>
    <w:rsid w:val="001B3AB6"/>
    <w:rsid w:val="001B3C0C"/>
    <w:rsid w:val="001B3C34"/>
    <w:rsid w:val="001B3D8C"/>
    <w:rsid w:val="001B3E8E"/>
    <w:rsid w:val="001B40C8"/>
    <w:rsid w:val="001B446A"/>
    <w:rsid w:val="001B44A4"/>
    <w:rsid w:val="001B45EE"/>
    <w:rsid w:val="001B4B53"/>
    <w:rsid w:val="001B4C8F"/>
    <w:rsid w:val="001B50AF"/>
    <w:rsid w:val="001B564D"/>
    <w:rsid w:val="001B5A62"/>
    <w:rsid w:val="001B5BB2"/>
    <w:rsid w:val="001B5C86"/>
    <w:rsid w:val="001B5CA3"/>
    <w:rsid w:val="001B64F6"/>
    <w:rsid w:val="001B6650"/>
    <w:rsid w:val="001B68D9"/>
    <w:rsid w:val="001B6A1E"/>
    <w:rsid w:val="001B6AF0"/>
    <w:rsid w:val="001B6B48"/>
    <w:rsid w:val="001B6E62"/>
    <w:rsid w:val="001B6F2D"/>
    <w:rsid w:val="001B782E"/>
    <w:rsid w:val="001B7E1C"/>
    <w:rsid w:val="001B7F9F"/>
    <w:rsid w:val="001BA58B"/>
    <w:rsid w:val="001C0032"/>
    <w:rsid w:val="001C00A7"/>
    <w:rsid w:val="001C0274"/>
    <w:rsid w:val="001C04A9"/>
    <w:rsid w:val="001C04FD"/>
    <w:rsid w:val="001C05BB"/>
    <w:rsid w:val="001C0780"/>
    <w:rsid w:val="001C0EDC"/>
    <w:rsid w:val="001C0F6A"/>
    <w:rsid w:val="001C14B7"/>
    <w:rsid w:val="001C160B"/>
    <w:rsid w:val="001C1842"/>
    <w:rsid w:val="001C1CF6"/>
    <w:rsid w:val="001C1D50"/>
    <w:rsid w:val="001C1D9F"/>
    <w:rsid w:val="001C2049"/>
    <w:rsid w:val="001C20D4"/>
    <w:rsid w:val="001C21BC"/>
    <w:rsid w:val="001C28D7"/>
    <w:rsid w:val="001C2A7D"/>
    <w:rsid w:val="001C2A7E"/>
    <w:rsid w:val="001C2D7F"/>
    <w:rsid w:val="001C2F53"/>
    <w:rsid w:val="001C3179"/>
    <w:rsid w:val="001C36CA"/>
    <w:rsid w:val="001C3998"/>
    <w:rsid w:val="001C3BB9"/>
    <w:rsid w:val="001C3DF4"/>
    <w:rsid w:val="001C4327"/>
    <w:rsid w:val="001C4441"/>
    <w:rsid w:val="001C44D0"/>
    <w:rsid w:val="001C451D"/>
    <w:rsid w:val="001C4C1D"/>
    <w:rsid w:val="001C4D49"/>
    <w:rsid w:val="001C5084"/>
    <w:rsid w:val="001C5511"/>
    <w:rsid w:val="001C5B9A"/>
    <w:rsid w:val="001C5D32"/>
    <w:rsid w:val="001C5D54"/>
    <w:rsid w:val="001C5E82"/>
    <w:rsid w:val="001C5FD8"/>
    <w:rsid w:val="001C6482"/>
    <w:rsid w:val="001C6699"/>
    <w:rsid w:val="001C6771"/>
    <w:rsid w:val="001C695E"/>
    <w:rsid w:val="001C6AAE"/>
    <w:rsid w:val="001C6D50"/>
    <w:rsid w:val="001C6D84"/>
    <w:rsid w:val="001C6EE1"/>
    <w:rsid w:val="001C75E9"/>
    <w:rsid w:val="001C7710"/>
    <w:rsid w:val="001C77F4"/>
    <w:rsid w:val="001C7FEB"/>
    <w:rsid w:val="001D00CB"/>
    <w:rsid w:val="001D0136"/>
    <w:rsid w:val="001D055F"/>
    <w:rsid w:val="001D0565"/>
    <w:rsid w:val="001D08DA"/>
    <w:rsid w:val="001D095F"/>
    <w:rsid w:val="001D0A1F"/>
    <w:rsid w:val="001D0A36"/>
    <w:rsid w:val="001D0E34"/>
    <w:rsid w:val="001D0E77"/>
    <w:rsid w:val="001D10F2"/>
    <w:rsid w:val="001D1433"/>
    <w:rsid w:val="001D1968"/>
    <w:rsid w:val="001D1B3F"/>
    <w:rsid w:val="001D1C32"/>
    <w:rsid w:val="001D1DF7"/>
    <w:rsid w:val="001D1FC5"/>
    <w:rsid w:val="001D20C2"/>
    <w:rsid w:val="001D2424"/>
    <w:rsid w:val="001D251A"/>
    <w:rsid w:val="001D2614"/>
    <w:rsid w:val="001D2A0C"/>
    <w:rsid w:val="001D2ADB"/>
    <w:rsid w:val="001D2CD7"/>
    <w:rsid w:val="001D2D57"/>
    <w:rsid w:val="001D2E52"/>
    <w:rsid w:val="001D2FD5"/>
    <w:rsid w:val="001D3480"/>
    <w:rsid w:val="001D38CD"/>
    <w:rsid w:val="001D3C4C"/>
    <w:rsid w:val="001D3CA5"/>
    <w:rsid w:val="001D3CF3"/>
    <w:rsid w:val="001D3DBF"/>
    <w:rsid w:val="001D459A"/>
    <w:rsid w:val="001D460B"/>
    <w:rsid w:val="001D495E"/>
    <w:rsid w:val="001D4963"/>
    <w:rsid w:val="001D4B5D"/>
    <w:rsid w:val="001D4BDA"/>
    <w:rsid w:val="001D50A1"/>
    <w:rsid w:val="001D5266"/>
    <w:rsid w:val="001D53B6"/>
    <w:rsid w:val="001D57C4"/>
    <w:rsid w:val="001D584D"/>
    <w:rsid w:val="001D5C1D"/>
    <w:rsid w:val="001D5FE3"/>
    <w:rsid w:val="001D6412"/>
    <w:rsid w:val="001D6637"/>
    <w:rsid w:val="001D676C"/>
    <w:rsid w:val="001D68B4"/>
    <w:rsid w:val="001D699E"/>
    <w:rsid w:val="001D69D6"/>
    <w:rsid w:val="001D6A98"/>
    <w:rsid w:val="001D6C61"/>
    <w:rsid w:val="001D6C9F"/>
    <w:rsid w:val="001D6CEF"/>
    <w:rsid w:val="001D6D78"/>
    <w:rsid w:val="001D6E55"/>
    <w:rsid w:val="001D71F5"/>
    <w:rsid w:val="001D77B1"/>
    <w:rsid w:val="001D793E"/>
    <w:rsid w:val="001D798D"/>
    <w:rsid w:val="001D7A29"/>
    <w:rsid w:val="001D7C7C"/>
    <w:rsid w:val="001D7D0D"/>
    <w:rsid w:val="001E023C"/>
    <w:rsid w:val="001E03F8"/>
    <w:rsid w:val="001E0490"/>
    <w:rsid w:val="001E0734"/>
    <w:rsid w:val="001E0D35"/>
    <w:rsid w:val="001E0F93"/>
    <w:rsid w:val="001E10B7"/>
    <w:rsid w:val="001E123E"/>
    <w:rsid w:val="001E1240"/>
    <w:rsid w:val="001E1611"/>
    <w:rsid w:val="001E16FF"/>
    <w:rsid w:val="001E1961"/>
    <w:rsid w:val="001E198F"/>
    <w:rsid w:val="001E1D52"/>
    <w:rsid w:val="001E1DF0"/>
    <w:rsid w:val="001E2053"/>
    <w:rsid w:val="001E232D"/>
    <w:rsid w:val="001E2691"/>
    <w:rsid w:val="001E2852"/>
    <w:rsid w:val="001E28DE"/>
    <w:rsid w:val="001E2902"/>
    <w:rsid w:val="001E29C8"/>
    <w:rsid w:val="001E29DD"/>
    <w:rsid w:val="001E2ADC"/>
    <w:rsid w:val="001E2CA2"/>
    <w:rsid w:val="001E2EC2"/>
    <w:rsid w:val="001E2F0E"/>
    <w:rsid w:val="001E30A9"/>
    <w:rsid w:val="001E324E"/>
    <w:rsid w:val="001E3363"/>
    <w:rsid w:val="001E341D"/>
    <w:rsid w:val="001E34B4"/>
    <w:rsid w:val="001E374C"/>
    <w:rsid w:val="001E3EAF"/>
    <w:rsid w:val="001E401C"/>
    <w:rsid w:val="001E40AF"/>
    <w:rsid w:val="001E418A"/>
    <w:rsid w:val="001E4206"/>
    <w:rsid w:val="001E430F"/>
    <w:rsid w:val="001E4562"/>
    <w:rsid w:val="001E45A4"/>
    <w:rsid w:val="001E4620"/>
    <w:rsid w:val="001E4670"/>
    <w:rsid w:val="001E4785"/>
    <w:rsid w:val="001E4882"/>
    <w:rsid w:val="001E4A2D"/>
    <w:rsid w:val="001E4D63"/>
    <w:rsid w:val="001E4E17"/>
    <w:rsid w:val="001E4F69"/>
    <w:rsid w:val="001E5446"/>
    <w:rsid w:val="001E5486"/>
    <w:rsid w:val="001E5507"/>
    <w:rsid w:val="001E56AA"/>
    <w:rsid w:val="001E5A2D"/>
    <w:rsid w:val="001E5D2B"/>
    <w:rsid w:val="001E5DBF"/>
    <w:rsid w:val="001E6456"/>
    <w:rsid w:val="001E6553"/>
    <w:rsid w:val="001E6668"/>
    <w:rsid w:val="001E6672"/>
    <w:rsid w:val="001E66D9"/>
    <w:rsid w:val="001E6A49"/>
    <w:rsid w:val="001E6D0E"/>
    <w:rsid w:val="001E6E94"/>
    <w:rsid w:val="001E7021"/>
    <w:rsid w:val="001E70B4"/>
    <w:rsid w:val="001E70EA"/>
    <w:rsid w:val="001E73BF"/>
    <w:rsid w:val="001E76BF"/>
    <w:rsid w:val="001E779A"/>
    <w:rsid w:val="001E7B22"/>
    <w:rsid w:val="001E7D36"/>
    <w:rsid w:val="001E7E93"/>
    <w:rsid w:val="001E7ED3"/>
    <w:rsid w:val="001F0113"/>
    <w:rsid w:val="001F0119"/>
    <w:rsid w:val="001F0140"/>
    <w:rsid w:val="001F020E"/>
    <w:rsid w:val="001F061E"/>
    <w:rsid w:val="001F0821"/>
    <w:rsid w:val="001F08F9"/>
    <w:rsid w:val="001F0EDB"/>
    <w:rsid w:val="001F0F38"/>
    <w:rsid w:val="001F1046"/>
    <w:rsid w:val="001F13E7"/>
    <w:rsid w:val="001F16E9"/>
    <w:rsid w:val="001F17F1"/>
    <w:rsid w:val="001F182D"/>
    <w:rsid w:val="001F1A05"/>
    <w:rsid w:val="001F1D45"/>
    <w:rsid w:val="001F1E29"/>
    <w:rsid w:val="001F205E"/>
    <w:rsid w:val="001F2060"/>
    <w:rsid w:val="001F221B"/>
    <w:rsid w:val="001F27A9"/>
    <w:rsid w:val="001F29A6"/>
    <w:rsid w:val="001F2A57"/>
    <w:rsid w:val="001F2B32"/>
    <w:rsid w:val="001F2C5B"/>
    <w:rsid w:val="001F2E6E"/>
    <w:rsid w:val="001F3242"/>
    <w:rsid w:val="001F36E7"/>
    <w:rsid w:val="001F38C7"/>
    <w:rsid w:val="001F3D84"/>
    <w:rsid w:val="001F4165"/>
    <w:rsid w:val="001F42B3"/>
    <w:rsid w:val="001F46AC"/>
    <w:rsid w:val="001F477A"/>
    <w:rsid w:val="001F47E3"/>
    <w:rsid w:val="001F48D5"/>
    <w:rsid w:val="001F4922"/>
    <w:rsid w:val="001F4FA8"/>
    <w:rsid w:val="001F5282"/>
    <w:rsid w:val="001F52EF"/>
    <w:rsid w:val="001F5BBF"/>
    <w:rsid w:val="001F5DD9"/>
    <w:rsid w:val="001F60A9"/>
    <w:rsid w:val="001F60FD"/>
    <w:rsid w:val="001F6344"/>
    <w:rsid w:val="001F6418"/>
    <w:rsid w:val="001F6860"/>
    <w:rsid w:val="001F6ED1"/>
    <w:rsid w:val="001F71C7"/>
    <w:rsid w:val="001F7366"/>
    <w:rsid w:val="001F7387"/>
    <w:rsid w:val="001F76D5"/>
    <w:rsid w:val="001F7868"/>
    <w:rsid w:val="001F792E"/>
    <w:rsid w:val="001F7A60"/>
    <w:rsid w:val="001F7BBF"/>
    <w:rsid w:val="001F7CCE"/>
    <w:rsid w:val="001F7DF0"/>
    <w:rsid w:val="001F7F03"/>
    <w:rsid w:val="001F7F2B"/>
    <w:rsid w:val="0020059E"/>
    <w:rsid w:val="00200799"/>
    <w:rsid w:val="00200BAF"/>
    <w:rsid w:val="00200C7E"/>
    <w:rsid w:val="002017E1"/>
    <w:rsid w:val="00201B45"/>
    <w:rsid w:val="00201D87"/>
    <w:rsid w:val="00201EA1"/>
    <w:rsid w:val="00201F7E"/>
    <w:rsid w:val="002020C4"/>
    <w:rsid w:val="00202133"/>
    <w:rsid w:val="002021CC"/>
    <w:rsid w:val="002026BA"/>
    <w:rsid w:val="002026C2"/>
    <w:rsid w:val="002027FF"/>
    <w:rsid w:val="002028F7"/>
    <w:rsid w:val="00202CA5"/>
    <w:rsid w:val="0020308C"/>
    <w:rsid w:val="002039EB"/>
    <w:rsid w:val="00203D65"/>
    <w:rsid w:val="002040FF"/>
    <w:rsid w:val="00204110"/>
    <w:rsid w:val="00204654"/>
    <w:rsid w:val="00204844"/>
    <w:rsid w:val="00204858"/>
    <w:rsid w:val="002048D5"/>
    <w:rsid w:val="00204CB8"/>
    <w:rsid w:val="00204CEF"/>
    <w:rsid w:val="00204E5B"/>
    <w:rsid w:val="00204FA2"/>
    <w:rsid w:val="00205590"/>
    <w:rsid w:val="0020595C"/>
    <w:rsid w:val="00205C94"/>
    <w:rsid w:val="00205CC4"/>
    <w:rsid w:val="00205D21"/>
    <w:rsid w:val="00205DF0"/>
    <w:rsid w:val="00205E5D"/>
    <w:rsid w:val="00205EBA"/>
    <w:rsid w:val="0020622C"/>
    <w:rsid w:val="002066F5"/>
    <w:rsid w:val="002068E4"/>
    <w:rsid w:val="00206F2A"/>
    <w:rsid w:val="002074CC"/>
    <w:rsid w:val="00207A9E"/>
    <w:rsid w:val="00207BB3"/>
    <w:rsid w:val="0021008C"/>
    <w:rsid w:val="002100AA"/>
    <w:rsid w:val="002106AB"/>
    <w:rsid w:val="002107F5"/>
    <w:rsid w:val="0021081F"/>
    <w:rsid w:val="002109E2"/>
    <w:rsid w:val="00210B23"/>
    <w:rsid w:val="00211098"/>
    <w:rsid w:val="0021125B"/>
    <w:rsid w:val="002117A1"/>
    <w:rsid w:val="002117E5"/>
    <w:rsid w:val="00211F2C"/>
    <w:rsid w:val="00211F4D"/>
    <w:rsid w:val="002128BC"/>
    <w:rsid w:val="00212A75"/>
    <w:rsid w:val="00212AD6"/>
    <w:rsid w:val="00212B72"/>
    <w:rsid w:val="00212BFB"/>
    <w:rsid w:val="00212C2E"/>
    <w:rsid w:val="00212CBC"/>
    <w:rsid w:val="0021325A"/>
    <w:rsid w:val="00213524"/>
    <w:rsid w:val="0021353B"/>
    <w:rsid w:val="0021354E"/>
    <w:rsid w:val="00213618"/>
    <w:rsid w:val="00213CE8"/>
    <w:rsid w:val="0021430B"/>
    <w:rsid w:val="00214356"/>
    <w:rsid w:val="00214361"/>
    <w:rsid w:val="00214491"/>
    <w:rsid w:val="00214C23"/>
    <w:rsid w:val="00214CF2"/>
    <w:rsid w:val="0021518C"/>
    <w:rsid w:val="00215247"/>
    <w:rsid w:val="002155E7"/>
    <w:rsid w:val="00215655"/>
    <w:rsid w:val="00215721"/>
    <w:rsid w:val="00215799"/>
    <w:rsid w:val="00215812"/>
    <w:rsid w:val="002158BB"/>
    <w:rsid w:val="00215AC5"/>
    <w:rsid w:val="00215BEB"/>
    <w:rsid w:val="00215C03"/>
    <w:rsid w:val="00216128"/>
    <w:rsid w:val="00216B3B"/>
    <w:rsid w:val="00216BCB"/>
    <w:rsid w:val="00216CAB"/>
    <w:rsid w:val="00216D74"/>
    <w:rsid w:val="00216E2D"/>
    <w:rsid w:val="00216F72"/>
    <w:rsid w:val="0021734C"/>
    <w:rsid w:val="0021785F"/>
    <w:rsid w:val="002179F8"/>
    <w:rsid w:val="002201DF"/>
    <w:rsid w:val="002201E9"/>
    <w:rsid w:val="002203B0"/>
    <w:rsid w:val="0022040F"/>
    <w:rsid w:val="00220583"/>
    <w:rsid w:val="002205A8"/>
    <w:rsid w:val="00220714"/>
    <w:rsid w:val="00220772"/>
    <w:rsid w:val="002208EF"/>
    <w:rsid w:val="00220BCA"/>
    <w:rsid w:val="00220C40"/>
    <w:rsid w:val="00220DFA"/>
    <w:rsid w:val="00220E66"/>
    <w:rsid w:val="00220EF7"/>
    <w:rsid w:val="002213BB"/>
    <w:rsid w:val="0022163C"/>
    <w:rsid w:val="00221753"/>
    <w:rsid w:val="0022183F"/>
    <w:rsid w:val="00221851"/>
    <w:rsid w:val="002219B6"/>
    <w:rsid w:val="002220D4"/>
    <w:rsid w:val="0022218A"/>
    <w:rsid w:val="00222288"/>
    <w:rsid w:val="002225FE"/>
    <w:rsid w:val="002226C6"/>
    <w:rsid w:val="00222B79"/>
    <w:rsid w:val="00222BA6"/>
    <w:rsid w:val="00222D05"/>
    <w:rsid w:val="00223324"/>
    <w:rsid w:val="002236F4"/>
    <w:rsid w:val="002236F7"/>
    <w:rsid w:val="002237AE"/>
    <w:rsid w:val="002239A3"/>
    <w:rsid w:val="00224010"/>
    <w:rsid w:val="002240AF"/>
    <w:rsid w:val="002240C2"/>
    <w:rsid w:val="002242B1"/>
    <w:rsid w:val="0022441F"/>
    <w:rsid w:val="002246B2"/>
    <w:rsid w:val="00224A59"/>
    <w:rsid w:val="00224CF5"/>
    <w:rsid w:val="00225030"/>
    <w:rsid w:val="0022504A"/>
    <w:rsid w:val="002251AB"/>
    <w:rsid w:val="0022545E"/>
    <w:rsid w:val="002256CB"/>
    <w:rsid w:val="00225C0E"/>
    <w:rsid w:val="00225CDC"/>
    <w:rsid w:val="00225EDF"/>
    <w:rsid w:val="00226043"/>
    <w:rsid w:val="00226163"/>
    <w:rsid w:val="002261C4"/>
    <w:rsid w:val="00226378"/>
    <w:rsid w:val="002264E9"/>
    <w:rsid w:val="00226774"/>
    <w:rsid w:val="002269D9"/>
    <w:rsid w:val="00226A1D"/>
    <w:rsid w:val="00226E39"/>
    <w:rsid w:val="00226F49"/>
    <w:rsid w:val="00227665"/>
    <w:rsid w:val="00227814"/>
    <w:rsid w:val="00227897"/>
    <w:rsid w:val="002279CA"/>
    <w:rsid w:val="00227B1C"/>
    <w:rsid w:val="00227CB4"/>
    <w:rsid w:val="002300CA"/>
    <w:rsid w:val="002304BE"/>
    <w:rsid w:val="0023086A"/>
    <w:rsid w:val="00230BC2"/>
    <w:rsid w:val="00230E4B"/>
    <w:rsid w:val="0023102C"/>
    <w:rsid w:val="0023119B"/>
    <w:rsid w:val="00231506"/>
    <w:rsid w:val="002315E7"/>
    <w:rsid w:val="0023176B"/>
    <w:rsid w:val="00231A31"/>
    <w:rsid w:val="00231B8A"/>
    <w:rsid w:val="0023224F"/>
    <w:rsid w:val="0023237B"/>
    <w:rsid w:val="0023281E"/>
    <w:rsid w:val="00232891"/>
    <w:rsid w:val="00232C31"/>
    <w:rsid w:val="00232EB9"/>
    <w:rsid w:val="002337DF"/>
    <w:rsid w:val="0023388E"/>
    <w:rsid w:val="0023389C"/>
    <w:rsid w:val="002339DA"/>
    <w:rsid w:val="00233D88"/>
    <w:rsid w:val="00233E5C"/>
    <w:rsid w:val="002341A5"/>
    <w:rsid w:val="00234520"/>
    <w:rsid w:val="002345F8"/>
    <w:rsid w:val="00234863"/>
    <w:rsid w:val="00234B1C"/>
    <w:rsid w:val="00234BDA"/>
    <w:rsid w:val="00234C23"/>
    <w:rsid w:val="00234FD6"/>
    <w:rsid w:val="00235033"/>
    <w:rsid w:val="00235156"/>
    <w:rsid w:val="0023525D"/>
    <w:rsid w:val="002354BF"/>
    <w:rsid w:val="00235621"/>
    <w:rsid w:val="0023573F"/>
    <w:rsid w:val="00235A51"/>
    <w:rsid w:val="00235CC6"/>
    <w:rsid w:val="00235D7F"/>
    <w:rsid w:val="00236027"/>
    <w:rsid w:val="00236240"/>
    <w:rsid w:val="0023636C"/>
    <w:rsid w:val="002364B3"/>
    <w:rsid w:val="002365AE"/>
    <w:rsid w:val="002368BF"/>
    <w:rsid w:val="002368F8"/>
    <w:rsid w:val="00236FBC"/>
    <w:rsid w:val="00237296"/>
    <w:rsid w:val="002372F5"/>
    <w:rsid w:val="0023753B"/>
    <w:rsid w:val="002375AB"/>
    <w:rsid w:val="00237616"/>
    <w:rsid w:val="002379C7"/>
    <w:rsid w:val="002379E9"/>
    <w:rsid w:val="00237A8E"/>
    <w:rsid w:val="00240090"/>
    <w:rsid w:val="0024033C"/>
    <w:rsid w:val="00240373"/>
    <w:rsid w:val="00240542"/>
    <w:rsid w:val="0024060C"/>
    <w:rsid w:val="0024063C"/>
    <w:rsid w:val="00240BFE"/>
    <w:rsid w:val="00240F3E"/>
    <w:rsid w:val="00241560"/>
    <w:rsid w:val="002415E6"/>
    <w:rsid w:val="0024178C"/>
    <w:rsid w:val="002417C6"/>
    <w:rsid w:val="00241A38"/>
    <w:rsid w:val="00241BB4"/>
    <w:rsid w:val="00242B24"/>
    <w:rsid w:val="00242B42"/>
    <w:rsid w:val="0024309E"/>
    <w:rsid w:val="002434EF"/>
    <w:rsid w:val="00243531"/>
    <w:rsid w:val="002439ED"/>
    <w:rsid w:val="002440EA"/>
    <w:rsid w:val="00244915"/>
    <w:rsid w:val="00244985"/>
    <w:rsid w:val="00244AC7"/>
    <w:rsid w:val="00244C98"/>
    <w:rsid w:val="0024508A"/>
    <w:rsid w:val="0024519C"/>
    <w:rsid w:val="0024531A"/>
    <w:rsid w:val="0024539B"/>
    <w:rsid w:val="002459E5"/>
    <w:rsid w:val="00245A60"/>
    <w:rsid w:val="00246189"/>
    <w:rsid w:val="002468B6"/>
    <w:rsid w:val="00246C93"/>
    <w:rsid w:val="00246D54"/>
    <w:rsid w:val="00246D85"/>
    <w:rsid w:val="00246D8D"/>
    <w:rsid w:val="00246F31"/>
    <w:rsid w:val="00247176"/>
    <w:rsid w:val="002472B5"/>
    <w:rsid w:val="0024741E"/>
    <w:rsid w:val="0024745A"/>
    <w:rsid w:val="002477C1"/>
    <w:rsid w:val="00247C57"/>
    <w:rsid w:val="00247C87"/>
    <w:rsid w:val="00247D1A"/>
    <w:rsid w:val="00247DA2"/>
    <w:rsid w:val="00250028"/>
    <w:rsid w:val="00250408"/>
    <w:rsid w:val="00250572"/>
    <w:rsid w:val="002506D2"/>
    <w:rsid w:val="00250DAE"/>
    <w:rsid w:val="00251160"/>
    <w:rsid w:val="00251401"/>
    <w:rsid w:val="00251807"/>
    <w:rsid w:val="00251939"/>
    <w:rsid w:val="0025199B"/>
    <w:rsid w:val="002519D2"/>
    <w:rsid w:val="00251B66"/>
    <w:rsid w:val="00251B8B"/>
    <w:rsid w:val="00251DFB"/>
    <w:rsid w:val="00252251"/>
    <w:rsid w:val="0025274E"/>
    <w:rsid w:val="00252A5E"/>
    <w:rsid w:val="00252BA2"/>
    <w:rsid w:val="00252CA8"/>
    <w:rsid w:val="002531E2"/>
    <w:rsid w:val="0025320C"/>
    <w:rsid w:val="0025320E"/>
    <w:rsid w:val="00253406"/>
    <w:rsid w:val="00253621"/>
    <w:rsid w:val="00253847"/>
    <w:rsid w:val="00253E48"/>
    <w:rsid w:val="002548D4"/>
    <w:rsid w:val="002550D0"/>
    <w:rsid w:val="00255297"/>
    <w:rsid w:val="00255330"/>
    <w:rsid w:val="00255422"/>
    <w:rsid w:val="002555D4"/>
    <w:rsid w:val="002559FA"/>
    <w:rsid w:val="00255AAF"/>
    <w:rsid w:val="00255B90"/>
    <w:rsid w:val="00255BA5"/>
    <w:rsid w:val="00255CB5"/>
    <w:rsid w:val="00255DD0"/>
    <w:rsid w:val="00255E77"/>
    <w:rsid w:val="002563DD"/>
    <w:rsid w:val="00256817"/>
    <w:rsid w:val="0025681E"/>
    <w:rsid w:val="002568DB"/>
    <w:rsid w:val="00256978"/>
    <w:rsid w:val="00256ECA"/>
    <w:rsid w:val="00256EE9"/>
    <w:rsid w:val="00256FDE"/>
    <w:rsid w:val="002570F0"/>
    <w:rsid w:val="0025710B"/>
    <w:rsid w:val="002572EB"/>
    <w:rsid w:val="00257465"/>
    <w:rsid w:val="00257707"/>
    <w:rsid w:val="00257724"/>
    <w:rsid w:val="00257901"/>
    <w:rsid w:val="00257A5B"/>
    <w:rsid w:val="00257AAF"/>
    <w:rsid w:val="00257AC7"/>
    <w:rsid w:val="00257AEC"/>
    <w:rsid w:val="00257D1B"/>
    <w:rsid w:val="00257DE0"/>
    <w:rsid w:val="002602E8"/>
    <w:rsid w:val="00260432"/>
    <w:rsid w:val="00260454"/>
    <w:rsid w:val="002607B6"/>
    <w:rsid w:val="00260956"/>
    <w:rsid w:val="00260BB9"/>
    <w:rsid w:val="00260C6C"/>
    <w:rsid w:val="00260EA1"/>
    <w:rsid w:val="00260EA3"/>
    <w:rsid w:val="00260EAE"/>
    <w:rsid w:val="002612AB"/>
    <w:rsid w:val="00261929"/>
    <w:rsid w:val="00261D13"/>
    <w:rsid w:val="00262222"/>
    <w:rsid w:val="00262265"/>
    <w:rsid w:val="00262296"/>
    <w:rsid w:val="00262361"/>
    <w:rsid w:val="00262396"/>
    <w:rsid w:val="0026273D"/>
    <w:rsid w:val="002628BD"/>
    <w:rsid w:val="002628FA"/>
    <w:rsid w:val="00262A47"/>
    <w:rsid w:val="00262F92"/>
    <w:rsid w:val="0026331F"/>
    <w:rsid w:val="0026337E"/>
    <w:rsid w:val="0026347C"/>
    <w:rsid w:val="00263498"/>
    <w:rsid w:val="00263720"/>
    <w:rsid w:val="002638D9"/>
    <w:rsid w:val="00263DE9"/>
    <w:rsid w:val="00263EEA"/>
    <w:rsid w:val="0026414B"/>
    <w:rsid w:val="002643AE"/>
    <w:rsid w:val="00264477"/>
    <w:rsid w:val="00264488"/>
    <w:rsid w:val="00264569"/>
    <w:rsid w:val="00264725"/>
    <w:rsid w:val="00264932"/>
    <w:rsid w:val="00264AAA"/>
    <w:rsid w:val="00264C75"/>
    <w:rsid w:val="00264F8D"/>
    <w:rsid w:val="00264FE5"/>
    <w:rsid w:val="00265109"/>
    <w:rsid w:val="0026511E"/>
    <w:rsid w:val="0026524A"/>
    <w:rsid w:val="0026536D"/>
    <w:rsid w:val="00265716"/>
    <w:rsid w:val="00265989"/>
    <w:rsid w:val="00265BC0"/>
    <w:rsid w:val="00265BF6"/>
    <w:rsid w:val="0026602F"/>
    <w:rsid w:val="0026624D"/>
    <w:rsid w:val="0026656D"/>
    <w:rsid w:val="0026683E"/>
    <w:rsid w:val="00266CA0"/>
    <w:rsid w:val="002672B7"/>
    <w:rsid w:val="00267545"/>
    <w:rsid w:val="0026760E"/>
    <w:rsid w:val="002677A7"/>
    <w:rsid w:val="00267BBE"/>
    <w:rsid w:val="00267FB0"/>
    <w:rsid w:val="002700C5"/>
    <w:rsid w:val="0027062A"/>
    <w:rsid w:val="00270BAE"/>
    <w:rsid w:val="00270BDB"/>
    <w:rsid w:val="00270EC9"/>
    <w:rsid w:val="00271243"/>
    <w:rsid w:val="002712AC"/>
    <w:rsid w:val="002712E4"/>
    <w:rsid w:val="002714EC"/>
    <w:rsid w:val="00271586"/>
    <w:rsid w:val="00271A45"/>
    <w:rsid w:val="00271F36"/>
    <w:rsid w:val="00272029"/>
    <w:rsid w:val="0027209A"/>
    <w:rsid w:val="002722A0"/>
    <w:rsid w:val="002726FE"/>
    <w:rsid w:val="00272C1D"/>
    <w:rsid w:val="00272D4D"/>
    <w:rsid w:val="00273261"/>
    <w:rsid w:val="00273605"/>
    <w:rsid w:val="00273841"/>
    <w:rsid w:val="002743AB"/>
    <w:rsid w:val="002749CC"/>
    <w:rsid w:val="00274ADC"/>
    <w:rsid w:val="00274BC4"/>
    <w:rsid w:val="00274FAD"/>
    <w:rsid w:val="00274FE5"/>
    <w:rsid w:val="002750B2"/>
    <w:rsid w:val="00275158"/>
    <w:rsid w:val="00275190"/>
    <w:rsid w:val="002752B8"/>
    <w:rsid w:val="00275871"/>
    <w:rsid w:val="00275962"/>
    <w:rsid w:val="00275A6D"/>
    <w:rsid w:val="00275BF4"/>
    <w:rsid w:val="00275D26"/>
    <w:rsid w:val="00275D8F"/>
    <w:rsid w:val="00275D95"/>
    <w:rsid w:val="002760D0"/>
    <w:rsid w:val="00276264"/>
    <w:rsid w:val="0027641F"/>
    <w:rsid w:val="0027681B"/>
    <w:rsid w:val="00276B33"/>
    <w:rsid w:val="00276B7E"/>
    <w:rsid w:val="00276B9E"/>
    <w:rsid w:val="00276C46"/>
    <w:rsid w:val="00276D01"/>
    <w:rsid w:val="00276D3D"/>
    <w:rsid w:val="00276E77"/>
    <w:rsid w:val="0027729D"/>
    <w:rsid w:val="00277329"/>
    <w:rsid w:val="00277487"/>
    <w:rsid w:val="002775C5"/>
    <w:rsid w:val="0027767B"/>
    <w:rsid w:val="002776E9"/>
    <w:rsid w:val="0027772B"/>
    <w:rsid w:val="0027789E"/>
    <w:rsid w:val="002778DD"/>
    <w:rsid w:val="00277BEB"/>
    <w:rsid w:val="00277EDD"/>
    <w:rsid w:val="0028004E"/>
    <w:rsid w:val="00280A3B"/>
    <w:rsid w:val="00280AA0"/>
    <w:rsid w:val="00280B40"/>
    <w:rsid w:val="00280EA4"/>
    <w:rsid w:val="002812FA"/>
    <w:rsid w:val="00281AA5"/>
    <w:rsid w:val="00281B53"/>
    <w:rsid w:val="00281E56"/>
    <w:rsid w:val="00281F8A"/>
    <w:rsid w:val="00282344"/>
    <w:rsid w:val="002823A1"/>
    <w:rsid w:val="002826FF"/>
    <w:rsid w:val="002832B3"/>
    <w:rsid w:val="00283447"/>
    <w:rsid w:val="00283461"/>
    <w:rsid w:val="002835D8"/>
    <w:rsid w:val="002835F3"/>
    <w:rsid w:val="0028375D"/>
    <w:rsid w:val="00283A07"/>
    <w:rsid w:val="00283A68"/>
    <w:rsid w:val="00283DD2"/>
    <w:rsid w:val="00284248"/>
    <w:rsid w:val="002843D2"/>
    <w:rsid w:val="00284551"/>
    <w:rsid w:val="00284723"/>
    <w:rsid w:val="0028498B"/>
    <w:rsid w:val="00284ACD"/>
    <w:rsid w:val="00284E0E"/>
    <w:rsid w:val="00284FEA"/>
    <w:rsid w:val="002850D0"/>
    <w:rsid w:val="00285262"/>
    <w:rsid w:val="002852AF"/>
    <w:rsid w:val="002854D2"/>
    <w:rsid w:val="00285521"/>
    <w:rsid w:val="002856CC"/>
    <w:rsid w:val="002857C2"/>
    <w:rsid w:val="00285965"/>
    <w:rsid w:val="00285C4A"/>
    <w:rsid w:val="002861C6"/>
    <w:rsid w:val="00286256"/>
    <w:rsid w:val="002864BE"/>
    <w:rsid w:val="00286569"/>
    <w:rsid w:val="002866FE"/>
    <w:rsid w:val="00286994"/>
    <w:rsid w:val="00286EF7"/>
    <w:rsid w:val="00286F0F"/>
    <w:rsid w:val="002873B4"/>
    <w:rsid w:val="002875B5"/>
    <w:rsid w:val="00287862"/>
    <w:rsid w:val="00287961"/>
    <w:rsid w:val="00287AE3"/>
    <w:rsid w:val="00287B1D"/>
    <w:rsid w:val="00287B94"/>
    <w:rsid w:val="00287E51"/>
    <w:rsid w:val="00287EFF"/>
    <w:rsid w:val="0029023D"/>
    <w:rsid w:val="0029026C"/>
    <w:rsid w:val="002908A9"/>
    <w:rsid w:val="00290B41"/>
    <w:rsid w:val="00290BF3"/>
    <w:rsid w:val="00290C6A"/>
    <w:rsid w:val="00290DFB"/>
    <w:rsid w:val="00290ED7"/>
    <w:rsid w:val="00290F97"/>
    <w:rsid w:val="00291091"/>
    <w:rsid w:val="002910B9"/>
    <w:rsid w:val="00291252"/>
    <w:rsid w:val="00291289"/>
    <w:rsid w:val="00291467"/>
    <w:rsid w:val="00291505"/>
    <w:rsid w:val="0029155D"/>
    <w:rsid w:val="00291678"/>
    <w:rsid w:val="0029177A"/>
    <w:rsid w:val="00291847"/>
    <w:rsid w:val="00291907"/>
    <w:rsid w:val="00291BF6"/>
    <w:rsid w:val="00291CFD"/>
    <w:rsid w:val="00291EC9"/>
    <w:rsid w:val="00291F7F"/>
    <w:rsid w:val="002920B1"/>
    <w:rsid w:val="00292336"/>
    <w:rsid w:val="002923AE"/>
    <w:rsid w:val="002927BE"/>
    <w:rsid w:val="00292E6F"/>
    <w:rsid w:val="00292F04"/>
    <w:rsid w:val="0029308B"/>
    <w:rsid w:val="0029316D"/>
    <w:rsid w:val="0029359A"/>
    <w:rsid w:val="002938B7"/>
    <w:rsid w:val="002938D9"/>
    <w:rsid w:val="002939E8"/>
    <w:rsid w:val="00293B22"/>
    <w:rsid w:val="00293E45"/>
    <w:rsid w:val="00293F2A"/>
    <w:rsid w:val="002942A1"/>
    <w:rsid w:val="002945ED"/>
    <w:rsid w:val="00294779"/>
    <w:rsid w:val="002948FC"/>
    <w:rsid w:val="00294C6F"/>
    <w:rsid w:val="002951E6"/>
    <w:rsid w:val="00295566"/>
    <w:rsid w:val="0029568B"/>
    <w:rsid w:val="00295D9D"/>
    <w:rsid w:val="00295F36"/>
    <w:rsid w:val="00295F8E"/>
    <w:rsid w:val="0029651C"/>
    <w:rsid w:val="00296A03"/>
    <w:rsid w:val="00296BA0"/>
    <w:rsid w:val="00296BAB"/>
    <w:rsid w:val="00296BB4"/>
    <w:rsid w:val="00297085"/>
    <w:rsid w:val="002971F8"/>
    <w:rsid w:val="0029721A"/>
    <w:rsid w:val="002977C0"/>
    <w:rsid w:val="00297E3B"/>
    <w:rsid w:val="00297FCA"/>
    <w:rsid w:val="002A0114"/>
    <w:rsid w:val="002A060F"/>
    <w:rsid w:val="002A0625"/>
    <w:rsid w:val="002A0666"/>
    <w:rsid w:val="002A0849"/>
    <w:rsid w:val="002A0C6D"/>
    <w:rsid w:val="002A0C82"/>
    <w:rsid w:val="002A0F0E"/>
    <w:rsid w:val="002A0FF1"/>
    <w:rsid w:val="002A114C"/>
    <w:rsid w:val="002A183C"/>
    <w:rsid w:val="002A18D9"/>
    <w:rsid w:val="002A190E"/>
    <w:rsid w:val="002A1BE3"/>
    <w:rsid w:val="002A1E80"/>
    <w:rsid w:val="002A1EF1"/>
    <w:rsid w:val="002A2361"/>
    <w:rsid w:val="002A2494"/>
    <w:rsid w:val="002A25B9"/>
    <w:rsid w:val="002A27A2"/>
    <w:rsid w:val="002A2B0D"/>
    <w:rsid w:val="002A2B78"/>
    <w:rsid w:val="002A2E2C"/>
    <w:rsid w:val="002A3128"/>
    <w:rsid w:val="002A3228"/>
    <w:rsid w:val="002A34D4"/>
    <w:rsid w:val="002A369D"/>
    <w:rsid w:val="002A37DA"/>
    <w:rsid w:val="002A38DE"/>
    <w:rsid w:val="002A39AA"/>
    <w:rsid w:val="002A3E1D"/>
    <w:rsid w:val="002A3F74"/>
    <w:rsid w:val="002A3FB7"/>
    <w:rsid w:val="002A410B"/>
    <w:rsid w:val="002A41BF"/>
    <w:rsid w:val="002A43D3"/>
    <w:rsid w:val="002A467A"/>
    <w:rsid w:val="002A47E6"/>
    <w:rsid w:val="002A49B9"/>
    <w:rsid w:val="002A4ECB"/>
    <w:rsid w:val="002A5462"/>
    <w:rsid w:val="002A56F1"/>
    <w:rsid w:val="002A5953"/>
    <w:rsid w:val="002A5B13"/>
    <w:rsid w:val="002A5DAE"/>
    <w:rsid w:val="002A60E8"/>
    <w:rsid w:val="002A60F5"/>
    <w:rsid w:val="002A61E4"/>
    <w:rsid w:val="002A6276"/>
    <w:rsid w:val="002A62E2"/>
    <w:rsid w:val="002A6420"/>
    <w:rsid w:val="002A6F5D"/>
    <w:rsid w:val="002A6F9F"/>
    <w:rsid w:val="002A7029"/>
    <w:rsid w:val="002A72AD"/>
    <w:rsid w:val="002A73AB"/>
    <w:rsid w:val="002A740B"/>
    <w:rsid w:val="002A74AB"/>
    <w:rsid w:val="002A75F7"/>
    <w:rsid w:val="002A77BF"/>
    <w:rsid w:val="002A7ACF"/>
    <w:rsid w:val="002A7AF7"/>
    <w:rsid w:val="002A7B99"/>
    <w:rsid w:val="002A7D18"/>
    <w:rsid w:val="002A7DAE"/>
    <w:rsid w:val="002A7EDE"/>
    <w:rsid w:val="002A7FCC"/>
    <w:rsid w:val="002B0784"/>
    <w:rsid w:val="002B0995"/>
    <w:rsid w:val="002B0A8F"/>
    <w:rsid w:val="002B0B89"/>
    <w:rsid w:val="002B0DB5"/>
    <w:rsid w:val="002B0FB0"/>
    <w:rsid w:val="002B13D2"/>
    <w:rsid w:val="002B15B7"/>
    <w:rsid w:val="002B1896"/>
    <w:rsid w:val="002B1AF3"/>
    <w:rsid w:val="002B1B99"/>
    <w:rsid w:val="002B1BCA"/>
    <w:rsid w:val="002B1CC2"/>
    <w:rsid w:val="002B1D42"/>
    <w:rsid w:val="002B1D51"/>
    <w:rsid w:val="002B1ECF"/>
    <w:rsid w:val="002B1F2F"/>
    <w:rsid w:val="002B213C"/>
    <w:rsid w:val="002B226A"/>
    <w:rsid w:val="002B2393"/>
    <w:rsid w:val="002B23B7"/>
    <w:rsid w:val="002B251C"/>
    <w:rsid w:val="002B263B"/>
    <w:rsid w:val="002B2D9C"/>
    <w:rsid w:val="002B2F5A"/>
    <w:rsid w:val="002B30F2"/>
    <w:rsid w:val="002B3448"/>
    <w:rsid w:val="002B36A2"/>
    <w:rsid w:val="002B378B"/>
    <w:rsid w:val="002B3869"/>
    <w:rsid w:val="002B3A41"/>
    <w:rsid w:val="002B3DB3"/>
    <w:rsid w:val="002B417B"/>
    <w:rsid w:val="002B43C9"/>
    <w:rsid w:val="002B4468"/>
    <w:rsid w:val="002B45ED"/>
    <w:rsid w:val="002B4864"/>
    <w:rsid w:val="002B5459"/>
    <w:rsid w:val="002B5783"/>
    <w:rsid w:val="002B59C4"/>
    <w:rsid w:val="002B5C6F"/>
    <w:rsid w:val="002B5F69"/>
    <w:rsid w:val="002B5FA6"/>
    <w:rsid w:val="002B6338"/>
    <w:rsid w:val="002B6415"/>
    <w:rsid w:val="002B68D8"/>
    <w:rsid w:val="002B6D63"/>
    <w:rsid w:val="002B6DDF"/>
    <w:rsid w:val="002B6ED9"/>
    <w:rsid w:val="002B6FCC"/>
    <w:rsid w:val="002B7106"/>
    <w:rsid w:val="002B71D2"/>
    <w:rsid w:val="002B73A3"/>
    <w:rsid w:val="002B74E3"/>
    <w:rsid w:val="002B76C5"/>
    <w:rsid w:val="002B77BE"/>
    <w:rsid w:val="002B7A86"/>
    <w:rsid w:val="002B7B47"/>
    <w:rsid w:val="002B7EFD"/>
    <w:rsid w:val="002C0211"/>
    <w:rsid w:val="002C0661"/>
    <w:rsid w:val="002C096B"/>
    <w:rsid w:val="002C0A98"/>
    <w:rsid w:val="002C0B14"/>
    <w:rsid w:val="002C1020"/>
    <w:rsid w:val="002C1025"/>
    <w:rsid w:val="002C1417"/>
    <w:rsid w:val="002C14D3"/>
    <w:rsid w:val="002C17E3"/>
    <w:rsid w:val="002C1AE4"/>
    <w:rsid w:val="002C1C81"/>
    <w:rsid w:val="002C1CEB"/>
    <w:rsid w:val="002C1DD9"/>
    <w:rsid w:val="002C1E67"/>
    <w:rsid w:val="002C2105"/>
    <w:rsid w:val="002C2271"/>
    <w:rsid w:val="002C2687"/>
    <w:rsid w:val="002C2749"/>
    <w:rsid w:val="002C275D"/>
    <w:rsid w:val="002C2EC0"/>
    <w:rsid w:val="002C33FD"/>
    <w:rsid w:val="002C363A"/>
    <w:rsid w:val="002C3748"/>
    <w:rsid w:val="002C38B2"/>
    <w:rsid w:val="002C39D3"/>
    <w:rsid w:val="002C3B54"/>
    <w:rsid w:val="002C3B7C"/>
    <w:rsid w:val="002C3BB4"/>
    <w:rsid w:val="002C3CAC"/>
    <w:rsid w:val="002C3F04"/>
    <w:rsid w:val="002C3FD7"/>
    <w:rsid w:val="002C432B"/>
    <w:rsid w:val="002C465F"/>
    <w:rsid w:val="002C470B"/>
    <w:rsid w:val="002C501A"/>
    <w:rsid w:val="002C5602"/>
    <w:rsid w:val="002C5730"/>
    <w:rsid w:val="002C59E2"/>
    <w:rsid w:val="002C5A50"/>
    <w:rsid w:val="002C5B21"/>
    <w:rsid w:val="002C5B93"/>
    <w:rsid w:val="002C5BFC"/>
    <w:rsid w:val="002C6070"/>
    <w:rsid w:val="002C641A"/>
    <w:rsid w:val="002C6525"/>
    <w:rsid w:val="002C65DA"/>
    <w:rsid w:val="002C66F0"/>
    <w:rsid w:val="002C69F6"/>
    <w:rsid w:val="002C707B"/>
    <w:rsid w:val="002C7347"/>
    <w:rsid w:val="002C7E0B"/>
    <w:rsid w:val="002C7F40"/>
    <w:rsid w:val="002D0297"/>
    <w:rsid w:val="002D0356"/>
    <w:rsid w:val="002D0397"/>
    <w:rsid w:val="002D043E"/>
    <w:rsid w:val="002D047A"/>
    <w:rsid w:val="002D08F1"/>
    <w:rsid w:val="002D0DD5"/>
    <w:rsid w:val="002D0E35"/>
    <w:rsid w:val="002D1399"/>
    <w:rsid w:val="002D13E0"/>
    <w:rsid w:val="002D14F0"/>
    <w:rsid w:val="002D1777"/>
    <w:rsid w:val="002D17FF"/>
    <w:rsid w:val="002D1C7A"/>
    <w:rsid w:val="002D213F"/>
    <w:rsid w:val="002D21E5"/>
    <w:rsid w:val="002D2226"/>
    <w:rsid w:val="002D253C"/>
    <w:rsid w:val="002D2896"/>
    <w:rsid w:val="002D2CDB"/>
    <w:rsid w:val="002D2FFD"/>
    <w:rsid w:val="002D31C6"/>
    <w:rsid w:val="002D3586"/>
    <w:rsid w:val="002D3640"/>
    <w:rsid w:val="002D3671"/>
    <w:rsid w:val="002D37AA"/>
    <w:rsid w:val="002D3812"/>
    <w:rsid w:val="002D395D"/>
    <w:rsid w:val="002D3B4B"/>
    <w:rsid w:val="002D4133"/>
    <w:rsid w:val="002D4241"/>
    <w:rsid w:val="002D436A"/>
    <w:rsid w:val="002D43E8"/>
    <w:rsid w:val="002D4513"/>
    <w:rsid w:val="002D4545"/>
    <w:rsid w:val="002D4982"/>
    <w:rsid w:val="002D4E48"/>
    <w:rsid w:val="002D4FF7"/>
    <w:rsid w:val="002D506B"/>
    <w:rsid w:val="002D527E"/>
    <w:rsid w:val="002D52D9"/>
    <w:rsid w:val="002D5344"/>
    <w:rsid w:val="002D545E"/>
    <w:rsid w:val="002D5904"/>
    <w:rsid w:val="002D5981"/>
    <w:rsid w:val="002D5C8C"/>
    <w:rsid w:val="002D5E41"/>
    <w:rsid w:val="002D65F1"/>
    <w:rsid w:val="002D664F"/>
    <w:rsid w:val="002D6B7C"/>
    <w:rsid w:val="002D6F6C"/>
    <w:rsid w:val="002D72C2"/>
    <w:rsid w:val="002D730D"/>
    <w:rsid w:val="002D744C"/>
    <w:rsid w:val="002D74E3"/>
    <w:rsid w:val="002D74FD"/>
    <w:rsid w:val="002D7666"/>
    <w:rsid w:val="002D7801"/>
    <w:rsid w:val="002D7858"/>
    <w:rsid w:val="002D7B7F"/>
    <w:rsid w:val="002D7C4F"/>
    <w:rsid w:val="002D7E27"/>
    <w:rsid w:val="002E0206"/>
    <w:rsid w:val="002E06C1"/>
    <w:rsid w:val="002E088D"/>
    <w:rsid w:val="002E0896"/>
    <w:rsid w:val="002E0A41"/>
    <w:rsid w:val="002E1065"/>
    <w:rsid w:val="002E1601"/>
    <w:rsid w:val="002E16CD"/>
    <w:rsid w:val="002E1BE4"/>
    <w:rsid w:val="002E1DBE"/>
    <w:rsid w:val="002E1DF7"/>
    <w:rsid w:val="002E212A"/>
    <w:rsid w:val="002E22B2"/>
    <w:rsid w:val="002E23AD"/>
    <w:rsid w:val="002E24B2"/>
    <w:rsid w:val="002E24ED"/>
    <w:rsid w:val="002E2645"/>
    <w:rsid w:val="002E2681"/>
    <w:rsid w:val="002E2833"/>
    <w:rsid w:val="002E2948"/>
    <w:rsid w:val="002E29ED"/>
    <w:rsid w:val="002E2AB3"/>
    <w:rsid w:val="002E2D29"/>
    <w:rsid w:val="002E2D9F"/>
    <w:rsid w:val="002E2FC8"/>
    <w:rsid w:val="002E3227"/>
    <w:rsid w:val="002E345C"/>
    <w:rsid w:val="002E3640"/>
    <w:rsid w:val="002E36ED"/>
    <w:rsid w:val="002E3952"/>
    <w:rsid w:val="002E39F2"/>
    <w:rsid w:val="002E3B2D"/>
    <w:rsid w:val="002E3F65"/>
    <w:rsid w:val="002E3FE5"/>
    <w:rsid w:val="002E44E3"/>
    <w:rsid w:val="002E4B45"/>
    <w:rsid w:val="002E50F7"/>
    <w:rsid w:val="002E5143"/>
    <w:rsid w:val="002E51D2"/>
    <w:rsid w:val="002E53F4"/>
    <w:rsid w:val="002E5550"/>
    <w:rsid w:val="002E56F5"/>
    <w:rsid w:val="002E570A"/>
    <w:rsid w:val="002E587E"/>
    <w:rsid w:val="002E5926"/>
    <w:rsid w:val="002E60F9"/>
    <w:rsid w:val="002E62BA"/>
    <w:rsid w:val="002E6A38"/>
    <w:rsid w:val="002E6A3C"/>
    <w:rsid w:val="002E6C97"/>
    <w:rsid w:val="002E6D7F"/>
    <w:rsid w:val="002E6DE7"/>
    <w:rsid w:val="002E6E11"/>
    <w:rsid w:val="002E6E4E"/>
    <w:rsid w:val="002E7054"/>
    <w:rsid w:val="002E713B"/>
    <w:rsid w:val="002E723A"/>
    <w:rsid w:val="002E75C0"/>
    <w:rsid w:val="002E7A08"/>
    <w:rsid w:val="002E7CB8"/>
    <w:rsid w:val="002E7EC0"/>
    <w:rsid w:val="002F03A7"/>
    <w:rsid w:val="002F03DE"/>
    <w:rsid w:val="002F0438"/>
    <w:rsid w:val="002F04F2"/>
    <w:rsid w:val="002F0B3B"/>
    <w:rsid w:val="002F0F34"/>
    <w:rsid w:val="002F1034"/>
    <w:rsid w:val="002F10F0"/>
    <w:rsid w:val="002F1163"/>
    <w:rsid w:val="002F120C"/>
    <w:rsid w:val="002F12B0"/>
    <w:rsid w:val="002F16B1"/>
    <w:rsid w:val="002F2180"/>
    <w:rsid w:val="002F22DB"/>
    <w:rsid w:val="002F23FD"/>
    <w:rsid w:val="002F242E"/>
    <w:rsid w:val="002F274E"/>
    <w:rsid w:val="002F28F1"/>
    <w:rsid w:val="002F299F"/>
    <w:rsid w:val="002F29A8"/>
    <w:rsid w:val="002F29AD"/>
    <w:rsid w:val="002F2F19"/>
    <w:rsid w:val="002F311F"/>
    <w:rsid w:val="002F3224"/>
    <w:rsid w:val="002F34E2"/>
    <w:rsid w:val="002F3799"/>
    <w:rsid w:val="002F3823"/>
    <w:rsid w:val="002F3B68"/>
    <w:rsid w:val="002F3BB2"/>
    <w:rsid w:val="002F3CCF"/>
    <w:rsid w:val="002F3FC9"/>
    <w:rsid w:val="002F4217"/>
    <w:rsid w:val="002F426B"/>
    <w:rsid w:val="002F43C0"/>
    <w:rsid w:val="002F44C6"/>
    <w:rsid w:val="002F459E"/>
    <w:rsid w:val="002F460D"/>
    <w:rsid w:val="002F4797"/>
    <w:rsid w:val="002F47B2"/>
    <w:rsid w:val="002F4A1A"/>
    <w:rsid w:val="002F4CEA"/>
    <w:rsid w:val="002F4DE5"/>
    <w:rsid w:val="002F4E35"/>
    <w:rsid w:val="002F4F7E"/>
    <w:rsid w:val="002F50B7"/>
    <w:rsid w:val="002F551A"/>
    <w:rsid w:val="002F5D35"/>
    <w:rsid w:val="002F5DDC"/>
    <w:rsid w:val="002F5DE3"/>
    <w:rsid w:val="002F6247"/>
    <w:rsid w:val="002F6257"/>
    <w:rsid w:val="002F63AA"/>
    <w:rsid w:val="002F645A"/>
    <w:rsid w:val="002F650B"/>
    <w:rsid w:val="002F6C30"/>
    <w:rsid w:val="002F7046"/>
    <w:rsid w:val="002F7437"/>
    <w:rsid w:val="002F74B8"/>
    <w:rsid w:val="002F79DE"/>
    <w:rsid w:val="002F7C32"/>
    <w:rsid w:val="00300534"/>
    <w:rsid w:val="003005D5"/>
    <w:rsid w:val="00300840"/>
    <w:rsid w:val="003008B3"/>
    <w:rsid w:val="003008C6"/>
    <w:rsid w:val="00300A2F"/>
    <w:rsid w:val="00300AE5"/>
    <w:rsid w:val="00300C72"/>
    <w:rsid w:val="00300EF8"/>
    <w:rsid w:val="003011E0"/>
    <w:rsid w:val="0030160F"/>
    <w:rsid w:val="00301ADC"/>
    <w:rsid w:val="00301CF5"/>
    <w:rsid w:val="00302173"/>
    <w:rsid w:val="0030255A"/>
    <w:rsid w:val="003026AD"/>
    <w:rsid w:val="0030277A"/>
    <w:rsid w:val="0030291A"/>
    <w:rsid w:val="003029CE"/>
    <w:rsid w:val="00302C05"/>
    <w:rsid w:val="00302F61"/>
    <w:rsid w:val="003035DE"/>
    <w:rsid w:val="003037C7"/>
    <w:rsid w:val="00303879"/>
    <w:rsid w:val="00303AD5"/>
    <w:rsid w:val="00303CE5"/>
    <w:rsid w:val="00303D35"/>
    <w:rsid w:val="00303F33"/>
    <w:rsid w:val="00303F3F"/>
    <w:rsid w:val="00303F8D"/>
    <w:rsid w:val="003043A9"/>
    <w:rsid w:val="003048F5"/>
    <w:rsid w:val="00304C41"/>
    <w:rsid w:val="00304F39"/>
    <w:rsid w:val="00305095"/>
    <w:rsid w:val="00305196"/>
    <w:rsid w:val="003052E4"/>
    <w:rsid w:val="003055F1"/>
    <w:rsid w:val="00305910"/>
    <w:rsid w:val="00305A08"/>
    <w:rsid w:val="00305B67"/>
    <w:rsid w:val="00305C6E"/>
    <w:rsid w:val="00305EC7"/>
    <w:rsid w:val="00305F75"/>
    <w:rsid w:val="0030601D"/>
    <w:rsid w:val="0030633D"/>
    <w:rsid w:val="003064FD"/>
    <w:rsid w:val="00306838"/>
    <w:rsid w:val="0030706E"/>
    <w:rsid w:val="00307135"/>
    <w:rsid w:val="003071A2"/>
    <w:rsid w:val="003072E0"/>
    <w:rsid w:val="003075F5"/>
    <w:rsid w:val="0030766F"/>
    <w:rsid w:val="00307927"/>
    <w:rsid w:val="00307928"/>
    <w:rsid w:val="00307A18"/>
    <w:rsid w:val="00307A72"/>
    <w:rsid w:val="00307D93"/>
    <w:rsid w:val="00307DEF"/>
    <w:rsid w:val="003100A0"/>
    <w:rsid w:val="00310217"/>
    <w:rsid w:val="00310241"/>
    <w:rsid w:val="00310454"/>
    <w:rsid w:val="003104A3"/>
    <w:rsid w:val="00310549"/>
    <w:rsid w:val="00310729"/>
    <w:rsid w:val="00310BF4"/>
    <w:rsid w:val="0031106E"/>
    <w:rsid w:val="003116FF"/>
    <w:rsid w:val="00311721"/>
    <w:rsid w:val="003117C2"/>
    <w:rsid w:val="003117D6"/>
    <w:rsid w:val="003119AC"/>
    <w:rsid w:val="00311A38"/>
    <w:rsid w:val="00311A97"/>
    <w:rsid w:val="00311D4A"/>
    <w:rsid w:val="0031200C"/>
    <w:rsid w:val="0031225B"/>
    <w:rsid w:val="003123BA"/>
    <w:rsid w:val="003123CF"/>
    <w:rsid w:val="0031256D"/>
    <w:rsid w:val="00312577"/>
    <w:rsid w:val="00312712"/>
    <w:rsid w:val="00312A1F"/>
    <w:rsid w:val="00312A73"/>
    <w:rsid w:val="00312B3D"/>
    <w:rsid w:val="0031323A"/>
    <w:rsid w:val="0031324F"/>
    <w:rsid w:val="00313260"/>
    <w:rsid w:val="00313471"/>
    <w:rsid w:val="003134BE"/>
    <w:rsid w:val="0031372B"/>
    <w:rsid w:val="00313A9E"/>
    <w:rsid w:val="00313AA7"/>
    <w:rsid w:val="00313C50"/>
    <w:rsid w:val="00313D62"/>
    <w:rsid w:val="00314145"/>
    <w:rsid w:val="00314290"/>
    <w:rsid w:val="00314647"/>
    <w:rsid w:val="003147A9"/>
    <w:rsid w:val="003149A3"/>
    <w:rsid w:val="00314C2B"/>
    <w:rsid w:val="003150BA"/>
    <w:rsid w:val="0031522A"/>
    <w:rsid w:val="003154F6"/>
    <w:rsid w:val="00315C56"/>
    <w:rsid w:val="00315D22"/>
    <w:rsid w:val="00315DD5"/>
    <w:rsid w:val="00316549"/>
    <w:rsid w:val="003167D9"/>
    <w:rsid w:val="0031683F"/>
    <w:rsid w:val="003168A4"/>
    <w:rsid w:val="003168BA"/>
    <w:rsid w:val="00316A1C"/>
    <w:rsid w:val="00316CA9"/>
    <w:rsid w:val="003174D3"/>
    <w:rsid w:val="00317543"/>
    <w:rsid w:val="00317798"/>
    <w:rsid w:val="0031783B"/>
    <w:rsid w:val="0031790A"/>
    <w:rsid w:val="00317922"/>
    <w:rsid w:val="00317A18"/>
    <w:rsid w:val="00317EA3"/>
    <w:rsid w:val="00317EC9"/>
    <w:rsid w:val="00320043"/>
    <w:rsid w:val="003200A2"/>
    <w:rsid w:val="0032019E"/>
    <w:rsid w:val="003204F9"/>
    <w:rsid w:val="00320543"/>
    <w:rsid w:val="0032061D"/>
    <w:rsid w:val="00320628"/>
    <w:rsid w:val="003208D1"/>
    <w:rsid w:val="003208DB"/>
    <w:rsid w:val="0032097B"/>
    <w:rsid w:val="00321192"/>
    <w:rsid w:val="00321536"/>
    <w:rsid w:val="00321A4F"/>
    <w:rsid w:val="00321B4E"/>
    <w:rsid w:val="003220D1"/>
    <w:rsid w:val="003222F7"/>
    <w:rsid w:val="0032259D"/>
    <w:rsid w:val="00322881"/>
    <w:rsid w:val="00322F9A"/>
    <w:rsid w:val="003231FB"/>
    <w:rsid w:val="00323607"/>
    <w:rsid w:val="003236E4"/>
    <w:rsid w:val="00323A25"/>
    <w:rsid w:val="003248D4"/>
    <w:rsid w:val="00324AD1"/>
    <w:rsid w:val="00324B94"/>
    <w:rsid w:val="00324DF9"/>
    <w:rsid w:val="00325793"/>
    <w:rsid w:val="003259B8"/>
    <w:rsid w:val="00325E85"/>
    <w:rsid w:val="00326180"/>
    <w:rsid w:val="00326295"/>
    <w:rsid w:val="00326745"/>
    <w:rsid w:val="00326891"/>
    <w:rsid w:val="0032692E"/>
    <w:rsid w:val="0032704C"/>
    <w:rsid w:val="003274B4"/>
    <w:rsid w:val="00327C2D"/>
    <w:rsid w:val="00327CFE"/>
    <w:rsid w:val="00327FD3"/>
    <w:rsid w:val="00330088"/>
    <w:rsid w:val="003304CD"/>
    <w:rsid w:val="00330767"/>
    <w:rsid w:val="003309C8"/>
    <w:rsid w:val="00330A32"/>
    <w:rsid w:val="00330C47"/>
    <w:rsid w:val="00330EC1"/>
    <w:rsid w:val="00331156"/>
    <w:rsid w:val="0033123E"/>
    <w:rsid w:val="00331305"/>
    <w:rsid w:val="003314A1"/>
    <w:rsid w:val="0033150C"/>
    <w:rsid w:val="00331705"/>
    <w:rsid w:val="0033176D"/>
    <w:rsid w:val="00331B92"/>
    <w:rsid w:val="00331CA8"/>
    <w:rsid w:val="00332024"/>
    <w:rsid w:val="0033208B"/>
    <w:rsid w:val="00332299"/>
    <w:rsid w:val="00332501"/>
    <w:rsid w:val="00332523"/>
    <w:rsid w:val="00332A49"/>
    <w:rsid w:val="00332AD4"/>
    <w:rsid w:val="00332EC2"/>
    <w:rsid w:val="00332F0B"/>
    <w:rsid w:val="003331DF"/>
    <w:rsid w:val="00333485"/>
    <w:rsid w:val="00333695"/>
    <w:rsid w:val="00333773"/>
    <w:rsid w:val="00333A7F"/>
    <w:rsid w:val="00334539"/>
    <w:rsid w:val="003348C6"/>
    <w:rsid w:val="00334A16"/>
    <w:rsid w:val="00334A3D"/>
    <w:rsid w:val="00334C8D"/>
    <w:rsid w:val="00334DAA"/>
    <w:rsid w:val="003351AF"/>
    <w:rsid w:val="00335245"/>
    <w:rsid w:val="003356AE"/>
    <w:rsid w:val="0033581B"/>
    <w:rsid w:val="003358A3"/>
    <w:rsid w:val="003359FA"/>
    <w:rsid w:val="00335B0E"/>
    <w:rsid w:val="00335D01"/>
    <w:rsid w:val="00335DD3"/>
    <w:rsid w:val="00335F79"/>
    <w:rsid w:val="0033614A"/>
    <w:rsid w:val="003364B7"/>
    <w:rsid w:val="003365E1"/>
    <w:rsid w:val="00336708"/>
    <w:rsid w:val="00336DAF"/>
    <w:rsid w:val="00336F8B"/>
    <w:rsid w:val="0033718E"/>
    <w:rsid w:val="0033726F"/>
    <w:rsid w:val="003375A8"/>
    <w:rsid w:val="0033765F"/>
    <w:rsid w:val="003376D4"/>
    <w:rsid w:val="00337A88"/>
    <w:rsid w:val="00337D54"/>
    <w:rsid w:val="00337F18"/>
    <w:rsid w:val="00337F31"/>
    <w:rsid w:val="00337F8D"/>
    <w:rsid w:val="0034050C"/>
    <w:rsid w:val="003405BF"/>
    <w:rsid w:val="0034080C"/>
    <w:rsid w:val="00340A04"/>
    <w:rsid w:val="00340E8F"/>
    <w:rsid w:val="0034110A"/>
    <w:rsid w:val="00341192"/>
    <w:rsid w:val="0034140C"/>
    <w:rsid w:val="00341442"/>
    <w:rsid w:val="0034187D"/>
    <w:rsid w:val="00341D00"/>
    <w:rsid w:val="00342095"/>
    <w:rsid w:val="003420E0"/>
    <w:rsid w:val="00342153"/>
    <w:rsid w:val="0034216B"/>
    <w:rsid w:val="0034239C"/>
    <w:rsid w:val="00342545"/>
    <w:rsid w:val="00342573"/>
    <w:rsid w:val="00342608"/>
    <w:rsid w:val="0034275A"/>
    <w:rsid w:val="003427A6"/>
    <w:rsid w:val="0034287E"/>
    <w:rsid w:val="003429BB"/>
    <w:rsid w:val="00342AAB"/>
    <w:rsid w:val="00342B60"/>
    <w:rsid w:val="00342B8A"/>
    <w:rsid w:val="00342FBC"/>
    <w:rsid w:val="00342FC1"/>
    <w:rsid w:val="00343106"/>
    <w:rsid w:val="003437C6"/>
    <w:rsid w:val="00343AA2"/>
    <w:rsid w:val="00343CF9"/>
    <w:rsid w:val="00344099"/>
    <w:rsid w:val="003442AA"/>
    <w:rsid w:val="003442F8"/>
    <w:rsid w:val="00344362"/>
    <w:rsid w:val="00344553"/>
    <w:rsid w:val="00344766"/>
    <w:rsid w:val="00344938"/>
    <w:rsid w:val="00344C21"/>
    <w:rsid w:val="00344C77"/>
    <w:rsid w:val="003456F6"/>
    <w:rsid w:val="00346029"/>
    <w:rsid w:val="0034610B"/>
    <w:rsid w:val="003461EE"/>
    <w:rsid w:val="003462C2"/>
    <w:rsid w:val="003462D8"/>
    <w:rsid w:val="00346334"/>
    <w:rsid w:val="003463CD"/>
    <w:rsid w:val="00346623"/>
    <w:rsid w:val="0034678B"/>
    <w:rsid w:val="0034698B"/>
    <w:rsid w:val="00346A65"/>
    <w:rsid w:val="00346ABF"/>
    <w:rsid w:val="00346ACB"/>
    <w:rsid w:val="00346C46"/>
    <w:rsid w:val="00346DC3"/>
    <w:rsid w:val="00346F2C"/>
    <w:rsid w:val="00347089"/>
    <w:rsid w:val="003470F6"/>
    <w:rsid w:val="003473BE"/>
    <w:rsid w:val="003474DA"/>
    <w:rsid w:val="00347758"/>
    <w:rsid w:val="003478EF"/>
    <w:rsid w:val="0034796F"/>
    <w:rsid w:val="00347A69"/>
    <w:rsid w:val="00347CDC"/>
    <w:rsid w:val="00347F51"/>
    <w:rsid w:val="003503FC"/>
    <w:rsid w:val="003508D9"/>
    <w:rsid w:val="00350A07"/>
    <w:rsid w:val="00350A31"/>
    <w:rsid w:val="00350B89"/>
    <w:rsid w:val="00350C4E"/>
    <w:rsid w:val="00350C7E"/>
    <w:rsid w:val="00350E77"/>
    <w:rsid w:val="00350FE5"/>
    <w:rsid w:val="00351120"/>
    <w:rsid w:val="0035117D"/>
    <w:rsid w:val="00351333"/>
    <w:rsid w:val="00351558"/>
    <w:rsid w:val="003516E7"/>
    <w:rsid w:val="00351BF5"/>
    <w:rsid w:val="00351CB8"/>
    <w:rsid w:val="00352173"/>
    <w:rsid w:val="00352313"/>
    <w:rsid w:val="00352471"/>
    <w:rsid w:val="00352844"/>
    <w:rsid w:val="00352B08"/>
    <w:rsid w:val="00352C1F"/>
    <w:rsid w:val="00352CDB"/>
    <w:rsid w:val="0035315E"/>
    <w:rsid w:val="00353417"/>
    <w:rsid w:val="00353605"/>
    <w:rsid w:val="0035376D"/>
    <w:rsid w:val="00353776"/>
    <w:rsid w:val="0035380E"/>
    <w:rsid w:val="00353A30"/>
    <w:rsid w:val="00353D6C"/>
    <w:rsid w:val="00353D73"/>
    <w:rsid w:val="0035432A"/>
    <w:rsid w:val="00354344"/>
    <w:rsid w:val="0035455D"/>
    <w:rsid w:val="00354F48"/>
    <w:rsid w:val="003550A5"/>
    <w:rsid w:val="003552D6"/>
    <w:rsid w:val="00355479"/>
    <w:rsid w:val="00355522"/>
    <w:rsid w:val="00355770"/>
    <w:rsid w:val="003557D8"/>
    <w:rsid w:val="003558AA"/>
    <w:rsid w:val="00355A18"/>
    <w:rsid w:val="00355BC9"/>
    <w:rsid w:val="00355F3E"/>
    <w:rsid w:val="00356025"/>
    <w:rsid w:val="00356088"/>
    <w:rsid w:val="003560F9"/>
    <w:rsid w:val="0035664C"/>
    <w:rsid w:val="00356B93"/>
    <w:rsid w:val="00356BAA"/>
    <w:rsid w:val="00356BDB"/>
    <w:rsid w:val="00356BDC"/>
    <w:rsid w:val="00356E71"/>
    <w:rsid w:val="00357028"/>
    <w:rsid w:val="0035708A"/>
    <w:rsid w:val="0035753C"/>
    <w:rsid w:val="00357A78"/>
    <w:rsid w:val="00357ADC"/>
    <w:rsid w:val="00357B83"/>
    <w:rsid w:val="00357C18"/>
    <w:rsid w:val="00357C29"/>
    <w:rsid w:val="00357CA4"/>
    <w:rsid w:val="00357E0E"/>
    <w:rsid w:val="003600C3"/>
    <w:rsid w:val="00360526"/>
    <w:rsid w:val="00360BF9"/>
    <w:rsid w:val="00360CAA"/>
    <w:rsid w:val="00361158"/>
    <w:rsid w:val="003611A0"/>
    <w:rsid w:val="00361570"/>
    <w:rsid w:val="00361591"/>
    <w:rsid w:val="003618A3"/>
    <w:rsid w:val="003619EF"/>
    <w:rsid w:val="00361C6D"/>
    <w:rsid w:val="00361D09"/>
    <w:rsid w:val="003625F6"/>
    <w:rsid w:val="00362B1E"/>
    <w:rsid w:val="00362B2B"/>
    <w:rsid w:val="00362F96"/>
    <w:rsid w:val="003632EC"/>
    <w:rsid w:val="003635FD"/>
    <w:rsid w:val="00363618"/>
    <w:rsid w:val="003637CF"/>
    <w:rsid w:val="00363D66"/>
    <w:rsid w:val="00363D6B"/>
    <w:rsid w:val="00363EC1"/>
    <w:rsid w:val="00363F5A"/>
    <w:rsid w:val="00364028"/>
    <w:rsid w:val="003643CE"/>
    <w:rsid w:val="00364562"/>
    <w:rsid w:val="003645AF"/>
    <w:rsid w:val="0036471A"/>
    <w:rsid w:val="0036496F"/>
    <w:rsid w:val="00364A77"/>
    <w:rsid w:val="00364BAB"/>
    <w:rsid w:val="00364F4D"/>
    <w:rsid w:val="00364FBB"/>
    <w:rsid w:val="00365140"/>
    <w:rsid w:val="00365206"/>
    <w:rsid w:val="00365224"/>
    <w:rsid w:val="0036530F"/>
    <w:rsid w:val="00365717"/>
    <w:rsid w:val="003657A1"/>
    <w:rsid w:val="003657C2"/>
    <w:rsid w:val="003657E5"/>
    <w:rsid w:val="00365A12"/>
    <w:rsid w:val="00365BD1"/>
    <w:rsid w:val="00365F5A"/>
    <w:rsid w:val="00366596"/>
    <w:rsid w:val="00366656"/>
    <w:rsid w:val="003669D6"/>
    <w:rsid w:val="00366C0A"/>
    <w:rsid w:val="00366EAE"/>
    <w:rsid w:val="00366F72"/>
    <w:rsid w:val="00367070"/>
    <w:rsid w:val="00370367"/>
    <w:rsid w:val="003703D1"/>
    <w:rsid w:val="0037044C"/>
    <w:rsid w:val="003704E8"/>
    <w:rsid w:val="00370960"/>
    <w:rsid w:val="00370D42"/>
    <w:rsid w:val="00370E3E"/>
    <w:rsid w:val="00370F56"/>
    <w:rsid w:val="0037100D"/>
    <w:rsid w:val="003713E8"/>
    <w:rsid w:val="0037150B"/>
    <w:rsid w:val="003717FA"/>
    <w:rsid w:val="00371B43"/>
    <w:rsid w:val="00371F17"/>
    <w:rsid w:val="00371FB9"/>
    <w:rsid w:val="0037231F"/>
    <w:rsid w:val="003725D0"/>
    <w:rsid w:val="00372B1B"/>
    <w:rsid w:val="00372DD0"/>
    <w:rsid w:val="00372E66"/>
    <w:rsid w:val="003730EC"/>
    <w:rsid w:val="00373172"/>
    <w:rsid w:val="003732C1"/>
    <w:rsid w:val="00373548"/>
    <w:rsid w:val="0037357E"/>
    <w:rsid w:val="00373B85"/>
    <w:rsid w:val="00373C69"/>
    <w:rsid w:val="00373D3F"/>
    <w:rsid w:val="00373ED9"/>
    <w:rsid w:val="003744BA"/>
    <w:rsid w:val="00374532"/>
    <w:rsid w:val="00374564"/>
    <w:rsid w:val="003746E1"/>
    <w:rsid w:val="00374780"/>
    <w:rsid w:val="00374A00"/>
    <w:rsid w:val="003753E0"/>
    <w:rsid w:val="0037564B"/>
    <w:rsid w:val="00375B8F"/>
    <w:rsid w:val="00375CAD"/>
    <w:rsid w:val="00375DE4"/>
    <w:rsid w:val="00375F45"/>
    <w:rsid w:val="00375F67"/>
    <w:rsid w:val="00376513"/>
    <w:rsid w:val="0037659F"/>
    <w:rsid w:val="003767E9"/>
    <w:rsid w:val="00376CEB"/>
    <w:rsid w:val="00376DF0"/>
    <w:rsid w:val="00376E6E"/>
    <w:rsid w:val="00376FB9"/>
    <w:rsid w:val="003771FB"/>
    <w:rsid w:val="0037775A"/>
    <w:rsid w:val="00377CFE"/>
    <w:rsid w:val="00377E7E"/>
    <w:rsid w:val="00377FB6"/>
    <w:rsid w:val="00377FC0"/>
    <w:rsid w:val="0038000C"/>
    <w:rsid w:val="0038009C"/>
    <w:rsid w:val="00380207"/>
    <w:rsid w:val="0038035D"/>
    <w:rsid w:val="0038088C"/>
    <w:rsid w:val="00380972"/>
    <w:rsid w:val="00380A4F"/>
    <w:rsid w:val="00380E7A"/>
    <w:rsid w:val="00380F82"/>
    <w:rsid w:val="00381260"/>
    <w:rsid w:val="0038137F"/>
    <w:rsid w:val="003813E0"/>
    <w:rsid w:val="003814FC"/>
    <w:rsid w:val="00381522"/>
    <w:rsid w:val="003817F8"/>
    <w:rsid w:val="00381853"/>
    <w:rsid w:val="003819E6"/>
    <w:rsid w:val="00381CA5"/>
    <w:rsid w:val="00381F29"/>
    <w:rsid w:val="00382145"/>
    <w:rsid w:val="00382434"/>
    <w:rsid w:val="0038245E"/>
    <w:rsid w:val="00382467"/>
    <w:rsid w:val="003824F9"/>
    <w:rsid w:val="00382542"/>
    <w:rsid w:val="00382633"/>
    <w:rsid w:val="00382891"/>
    <w:rsid w:val="00382B97"/>
    <w:rsid w:val="00382D38"/>
    <w:rsid w:val="00382D4A"/>
    <w:rsid w:val="0038319E"/>
    <w:rsid w:val="00383217"/>
    <w:rsid w:val="003832DF"/>
    <w:rsid w:val="00383A8F"/>
    <w:rsid w:val="00383ADE"/>
    <w:rsid w:val="00383C39"/>
    <w:rsid w:val="00383C92"/>
    <w:rsid w:val="00383D0C"/>
    <w:rsid w:val="00383F29"/>
    <w:rsid w:val="00383F48"/>
    <w:rsid w:val="0038402B"/>
    <w:rsid w:val="0038414D"/>
    <w:rsid w:val="003841BA"/>
    <w:rsid w:val="00384217"/>
    <w:rsid w:val="003842BF"/>
    <w:rsid w:val="0038443E"/>
    <w:rsid w:val="00384B56"/>
    <w:rsid w:val="00384E74"/>
    <w:rsid w:val="00384EE5"/>
    <w:rsid w:val="00385140"/>
    <w:rsid w:val="003852FB"/>
    <w:rsid w:val="003853AD"/>
    <w:rsid w:val="00385437"/>
    <w:rsid w:val="0038585A"/>
    <w:rsid w:val="003858DE"/>
    <w:rsid w:val="00385A22"/>
    <w:rsid w:val="00385DBF"/>
    <w:rsid w:val="00385E10"/>
    <w:rsid w:val="00386151"/>
    <w:rsid w:val="0038619F"/>
    <w:rsid w:val="003865C3"/>
    <w:rsid w:val="0038681C"/>
    <w:rsid w:val="00386888"/>
    <w:rsid w:val="00386F02"/>
    <w:rsid w:val="00386F8D"/>
    <w:rsid w:val="003872CC"/>
    <w:rsid w:val="00387301"/>
    <w:rsid w:val="003873FC"/>
    <w:rsid w:val="003877DB"/>
    <w:rsid w:val="00387AAE"/>
    <w:rsid w:val="00387BD5"/>
    <w:rsid w:val="00387CEF"/>
    <w:rsid w:val="003900C1"/>
    <w:rsid w:val="003902D2"/>
    <w:rsid w:val="003903CC"/>
    <w:rsid w:val="003903EC"/>
    <w:rsid w:val="00390476"/>
    <w:rsid w:val="00390D2F"/>
    <w:rsid w:val="00390DFC"/>
    <w:rsid w:val="00391148"/>
    <w:rsid w:val="00391888"/>
    <w:rsid w:val="0039196C"/>
    <w:rsid w:val="003919DC"/>
    <w:rsid w:val="00391A47"/>
    <w:rsid w:val="00391A5D"/>
    <w:rsid w:val="00391AF2"/>
    <w:rsid w:val="00391BF9"/>
    <w:rsid w:val="00391C0C"/>
    <w:rsid w:val="00391E33"/>
    <w:rsid w:val="00392502"/>
    <w:rsid w:val="003928A5"/>
    <w:rsid w:val="003928C3"/>
    <w:rsid w:val="003928C9"/>
    <w:rsid w:val="00392A6C"/>
    <w:rsid w:val="00392C51"/>
    <w:rsid w:val="00392E74"/>
    <w:rsid w:val="00393201"/>
    <w:rsid w:val="00393388"/>
    <w:rsid w:val="003934C8"/>
    <w:rsid w:val="00393708"/>
    <w:rsid w:val="003937C0"/>
    <w:rsid w:val="0039392B"/>
    <w:rsid w:val="00393D58"/>
    <w:rsid w:val="00393E06"/>
    <w:rsid w:val="00393E1D"/>
    <w:rsid w:val="003940B9"/>
    <w:rsid w:val="0039411C"/>
    <w:rsid w:val="00394166"/>
    <w:rsid w:val="0039446F"/>
    <w:rsid w:val="00394638"/>
    <w:rsid w:val="003948D1"/>
    <w:rsid w:val="003949EC"/>
    <w:rsid w:val="00394AAF"/>
    <w:rsid w:val="00394C8B"/>
    <w:rsid w:val="00394D8B"/>
    <w:rsid w:val="00394ECF"/>
    <w:rsid w:val="0039516C"/>
    <w:rsid w:val="003953C7"/>
    <w:rsid w:val="00395458"/>
    <w:rsid w:val="003955AB"/>
    <w:rsid w:val="003955B0"/>
    <w:rsid w:val="003957AE"/>
    <w:rsid w:val="003958DA"/>
    <w:rsid w:val="00395A40"/>
    <w:rsid w:val="0039643D"/>
    <w:rsid w:val="003964F8"/>
    <w:rsid w:val="00396616"/>
    <w:rsid w:val="00396889"/>
    <w:rsid w:val="0039688B"/>
    <w:rsid w:val="00396920"/>
    <w:rsid w:val="003969C5"/>
    <w:rsid w:val="00396AE2"/>
    <w:rsid w:val="003971F1"/>
    <w:rsid w:val="003973E1"/>
    <w:rsid w:val="0039793B"/>
    <w:rsid w:val="00397A00"/>
    <w:rsid w:val="00397B0E"/>
    <w:rsid w:val="00397BB3"/>
    <w:rsid w:val="00397DB4"/>
    <w:rsid w:val="00397E1E"/>
    <w:rsid w:val="00397EC5"/>
    <w:rsid w:val="00397F5C"/>
    <w:rsid w:val="003A05EA"/>
    <w:rsid w:val="003A0799"/>
    <w:rsid w:val="003A07EA"/>
    <w:rsid w:val="003A0919"/>
    <w:rsid w:val="003A0CF2"/>
    <w:rsid w:val="003A1058"/>
    <w:rsid w:val="003A1089"/>
    <w:rsid w:val="003A1664"/>
    <w:rsid w:val="003A1753"/>
    <w:rsid w:val="003A189E"/>
    <w:rsid w:val="003A18D4"/>
    <w:rsid w:val="003A1A26"/>
    <w:rsid w:val="003A1BF8"/>
    <w:rsid w:val="003A1DE5"/>
    <w:rsid w:val="003A1E77"/>
    <w:rsid w:val="003A1EB5"/>
    <w:rsid w:val="003A1FFA"/>
    <w:rsid w:val="003A2C76"/>
    <w:rsid w:val="003A2CA7"/>
    <w:rsid w:val="003A2E16"/>
    <w:rsid w:val="003A30F6"/>
    <w:rsid w:val="003A358D"/>
    <w:rsid w:val="003A3D3F"/>
    <w:rsid w:val="003A3DF7"/>
    <w:rsid w:val="003A3F71"/>
    <w:rsid w:val="003A4098"/>
    <w:rsid w:val="003A43C3"/>
    <w:rsid w:val="003A44DD"/>
    <w:rsid w:val="003A4847"/>
    <w:rsid w:val="003A49D7"/>
    <w:rsid w:val="003A49E2"/>
    <w:rsid w:val="003A4B57"/>
    <w:rsid w:val="003A5166"/>
    <w:rsid w:val="003A5745"/>
    <w:rsid w:val="003A5A65"/>
    <w:rsid w:val="003A5D24"/>
    <w:rsid w:val="003A5ECD"/>
    <w:rsid w:val="003A5F9A"/>
    <w:rsid w:val="003A6772"/>
    <w:rsid w:val="003A6B6B"/>
    <w:rsid w:val="003A6D65"/>
    <w:rsid w:val="003A7791"/>
    <w:rsid w:val="003A79A1"/>
    <w:rsid w:val="003A7B72"/>
    <w:rsid w:val="003A7C6D"/>
    <w:rsid w:val="003A7D4E"/>
    <w:rsid w:val="003B029E"/>
    <w:rsid w:val="003B061C"/>
    <w:rsid w:val="003B0651"/>
    <w:rsid w:val="003B0693"/>
    <w:rsid w:val="003B09CC"/>
    <w:rsid w:val="003B0F0C"/>
    <w:rsid w:val="003B1174"/>
    <w:rsid w:val="003B18CE"/>
    <w:rsid w:val="003B1945"/>
    <w:rsid w:val="003B1A18"/>
    <w:rsid w:val="003B1A9C"/>
    <w:rsid w:val="003B1CDD"/>
    <w:rsid w:val="003B1F03"/>
    <w:rsid w:val="003B20E6"/>
    <w:rsid w:val="003B235E"/>
    <w:rsid w:val="003B243C"/>
    <w:rsid w:val="003B24D0"/>
    <w:rsid w:val="003B2633"/>
    <w:rsid w:val="003B2748"/>
    <w:rsid w:val="003B2998"/>
    <w:rsid w:val="003B2D88"/>
    <w:rsid w:val="003B2EBA"/>
    <w:rsid w:val="003B3234"/>
    <w:rsid w:val="003B332D"/>
    <w:rsid w:val="003B3391"/>
    <w:rsid w:val="003B357B"/>
    <w:rsid w:val="003B364A"/>
    <w:rsid w:val="003B379C"/>
    <w:rsid w:val="003B3C64"/>
    <w:rsid w:val="003B3E73"/>
    <w:rsid w:val="003B3F65"/>
    <w:rsid w:val="003B4428"/>
    <w:rsid w:val="003B464E"/>
    <w:rsid w:val="003B4686"/>
    <w:rsid w:val="003B4788"/>
    <w:rsid w:val="003B4998"/>
    <w:rsid w:val="003B4BFF"/>
    <w:rsid w:val="003B4C05"/>
    <w:rsid w:val="003B4C73"/>
    <w:rsid w:val="003B4E8F"/>
    <w:rsid w:val="003B4FED"/>
    <w:rsid w:val="003B519F"/>
    <w:rsid w:val="003B51F0"/>
    <w:rsid w:val="003B5712"/>
    <w:rsid w:val="003B58D8"/>
    <w:rsid w:val="003B5B11"/>
    <w:rsid w:val="003B5C65"/>
    <w:rsid w:val="003B5FF3"/>
    <w:rsid w:val="003B643C"/>
    <w:rsid w:val="003B64C0"/>
    <w:rsid w:val="003B64C6"/>
    <w:rsid w:val="003B6567"/>
    <w:rsid w:val="003B67E2"/>
    <w:rsid w:val="003B6985"/>
    <w:rsid w:val="003B6B0A"/>
    <w:rsid w:val="003B6E51"/>
    <w:rsid w:val="003B6E82"/>
    <w:rsid w:val="003B6F47"/>
    <w:rsid w:val="003B6F86"/>
    <w:rsid w:val="003B6F92"/>
    <w:rsid w:val="003B706B"/>
    <w:rsid w:val="003B713A"/>
    <w:rsid w:val="003B7409"/>
    <w:rsid w:val="003B746C"/>
    <w:rsid w:val="003B7497"/>
    <w:rsid w:val="003B75DB"/>
    <w:rsid w:val="003B77E4"/>
    <w:rsid w:val="003B7838"/>
    <w:rsid w:val="003B7863"/>
    <w:rsid w:val="003B7D4C"/>
    <w:rsid w:val="003C005E"/>
    <w:rsid w:val="003C021D"/>
    <w:rsid w:val="003C02E2"/>
    <w:rsid w:val="003C0307"/>
    <w:rsid w:val="003C0A49"/>
    <w:rsid w:val="003C0A7D"/>
    <w:rsid w:val="003C0AB8"/>
    <w:rsid w:val="003C0B82"/>
    <w:rsid w:val="003C0F47"/>
    <w:rsid w:val="003C0FF1"/>
    <w:rsid w:val="003C102D"/>
    <w:rsid w:val="003C134C"/>
    <w:rsid w:val="003C13B0"/>
    <w:rsid w:val="003C144F"/>
    <w:rsid w:val="003C169B"/>
    <w:rsid w:val="003C170E"/>
    <w:rsid w:val="003C1AAC"/>
    <w:rsid w:val="003C20C9"/>
    <w:rsid w:val="003C2A61"/>
    <w:rsid w:val="003C2D96"/>
    <w:rsid w:val="003C2DFF"/>
    <w:rsid w:val="003C2FF8"/>
    <w:rsid w:val="003C3513"/>
    <w:rsid w:val="003C3594"/>
    <w:rsid w:val="003C3AC4"/>
    <w:rsid w:val="003C3D20"/>
    <w:rsid w:val="003C406C"/>
    <w:rsid w:val="003C408A"/>
    <w:rsid w:val="003C42E1"/>
    <w:rsid w:val="003C43DB"/>
    <w:rsid w:val="003C44FD"/>
    <w:rsid w:val="003C4A93"/>
    <w:rsid w:val="003C4E0B"/>
    <w:rsid w:val="003C4EC8"/>
    <w:rsid w:val="003C4FB7"/>
    <w:rsid w:val="003C514F"/>
    <w:rsid w:val="003C52C2"/>
    <w:rsid w:val="003C53CA"/>
    <w:rsid w:val="003C5571"/>
    <w:rsid w:val="003C55D6"/>
    <w:rsid w:val="003C5869"/>
    <w:rsid w:val="003C5889"/>
    <w:rsid w:val="003C58A3"/>
    <w:rsid w:val="003C5BE3"/>
    <w:rsid w:val="003C6082"/>
    <w:rsid w:val="003C6518"/>
    <w:rsid w:val="003C656D"/>
    <w:rsid w:val="003C67A8"/>
    <w:rsid w:val="003C68FE"/>
    <w:rsid w:val="003C6972"/>
    <w:rsid w:val="003C6AC6"/>
    <w:rsid w:val="003C6C9B"/>
    <w:rsid w:val="003C6D7B"/>
    <w:rsid w:val="003C6E6B"/>
    <w:rsid w:val="003C6EB9"/>
    <w:rsid w:val="003C70F4"/>
    <w:rsid w:val="003C71CF"/>
    <w:rsid w:val="003C7262"/>
    <w:rsid w:val="003C7764"/>
    <w:rsid w:val="003C7844"/>
    <w:rsid w:val="003C7BB5"/>
    <w:rsid w:val="003C7D89"/>
    <w:rsid w:val="003D018D"/>
    <w:rsid w:val="003D02D7"/>
    <w:rsid w:val="003D0684"/>
    <w:rsid w:val="003D0989"/>
    <w:rsid w:val="003D0ADA"/>
    <w:rsid w:val="003D0CE7"/>
    <w:rsid w:val="003D0EF1"/>
    <w:rsid w:val="003D0EFB"/>
    <w:rsid w:val="003D0FF7"/>
    <w:rsid w:val="003D1057"/>
    <w:rsid w:val="003D10B6"/>
    <w:rsid w:val="003D13DB"/>
    <w:rsid w:val="003D14FE"/>
    <w:rsid w:val="003D1520"/>
    <w:rsid w:val="003D192A"/>
    <w:rsid w:val="003D1942"/>
    <w:rsid w:val="003D1951"/>
    <w:rsid w:val="003D1C71"/>
    <w:rsid w:val="003D1D9F"/>
    <w:rsid w:val="003D1E82"/>
    <w:rsid w:val="003D2040"/>
    <w:rsid w:val="003D2216"/>
    <w:rsid w:val="003D23DB"/>
    <w:rsid w:val="003D24BD"/>
    <w:rsid w:val="003D2885"/>
    <w:rsid w:val="003D29C0"/>
    <w:rsid w:val="003D2CCF"/>
    <w:rsid w:val="003D2FCB"/>
    <w:rsid w:val="003D3097"/>
    <w:rsid w:val="003D30D9"/>
    <w:rsid w:val="003D31B8"/>
    <w:rsid w:val="003D3268"/>
    <w:rsid w:val="003D3646"/>
    <w:rsid w:val="003D3734"/>
    <w:rsid w:val="003D38B7"/>
    <w:rsid w:val="003D39BF"/>
    <w:rsid w:val="003D3B8B"/>
    <w:rsid w:val="003D3CBE"/>
    <w:rsid w:val="003D3F27"/>
    <w:rsid w:val="003D4168"/>
    <w:rsid w:val="003D41BF"/>
    <w:rsid w:val="003D41E5"/>
    <w:rsid w:val="003D42D8"/>
    <w:rsid w:val="003D4605"/>
    <w:rsid w:val="003D47CC"/>
    <w:rsid w:val="003D499F"/>
    <w:rsid w:val="003D4BCF"/>
    <w:rsid w:val="003D4E0C"/>
    <w:rsid w:val="003D503C"/>
    <w:rsid w:val="003D5110"/>
    <w:rsid w:val="003D5534"/>
    <w:rsid w:val="003D5627"/>
    <w:rsid w:val="003D56BA"/>
    <w:rsid w:val="003D5841"/>
    <w:rsid w:val="003D5963"/>
    <w:rsid w:val="003D5ABF"/>
    <w:rsid w:val="003D5B18"/>
    <w:rsid w:val="003D5B92"/>
    <w:rsid w:val="003D6017"/>
    <w:rsid w:val="003D6093"/>
    <w:rsid w:val="003D60EA"/>
    <w:rsid w:val="003D6154"/>
    <w:rsid w:val="003D62DD"/>
    <w:rsid w:val="003D6804"/>
    <w:rsid w:val="003D6A8E"/>
    <w:rsid w:val="003D6BA7"/>
    <w:rsid w:val="003D6C66"/>
    <w:rsid w:val="003D6F3F"/>
    <w:rsid w:val="003D6F6F"/>
    <w:rsid w:val="003D70C9"/>
    <w:rsid w:val="003D72AF"/>
    <w:rsid w:val="003D77C6"/>
    <w:rsid w:val="003D78C4"/>
    <w:rsid w:val="003D7A6F"/>
    <w:rsid w:val="003D7A96"/>
    <w:rsid w:val="003D7AB5"/>
    <w:rsid w:val="003D7B71"/>
    <w:rsid w:val="003D7CB5"/>
    <w:rsid w:val="003D7EFC"/>
    <w:rsid w:val="003D7F5D"/>
    <w:rsid w:val="003E02F5"/>
    <w:rsid w:val="003E0529"/>
    <w:rsid w:val="003E0566"/>
    <w:rsid w:val="003E0B2A"/>
    <w:rsid w:val="003E0E1F"/>
    <w:rsid w:val="003E1056"/>
    <w:rsid w:val="003E10BD"/>
    <w:rsid w:val="003E1388"/>
    <w:rsid w:val="003E177E"/>
    <w:rsid w:val="003E1A3C"/>
    <w:rsid w:val="003E1ADD"/>
    <w:rsid w:val="003E1E57"/>
    <w:rsid w:val="003E1EA3"/>
    <w:rsid w:val="003E2574"/>
    <w:rsid w:val="003E25BC"/>
    <w:rsid w:val="003E324E"/>
    <w:rsid w:val="003E326C"/>
    <w:rsid w:val="003E3490"/>
    <w:rsid w:val="003E35B1"/>
    <w:rsid w:val="003E3680"/>
    <w:rsid w:val="003E3BE7"/>
    <w:rsid w:val="003E3E66"/>
    <w:rsid w:val="003E4051"/>
    <w:rsid w:val="003E40A9"/>
    <w:rsid w:val="003E433C"/>
    <w:rsid w:val="003E4377"/>
    <w:rsid w:val="003E444D"/>
    <w:rsid w:val="003E457D"/>
    <w:rsid w:val="003E45C5"/>
    <w:rsid w:val="003E4899"/>
    <w:rsid w:val="003E4AA2"/>
    <w:rsid w:val="003E5073"/>
    <w:rsid w:val="003E5118"/>
    <w:rsid w:val="003E5615"/>
    <w:rsid w:val="003E59F4"/>
    <w:rsid w:val="003E5A18"/>
    <w:rsid w:val="003E5DBB"/>
    <w:rsid w:val="003E5E5B"/>
    <w:rsid w:val="003E5F3E"/>
    <w:rsid w:val="003E6258"/>
    <w:rsid w:val="003E63AF"/>
    <w:rsid w:val="003E644A"/>
    <w:rsid w:val="003E671B"/>
    <w:rsid w:val="003E6F65"/>
    <w:rsid w:val="003E6F74"/>
    <w:rsid w:val="003E7031"/>
    <w:rsid w:val="003E704C"/>
    <w:rsid w:val="003E719B"/>
    <w:rsid w:val="003E73E7"/>
    <w:rsid w:val="003E7501"/>
    <w:rsid w:val="003E75AE"/>
    <w:rsid w:val="003E7676"/>
    <w:rsid w:val="003E7724"/>
    <w:rsid w:val="003E7919"/>
    <w:rsid w:val="003E79DF"/>
    <w:rsid w:val="003E7CD6"/>
    <w:rsid w:val="003E7DBD"/>
    <w:rsid w:val="003E7F97"/>
    <w:rsid w:val="003F0050"/>
    <w:rsid w:val="003F0151"/>
    <w:rsid w:val="003F0163"/>
    <w:rsid w:val="003F04A4"/>
    <w:rsid w:val="003F0550"/>
    <w:rsid w:val="003F0557"/>
    <w:rsid w:val="003F0DF2"/>
    <w:rsid w:val="003F120E"/>
    <w:rsid w:val="003F1264"/>
    <w:rsid w:val="003F130C"/>
    <w:rsid w:val="003F155D"/>
    <w:rsid w:val="003F177B"/>
    <w:rsid w:val="003F1939"/>
    <w:rsid w:val="003F1D55"/>
    <w:rsid w:val="003F1DEF"/>
    <w:rsid w:val="003F21BB"/>
    <w:rsid w:val="003F222D"/>
    <w:rsid w:val="003F22C7"/>
    <w:rsid w:val="003F264C"/>
    <w:rsid w:val="003F27B1"/>
    <w:rsid w:val="003F2876"/>
    <w:rsid w:val="003F28F9"/>
    <w:rsid w:val="003F2A2A"/>
    <w:rsid w:val="003F2AC6"/>
    <w:rsid w:val="003F3023"/>
    <w:rsid w:val="003F302F"/>
    <w:rsid w:val="003F3080"/>
    <w:rsid w:val="003F3799"/>
    <w:rsid w:val="003F37E0"/>
    <w:rsid w:val="003F386D"/>
    <w:rsid w:val="003F3B04"/>
    <w:rsid w:val="003F3DDC"/>
    <w:rsid w:val="003F4104"/>
    <w:rsid w:val="003F436E"/>
    <w:rsid w:val="003F4691"/>
    <w:rsid w:val="003F46D1"/>
    <w:rsid w:val="003F4A77"/>
    <w:rsid w:val="003F4B9C"/>
    <w:rsid w:val="003F4BFE"/>
    <w:rsid w:val="003F4F41"/>
    <w:rsid w:val="003F54DC"/>
    <w:rsid w:val="003F5654"/>
    <w:rsid w:val="003F5745"/>
    <w:rsid w:val="003F58D5"/>
    <w:rsid w:val="003F5EFF"/>
    <w:rsid w:val="003F60A7"/>
    <w:rsid w:val="003F62CD"/>
    <w:rsid w:val="003F684F"/>
    <w:rsid w:val="003F6B20"/>
    <w:rsid w:val="003F6B69"/>
    <w:rsid w:val="003F6CF4"/>
    <w:rsid w:val="003F6E55"/>
    <w:rsid w:val="003F6F42"/>
    <w:rsid w:val="003F7138"/>
    <w:rsid w:val="003F72D5"/>
    <w:rsid w:val="003F7600"/>
    <w:rsid w:val="003F76CF"/>
    <w:rsid w:val="003F77D0"/>
    <w:rsid w:val="003F79A2"/>
    <w:rsid w:val="003F7AE3"/>
    <w:rsid w:val="003F7E44"/>
    <w:rsid w:val="00400084"/>
    <w:rsid w:val="0040036B"/>
    <w:rsid w:val="00400419"/>
    <w:rsid w:val="004007DF"/>
    <w:rsid w:val="00400B9F"/>
    <w:rsid w:val="00400DDD"/>
    <w:rsid w:val="00400EB4"/>
    <w:rsid w:val="00400F53"/>
    <w:rsid w:val="0040135E"/>
    <w:rsid w:val="0040155C"/>
    <w:rsid w:val="0040178C"/>
    <w:rsid w:val="004017C2"/>
    <w:rsid w:val="00401809"/>
    <w:rsid w:val="00401893"/>
    <w:rsid w:val="0040194F"/>
    <w:rsid w:val="00401A51"/>
    <w:rsid w:val="00401C39"/>
    <w:rsid w:val="00401DD9"/>
    <w:rsid w:val="00401F5E"/>
    <w:rsid w:val="0040226C"/>
    <w:rsid w:val="004024BE"/>
    <w:rsid w:val="004026C1"/>
    <w:rsid w:val="00402785"/>
    <w:rsid w:val="00402818"/>
    <w:rsid w:val="004029DE"/>
    <w:rsid w:val="004029F5"/>
    <w:rsid w:val="0040321E"/>
    <w:rsid w:val="004035A9"/>
    <w:rsid w:val="00403684"/>
    <w:rsid w:val="004036F5"/>
    <w:rsid w:val="00403817"/>
    <w:rsid w:val="00403842"/>
    <w:rsid w:val="00403B88"/>
    <w:rsid w:val="00403B9F"/>
    <w:rsid w:val="00403C28"/>
    <w:rsid w:val="00403C8B"/>
    <w:rsid w:val="00403E4F"/>
    <w:rsid w:val="00403FBA"/>
    <w:rsid w:val="00404047"/>
    <w:rsid w:val="0040404B"/>
    <w:rsid w:val="00404BDE"/>
    <w:rsid w:val="00404BE9"/>
    <w:rsid w:val="00404C04"/>
    <w:rsid w:val="00404D61"/>
    <w:rsid w:val="00404F2C"/>
    <w:rsid w:val="00405145"/>
    <w:rsid w:val="004051A4"/>
    <w:rsid w:val="00405356"/>
    <w:rsid w:val="00405549"/>
    <w:rsid w:val="00405788"/>
    <w:rsid w:val="0040592F"/>
    <w:rsid w:val="00405B26"/>
    <w:rsid w:val="004060EC"/>
    <w:rsid w:val="00406218"/>
    <w:rsid w:val="0040630E"/>
    <w:rsid w:val="00406556"/>
    <w:rsid w:val="00406AD3"/>
    <w:rsid w:val="00406C15"/>
    <w:rsid w:val="00406CC7"/>
    <w:rsid w:val="004072B5"/>
    <w:rsid w:val="00407420"/>
    <w:rsid w:val="004074E4"/>
    <w:rsid w:val="004075D4"/>
    <w:rsid w:val="00407744"/>
    <w:rsid w:val="00407803"/>
    <w:rsid w:val="004102FF"/>
    <w:rsid w:val="00410792"/>
    <w:rsid w:val="004107E4"/>
    <w:rsid w:val="00410A48"/>
    <w:rsid w:val="00410B6D"/>
    <w:rsid w:val="00410D78"/>
    <w:rsid w:val="00410EE0"/>
    <w:rsid w:val="0041103A"/>
    <w:rsid w:val="0041113A"/>
    <w:rsid w:val="004114A4"/>
    <w:rsid w:val="00411512"/>
    <w:rsid w:val="004115C0"/>
    <w:rsid w:val="004116FC"/>
    <w:rsid w:val="0041180B"/>
    <w:rsid w:val="00411AC2"/>
    <w:rsid w:val="00411AFF"/>
    <w:rsid w:val="00411FDA"/>
    <w:rsid w:val="0041240B"/>
    <w:rsid w:val="0041246A"/>
    <w:rsid w:val="004124C4"/>
    <w:rsid w:val="0041262C"/>
    <w:rsid w:val="004126F3"/>
    <w:rsid w:val="0041284A"/>
    <w:rsid w:val="00412870"/>
    <w:rsid w:val="00412ABD"/>
    <w:rsid w:val="00412AFB"/>
    <w:rsid w:val="00412BF8"/>
    <w:rsid w:val="00412C48"/>
    <w:rsid w:val="00413324"/>
    <w:rsid w:val="004134A1"/>
    <w:rsid w:val="004135EE"/>
    <w:rsid w:val="00413821"/>
    <w:rsid w:val="004139C2"/>
    <w:rsid w:val="00413A88"/>
    <w:rsid w:val="00413C33"/>
    <w:rsid w:val="00413F45"/>
    <w:rsid w:val="00413FE2"/>
    <w:rsid w:val="004144E3"/>
    <w:rsid w:val="004147BA"/>
    <w:rsid w:val="00414C9D"/>
    <w:rsid w:val="00414D00"/>
    <w:rsid w:val="00414D39"/>
    <w:rsid w:val="0041503F"/>
    <w:rsid w:val="00415980"/>
    <w:rsid w:val="004159E2"/>
    <w:rsid w:val="00415A13"/>
    <w:rsid w:val="00415B0B"/>
    <w:rsid w:val="00415B2F"/>
    <w:rsid w:val="00415C85"/>
    <w:rsid w:val="00415F4B"/>
    <w:rsid w:val="00416111"/>
    <w:rsid w:val="004161E0"/>
    <w:rsid w:val="00416465"/>
    <w:rsid w:val="0041652E"/>
    <w:rsid w:val="00416854"/>
    <w:rsid w:val="00416AE9"/>
    <w:rsid w:val="004170D9"/>
    <w:rsid w:val="004171E1"/>
    <w:rsid w:val="004171EC"/>
    <w:rsid w:val="00417212"/>
    <w:rsid w:val="00417654"/>
    <w:rsid w:val="0041772A"/>
    <w:rsid w:val="00417A77"/>
    <w:rsid w:val="00417E5A"/>
    <w:rsid w:val="00420452"/>
    <w:rsid w:val="00420513"/>
    <w:rsid w:val="00420EEF"/>
    <w:rsid w:val="00420FEF"/>
    <w:rsid w:val="004211D1"/>
    <w:rsid w:val="00421383"/>
    <w:rsid w:val="004213C7"/>
    <w:rsid w:val="00421795"/>
    <w:rsid w:val="0042184A"/>
    <w:rsid w:val="00421BD9"/>
    <w:rsid w:val="00422789"/>
    <w:rsid w:val="004227FC"/>
    <w:rsid w:val="00422895"/>
    <w:rsid w:val="00422A5D"/>
    <w:rsid w:val="00422EDA"/>
    <w:rsid w:val="00422FB3"/>
    <w:rsid w:val="004233DD"/>
    <w:rsid w:val="0042379F"/>
    <w:rsid w:val="00423925"/>
    <w:rsid w:val="00423CD3"/>
    <w:rsid w:val="00423F95"/>
    <w:rsid w:val="004242E1"/>
    <w:rsid w:val="00424368"/>
    <w:rsid w:val="0042446C"/>
    <w:rsid w:val="00424813"/>
    <w:rsid w:val="004248B3"/>
    <w:rsid w:val="00424BEA"/>
    <w:rsid w:val="00424C05"/>
    <w:rsid w:val="00424CB5"/>
    <w:rsid w:val="00424FA0"/>
    <w:rsid w:val="00425216"/>
    <w:rsid w:val="004252D5"/>
    <w:rsid w:val="00425382"/>
    <w:rsid w:val="00425516"/>
    <w:rsid w:val="00425625"/>
    <w:rsid w:val="00425739"/>
    <w:rsid w:val="004257C7"/>
    <w:rsid w:val="00425884"/>
    <w:rsid w:val="004259F2"/>
    <w:rsid w:val="00425B0E"/>
    <w:rsid w:val="00425B55"/>
    <w:rsid w:val="0042603C"/>
    <w:rsid w:val="00426074"/>
    <w:rsid w:val="004262E2"/>
    <w:rsid w:val="00426311"/>
    <w:rsid w:val="00426429"/>
    <w:rsid w:val="00426561"/>
    <w:rsid w:val="00426837"/>
    <w:rsid w:val="00426909"/>
    <w:rsid w:val="00426CE5"/>
    <w:rsid w:val="0042759B"/>
    <w:rsid w:val="004278C6"/>
    <w:rsid w:val="00427FBD"/>
    <w:rsid w:val="00427FF1"/>
    <w:rsid w:val="00430281"/>
    <w:rsid w:val="004303F5"/>
    <w:rsid w:val="0043080B"/>
    <w:rsid w:val="004308A9"/>
    <w:rsid w:val="004308AF"/>
    <w:rsid w:val="00430C1A"/>
    <w:rsid w:val="00430C5A"/>
    <w:rsid w:val="00430D8C"/>
    <w:rsid w:val="0043109F"/>
    <w:rsid w:val="004310B7"/>
    <w:rsid w:val="0043135C"/>
    <w:rsid w:val="004314D7"/>
    <w:rsid w:val="00431A27"/>
    <w:rsid w:val="00431B0E"/>
    <w:rsid w:val="00431B17"/>
    <w:rsid w:val="00431C91"/>
    <w:rsid w:val="00431DBD"/>
    <w:rsid w:val="00431ECF"/>
    <w:rsid w:val="00432101"/>
    <w:rsid w:val="00432152"/>
    <w:rsid w:val="0043223E"/>
    <w:rsid w:val="004323A7"/>
    <w:rsid w:val="004323F7"/>
    <w:rsid w:val="004324BF"/>
    <w:rsid w:val="00432900"/>
    <w:rsid w:val="00432942"/>
    <w:rsid w:val="004329B0"/>
    <w:rsid w:val="00432D09"/>
    <w:rsid w:val="00433078"/>
    <w:rsid w:val="004331A7"/>
    <w:rsid w:val="00433204"/>
    <w:rsid w:val="00433578"/>
    <w:rsid w:val="0043359D"/>
    <w:rsid w:val="00433666"/>
    <w:rsid w:val="004338FB"/>
    <w:rsid w:val="00433D25"/>
    <w:rsid w:val="00433E49"/>
    <w:rsid w:val="00433F61"/>
    <w:rsid w:val="00433F96"/>
    <w:rsid w:val="00433FCD"/>
    <w:rsid w:val="00434188"/>
    <w:rsid w:val="00434320"/>
    <w:rsid w:val="00434366"/>
    <w:rsid w:val="00434766"/>
    <w:rsid w:val="00434B03"/>
    <w:rsid w:val="00434DDD"/>
    <w:rsid w:val="00434F0A"/>
    <w:rsid w:val="0043519B"/>
    <w:rsid w:val="00435316"/>
    <w:rsid w:val="0043541B"/>
    <w:rsid w:val="004355DA"/>
    <w:rsid w:val="00435691"/>
    <w:rsid w:val="004356FC"/>
    <w:rsid w:val="004359E9"/>
    <w:rsid w:val="00435B0B"/>
    <w:rsid w:val="00435F47"/>
    <w:rsid w:val="0043605E"/>
    <w:rsid w:val="0043606E"/>
    <w:rsid w:val="00436679"/>
    <w:rsid w:val="00436919"/>
    <w:rsid w:val="00436AC6"/>
    <w:rsid w:val="00436B8A"/>
    <w:rsid w:val="00436ECF"/>
    <w:rsid w:val="00436F57"/>
    <w:rsid w:val="004370D3"/>
    <w:rsid w:val="00437212"/>
    <w:rsid w:val="004373AE"/>
    <w:rsid w:val="0043752D"/>
    <w:rsid w:val="004376D3"/>
    <w:rsid w:val="00437703"/>
    <w:rsid w:val="00437C0A"/>
    <w:rsid w:val="00437C18"/>
    <w:rsid w:val="00437F3D"/>
    <w:rsid w:val="004400B0"/>
    <w:rsid w:val="004402FB"/>
    <w:rsid w:val="00440645"/>
    <w:rsid w:val="00440AB8"/>
    <w:rsid w:val="00440B66"/>
    <w:rsid w:val="00440C1F"/>
    <w:rsid w:val="00440D42"/>
    <w:rsid w:val="00441313"/>
    <w:rsid w:val="00441360"/>
    <w:rsid w:val="00441410"/>
    <w:rsid w:val="0044147F"/>
    <w:rsid w:val="0044158C"/>
    <w:rsid w:val="0044175D"/>
    <w:rsid w:val="004418F3"/>
    <w:rsid w:val="00441998"/>
    <w:rsid w:val="004419D1"/>
    <w:rsid w:val="00441A26"/>
    <w:rsid w:val="00441AD5"/>
    <w:rsid w:val="00442131"/>
    <w:rsid w:val="004422FD"/>
    <w:rsid w:val="004423C5"/>
    <w:rsid w:val="0044241C"/>
    <w:rsid w:val="004424F4"/>
    <w:rsid w:val="0044256B"/>
    <w:rsid w:val="0044264F"/>
    <w:rsid w:val="0044269B"/>
    <w:rsid w:val="00442DA8"/>
    <w:rsid w:val="00442FC9"/>
    <w:rsid w:val="00443798"/>
    <w:rsid w:val="00443B47"/>
    <w:rsid w:val="00443E31"/>
    <w:rsid w:val="00443FAF"/>
    <w:rsid w:val="0044401D"/>
    <w:rsid w:val="004441EB"/>
    <w:rsid w:val="00444236"/>
    <w:rsid w:val="0044424C"/>
    <w:rsid w:val="004442D8"/>
    <w:rsid w:val="00444319"/>
    <w:rsid w:val="00444458"/>
    <w:rsid w:val="0044491D"/>
    <w:rsid w:val="00444AD8"/>
    <w:rsid w:val="00444ADA"/>
    <w:rsid w:val="00444FD3"/>
    <w:rsid w:val="00445050"/>
    <w:rsid w:val="00445152"/>
    <w:rsid w:val="00445301"/>
    <w:rsid w:val="0044534B"/>
    <w:rsid w:val="004453A9"/>
    <w:rsid w:val="00445437"/>
    <w:rsid w:val="004457C5"/>
    <w:rsid w:val="00445942"/>
    <w:rsid w:val="00446126"/>
    <w:rsid w:val="0044636C"/>
    <w:rsid w:val="00446702"/>
    <w:rsid w:val="0044693A"/>
    <w:rsid w:val="00446D1B"/>
    <w:rsid w:val="00446D7F"/>
    <w:rsid w:val="00446E51"/>
    <w:rsid w:val="00446FD3"/>
    <w:rsid w:val="00447138"/>
    <w:rsid w:val="00447222"/>
    <w:rsid w:val="00447361"/>
    <w:rsid w:val="00447654"/>
    <w:rsid w:val="00447A44"/>
    <w:rsid w:val="00447B52"/>
    <w:rsid w:val="004502D5"/>
    <w:rsid w:val="0045069C"/>
    <w:rsid w:val="004507F5"/>
    <w:rsid w:val="00450944"/>
    <w:rsid w:val="00450999"/>
    <w:rsid w:val="00450A4F"/>
    <w:rsid w:val="00450CA0"/>
    <w:rsid w:val="00450DE2"/>
    <w:rsid w:val="004510B7"/>
    <w:rsid w:val="004510BB"/>
    <w:rsid w:val="004511A3"/>
    <w:rsid w:val="00451263"/>
    <w:rsid w:val="00451313"/>
    <w:rsid w:val="00451727"/>
    <w:rsid w:val="004519BC"/>
    <w:rsid w:val="00451A46"/>
    <w:rsid w:val="00451CBE"/>
    <w:rsid w:val="00451CF7"/>
    <w:rsid w:val="00451E5B"/>
    <w:rsid w:val="00452430"/>
    <w:rsid w:val="00452778"/>
    <w:rsid w:val="004527A6"/>
    <w:rsid w:val="00452895"/>
    <w:rsid w:val="004528F1"/>
    <w:rsid w:val="00452FE7"/>
    <w:rsid w:val="00453130"/>
    <w:rsid w:val="0045350E"/>
    <w:rsid w:val="004539BE"/>
    <w:rsid w:val="00453AB6"/>
    <w:rsid w:val="00453D30"/>
    <w:rsid w:val="00453D52"/>
    <w:rsid w:val="00453DBF"/>
    <w:rsid w:val="00453E26"/>
    <w:rsid w:val="00453E90"/>
    <w:rsid w:val="00453EF0"/>
    <w:rsid w:val="0045410D"/>
    <w:rsid w:val="00454241"/>
    <w:rsid w:val="00454307"/>
    <w:rsid w:val="00454374"/>
    <w:rsid w:val="004543CC"/>
    <w:rsid w:val="004547BF"/>
    <w:rsid w:val="00454A95"/>
    <w:rsid w:val="00454DE2"/>
    <w:rsid w:val="00454F63"/>
    <w:rsid w:val="0045503C"/>
    <w:rsid w:val="004550B0"/>
    <w:rsid w:val="00455676"/>
    <w:rsid w:val="00455977"/>
    <w:rsid w:val="00455989"/>
    <w:rsid w:val="00455A7A"/>
    <w:rsid w:val="00455DB5"/>
    <w:rsid w:val="00455DCA"/>
    <w:rsid w:val="00455E5E"/>
    <w:rsid w:val="00455F73"/>
    <w:rsid w:val="0045609A"/>
    <w:rsid w:val="00456179"/>
    <w:rsid w:val="004563EA"/>
    <w:rsid w:val="004568D2"/>
    <w:rsid w:val="00456A38"/>
    <w:rsid w:val="00457332"/>
    <w:rsid w:val="004575C1"/>
    <w:rsid w:val="004575E4"/>
    <w:rsid w:val="0045784C"/>
    <w:rsid w:val="00457A19"/>
    <w:rsid w:val="00457DD8"/>
    <w:rsid w:val="00457E5F"/>
    <w:rsid w:val="004606F8"/>
    <w:rsid w:val="004607E9"/>
    <w:rsid w:val="004609BA"/>
    <w:rsid w:val="00460C53"/>
    <w:rsid w:val="00460D97"/>
    <w:rsid w:val="00460FA7"/>
    <w:rsid w:val="004614CA"/>
    <w:rsid w:val="00461AA8"/>
    <w:rsid w:val="004620A5"/>
    <w:rsid w:val="004621C2"/>
    <w:rsid w:val="00462679"/>
    <w:rsid w:val="00462E1E"/>
    <w:rsid w:val="004631FD"/>
    <w:rsid w:val="00463223"/>
    <w:rsid w:val="004636F5"/>
    <w:rsid w:val="0046381F"/>
    <w:rsid w:val="00463BEA"/>
    <w:rsid w:val="00463BFD"/>
    <w:rsid w:val="00463D9A"/>
    <w:rsid w:val="00463E78"/>
    <w:rsid w:val="004640D1"/>
    <w:rsid w:val="004641AE"/>
    <w:rsid w:val="004643D3"/>
    <w:rsid w:val="004644CC"/>
    <w:rsid w:val="00464609"/>
    <w:rsid w:val="00464AA7"/>
    <w:rsid w:val="00464B25"/>
    <w:rsid w:val="00464B99"/>
    <w:rsid w:val="00464CF3"/>
    <w:rsid w:val="00464D22"/>
    <w:rsid w:val="00464FF3"/>
    <w:rsid w:val="00465073"/>
    <w:rsid w:val="00465336"/>
    <w:rsid w:val="004656A5"/>
    <w:rsid w:val="00465720"/>
    <w:rsid w:val="00465B31"/>
    <w:rsid w:val="00465D68"/>
    <w:rsid w:val="00465E9D"/>
    <w:rsid w:val="00465EE8"/>
    <w:rsid w:val="00466165"/>
    <w:rsid w:val="00466193"/>
    <w:rsid w:val="004663A6"/>
    <w:rsid w:val="004663CD"/>
    <w:rsid w:val="004664F8"/>
    <w:rsid w:val="0046662A"/>
    <w:rsid w:val="004668B2"/>
    <w:rsid w:val="004668DC"/>
    <w:rsid w:val="004669AF"/>
    <w:rsid w:val="00466A5E"/>
    <w:rsid w:val="00466BD8"/>
    <w:rsid w:val="004670EE"/>
    <w:rsid w:val="0046714F"/>
    <w:rsid w:val="004675E0"/>
    <w:rsid w:val="00467824"/>
    <w:rsid w:val="004679F3"/>
    <w:rsid w:val="00467B1C"/>
    <w:rsid w:val="00467D8C"/>
    <w:rsid w:val="00467DA8"/>
    <w:rsid w:val="00467F04"/>
    <w:rsid w:val="0047003C"/>
    <w:rsid w:val="00470168"/>
    <w:rsid w:val="004701E6"/>
    <w:rsid w:val="00470232"/>
    <w:rsid w:val="0047024A"/>
    <w:rsid w:val="00470305"/>
    <w:rsid w:val="00470377"/>
    <w:rsid w:val="004704B2"/>
    <w:rsid w:val="004705D1"/>
    <w:rsid w:val="004708C7"/>
    <w:rsid w:val="00470BE4"/>
    <w:rsid w:val="00470C66"/>
    <w:rsid w:val="004713E5"/>
    <w:rsid w:val="004716C5"/>
    <w:rsid w:val="00471794"/>
    <w:rsid w:val="0047195F"/>
    <w:rsid w:val="00472056"/>
    <w:rsid w:val="0047206C"/>
    <w:rsid w:val="00472380"/>
    <w:rsid w:val="0047242B"/>
    <w:rsid w:val="00472476"/>
    <w:rsid w:val="004724FA"/>
    <w:rsid w:val="00472879"/>
    <w:rsid w:val="00472F7E"/>
    <w:rsid w:val="00473254"/>
    <w:rsid w:val="00473280"/>
    <w:rsid w:val="00473904"/>
    <w:rsid w:val="004739EF"/>
    <w:rsid w:val="00473ED4"/>
    <w:rsid w:val="00473FF8"/>
    <w:rsid w:val="00473FFF"/>
    <w:rsid w:val="004742DD"/>
    <w:rsid w:val="0047432D"/>
    <w:rsid w:val="0047433E"/>
    <w:rsid w:val="00474465"/>
    <w:rsid w:val="0047486D"/>
    <w:rsid w:val="00474A0A"/>
    <w:rsid w:val="00474EFE"/>
    <w:rsid w:val="00474FC1"/>
    <w:rsid w:val="00474FD3"/>
    <w:rsid w:val="004752D6"/>
    <w:rsid w:val="004758E2"/>
    <w:rsid w:val="00475E21"/>
    <w:rsid w:val="00475E67"/>
    <w:rsid w:val="00476063"/>
    <w:rsid w:val="00476267"/>
    <w:rsid w:val="004763DF"/>
    <w:rsid w:val="0047653E"/>
    <w:rsid w:val="004768D8"/>
    <w:rsid w:val="0047691C"/>
    <w:rsid w:val="00476B75"/>
    <w:rsid w:val="00476E43"/>
    <w:rsid w:val="00476F78"/>
    <w:rsid w:val="004773BE"/>
    <w:rsid w:val="004774B3"/>
    <w:rsid w:val="004775C9"/>
    <w:rsid w:val="00477795"/>
    <w:rsid w:val="004778DF"/>
    <w:rsid w:val="004779E2"/>
    <w:rsid w:val="00477DB1"/>
    <w:rsid w:val="00477F5F"/>
    <w:rsid w:val="0047F3B0"/>
    <w:rsid w:val="0048005E"/>
    <w:rsid w:val="00480105"/>
    <w:rsid w:val="004804DF"/>
    <w:rsid w:val="0048065F"/>
    <w:rsid w:val="0048071A"/>
    <w:rsid w:val="00480728"/>
    <w:rsid w:val="00480A48"/>
    <w:rsid w:val="00480E2E"/>
    <w:rsid w:val="00480E5F"/>
    <w:rsid w:val="004811E7"/>
    <w:rsid w:val="0048126F"/>
    <w:rsid w:val="00481A6F"/>
    <w:rsid w:val="00481B6D"/>
    <w:rsid w:val="00482259"/>
    <w:rsid w:val="00482896"/>
    <w:rsid w:val="0048296C"/>
    <w:rsid w:val="00482B56"/>
    <w:rsid w:val="00482C4D"/>
    <w:rsid w:val="004830EC"/>
    <w:rsid w:val="004830F8"/>
    <w:rsid w:val="004832EE"/>
    <w:rsid w:val="0048340F"/>
    <w:rsid w:val="0048341B"/>
    <w:rsid w:val="00483502"/>
    <w:rsid w:val="00483772"/>
    <w:rsid w:val="0048399F"/>
    <w:rsid w:val="004839CA"/>
    <w:rsid w:val="00483DD3"/>
    <w:rsid w:val="00483FC6"/>
    <w:rsid w:val="00484028"/>
    <w:rsid w:val="0048403C"/>
    <w:rsid w:val="00484208"/>
    <w:rsid w:val="00484405"/>
    <w:rsid w:val="004848DC"/>
    <w:rsid w:val="00485544"/>
    <w:rsid w:val="00485851"/>
    <w:rsid w:val="00485A60"/>
    <w:rsid w:val="00485BDC"/>
    <w:rsid w:val="00486000"/>
    <w:rsid w:val="004860C8"/>
    <w:rsid w:val="004860E3"/>
    <w:rsid w:val="004860EA"/>
    <w:rsid w:val="004865C8"/>
    <w:rsid w:val="00486AE1"/>
    <w:rsid w:val="00486DBB"/>
    <w:rsid w:val="00486E16"/>
    <w:rsid w:val="00486E59"/>
    <w:rsid w:val="00486EB3"/>
    <w:rsid w:val="00486ED8"/>
    <w:rsid w:val="004870E5"/>
    <w:rsid w:val="004874FE"/>
    <w:rsid w:val="00487772"/>
    <w:rsid w:val="004877FA"/>
    <w:rsid w:val="00487A6A"/>
    <w:rsid w:val="00487C3C"/>
    <w:rsid w:val="00487EE9"/>
    <w:rsid w:val="00490095"/>
    <w:rsid w:val="00490319"/>
    <w:rsid w:val="00490353"/>
    <w:rsid w:val="004905F1"/>
    <w:rsid w:val="004906BD"/>
    <w:rsid w:val="0049087D"/>
    <w:rsid w:val="00490B24"/>
    <w:rsid w:val="00490D10"/>
    <w:rsid w:val="00490D9B"/>
    <w:rsid w:val="00490DB4"/>
    <w:rsid w:val="00491475"/>
    <w:rsid w:val="004914BD"/>
    <w:rsid w:val="00491538"/>
    <w:rsid w:val="00491670"/>
    <w:rsid w:val="004916C0"/>
    <w:rsid w:val="004916F9"/>
    <w:rsid w:val="0049173F"/>
    <w:rsid w:val="004918F8"/>
    <w:rsid w:val="00491A7F"/>
    <w:rsid w:val="00491D52"/>
    <w:rsid w:val="00491DBD"/>
    <w:rsid w:val="00491FF6"/>
    <w:rsid w:val="00492367"/>
    <w:rsid w:val="00492554"/>
    <w:rsid w:val="004925CA"/>
    <w:rsid w:val="004926E8"/>
    <w:rsid w:val="00492940"/>
    <w:rsid w:val="00492A08"/>
    <w:rsid w:val="00492ABB"/>
    <w:rsid w:val="0049320A"/>
    <w:rsid w:val="00493506"/>
    <w:rsid w:val="00493688"/>
    <w:rsid w:val="00493703"/>
    <w:rsid w:val="00493995"/>
    <w:rsid w:val="004939E3"/>
    <w:rsid w:val="00493BBE"/>
    <w:rsid w:val="004940B3"/>
    <w:rsid w:val="00494107"/>
    <w:rsid w:val="004942D3"/>
    <w:rsid w:val="004942D4"/>
    <w:rsid w:val="0049444E"/>
    <w:rsid w:val="00494715"/>
    <w:rsid w:val="004947D6"/>
    <w:rsid w:val="00494C76"/>
    <w:rsid w:val="00494D14"/>
    <w:rsid w:val="00494F94"/>
    <w:rsid w:val="004952B7"/>
    <w:rsid w:val="0049599D"/>
    <w:rsid w:val="004959AF"/>
    <w:rsid w:val="00495C9B"/>
    <w:rsid w:val="00495F48"/>
    <w:rsid w:val="0049634B"/>
    <w:rsid w:val="00496416"/>
    <w:rsid w:val="00496432"/>
    <w:rsid w:val="004968C5"/>
    <w:rsid w:val="004968E4"/>
    <w:rsid w:val="004969B8"/>
    <w:rsid w:val="00496FE0"/>
    <w:rsid w:val="0049705F"/>
    <w:rsid w:val="004970A5"/>
    <w:rsid w:val="00497120"/>
    <w:rsid w:val="0049719A"/>
    <w:rsid w:val="0049734F"/>
    <w:rsid w:val="00497386"/>
    <w:rsid w:val="004973F0"/>
    <w:rsid w:val="004974F4"/>
    <w:rsid w:val="00497602"/>
    <w:rsid w:val="004977C5"/>
    <w:rsid w:val="00497AC8"/>
    <w:rsid w:val="00497B42"/>
    <w:rsid w:val="00497C3F"/>
    <w:rsid w:val="00497F01"/>
    <w:rsid w:val="004A0157"/>
    <w:rsid w:val="004A0160"/>
    <w:rsid w:val="004A031E"/>
    <w:rsid w:val="004A0326"/>
    <w:rsid w:val="004A05F5"/>
    <w:rsid w:val="004A0694"/>
    <w:rsid w:val="004A0901"/>
    <w:rsid w:val="004A09C1"/>
    <w:rsid w:val="004A0A17"/>
    <w:rsid w:val="004A0C54"/>
    <w:rsid w:val="004A0F01"/>
    <w:rsid w:val="004A0FE6"/>
    <w:rsid w:val="004A10B6"/>
    <w:rsid w:val="004A10F1"/>
    <w:rsid w:val="004A11BD"/>
    <w:rsid w:val="004A11CC"/>
    <w:rsid w:val="004A1293"/>
    <w:rsid w:val="004A1368"/>
    <w:rsid w:val="004A1468"/>
    <w:rsid w:val="004A181B"/>
    <w:rsid w:val="004A18E9"/>
    <w:rsid w:val="004A190A"/>
    <w:rsid w:val="004A197F"/>
    <w:rsid w:val="004A199C"/>
    <w:rsid w:val="004A1A8E"/>
    <w:rsid w:val="004A1D11"/>
    <w:rsid w:val="004A1D82"/>
    <w:rsid w:val="004A1FA1"/>
    <w:rsid w:val="004A1FEA"/>
    <w:rsid w:val="004A232B"/>
    <w:rsid w:val="004A2433"/>
    <w:rsid w:val="004A2796"/>
    <w:rsid w:val="004A2854"/>
    <w:rsid w:val="004A2F10"/>
    <w:rsid w:val="004A2F6B"/>
    <w:rsid w:val="004A2FCC"/>
    <w:rsid w:val="004A317B"/>
    <w:rsid w:val="004A3731"/>
    <w:rsid w:val="004A37CE"/>
    <w:rsid w:val="004A3A4F"/>
    <w:rsid w:val="004A3CB2"/>
    <w:rsid w:val="004A3E61"/>
    <w:rsid w:val="004A3F14"/>
    <w:rsid w:val="004A3F70"/>
    <w:rsid w:val="004A40EB"/>
    <w:rsid w:val="004A42A2"/>
    <w:rsid w:val="004A44E1"/>
    <w:rsid w:val="004A4917"/>
    <w:rsid w:val="004A4BF9"/>
    <w:rsid w:val="004A4CEC"/>
    <w:rsid w:val="004A5470"/>
    <w:rsid w:val="004A5542"/>
    <w:rsid w:val="004A55DA"/>
    <w:rsid w:val="004A5700"/>
    <w:rsid w:val="004A59DD"/>
    <w:rsid w:val="004A5A8B"/>
    <w:rsid w:val="004A5D6C"/>
    <w:rsid w:val="004A6048"/>
    <w:rsid w:val="004A6152"/>
    <w:rsid w:val="004A6169"/>
    <w:rsid w:val="004A64C1"/>
    <w:rsid w:val="004A67AE"/>
    <w:rsid w:val="004A6815"/>
    <w:rsid w:val="004A6893"/>
    <w:rsid w:val="004A695D"/>
    <w:rsid w:val="004A6F7A"/>
    <w:rsid w:val="004A705D"/>
    <w:rsid w:val="004A76F5"/>
    <w:rsid w:val="004A7B75"/>
    <w:rsid w:val="004A7C3B"/>
    <w:rsid w:val="004A7D3D"/>
    <w:rsid w:val="004A7DA4"/>
    <w:rsid w:val="004B006E"/>
    <w:rsid w:val="004B008D"/>
    <w:rsid w:val="004B0187"/>
    <w:rsid w:val="004B0221"/>
    <w:rsid w:val="004B07D0"/>
    <w:rsid w:val="004B07EC"/>
    <w:rsid w:val="004B099C"/>
    <w:rsid w:val="004B0AB2"/>
    <w:rsid w:val="004B0AD3"/>
    <w:rsid w:val="004B0E0A"/>
    <w:rsid w:val="004B0ED8"/>
    <w:rsid w:val="004B0F91"/>
    <w:rsid w:val="004B165C"/>
    <w:rsid w:val="004B16CB"/>
    <w:rsid w:val="004B17C6"/>
    <w:rsid w:val="004B17E1"/>
    <w:rsid w:val="004B1A21"/>
    <w:rsid w:val="004B1ACE"/>
    <w:rsid w:val="004B1B8A"/>
    <w:rsid w:val="004B22C1"/>
    <w:rsid w:val="004B2A76"/>
    <w:rsid w:val="004B2A86"/>
    <w:rsid w:val="004B2DD0"/>
    <w:rsid w:val="004B2ED8"/>
    <w:rsid w:val="004B2F52"/>
    <w:rsid w:val="004B3179"/>
    <w:rsid w:val="004B3222"/>
    <w:rsid w:val="004B327F"/>
    <w:rsid w:val="004B328B"/>
    <w:rsid w:val="004B3597"/>
    <w:rsid w:val="004B3647"/>
    <w:rsid w:val="004B3679"/>
    <w:rsid w:val="004B3707"/>
    <w:rsid w:val="004B382E"/>
    <w:rsid w:val="004B3862"/>
    <w:rsid w:val="004B39DF"/>
    <w:rsid w:val="004B3DDD"/>
    <w:rsid w:val="004B3E92"/>
    <w:rsid w:val="004B402F"/>
    <w:rsid w:val="004B454B"/>
    <w:rsid w:val="004B4563"/>
    <w:rsid w:val="004B46AD"/>
    <w:rsid w:val="004B48B6"/>
    <w:rsid w:val="004B4A4A"/>
    <w:rsid w:val="004B4AE7"/>
    <w:rsid w:val="004B4FA8"/>
    <w:rsid w:val="004B53D4"/>
    <w:rsid w:val="004B5472"/>
    <w:rsid w:val="004B55B3"/>
    <w:rsid w:val="004B56A9"/>
    <w:rsid w:val="004B576E"/>
    <w:rsid w:val="004B589A"/>
    <w:rsid w:val="004B5A73"/>
    <w:rsid w:val="004B5BA4"/>
    <w:rsid w:val="004B5BDB"/>
    <w:rsid w:val="004B5DB4"/>
    <w:rsid w:val="004B5F2A"/>
    <w:rsid w:val="004B6137"/>
    <w:rsid w:val="004B61A4"/>
    <w:rsid w:val="004B620C"/>
    <w:rsid w:val="004B629C"/>
    <w:rsid w:val="004B63C4"/>
    <w:rsid w:val="004B6421"/>
    <w:rsid w:val="004B65B2"/>
    <w:rsid w:val="004B6870"/>
    <w:rsid w:val="004B6872"/>
    <w:rsid w:val="004B68BB"/>
    <w:rsid w:val="004B6AC0"/>
    <w:rsid w:val="004B6B6A"/>
    <w:rsid w:val="004B6C81"/>
    <w:rsid w:val="004B6D1F"/>
    <w:rsid w:val="004B6FBF"/>
    <w:rsid w:val="004B6FD9"/>
    <w:rsid w:val="004B73D7"/>
    <w:rsid w:val="004B7492"/>
    <w:rsid w:val="004B75A7"/>
    <w:rsid w:val="004B75C9"/>
    <w:rsid w:val="004B77CD"/>
    <w:rsid w:val="004B783C"/>
    <w:rsid w:val="004B787B"/>
    <w:rsid w:val="004B78A4"/>
    <w:rsid w:val="004B7AF3"/>
    <w:rsid w:val="004B7B4F"/>
    <w:rsid w:val="004C0202"/>
    <w:rsid w:val="004C02CC"/>
    <w:rsid w:val="004C030B"/>
    <w:rsid w:val="004C05CA"/>
    <w:rsid w:val="004C079F"/>
    <w:rsid w:val="004C0C91"/>
    <w:rsid w:val="004C0E86"/>
    <w:rsid w:val="004C0F3F"/>
    <w:rsid w:val="004C0F9D"/>
    <w:rsid w:val="004C103D"/>
    <w:rsid w:val="004C110B"/>
    <w:rsid w:val="004C13C7"/>
    <w:rsid w:val="004C14EE"/>
    <w:rsid w:val="004C15B9"/>
    <w:rsid w:val="004C15EA"/>
    <w:rsid w:val="004C1A19"/>
    <w:rsid w:val="004C1DEA"/>
    <w:rsid w:val="004C1E30"/>
    <w:rsid w:val="004C1E85"/>
    <w:rsid w:val="004C1ECC"/>
    <w:rsid w:val="004C2192"/>
    <w:rsid w:val="004C254F"/>
    <w:rsid w:val="004C2C75"/>
    <w:rsid w:val="004C30CF"/>
    <w:rsid w:val="004C31D4"/>
    <w:rsid w:val="004C346D"/>
    <w:rsid w:val="004C3689"/>
    <w:rsid w:val="004C3B6C"/>
    <w:rsid w:val="004C3E24"/>
    <w:rsid w:val="004C48A9"/>
    <w:rsid w:val="004C48AE"/>
    <w:rsid w:val="004C49D2"/>
    <w:rsid w:val="004C4AC7"/>
    <w:rsid w:val="004C4F7C"/>
    <w:rsid w:val="004C546C"/>
    <w:rsid w:val="004C5798"/>
    <w:rsid w:val="004C58ED"/>
    <w:rsid w:val="004C5A2A"/>
    <w:rsid w:val="004C60BB"/>
    <w:rsid w:val="004C624B"/>
    <w:rsid w:val="004C66DC"/>
    <w:rsid w:val="004C6820"/>
    <w:rsid w:val="004C6962"/>
    <w:rsid w:val="004C6D2A"/>
    <w:rsid w:val="004C6E31"/>
    <w:rsid w:val="004C745B"/>
    <w:rsid w:val="004C747C"/>
    <w:rsid w:val="004C7514"/>
    <w:rsid w:val="004C77FC"/>
    <w:rsid w:val="004C7906"/>
    <w:rsid w:val="004C799A"/>
    <w:rsid w:val="004C7C2A"/>
    <w:rsid w:val="004C7CC3"/>
    <w:rsid w:val="004C7DCF"/>
    <w:rsid w:val="004D0286"/>
    <w:rsid w:val="004D0306"/>
    <w:rsid w:val="004D03DD"/>
    <w:rsid w:val="004D0935"/>
    <w:rsid w:val="004D0A80"/>
    <w:rsid w:val="004D0CB0"/>
    <w:rsid w:val="004D0CB9"/>
    <w:rsid w:val="004D0ED7"/>
    <w:rsid w:val="004D1218"/>
    <w:rsid w:val="004D13DF"/>
    <w:rsid w:val="004D16D8"/>
    <w:rsid w:val="004D1739"/>
    <w:rsid w:val="004D1780"/>
    <w:rsid w:val="004D1A37"/>
    <w:rsid w:val="004D1A74"/>
    <w:rsid w:val="004D23F4"/>
    <w:rsid w:val="004D2458"/>
    <w:rsid w:val="004D245C"/>
    <w:rsid w:val="004D264E"/>
    <w:rsid w:val="004D2887"/>
    <w:rsid w:val="004D28AD"/>
    <w:rsid w:val="004D2A8B"/>
    <w:rsid w:val="004D2AFC"/>
    <w:rsid w:val="004D306B"/>
    <w:rsid w:val="004D3204"/>
    <w:rsid w:val="004D3295"/>
    <w:rsid w:val="004D3466"/>
    <w:rsid w:val="004D34B9"/>
    <w:rsid w:val="004D355D"/>
    <w:rsid w:val="004D3908"/>
    <w:rsid w:val="004D3B38"/>
    <w:rsid w:val="004D3B5B"/>
    <w:rsid w:val="004D3EE4"/>
    <w:rsid w:val="004D41C2"/>
    <w:rsid w:val="004D4680"/>
    <w:rsid w:val="004D49B8"/>
    <w:rsid w:val="004D4ACE"/>
    <w:rsid w:val="004D4E10"/>
    <w:rsid w:val="004D575F"/>
    <w:rsid w:val="004D57D7"/>
    <w:rsid w:val="004D5AC3"/>
    <w:rsid w:val="004D6508"/>
    <w:rsid w:val="004D716F"/>
    <w:rsid w:val="004D7187"/>
    <w:rsid w:val="004D7253"/>
    <w:rsid w:val="004D7415"/>
    <w:rsid w:val="004D7557"/>
    <w:rsid w:val="004D7638"/>
    <w:rsid w:val="004D76CC"/>
    <w:rsid w:val="004D787A"/>
    <w:rsid w:val="004D7916"/>
    <w:rsid w:val="004D7B04"/>
    <w:rsid w:val="004D7B98"/>
    <w:rsid w:val="004E04A6"/>
    <w:rsid w:val="004E0570"/>
    <w:rsid w:val="004E0603"/>
    <w:rsid w:val="004E097E"/>
    <w:rsid w:val="004E0A62"/>
    <w:rsid w:val="004E0A82"/>
    <w:rsid w:val="004E0B3D"/>
    <w:rsid w:val="004E10A7"/>
    <w:rsid w:val="004E1AB6"/>
    <w:rsid w:val="004E1FD5"/>
    <w:rsid w:val="004E20E9"/>
    <w:rsid w:val="004E254D"/>
    <w:rsid w:val="004E2555"/>
    <w:rsid w:val="004E2679"/>
    <w:rsid w:val="004E26F6"/>
    <w:rsid w:val="004E2907"/>
    <w:rsid w:val="004E292C"/>
    <w:rsid w:val="004E298D"/>
    <w:rsid w:val="004E2D4E"/>
    <w:rsid w:val="004E3245"/>
    <w:rsid w:val="004E32E1"/>
    <w:rsid w:val="004E342B"/>
    <w:rsid w:val="004E35F9"/>
    <w:rsid w:val="004E365A"/>
    <w:rsid w:val="004E3821"/>
    <w:rsid w:val="004E3B9F"/>
    <w:rsid w:val="004E3F92"/>
    <w:rsid w:val="004E411A"/>
    <w:rsid w:val="004E41EA"/>
    <w:rsid w:val="004E420D"/>
    <w:rsid w:val="004E424C"/>
    <w:rsid w:val="004E42A8"/>
    <w:rsid w:val="004E43C5"/>
    <w:rsid w:val="004E4F4B"/>
    <w:rsid w:val="004E517A"/>
    <w:rsid w:val="004E51A3"/>
    <w:rsid w:val="004E520B"/>
    <w:rsid w:val="004E56CB"/>
    <w:rsid w:val="004E581E"/>
    <w:rsid w:val="004E5C39"/>
    <w:rsid w:val="004E5FD8"/>
    <w:rsid w:val="004E6195"/>
    <w:rsid w:val="004E621B"/>
    <w:rsid w:val="004E6238"/>
    <w:rsid w:val="004E649D"/>
    <w:rsid w:val="004E6559"/>
    <w:rsid w:val="004E65E4"/>
    <w:rsid w:val="004E695A"/>
    <w:rsid w:val="004E6BBB"/>
    <w:rsid w:val="004E6F0A"/>
    <w:rsid w:val="004E6F69"/>
    <w:rsid w:val="004E7059"/>
    <w:rsid w:val="004E76F7"/>
    <w:rsid w:val="004E7BA9"/>
    <w:rsid w:val="004E7C9E"/>
    <w:rsid w:val="004E7DA1"/>
    <w:rsid w:val="004F00AA"/>
    <w:rsid w:val="004F0494"/>
    <w:rsid w:val="004F066B"/>
    <w:rsid w:val="004F06C4"/>
    <w:rsid w:val="004F088B"/>
    <w:rsid w:val="004F08E1"/>
    <w:rsid w:val="004F09C2"/>
    <w:rsid w:val="004F0A71"/>
    <w:rsid w:val="004F0B3E"/>
    <w:rsid w:val="004F0C25"/>
    <w:rsid w:val="004F0D44"/>
    <w:rsid w:val="004F0D85"/>
    <w:rsid w:val="004F0DE9"/>
    <w:rsid w:val="004F107E"/>
    <w:rsid w:val="004F10EB"/>
    <w:rsid w:val="004F10FE"/>
    <w:rsid w:val="004F13DC"/>
    <w:rsid w:val="004F1A01"/>
    <w:rsid w:val="004F1AE9"/>
    <w:rsid w:val="004F1F65"/>
    <w:rsid w:val="004F2245"/>
    <w:rsid w:val="004F2631"/>
    <w:rsid w:val="004F2950"/>
    <w:rsid w:val="004F2A6D"/>
    <w:rsid w:val="004F2BAF"/>
    <w:rsid w:val="004F2C6E"/>
    <w:rsid w:val="004F2CF8"/>
    <w:rsid w:val="004F2F51"/>
    <w:rsid w:val="004F2FA6"/>
    <w:rsid w:val="004F3081"/>
    <w:rsid w:val="004F3097"/>
    <w:rsid w:val="004F30E9"/>
    <w:rsid w:val="004F3266"/>
    <w:rsid w:val="004F33E1"/>
    <w:rsid w:val="004F351D"/>
    <w:rsid w:val="004F3563"/>
    <w:rsid w:val="004F3615"/>
    <w:rsid w:val="004F3A45"/>
    <w:rsid w:val="004F3CCD"/>
    <w:rsid w:val="004F3D6B"/>
    <w:rsid w:val="004F3EB1"/>
    <w:rsid w:val="004F4670"/>
    <w:rsid w:val="004F484C"/>
    <w:rsid w:val="004F4A00"/>
    <w:rsid w:val="004F5179"/>
    <w:rsid w:val="004F5250"/>
    <w:rsid w:val="004F5284"/>
    <w:rsid w:val="004F54F1"/>
    <w:rsid w:val="004F5551"/>
    <w:rsid w:val="004F5C48"/>
    <w:rsid w:val="004F5FB0"/>
    <w:rsid w:val="004F621C"/>
    <w:rsid w:val="004F6972"/>
    <w:rsid w:val="004F6D5F"/>
    <w:rsid w:val="004F6DE2"/>
    <w:rsid w:val="004F6FEF"/>
    <w:rsid w:val="004F7058"/>
    <w:rsid w:val="004F7115"/>
    <w:rsid w:val="004F7116"/>
    <w:rsid w:val="004F715B"/>
    <w:rsid w:val="004F7521"/>
    <w:rsid w:val="004F7742"/>
    <w:rsid w:val="004F793F"/>
    <w:rsid w:val="004F7950"/>
    <w:rsid w:val="004F7E2E"/>
    <w:rsid w:val="0050007D"/>
    <w:rsid w:val="005002B9"/>
    <w:rsid w:val="005002D3"/>
    <w:rsid w:val="005003CB"/>
    <w:rsid w:val="005003FC"/>
    <w:rsid w:val="0050042D"/>
    <w:rsid w:val="005004C9"/>
    <w:rsid w:val="00500533"/>
    <w:rsid w:val="005006D0"/>
    <w:rsid w:val="005007E4"/>
    <w:rsid w:val="00500807"/>
    <w:rsid w:val="00500C6D"/>
    <w:rsid w:val="00500CCB"/>
    <w:rsid w:val="00501631"/>
    <w:rsid w:val="005016C9"/>
    <w:rsid w:val="005018C9"/>
    <w:rsid w:val="00501946"/>
    <w:rsid w:val="00501CC2"/>
    <w:rsid w:val="005023A0"/>
    <w:rsid w:val="00502512"/>
    <w:rsid w:val="00502AA3"/>
    <w:rsid w:val="00502F44"/>
    <w:rsid w:val="005031A1"/>
    <w:rsid w:val="005031DB"/>
    <w:rsid w:val="00503431"/>
    <w:rsid w:val="005037B7"/>
    <w:rsid w:val="00503A3F"/>
    <w:rsid w:val="00503A7B"/>
    <w:rsid w:val="00504349"/>
    <w:rsid w:val="0050435C"/>
    <w:rsid w:val="00504518"/>
    <w:rsid w:val="0050461D"/>
    <w:rsid w:val="00504687"/>
    <w:rsid w:val="0050485E"/>
    <w:rsid w:val="00505677"/>
    <w:rsid w:val="00505848"/>
    <w:rsid w:val="00505884"/>
    <w:rsid w:val="005058AC"/>
    <w:rsid w:val="00505935"/>
    <w:rsid w:val="00505D88"/>
    <w:rsid w:val="00505FEE"/>
    <w:rsid w:val="005060A2"/>
    <w:rsid w:val="00506655"/>
    <w:rsid w:val="00506663"/>
    <w:rsid w:val="00506E0B"/>
    <w:rsid w:val="00507322"/>
    <w:rsid w:val="005074B3"/>
    <w:rsid w:val="005074DD"/>
    <w:rsid w:val="00507571"/>
    <w:rsid w:val="0050761F"/>
    <w:rsid w:val="00507767"/>
    <w:rsid w:val="00507855"/>
    <w:rsid w:val="005078C1"/>
    <w:rsid w:val="00507915"/>
    <w:rsid w:val="005079BC"/>
    <w:rsid w:val="00507D46"/>
    <w:rsid w:val="00507E6E"/>
    <w:rsid w:val="00507FE4"/>
    <w:rsid w:val="0051014E"/>
    <w:rsid w:val="005106ED"/>
    <w:rsid w:val="005109FA"/>
    <w:rsid w:val="0051103C"/>
    <w:rsid w:val="005114D3"/>
    <w:rsid w:val="005116B5"/>
    <w:rsid w:val="00511F07"/>
    <w:rsid w:val="00512077"/>
    <w:rsid w:val="00512135"/>
    <w:rsid w:val="005129C1"/>
    <w:rsid w:val="00512E80"/>
    <w:rsid w:val="00512F9E"/>
    <w:rsid w:val="0051306F"/>
    <w:rsid w:val="005134FE"/>
    <w:rsid w:val="005138F0"/>
    <w:rsid w:val="00513981"/>
    <w:rsid w:val="005139DC"/>
    <w:rsid w:val="00513F54"/>
    <w:rsid w:val="00514029"/>
    <w:rsid w:val="00514141"/>
    <w:rsid w:val="0051414A"/>
    <w:rsid w:val="005142FA"/>
    <w:rsid w:val="00514725"/>
    <w:rsid w:val="00514DE0"/>
    <w:rsid w:val="00514E51"/>
    <w:rsid w:val="00514EE2"/>
    <w:rsid w:val="0051500E"/>
    <w:rsid w:val="0051510B"/>
    <w:rsid w:val="00515118"/>
    <w:rsid w:val="005152E5"/>
    <w:rsid w:val="005153A7"/>
    <w:rsid w:val="005155E4"/>
    <w:rsid w:val="005157ED"/>
    <w:rsid w:val="00515966"/>
    <w:rsid w:val="00515B04"/>
    <w:rsid w:val="00515E8F"/>
    <w:rsid w:val="00516438"/>
    <w:rsid w:val="00516500"/>
    <w:rsid w:val="00516802"/>
    <w:rsid w:val="00516906"/>
    <w:rsid w:val="00516AD1"/>
    <w:rsid w:val="00516C2C"/>
    <w:rsid w:val="00517033"/>
    <w:rsid w:val="00517372"/>
    <w:rsid w:val="0051746D"/>
    <w:rsid w:val="0051757A"/>
    <w:rsid w:val="005175D0"/>
    <w:rsid w:val="00517940"/>
    <w:rsid w:val="00517992"/>
    <w:rsid w:val="00517B96"/>
    <w:rsid w:val="00517BF2"/>
    <w:rsid w:val="005204D7"/>
    <w:rsid w:val="005205D8"/>
    <w:rsid w:val="00520976"/>
    <w:rsid w:val="00520AA1"/>
    <w:rsid w:val="00520AD7"/>
    <w:rsid w:val="00520B49"/>
    <w:rsid w:val="00520C45"/>
    <w:rsid w:val="005212C7"/>
    <w:rsid w:val="005212D1"/>
    <w:rsid w:val="005219BF"/>
    <w:rsid w:val="00521D5E"/>
    <w:rsid w:val="0052208C"/>
    <w:rsid w:val="005223CF"/>
    <w:rsid w:val="00522C1A"/>
    <w:rsid w:val="00522C80"/>
    <w:rsid w:val="00522E9A"/>
    <w:rsid w:val="00522F90"/>
    <w:rsid w:val="005233B6"/>
    <w:rsid w:val="005235FB"/>
    <w:rsid w:val="00523639"/>
    <w:rsid w:val="00523787"/>
    <w:rsid w:val="005237B5"/>
    <w:rsid w:val="00523876"/>
    <w:rsid w:val="00523BDF"/>
    <w:rsid w:val="00523C12"/>
    <w:rsid w:val="00523D05"/>
    <w:rsid w:val="00523DC5"/>
    <w:rsid w:val="005240D6"/>
    <w:rsid w:val="0052433C"/>
    <w:rsid w:val="005243C8"/>
    <w:rsid w:val="00524454"/>
    <w:rsid w:val="005244AB"/>
    <w:rsid w:val="00524536"/>
    <w:rsid w:val="00524B8E"/>
    <w:rsid w:val="00524CBB"/>
    <w:rsid w:val="00524CE3"/>
    <w:rsid w:val="005251BD"/>
    <w:rsid w:val="005251C4"/>
    <w:rsid w:val="005252FB"/>
    <w:rsid w:val="00525544"/>
    <w:rsid w:val="00525640"/>
    <w:rsid w:val="00525723"/>
    <w:rsid w:val="00525855"/>
    <w:rsid w:val="00525A5A"/>
    <w:rsid w:val="00525B59"/>
    <w:rsid w:val="00525CD0"/>
    <w:rsid w:val="00525D02"/>
    <w:rsid w:val="00525D46"/>
    <w:rsid w:val="00525DF6"/>
    <w:rsid w:val="0052608A"/>
    <w:rsid w:val="00526282"/>
    <w:rsid w:val="00526844"/>
    <w:rsid w:val="00526C3D"/>
    <w:rsid w:val="00526C3F"/>
    <w:rsid w:val="00526DDA"/>
    <w:rsid w:val="00527169"/>
    <w:rsid w:val="005271A7"/>
    <w:rsid w:val="005271F6"/>
    <w:rsid w:val="0052728B"/>
    <w:rsid w:val="005273DB"/>
    <w:rsid w:val="005275AE"/>
    <w:rsid w:val="00527718"/>
    <w:rsid w:val="00527740"/>
    <w:rsid w:val="005279DD"/>
    <w:rsid w:val="00527A38"/>
    <w:rsid w:val="00527AC4"/>
    <w:rsid w:val="00527B65"/>
    <w:rsid w:val="00527CC6"/>
    <w:rsid w:val="00527D0A"/>
    <w:rsid w:val="0053014D"/>
    <w:rsid w:val="005302DC"/>
    <w:rsid w:val="005302EA"/>
    <w:rsid w:val="005303E4"/>
    <w:rsid w:val="0053047E"/>
    <w:rsid w:val="0053051B"/>
    <w:rsid w:val="005307CF"/>
    <w:rsid w:val="0053085F"/>
    <w:rsid w:val="0053099F"/>
    <w:rsid w:val="0053101F"/>
    <w:rsid w:val="0053107D"/>
    <w:rsid w:val="00531467"/>
    <w:rsid w:val="005318B5"/>
    <w:rsid w:val="00531E25"/>
    <w:rsid w:val="00531E81"/>
    <w:rsid w:val="00531FA8"/>
    <w:rsid w:val="00532159"/>
    <w:rsid w:val="00532163"/>
    <w:rsid w:val="005324B0"/>
    <w:rsid w:val="005326A0"/>
    <w:rsid w:val="005327B4"/>
    <w:rsid w:val="00532EFF"/>
    <w:rsid w:val="00533123"/>
    <w:rsid w:val="00533401"/>
    <w:rsid w:val="00533571"/>
    <w:rsid w:val="00533937"/>
    <w:rsid w:val="00533A8E"/>
    <w:rsid w:val="00533BD7"/>
    <w:rsid w:val="00533C8A"/>
    <w:rsid w:val="00533D4A"/>
    <w:rsid w:val="00533DFE"/>
    <w:rsid w:val="00534032"/>
    <w:rsid w:val="00534183"/>
    <w:rsid w:val="005344B4"/>
    <w:rsid w:val="005344CC"/>
    <w:rsid w:val="005345FE"/>
    <w:rsid w:val="00534BC4"/>
    <w:rsid w:val="00535414"/>
    <w:rsid w:val="00535590"/>
    <w:rsid w:val="00535623"/>
    <w:rsid w:val="00535806"/>
    <w:rsid w:val="00535AD1"/>
    <w:rsid w:val="00535AD7"/>
    <w:rsid w:val="0053627C"/>
    <w:rsid w:val="005365CA"/>
    <w:rsid w:val="00536653"/>
    <w:rsid w:val="00536C93"/>
    <w:rsid w:val="00536DD6"/>
    <w:rsid w:val="00536F90"/>
    <w:rsid w:val="00536FFD"/>
    <w:rsid w:val="00537037"/>
    <w:rsid w:val="0053706C"/>
    <w:rsid w:val="00537181"/>
    <w:rsid w:val="00537187"/>
    <w:rsid w:val="005373DD"/>
    <w:rsid w:val="005377AA"/>
    <w:rsid w:val="00537B62"/>
    <w:rsid w:val="00537BC5"/>
    <w:rsid w:val="00540076"/>
    <w:rsid w:val="005400A6"/>
    <w:rsid w:val="005400FA"/>
    <w:rsid w:val="00540337"/>
    <w:rsid w:val="00540667"/>
    <w:rsid w:val="005409FB"/>
    <w:rsid w:val="00540B92"/>
    <w:rsid w:val="00540FB7"/>
    <w:rsid w:val="0054167E"/>
    <w:rsid w:val="005416A1"/>
    <w:rsid w:val="005416C1"/>
    <w:rsid w:val="00541969"/>
    <w:rsid w:val="005419D9"/>
    <w:rsid w:val="00541B32"/>
    <w:rsid w:val="00541DC6"/>
    <w:rsid w:val="00541EB9"/>
    <w:rsid w:val="00541F39"/>
    <w:rsid w:val="005421D9"/>
    <w:rsid w:val="00542210"/>
    <w:rsid w:val="00542362"/>
    <w:rsid w:val="00542423"/>
    <w:rsid w:val="00542645"/>
    <w:rsid w:val="0054275F"/>
    <w:rsid w:val="005429F6"/>
    <w:rsid w:val="00542B77"/>
    <w:rsid w:val="00542BBB"/>
    <w:rsid w:val="00542DBD"/>
    <w:rsid w:val="0054317C"/>
    <w:rsid w:val="00543343"/>
    <w:rsid w:val="0054345F"/>
    <w:rsid w:val="00543564"/>
    <w:rsid w:val="00543647"/>
    <w:rsid w:val="0054370A"/>
    <w:rsid w:val="00543892"/>
    <w:rsid w:val="00543978"/>
    <w:rsid w:val="00543AEC"/>
    <w:rsid w:val="00543B47"/>
    <w:rsid w:val="00543B60"/>
    <w:rsid w:val="00543C79"/>
    <w:rsid w:val="00543E25"/>
    <w:rsid w:val="00543FC1"/>
    <w:rsid w:val="00544324"/>
    <w:rsid w:val="00544605"/>
    <w:rsid w:val="0054488C"/>
    <w:rsid w:val="005448DE"/>
    <w:rsid w:val="00544A02"/>
    <w:rsid w:val="00544BD0"/>
    <w:rsid w:val="005452EC"/>
    <w:rsid w:val="005453ED"/>
    <w:rsid w:val="0054561F"/>
    <w:rsid w:val="00545643"/>
    <w:rsid w:val="00545687"/>
    <w:rsid w:val="00546203"/>
    <w:rsid w:val="00546687"/>
    <w:rsid w:val="00546B58"/>
    <w:rsid w:val="00546CEF"/>
    <w:rsid w:val="0054701A"/>
    <w:rsid w:val="00547555"/>
    <w:rsid w:val="00547596"/>
    <w:rsid w:val="00547654"/>
    <w:rsid w:val="0054765C"/>
    <w:rsid w:val="00547790"/>
    <w:rsid w:val="005478B4"/>
    <w:rsid w:val="00547A1C"/>
    <w:rsid w:val="00547B9F"/>
    <w:rsid w:val="00547D39"/>
    <w:rsid w:val="00547D9F"/>
    <w:rsid w:val="00547DBE"/>
    <w:rsid w:val="00547DEE"/>
    <w:rsid w:val="0055016D"/>
    <w:rsid w:val="0055064B"/>
    <w:rsid w:val="0055097F"/>
    <w:rsid w:val="00550F7C"/>
    <w:rsid w:val="005513A6"/>
    <w:rsid w:val="005517AA"/>
    <w:rsid w:val="00551C22"/>
    <w:rsid w:val="00551E7D"/>
    <w:rsid w:val="00551ED3"/>
    <w:rsid w:val="0055209D"/>
    <w:rsid w:val="0055218D"/>
    <w:rsid w:val="005523EF"/>
    <w:rsid w:val="0055244B"/>
    <w:rsid w:val="00552840"/>
    <w:rsid w:val="00552871"/>
    <w:rsid w:val="00552B1C"/>
    <w:rsid w:val="00552DDC"/>
    <w:rsid w:val="0055303F"/>
    <w:rsid w:val="0055307B"/>
    <w:rsid w:val="0055308E"/>
    <w:rsid w:val="0055316F"/>
    <w:rsid w:val="005532C3"/>
    <w:rsid w:val="0055338A"/>
    <w:rsid w:val="00553D33"/>
    <w:rsid w:val="00553DFB"/>
    <w:rsid w:val="00553E38"/>
    <w:rsid w:val="0055448E"/>
    <w:rsid w:val="005544E9"/>
    <w:rsid w:val="00554601"/>
    <w:rsid w:val="005546D1"/>
    <w:rsid w:val="00554843"/>
    <w:rsid w:val="00554A97"/>
    <w:rsid w:val="00554B30"/>
    <w:rsid w:val="00554DE0"/>
    <w:rsid w:val="00554E27"/>
    <w:rsid w:val="00554E67"/>
    <w:rsid w:val="00554ED5"/>
    <w:rsid w:val="00554FF8"/>
    <w:rsid w:val="0055507D"/>
    <w:rsid w:val="00555087"/>
    <w:rsid w:val="00555091"/>
    <w:rsid w:val="0055533C"/>
    <w:rsid w:val="005556F6"/>
    <w:rsid w:val="005557A5"/>
    <w:rsid w:val="005559F7"/>
    <w:rsid w:val="00555A06"/>
    <w:rsid w:val="00555A44"/>
    <w:rsid w:val="00555C8A"/>
    <w:rsid w:val="00556018"/>
    <w:rsid w:val="005563FB"/>
    <w:rsid w:val="0055648F"/>
    <w:rsid w:val="00556497"/>
    <w:rsid w:val="0055656A"/>
    <w:rsid w:val="00556F1A"/>
    <w:rsid w:val="00556F65"/>
    <w:rsid w:val="00556FDE"/>
    <w:rsid w:val="00557089"/>
    <w:rsid w:val="005574DE"/>
    <w:rsid w:val="0055754B"/>
    <w:rsid w:val="005577A4"/>
    <w:rsid w:val="005578A4"/>
    <w:rsid w:val="005602BD"/>
    <w:rsid w:val="005603D2"/>
    <w:rsid w:val="0056076A"/>
    <w:rsid w:val="0056084B"/>
    <w:rsid w:val="00560852"/>
    <w:rsid w:val="00560E55"/>
    <w:rsid w:val="00560FE5"/>
    <w:rsid w:val="005611C6"/>
    <w:rsid w:val="00561442"/>
    <w:rsid w:val="005614AB"/>
    <w:rsid w:val="005615DB"/>
    <w:rsid w:val="00561771"/>
    <w:rsid w:val="0056188C"/>
    <w:rsid w:val="00561AEE"/>
    <w:rsid w:val="00561C4A"/>
    <w:rsid w:val="00561F8B"/>
    <w:rsid w:val="00562196"/>
    <w:rsid w:val="00562702"/>
    <w:rsid w:val="005627E1"/>
    <w:rsid w:val="005628C0"/>
    <w:rsid w:val="00562B72"/>
    <w:rsid w:val="00562C0E"/>
    <w:rsid w:val="00562C9F"/>
    <w:rsid w:val="00562DDD"/>
    <w:rsid w:val="00562EDB"/>
    <w:rsid w:val="005630DE"/>
    <w:rsid w:val="005631BE"/>
    <w:rsid w:val="005631F6"/>
    <w:rsid w:val="0056356F"/>
    <w:rsid w:val="0056365D"/>
    <w:rsid w:val="00563E70"/>
    <w:rsid w:val="00564255"/>
    <w:rsid w:val="00564AF3"/>
    <w:rsid w:val="00564DAE"/>
    <w:rsid w:val="00564EBF"/>
    <w:rsid w:val="00564F8E"/>
    <w:rsid w:val="00565217"/>
    <w:rsid w:val="005655F1"/>
    <w:rsid w:val="005656A6"/>
    <w:rsid w:val="00565DFC"/>
    <w:rsid w:val="00565F6E"/>
    <w:rsid w:val="00566369"/>
    <w:rsid w:val="0056643C"/>
    <w:rsid w:val="00566816"/>
    <w:rsid w:val="005668D1"/>
    <w:rsid w:val="005668FB"/>
    <w:rsid w:val="00566995"/>
    <w:rsid w:val="00566D4E"/>
    <w:rsid w:val="00566FC5"/>
    <w:rsid w:val="0056748C"/>
    <w:rsid w:val="005674C8"/>
    <w:rsid w:val="00567532"/>
    <w:rsid w:val="00567A17"/>
    <w:rsid w:val="005701C9"/>
    <w:rsid w:val="005701FE"/>
    <w:rsid w:val="00570359"/>
    <w:rsid w:val="005703C5"/>
    <w:rsid w:val="00570413"/>
    <w:rsid w:val="00570728"/>
    <w:rsid w:val="00570795"/>
    <w:rsid w:val="005709AE"/>
    <w:rsid w:val="005709BA"/>
    <w:rsid w:val="00570BCA"/>
    <w:rsid w:val="00570FB7"/>
    <w:rsid w:val="00571169"/>
    <w:rsid w:val="0057157E"/>
    <w:rsid w:val="00571BD1"/>
    <w:rsid w:val="00571C42"/>
    <w:rsid w:val="00571C74"/>
    <w:rsid w:val="00571DB3"/>
    <w:rsid w:val="00571E03"/>
    <w:rsid w:val="00571F6F"/>
    <w:rsid w:val="005721DD"/>
    <w:rsid w:val="005722B3"/>
    <w:rsid w:val="0057230C"/>
    <w:rsid w:val="005723EC"/>
    <w:rsid w:val="00572A21"/>
    <w:rsid w:val="00572AFA"/>
    <w:rsid w:val="00572C0F"/>
    <w:rsid w:val="00572E9E"/>
    <w:rsid w:val="00572F50"/>
    <w:rsid w:val="0057316F"/>
    <w:rsid w:val="00573265"/>
    <w:rsid w:val="005732DF"/>
    <w:rsid w:val="0057330E"/>
    <w:rsid w:val="00573578"/>
    <w:rsid w:val="00573737"/>
    <w:rsid w:val="00573751"/>
    <w:rsid w:val="00573A71"/>
    <w:rsid w:val="00573CFD"/>
    <w:rsid w:val="00573F33"/>
    <w:rsid w:val="0057400E"/>
    <w:rsid w:val="00574702"/>
    <w:rsid w:val="00574C0E"/>
    <w:rsid w:val="00574F11"/>
    <w:rsid w:val="00574F52"/>
    <w:rsid w:val="00574F68"/>
    <w:rsid w:val="00574FC2"/>
    <w:rsid w:val="00574FCD"/>
    <w:rsid w:val="005751A6"/>
    <w:rsid w:val="00575371"/>
    <w:rsid w:val="005753A7"/>
    <w:rsid w:val="005753CB"/>
    <w:rsid w:val="00575AE8"/>
    <w:rsid w:val="00576272"/>
    <w:rsid w:val="005763B4"/>
    <w:rsid w:val="0057644D"/>
    <w:rsid w:val="005764D9"/>
    <w:rsid w:val="005764E5"/>
    <w:rsid w:val="00576971"/>
    <w:rsid w:val="005769D0"/>
    <w:rsid w:val="00576A2A"/>
    <w:rsid w:val="00576ADE"/>
    <w:rsid w:val="00576B08"/>
    <w:rsid w:val="00576F4C"/>
    <w:rsid w:val="00576F7C"/>
    <w:rsid w:val="0057726E"/>
    <w:rsid w:val="00577752"/>
    <w:rsid w:val="005777F9"/>
    <w:rsid w:val="00577957"/>
    <w:rsid w:val="00577C1C"/>
    <w:rsid w:val="00577FEB"/>
    <w:rsid w:val="00580181"/>
    <w:rsid w:val="00580667"/>
    <w:rsid w:val="00580743"/>
    <w:rsid w:val="00580845"/>
    <w:rsid w:val="00580B40"/>
    <w:rsid w:val="00580CB6"/>
    <w:rsid w:val="00580F2E"/>
    <w:rsid w:val="005817F7"/>
    <w:rsid w:val="0058183A"/>
    <w:rsid w:val="00581AA7"/>
    <w:rsid w:val="00581AC1"/>
    <w:rsid w:val="00581D38"/>
    <w:rsid w:val="00581EB0"/>
    <w:rsid w:val="0058209E"/>
    <w:rsid w:val="00582703"/>
    <w:rsid w:val="00582771"/>
    <w:rsid w:val="00582813"/>
    <w:rsid w:val="00582888"/>
    <w:rsid w:val="00582A4F"/>
    <w:rsid w:val="00583349"/>
    <w:rsid w:val="00583446"/>
    <w:rsid w:val="00583476"/>
    <w:rsid w:val="0058355E"/>
    <w:rsid w:val="00583656"/>
    <w:rsid w:val="00583897"/>
    <w:rsid w:val="00583A0A"/>
    <w:rsid w:val="005841CE"/>
    <w:rsid w:val="0058428C"/>
    <w:rsid w:val="005849FC"/>
    <w:rsid w:val="00584F27"/>
    <w:rsid w:val="0058502A"/>
    <w:rsid w:val="00585056"/>
    <w:rsid w:val="00585332"/>
    <w:rsid w:val="00585462"/>
    <w:rsid w:val="0058549C"/>
    <w:rsid w:val="0058556A"/>
    <w:rsid w:val="00585643"/>
    <w:rsid w:val="0058570B"/>
    <w:rsid w:val="00585736"/>
    <w:rsid w:val="0058579D"/>
    <w:rsid w:val="0058586D"/>
    <w:rsid w:val="00585D88"/>
    <w:rsid w:val="00585DDD"/>
    <w:rsid w:val="0058605D"/>
    <w:rsid w:val="0058608C"/>
    <w:rsid w:val="0058647A"/>
    <w:rsid w:val="00586495"/>
    <w:rsid w:val="0058687F"/>
    <w:rsid w:val="00586BC4"/>
    <w:rsid w:val="00586C23"/>
    <w:rsid w:val="00586E8F"/>
    <w:rsid w:val="005871F2"/>
    <w:rsid w:val="00587276"/>
    <w:rsid w:val="00587674"/>
    <w:rsid w:val="0058772C"/>
    <w:rsid w:val="005879F2"/>
    <w:rsid w:val="00587C02"/>
    <w:rsid w:val="00587DA8"/>
    <w:rsid w:val="00590178"/>
    <w:rsid w:val="00590270"/>
    <w:rsid w:val="00590638"/>
    <w:rsid w:val="0059084B"/>
    <w:rsid w:val="00590874"/>
    <w:rsid w:val="00590B74"/>
    <w:rsid w:val="00591152"/>
    <w:rsid w:val="005911D6"/>
    <w:rsid w:val="005912F0"/>
    <w:rsid w:val="005916AE"/>
    <w:rsid w:val="005919D5"/>
    <w:rsid w:val="00591D0A"/>
    <w:rsid w:val="00591EEA"/>
    <w:rsid w:val="005922B6"/>
    <w:rsid w:val="00592358"/>
    <w:rsid w:val="0059244F"/>
    <w:rsid w:val="0059296A"/>
    <w:rsid w:val="00592980"/>
    <w:rsid w:val="00592D26"/>
    <w:rsid w:val="00592E6E"/>
    <w:rsid w:val="00593145"/>
    <w:rsid w:val="005932F3"/>
    <w:rsid w:val="00593750"/>
    <w:rsid w:val="00593773"/>
    <w:rsid w:val="00593C3B"/>
    <w:rsid w:val="00593D9E"/>
    <w:rsid w:val="00593FB2"/>
    <w:rsid w:val="00593FCC"/>
    <w:rsid w:val="00594048"/>
    <w:rsid w:val="0059418B"/>
    <w:rsid w:val="005945A2"/>
    <w:rsid w:val="0059464C"/>
    <w:rsid w:val="005949DC"/>
    <w:rsid w:val="00594B04"/>
    <w:rsid w:val="00594B07"/>
    <w:rsid w:val="00594CE7"/>
    <w:rsid w:val="0059509B"/>
    <w:rsid w:val="0059513C"/>
    <w:rsid w:val="0059515D"/>
    <w:rsid w:val="005952F8"/>
    <w:rsid w:val="00595455"/>
    <w:rsid w:val="0059597B"/>
    <w:rsid w:val="00595A6E"/>
    <w:rsid w:val="00595C25"/>
    <w:rsid w:val="00595C7C"/>
    <w:rsid w:val="00595CC6"/>
    <w:rsid w:val="00595E0B"/>
    <w:rsid w:val="0059667F"/>
    <w:rsid w:val="00596722"/>
    <w:rsid w:val="00596979"/>
    <w:rsid w:val="005969AA"/>
    <w:rsid w:val="00596C03"/>
    <w:rsid w:val="00596D56"/>
    <w:rsid w:val="00597124"/>
    <w:rsid w:val="0059744C"/>
    <w:rsid w:val="00597573"/>
    <w:rsid w:val="0059757A"/>
    <w:rsid w:val="00597711"/>
    <w:rsid w:val="005977F0"/>
    <w:rsid w:val="00597B84"/>
    <w:rsid w:val="00597CCD"/>
    <w:rsid w:val="00597E88"/>
    <w:rsid w:val="00597F5A"/>
    <w:rsid w:val="00597F6F"/>
    <w:rsid w:val="00597F94"/>
    <w:rsid w:val="005A040F"/>
    <w:rsid w:val="005A04F4"/>
    <w:rsid w:val="005A0534"/>
    <w:rsid w:val="005A082A"/>
    <w:rsid w:val="005A0CE5"/>
    <w:rsid w:val="005A0FAF"/>
    <w:rsid w:val="005A10B8"/>
    <w:rsid w:val="005A133C"/>
    <w:rsid w:val="005A149F"/>
    <w:rsid w:val="005A1760"/>
    <w:rsid w:val="005A19B5"/>
    <w:rsid w:val="005A19FD"/>
    <w:rsid w:val="005A1E3E"/>
    <w:rsid w:val="005A1F88"/>
    <w:rsid w:val="005A1FE2"/>
    <w:rsid w:val="005A21A2"/>
    <w:rsid w:val="005A21F2"/>
    <w:rsid w:val="005A23A0"/>
    <w:rsid w:val="005A2490"/>
    <w:rsid w:val="005A24BB"/>
    <w:rsid w:val="005A253D"/>
    <w:rsid w:val="005A260C"/>
    <w:rsid w:val="005A26B6"/>
    <w:rsid w:val="005A26E7"/>
    <w:rsid w:val="005A31D9"/>
    <w:rsid w:val="005A3207"/>
    <w:rsid w:val="005A3CA2"/>
    <w:rsid w:val="005A3D0D"/>
    <w:rsid w:val="005A3FC7"/>
    <w:rsid w:val="005A3FD4"/>
    <w:rsid w:val="005A3FFC"/>
    <w:rsid w:val="005A4062"/>
    <w:rsid w:val="005A408A"/>
    <w:rsid w:val="005A4096"/>
    <w:rsid w:val="005A41ED"/>
    <w:rsid w:val="005A4324"/>
    <w:rsid w:val="005A4622"/>
    <w:rsid w:val="005A4A64"/>
    <w:rsid w:val="005A4DAA"/>
    <w:rsid w:val="005A4F9A"/>
    <w:rsid w:val="005A5519"/>
    <w:rsid w:val="005A5559"/>
    <w:rsid w:val="005A568D"/>
    <w:rsid w:val="005A5785"/>
    <w:rsid w:val="005A5943"/>
    <w:rsid w:val="005A59BC"/>
    <w:rsid w:val="005A5E0A"/>
    <w:rsid w:val="005A5FB3"/>
    <w:rsid w:val="005A62F7"/>
    <w:rsid w:val="005A6633"/>
    <w:rsid w:val="005A6842"/>
    <w:rsid w:val="005A687C"/>
    <w:rsid w:val="005A68B5"/>
    <w:rsid w:val="005A7A1C"/>
    <w:rsid w:val="005A7A4E"/>
    <w:rsid w:val="005A7B2F"/>
    <w:rsid w:val="005A7B68"/>
    <w:rsid w:val="005A7C2A"/>
    <w:rsid w:val="005A7DCF"/>
    <w:rsid w:val="005A7EF2"/>
    <w:rsid w:val="005B039A"/>
    <w:rsid w:val="005B05FD"/>
    <w:rsid w:val="005B085B"/>
    <w:rsid w:val="005B0C86"/>
    <w:rsid w:val="005B104E"/>
    <w:rsid w:val="005B1296"/>
    <w:rsid w:val="005B142C"/>
    <w:rsid w:val="005B1E1C"/>
    <w:rsid w:val="005B215E"/>
    <w:rsid w:val="005B22E5"/>
    <w:rsid w:val="005B29FB"/>
    <w:rsid w:val="005B2A6B"/>
    <w:rsid w:val="005B2BD9"/>
    <w:rsid w:val="005B2D99"/>
    <w:rsid w:val="005B352C"/>
    <w:rsid w:val="005B370F"/>
    <w:rsid w:val="005B38E7"/>
    <w:rsid w:val="005B3C75"/>
    <w:rsid w:val="005B3DEF"/>
    <w:rsid w:val="005B408C"/>
    <w:rsid w:val="005B4340"/>
    <w:rsid w:val="005B4809"/>
    <w:rsid w:val="005B4C50"/>
    <w:rsid w:val="005B4EEB"/>
    <w:rsid w:val="005B5076"/>
    <w:rsid w:val="005B5157"/>
    <w:rsid w:val="005B51A2"/>
    <w:rsid w:val="005B5363"/>
    <w:rsid w:val="005B53EA"/>
    <w:rsid w:val="005B55D7"/>
    <w:rsid w:val="005B574B"/>
    <w:rsid w:val="005B5832"/>
    <w:rsid w:val="005B585F"/>
    <w:rsid w:val="005B5B04"/>
    <w:rsid w:val="005B5DAE"/>
    <w:rsid w:val="005B613A"/>
    <w:rsid w:val="005B647D"/>
    <w:rsid w:val="005B6716"/>
    <w:rsid w:val="005B6CAC"/>
    <w:rsid w:val="005B6E5D"/>
    <w:rsid w:val="005B6EE9"/>
    <w:rsid w:val="005B6FFE"/>
    <w:rsid w:val="005B7003"/>
    <w:rsid w:val="005B7327"/>
    <w:rsid w:val="005B73DE"/>
    <w:rsid w:val="005B7682"/>
    <w:rsid w:val="005B79A0"/>
    <w:rsid w:val="005C00C5"/>
    <w:rsid w:val="005C011B"/>
    <w:rsid w:val="005C0140"/>
    <w:rsid w:val="005C073F"/>
    <w:rsid w:val="005C0772"/>
    <w:rsid w:val="005C0B83"/>
    <w:rsid w:val="005C0D06"/>
    <w:rsid w:val="005C133E"/>
    <w:rsid w:val="005C1370"/>
    <w:rsid w:val="005C1539"/>
    <w:rsid w:val="005C1610"/>
    <w:rsid w:val="005C1650"/>
    <w:rsid w:val="005C1A1C"/>
    <w:rsid w:val="005C1C5A"/>
    <w:rsid w:val="005C1D0C"/>
    <w:rsid w:val="005C1D99"/>
    <w:rsid w:val="005C1E91"/>
    <w:rsid w:val="005C1F19"/>
    <w:rsid w:val="005C22CC"/>
    <w:rsid w:val="005C2379"/>
    <w:rsid w:val="005C23BF"/>
    <w:rsid w:val="005C267C"/>
    <w:rsid w:val="005C26C5"/>
    <w:rsid w:val="005C2923"/>
    <w:rsid w:val="005C2BB7"/>
    <w:rsid w:val="005C2DE6"/>
    <w:rsid w:val="005C2E71"/>
    <w:rsid w:val="005C3243"/>
    <w:rsid w:val="005C3364"/>
    <w:rsid w:val="005C3445"/>
    <w:rsid w:val="005C34F0"/>
    <w:rsid w:val="005C36D6"/>
    <w:rsid w:val="005C3910"/>
    <w:rsid w:val="005C3CAC"/>
    <w:rsid w:val="005C3DCC"/>
    <w:rsid w:val="005C3DDE"/>
    <w:rsid w:val="005C3F9D"/>
    <w:rsid w:val="005C41E1"/>
    <w:rsid w:val="005C4856"/>
    <w:rsid w:val="005C4AE3"/>
    <w:rsid w:val="005C4D6E"/>
    <w:rsid w:val="005C4DFB"/>
    <w:rsid w:val="005C4E7E"/>
    <w:rsid w:val="005C50F4"/>
    <w:rsid w:val="005C5145"/>
    <w:rsid w:val="005C51B6"/>
    <w:rsid w:val="005C53F8"/>
    <w:rsid w:val="005C5542"/>
    <w:rsid w:val="005C5581"/>
    <w:rsid w:val="005C55BB"/>
    <w:rsid w:val="005C5981"/>
    <w:rsid w:val="005C5A00"/>
    <w:rsid w:val="005C5C5F"/>
    <w:rsid w:val="005C5D8D"/>
    <w:rsid w:val="005C5D97"/>
    <w:rsid w:val="005C5DD2"/>
    <w:rsid w:val="005C6211"/>
    <w:rsid w:val="005C6220"/>
    <w:rsid w:val="005C64AA"/>
    <w:rsid w:val="005C65E3"/>
    <w:rsid w:val="005C664C"/>
    <w:rsid w:val="005C66C8"/>
    <w:rsid w:val="005C66E8"/>
    <w:rsid w:val="005C689A"/>
    <w:rsid w:val="005C6D80"/>
    <w:rsid w:val="005C6DB2"/>
    <w:rsid w:val="005C7053"/>
    <w:rsid w:val="005C70AC"/>
    <w:rsid w:val="005C7230"/>
    <w:rsid w:val="005C727B"/>
    <w:rsid w:val="005C7304"/>
    <w:rsid w:val="005C7440"/>
    <w:rsid w:val="005C75D2"/>
    <w:rsid w:val="005C77CA"/>
    <w:rsid w:val="005C7817"/>
    <w:rsid w:val="005C79E9"/>
    <w:rsid w:val="005C7C02"/>
    <w:rsid w:val="005C7C0D"/>
    <w:rsid w:val="005C7C1F"/>
    <w:rsid w:val="005C7CDA"/>
    <w:rsid w:val="005C7D26"/>
    <w:rsid w:val="005C7EB0"/>
    <w:rsid w:val="005CD51E"/>
    <w:rsid w:val="005D0444"/>
    <w:rsid w:val="005D0CF8"/>
    <w:rsid w:val="005D0F14"/>
    <w:rsid w:val="005D0F21"/>
    <w:rsid w:val="005D112C"/>
    <w:rsid w:val="005D1255"/>
    <w:rsid w:val="005D1729"/>
    <w:rsid w:val="005D1895"/>
    <w:rsid w:val="005D18EA"/>
    <w:rsid w:val="005D1A9F"/>
    <w:rsid w:val="005D1CB2"/>
    <w:rsid w:val="005D1FFE"/>
    <w:rsid w:val="005D20BA"/>
    <w:rsid w:val="005D266D"/>
    <w:rsid w:val="005D2676"/>
    <w:rsid w:val="005D2686"/>
    <w:rsid w:val="005D285A"/>
    <w:rsid w:val="005D2EF9"/>
    <w:rsid w:val="005D2EFF"/>
    <w:rsid w:val="005D3490"/>
    <w:rsid w:val="005D374D"/>
    <w:rsid w:val="005D38D0"/>
    <w:rsid w:val="005D3E1C"/>
    <w:rsid w:val="005D3E9C"/>
    <w:rsid w:val="005D3EF2"/>
    <w:rsid w:val="005D3FAD"/>
    <w:rsid w:val="005D3FE6"/>
    <w:rsid w:val="005D40A3"/>
    <w:rsid w:val="005D4115"/>
    <w:rsid w:val="005D42B1"/>
    <w:rsid w:val="005D4C7A"/>
    <w:rsid w:val="005D4F64"/>
    <w:rsid w:val="005D4FF9"/>
    <w:rsid w:val="005D50C6"/>
    <w:rsid w:val="005D510E"/>
    <w:rsid w:val="005D53FF"/>
    <w:rsid w:val="005D54F3"/>
    <w:rsid w:val="005D55DE"/>
    <w:rsid w:val="005D564E"/>
    <w:rsid w:val="005D5734"/>
    <w:rsid w:val="005D57FB"/>
    <w:rsid w:val="005D5B13"/>
    <w:rsid w:val="005D5B1B"/>
    <w:rsid w:val="005D5B65"/>
    <w:rsid w:val="005D5CEC"/>
    <w:rsid w:val="005D5E0E"/>
    <w:rsid w:val="005D6025"/>
    <w:rsid w:val="005D6044"/>
    <w:rsid w:val="005D64D8"/>
    <w:rsid w:val="005D66E5"/>
    <w:rsid w:val="005D6D35"/>
    <w:rsid w:val="005D6FB3"/>
    <w:rsid w:val="005D7057"/>
    <w:rsid w:val="005D710C"/>
    <w:rsid w:val="005D7131"/>
    <w:rsid w:val="005D732C"/>
    <w:rsid w:val="005D734A"/>
    <w:rsid w:val="005D736E"/>
    <w:rsid w:val="005D73F1"/>
    <w:rsid w:val="005D742B"/>
    <w:rsid w:val="005D79C7"/>
    <w:rsid w:val="005D7A28"/>
    <w:rsid w:val="005D7A6B"/>
    <w:rsid w:val="005D7E27"/>
    <w:rsid w:val="005E03CA"/>
    <w:rsid w:val="005E04CC"/>
    <w:rsid w:val="005E04F6"/>
    <w:rsid w:val="005E0865"/>
    <w:rsid w:val="005E0AF7"/>
    <w:rsid w:val="005E0BF0"/>
    <w:rsid w:val="005E0E1A"/>
    <w:rsid w:val="005E0FF9"/>
    <w:rsid w:val="005E125F"/>
    <w:rsid w:val="005E12FC"/>
    <w:rsid w:val="005E1D9B"/>
    <w:rsid w:val="005E1F03"/>
    <w:rsid w:val="005E218C"/>
    <w:rsid w:val="005E2192"/>
    <w:rsid w:val="005E21D0"/>
    <w:rsid w:val="005E22A8"/>
    <w:rsid w:val="005E22DC"/>
    <w:rsid w:val="005E26A8"/>
    <w:rsid w:val="005E2935"/>
    <w:rsid w:val="005E2D8B"/>
    <w:rsid w:val="005E2F9A"/>
    <w:rsid w:val="005E3255"/>
    <w:rsid w:val="005E33D1"/>
    <w:rsid w:val="005E37D5"/>
    <w:rsid w:val="005E3C12"/>
    <w:rsid w:val="005E3E3C"/>
    <w:rsid w:val="005E3FD5"/>
    <w:rsid w:val="005E3FD8"/>
    <w:rsid w:val="005E4217"/>
    <w:rsid w:val="005E488A"/>
    <w:rsid w:val="005E4915"/>
    <w:rsid w:val="005E4A8B"/>
    <w:rsid w:val="005E4CCF"/>
    <w:rsid w:val="005E4DCF"/>
    <w:rsid w:val="005E50A7"/>
    <w:rsid w:val="005E5340"/>
    <w:rsid w:val="005E53C0"/>
    <w:rsid w:val="005E5442"/>
    <w:rsid w:val="005E5487"/>
    <w:rsid w:val="005E54FF"/>
    <w:rsid w:val="005E58A0"/>
    <w:rsid w:val="005E5A17"/>
    <w:rsid w:val="005E5AF7"/>
    <w:rsid w:val="005E604B"/>
    <w:rsid w:val="005E62FE"/>
    <w:rsid w:val="005E64D3"/>
    <w:rsid w:val="005E6528"/>
    <w:rsid w:val="005E65C8"/>
    <w:rsid w:val="005E709B"/>
    <w:rsid w:val="005E76A4"/>
    <w:rsid w:val="005E79C4"/>
    <w:rsid w:val="005E7B4A"/>
    <w:rsid w:val="005E7ED8"/>
    <w:rsid w:val="005F013F"/>
    <w:rsid w:val="005F0442"/>
    <w:rsid w:val="005F0700"/>
    <w:rsid w:val="005F09F6"/>
    <w:rsid w:val="005F0C2E"/>
    <w:rsid w:val="005F1419"/>
    <w:rsid w:val="005F16F4"/>
    <w:rsid w:val="005F178F"/>
    <w:rsid w:val="005F1883"/>
    <w:rsid w:val="005F1A73"/>
    <w:rsid w:val="005F1AE2"/>
    <w:rsid w:val="005F1DAD"/>
    <w:rsid w:val="005F1F52"/>
    <w:rsid w:val="005F2235"/>
    <w:rsid w:val="005F26E6"/>
    <w:rsid w:val="005F2ACD"/>
    <w:rsid w:val="005F2B4D"/>
    <w:rsid w:val="005F2C83"/>
    <w:rsid w:val="005F2C97"/>
    <w:rsid w:val="005F2D6A"/>
    <w:rsid w:val="005F2D82"/>
    <w:rsid w:val="005F2E31"/>
    <w:rsid w:val="005F3100"/>
    <w:rsid w:val="005F31C8"/>
    <w:rsid w:val="005F3293"/>
    <w:rsid w:val="005F3330"/>
    <w:rsid w:val="005F39ED"/>
    <w:rsid w:val="005F3A14"/>
    <w:rsid w:val="005F40A0"/>
    <w:rsid w:val="005F40E6"/>
    <w:rsid w:val="005F411F"/>
    <w:rsid w:val="005F44F7"/>
    <w:rsid w:val="005F45DD"/>
    <w:rsid w:val="005F4672"/>
    <w:rsid w:val="005F46D9"/>
    <w:rsid w:val="005F4CEB"/>
    <w:rsid w:val="005F51FC"/>
    <w:rsid w:val="005F5EC0"/>
    <w:rsid w:val="005F6206"/>
    <w:rsid w:val="005F63DD"/>
    <w:rsid w:val="005F655F"/>
    <w:rsid w:val="005F6673"/>
    <w:rsid w:val="005F6688"/>
    <w:rsid w:val="005F6859"/>
    <w:rsid w:val="005F6E4E"/>
    <w:rsid w:val="005F6E88"/>
    <w:rsid w:val="005F6EC5"/>
    <w:rsid w:val="005F6F73"/>
    <w:rsid w:val="005F704D"/>
    <w:rsid w:val="005F738B"/>
    <w:rsid w:val="005F73EE"/>
    <w:rsid w:val="005F7407"/>
    <w:rsid w:val="005F7A8E"/>
    <w:rsid w:val="00600147"/>
    <w:rsid w:val="006004E0"/>
    <w:rsid w:val="00600756"/>
    <w:rsid w:val="00600874"/>
    <w:rsid w:val="00600C68"/>
    <w:rsid w:val="00600E50"/>
    <w:rsid w:val="00601011"/>
    <w:rsid w:val="006010A0"/>
    <w:rsid w:val="0060118D"/>
    <w:rsid w:val="00601296"/>
    <w:rsid w:val="006015C6"/>
    <w:rsid w:val="00601653"/>
    <w:rsid w:val="00601C1F"/>
    <w:rsid w:val="00601DF4"/>
    <w:rsid w:val="006021D6"/>
    <w:rsid w:val="006023AD"/>
    <w:rsid w:val="006023FE"/>
    <w:rsid w:val="0060246F"/>
    <w:rsid w:val="00602800"/>
    <w:rsid w:val="00602B8C"/>
    <w:rsid w:val="00602D67"/>
    <w:rsid w:val="00602E1D"/>
    <w:rsid w:val="00602FBA"/>
    <w:rsid w:val="0060318F"/>
    <w:rsid w:val="006031B1"/>
    <w:rsid w:val="006034F2"/>
    <w:rsid w:val="0060364D"/>
    <w:rsid w:val="006039C3"/>
    <w:rsid w:val="00603E60"/>
    <w:rsid w:val="00603F42"/>
    <w:rsid w:val="006040CE"/>
    <w:rsid w:val="006047D0"/>
    <w:rsid w:val="00604F8A"/>
    <w:rsid w:val="0060508D"/>
    <w:rsid w:val="006050F3"/>
    <w:rsid w:val="0060521D"/>
    <w:rsid w:val="00605316"/>
    <w:rsid w:val="0060568B"/>
    <w:rsid w:val="0060586F"/>
    <w:rsid w:val="006059E2"/>
    <w:rsid w:val="00605BBF"/>
    <w:rsid w:val="006061F6"/>
    <w:rsid w:val="00606209"/>
    <w:rsid w:val="00606242"/>
    <w:rsid w:val="00606336"/>
    <w:rsid w:val="00606510"/>
    <w:rsid w:val="0060661E"/>
    <w:rsid w:val="0060684A"/>
    <w:rsid w:val="006069B7"/>
    <w:rsid w:val="00606A50"/>
    <w:rsid w:val="00606AF8"/>
    <w:rsid w:val="00606E2C"/>
    <w:rsid w:val="00607061"/>
    <w:rsid w:val="006073AD"/>
    <w:rsid w:val="0060744A"/>
    <w:rsid w:val="00607732"/>
    <w:rsid w:val="00607766"/>
    <w:rsid w:val="00607A14"/>
    <w:rsid w:val="00607A8E"/>
    <w:rsid w:val="00607C52"/>
    <w:rsid w:val="00607D90"/>
    <w:rsid w:val="00610368"/>
    <w:rsid w:val="006103B8"/>
    <w:rsid w:val="00610605"/>
    <w:rsid w:val="00610615"/>
    <w:rsid w:val="006108E7"/>
    <w:rsid w:val="00610B62"/>
    <w:rsid w:val="00610E19"/>
    <w:rsid w:val="00610FAE"/>
    <w:rsid w:val="00611687"/>
    <w:rsid w:val="006117A6"/>
    <w:rsid w:val="00611E82"/>
    <w:rsid w:val="006120FB"/>
    <w:rsid w:val="00612138"/>
    <w:rsid w:val="006121C1"/>
    <w:rsid w:val="006122CF"/>
    <w:rsid w:val="0061255C"/>
    <w:rsid w:val="00612ED9"/>
    <w:rsid w:val="00612F22"/>
    <w:rsid w:val="00612FE5"/>
    <w:rsid w:val="00613242"/>
    <w:rsid w:val="00613274"/>
    <w:rsid w:val="006133DC"/>
    <w:rsid w:val="006134CB"/>
    <w:rsid w:val="0061381A"/>
    <w:rsid w:val="0061387B"/>
    <w:rsid w:val="00613890"/>
    <w:rsid w:val="00613ECB"/>
    <w:rsid w:val="00613F54"/>
    <w:rsid w:val="006140C7"/>
    <w:rsid w:val="006141A9"/>
    <w:rsid w:val="00614252"/>
    <w:rsid w:val="0061442F"/>
    <w:rsid w:val="006147B8"/>
    <w:rsid w:val="006149F2"/>
    <w:rsid w:val="00614A91"/>
    <w:rsid w:val="00614B3A"/>
    <w:rsid w:val="00614C9C"/>
    <w:rsid w:val="00615248"/>
    <w:rsid w:val="00615271"/>
    <w:rsid w:val="00615287"/>
    <w:rsid w:val="00615512"/>
    <w:rsid w:val="00615727"/>
    <w:rsid w:val="00615829"/>
    <w:rsid w:val="006158E6"/>
    <w:rsid w:val="00615924"/>
    <w:rsid w:val="006159F5"/>
    <w:rsid w:val="00615B93"/>
    <w:rsid w:val="00615CF6"/>
    <w:rsid w:val="0061610D"/>
    <w:rsid w:val="006162D6"/>
    <w:rsid w:val="006162E5"/>
    <w:rsid w:val="00616710"/>
    <w:rsid w:val="0061693E"/>
    <w:rsid w:val="00616B1E"/>
    <w:rsid w:val="00616F44"/>
    <w:rsid w:val="00617114"/>
    <w:rsid w:val="006171B7"/>
    <w:rsid w:val="00617323"/>
    <w:rsid w:val="00617552"/>
    <w:rsid w:val="00617698"/>
    <w:rsid w:val="00617895"/>
    <w:rsid w:val="006178D9"/>
    <w:rsid w:val="0062004E"/>
    <w:rsid w:val="00620117"/>
    <w:rsid w:val="00620193"/>
    <w:rsid w:val="00620452"/>
    <w:rsid w:val="00620705"/>
    <w:rsid w:val="006209BB"/>
    <w:rsid w:val="00620A26"/>
    <w:rsid w:val="00620A93"/>
    <w:rsid w:val="00620AF3"/>
    <w:rsid w:val="00620B1F"/>
    <w:rsid w:val="00620C3F"/>
    <w:rsid w:val="006211F7"/>
    <w:rsid w:val="00621373"/>
    <w:rsid w:val="006217A9"/>
    <w:rsid w:val="006217BB"/>
    <w:rsid w:val="0062189F"/>
    <w:rsid w:val="00621B2E"/>
    <w:rsid w:val="00621E35"/>
    <w:rsid w:val="00621F91"/>
    <w:rsid w:val="00622077"/>
    <w:rsid w:val="006220F8"/>
    <w:rsid w:val="006225A6"/>
    <w:rsid w:val="00622F73"/>
    <w:rsid w:val="006231A4"/>
    <w:rsid w:val="0062322F"/>
    <w:rsid w:val="00623C3B"/>
    <w:rsid w:val="00624559"/>
    <w:rsid w:val="00624637"/>
    <w:rsid w:val="00624814"/>
    <w:rsid w:val="00624985"/>
    <w:rsid w:val="00624D43"/>
    <w:rsid w:val="006252AD"/>
    <w:rsid w:val="006252D8"/>
    <w:rsid w:val="006256AF"/>
    <w:rsid w:val="00625718"/>
    <w:rsid w:val="00625DCA"/>
    <w:rsid w:val="00625E8D"/>
    <w:rsid w:val="0062617E"/>
    <w:rsid w:val="006261CB"/>
    <w:rsid w:val="0062643C"/>
    <w:rsid w:val="00626488"/>
    <w:rsid w:val="00626AE4"/>
    <w:rsid w:val="00626B2A"/>
    <w:rsid w:val="00627095"/>
    <w:rsid w:val="006270F6"/>
    <w:rsid w:val="0062720E"/>
    <w:rsid w:val="0062741C"/>
    <w:rsid w:val="006275C4"/>
    <w:rsid w:val="0062787D"/>
    <w:rsid w:val="00627E45"/>
    <w:rsid w:val="00627F86"/>
    <w:rsid w:val="006301A0"/>
    <w:rsid w:val="00630388"/>
    <w:rsid w:val="00630635"/>
    <w:rsid w:val="006308C8"/>
    <w:rsid w:val="006308CD"/>
    <w:rsid w:val="00630A20"/>
    <w:rsid w:val="00630A58"/>
    <w:rsid w:val="00630AA2"/>
    <w:rsid w:val="00630D4E"/>
    <w:rsid w:val="00631007"/>
    <w:rsid w:val="006311E5"/>
    <w:rsid w:val="006313DD"/>
    <w:rsid w:val="006315C5"/>
    <w:rsid w:val="0063163C"/>
    <w:rsid w:val="006318BF"/>
    <w:rsid w:val="00631A79"/>
    <w:rsid w:val="00631BA3"/>
    <w:rsid w:val="00631E23"/>
    <w:rsid w:val="00631E8E"/>
    <w:rsid w:val="006320C1"/>
    <w:rsid w:val="00632438"/>
    <w:rsid w:val="00632A60"/>
    <w:rsid w:val="00632B2B"/>
    <w:rsid w:val="00632BDC"/>
    <w:rsid w:val="00632CD4"/>
    <w:rsid w:val="00632D86"/>
    <w:rsid w:val="00632F0D"/>
    <w:rsid w:val="00632F38"/>
    <w:rsid w:val="00633232"/>
    <w:rsid w:val="006334B5"/>
    <w:rsid w:val="00633540"/>
    <w:rsid w:val="006336B9"/>
    <w:rsid w:val="006337EF"/>
    <w:rsid w:val="00633838"/>
    <w:rsid w:val="006338C8"/>
    <w:rsid w:val="00633A44"/>
    <w:rsid w:val="00633B11"/>
    <w:rsid w:val="00633C07"/>
    <w:rsid w:val="00633C30"/>
    <w:rsid w:val="00634281"/>
    <w:rsid w:val="0063431F"/>
    <w:rsid w:val="00634881"/>
    <w:rsid w:val="00634BC6"/>
    <w:rsid w:val="006351FA"/>
    <w:rsid w:val="006354B4"/>
    <w:rsid w:val="006355ED"/>
    <w:rsid w:val="00635879"/>
    <w:rsid w:val="0063588A"/>
    <w:rsid w:val="00635942"/>
    <w:rsid w:val="00636036"/>
    <w:rsid w:val="006361B1"/>
    <w:rsid w:val="006364DA"/>
    <w:rsid w:val="0063695C"/>
    <w:rsid w:val="00636BA2"/>
    <w:rsid w:val="00636DC5"/>
    <w:rsid w:val="006370FB"/>
    <w:rsid w:val="006374AA"/>
    <w:rsid w:val="006376F9"/>
    <w:rsid w:val="00637BD9"/>
    <w:rsid w:val="00637D81"/>
    <w:rsid w:val="00637F6C"/>
    <w:rsid w:val="00640084"/>
    <w:rsid w:val="00640166"/>
    <w:rsid w:val="0064045E"/>
    <w:rsid w:val="00640490"/>
    <w:rsid w:val="0064057B"/>
    <w:rsid w:val="006409D2"/>
    <w:rsid w:val="00640BD1"/>
    <w:rsid w:val="00640D82"/>
    <w:rsid w:val="00640DB3"/>
    <w:rsid w:val="0064100F"/>
    <w:rsid w:val="006412DD"/>
    <w:rsid w:val="0064133D"/>
    <w:rsid w:val="006414B1"/>
    <w:rsid w:val="006417A0"/>
    <w:rsid w:val="00641AF2"/>
    <w:rsid w:val="00641C45"/>
    <w:rsid w:val="00641D45"/>
    <w:rsid w:val="00641DC1"/>
    <w:rsid w:val="00641EA7"/>
    <w:rsid w:val="00641F78"/>
    <w:rsid w:val="006424AE"/>
    <w:rsid w:val="00642C98"/>
    <w:rsid w:val="006430AD"/>
    <w:rsid w:val="00643505"/>
    <w:rsid w:val="00643870"/>
    <w:rsid w:val="00643A63"/>
    <w:rsid w:val="00643E89"/>
    <w:rsid w:val="00644176"/>
    <w:rsid w:val="00644383"/>
    <w:rsid w:val="00644397"/>
    <w:rsid w:val="006444B0"/>
    <w:rsid w:val="00644614"/>
    <w:rsid w:val="00644998"/>
    <w:rsid w:val="00644B39"/>
    <w:rsid w:val="00644DD3"/>
    <w:rsid w:val="00644E5C"/>
    <w:rsid w:val="00645130"/>
    <w:rsid w:val="0064549F"/>
    <w:rsid w:val="006455AF"/>
    <w:rsid w:val="006455FB"/>
    <w:rsid w:val="00645A90"/>
    <w:rsid w:val="00645B0C"/>
    <w:rsid w:val="00645CB5"/>
    <w:rsid w:val="00645E29"/>
    <w:rsid w:val="0064605D"/>
    <w:rsid w:val="006465CF"/>
    <w:rsid w:val="006465DA"/>
    <w:rsid w:val="006466CD"/>
    <w:rsid w:val="00646A43"/>
    <w:rsid w:val="00646A7C"/>
    <w:rsid w:val="00646A9E"/>
    <w:rsid w:val="00646ED2"/>
    <w:rsid w:val="00647086"/>
    <w:rsid w:val="00647384"/>
    <w:rsid w:val="006473EE"/>
    <w:rsid w:val="0064785F"/>
    <w:rsid w:val="006479B3"/>
    <w:rsid w:val="00647A08"/>
    <w:rsid w:val="00647ADC"/>
    <w:rsid w:val="00647B2D"/>
    <w:rsid w:val="00647D45"/>
    <w:rsid w:val="00647FAB"/>
    <w:rsid w:val="00647FE8"/>
    <w:rsid w:val="006503FE"/>
    <w:rsid w:val="00650472"/>
    <w:rsid w:val="006507E2"/>
    <w:rsid w:val="00650A6F"/>
    <w:rsid w:val="00650A7F"/>
    <w:rsid w:val="00650C41"/>
    <w:rsid w:val="00651059"/>
    <w:rsid w:val="00651269"/>
    <w:rsid w:val="0065135D"/>
    <w:rsid w:val="006518C9"/>
    <w:rsid w:val="00651A86"/>
    <w:rsid w:val="00651C63"/>
    <w:rsid w:val="00651D7E"/>
    <w:rsid w:val="00651EE8"/>
    <w:rsid w:val="00651FB2"/>
    <w:rsid w:val="00652006"/>
    <w:rsid w:val="00652025"/>
    <w:rsid w:val="00652147"/>
    <w:rsid w:val="006521B1"/>
    <w:rsid w:val="0065231F"/>
    <w:rsid w:val="00652538"/>
    <w:rsid w:val="006526FA"/>
    <w:rsid w:val="006527A1"/>
    <w:rsid w:val="00652882"/>
    <w:rsid w:val="00652966"/>
    <w:rsid w:val="006529D9"/>
    <w:rsid w:val="00652E59"/>
    <w:rsid w:val="00653208"/>
    <w:rsid w:val="00653405"/>
    <w:rsid w:val="006535EE"/>
    <w:rsid w:val="0065369D"/>
    <w:rsid w:val="006536BE"/>
    <w:rsid w:val="00653872"/>
    <w:rsid w:val="00653DB8"/>
    <w:rsid w:val="00653E3C"/>
    <w:rsid w:val="00653F68"/>
    <w:rsid w:val="00654148"/>
    <w:rsid w:val="0065419F"/>
    <w:rsid w:val="0065432D"/>
    <w:rsid w:val="006545FB"/>
    <w:rsid w:val="00654B55"/>
    <w:rsid w:val="00654B73"/>
    <w:rsid w:val="00654BE0"/>
    <w:rsid w:val="00654C42"/>
    <w:rsid w:val="00654C5E"/>
    <w:rsid w:val="006551DF"/>
    <w:rsid w:val="00655300"/>
    <w:rsid w:val="006557FC"/>
    <w:rsid w:val="0065590F"/>
    <w:rsid w:val="0065597F"/>
    <w:rsid w:val="00655A78"/>
    <w:rsid w:val="00655ABC"/>
    <w:rsid w:val="00655CA5"/>
    <w:rsid w:val="00655F51"/>
    <w:rsid w:val="006562BA"/>
    <w:rsid w:val="00656899"/>
    <w:rsid w:val="00656942"/>
    <w:rsid w:val="00656949"/>
    <w:rsid w:val="006569C5"/>
    <w:rsid w:val="00656A42"/>
    <w:rsid w:val="00656C7C"/>
    <w:rsid w:val="00656C89"/>
    <w:rsid w:val="0065767C"/>
    <w:rsid w:val="00657A78"/>
    <w:rsid w:val="00657C67"/>
    <w:rsid w:val="00657CED"/>
    <w:rsid w:val="0066011C"/>
    <w:rsid w:val="00660578"/>
    <w:rsid w:val="00660702"/>
    <w:rsid w:val="00660BF0"/>
    <w:rsid w:val="00660DFA"/>
    <w:rsid w:val="00660E49"/>
    <w:rsid w:val="00660FE2"/>
    <w:rsid w:val="0066144F"/>
    <w:rsid w:val="00661579"/>
    <w:rsid w:val="00661789"/>
    <w:rsid w:val="0066192E"/>
    <w:rsid w:val="00661A7B"/>
    <w:rsid w:val="00661D45"/>
    <w:rsid w:val="00661E2C"/>
    <w:rsid w:val="00661F4E"/>
    <w:rsid w:val="00662314"/>
    <w:rsid w:val="0066241A"/>
    <w:rsid w:val="006628CD"/>
    <w:rsid w:val="00662A08"/>
    <w:rsid w:val="00662A48"/>
    <w:rsid w:val="00662E41"/>
    <w:rsid w:val="00662F67"/>
    <w:rsid w:val="006630CE"/>
    <w:rsid w:val="006631A9"/>
    <w:rsid w:val="006631EC"/>
    <w:rsid w:val="0066329E"/>
    <w:rsid w:val="006632FF"/>
    <w:rsid w:val="006635EC"/>
    <w:rsid w:val="006636DD"/>
    <w:rsid w:val="006637BA"/>
    <w:rsid w:val="00663B44"/>
    <w:rsid w:val="00663B5D"/>
    <w:rsid w:val="00663C86"/>
    <w:rsid w:val="00663CF7"/>
    <w:rsid w:val="006642CE"/>
    <w:rsid w:val="006643E1"/>
    <w:rsid w:val="00664402"/>
    <w:rsid w:val="00664535"/>
    <w:rsid w:val="006645A3"/>
    <w:rsid w:val="006645FC"/>
    <w:rsid w:val="00664667"/>
    <w:rsid w:val="00664962"/>
    <w:rsid w:val="00664E14"/>
    <w:rsid w:val="006653C4"/>
    <w:rsid w:val="006656A2"/>
    <w:rsid w:val="00665710"/>
    <w:rsid w:val="0066575B"/>
    <w:rsid w:val="006659C9"/>
    <w:rsid w:val="00665D8D"/>
    <w:rsid w:val="00665F43"/>
    <w:rsid w:val="00665F94"/>
    <w:rsid w:val="00665FCE"/>
    <w:rsid w:val="00666025"/>
    <w:rsid w:val="0066623B"/>
    <w:rsid w:val="00666363"/>
    <w:rsid w:val="006663E6"/>
    <w:rsid w:val="00666441"/>
    <w:rsid w:val="006664D8"/>
    <w:rsid w:val="00666DD1"/>
    <w:rsid w:val="006672A2"/>
    <w:rsid w:val="006675B5"/>
    <w:rsid w:val="006678DF"/>
    <w:rsid w:val="0066798D"/>
    <w:rsid w:val="006679B5"/>
    <w:rsid w:val="00667CD1"/>
    <w:rsid w:val="00670127"/>
    <w:rsid w:val="0067039A"/>
    <w:rsid w:val="00670518"/>
    <w:rsid w:val="006705B4"/>
    <w:rsid w:val="00670788"/>
    <w:rsid w:val="00670974"/>
    <w:rsid w:val="00670C53"/>
    <w:rsid w:val="00670CC5"/>
    <w:rsid w:val="00671111"/>
    <w:rsid w:val="0067175F"/>
    <w:rsid w:val="00671C81"/>
    <w:rsid w:val="00671E9E"/>
    <w:rsid w:val="00671EF8"/>
    <w:rsid w:val="00671F85"/>
    <w:rsid w:val="00671F99"/>
    <w:rsid w:val="0067235B"/>
    <w:rsid w:val="0067246D"/>
    <w:rsid w:val="00672FA0"/>
    <w:rsid w:val="00672FB1"/>
    <w:rsid w:val="006730B7"/>
    <w:rsid w:val="006730D0"/>
    <w:rsid w:val="006730D1"/>
    <w:rsid w:val="006733C7"/>
    <w:rsid w:val="00673A55"/>
    <w:rsid w:val="00673D21"/>
    <w:rsid w:val="0067407B"/>
    <w:rsid w:val="00674088"/>
    <w:rsid w:val="00674296"/>
    <w:rsid w:val="00674713"/>
    <w:rsid w:val="00674830"/>
    <w:rsid w:val="00674A24"/>
    <w:rsid w:val="00674ACF"/>
    <w:rsid w:val="00674B61"/>
    <w:rsid w:val="00674BAF"/>
    <w:rsid w:val="00675125"/>
    <w:rsid w:val="006751F8"/>
    <w:rsid w:val="006752DD"/>
    <w:rsid w:val="0067553A"/>
    <w:rsid w:val="00675657"/>
    <w:rsid w:val="00675812"/>
    <w:rsid w:val="00675952"/>
    <w:rsid w:val="0067595A"/>
    <w:rsid w:val="00675DD9"/>
    <w:rsid w:val="00675E7F"/>
    <w:rsid w:val="00675F52"/>
    <w:rsid w:val="00676547"/>
    <w:rsid w:val="00676684"/>
    <w:rsid w:val="00676A62"/>
    <w:rsid w:val="00676ACF"/>
    <w:rsid w:val="00676BD2"/>
    <w:rsid w:val="00676D84"/>
    <w:rsid w:val="00676E6B"/>
    <w:rsid w:val="00676EB1"/>
    <w:rsid w:val="00676F7E"/>
    <w:rsid w:val="00676FB5"/>
    <w:rsid w:val="006773C4"/>
    <w:rsid w:val="0067744D"/>
    <w:rsid w:val="00677458"/>
    <w:rsid w:val="006774AB"/>
    <w:rsid w:val="0067764C"/>
    <w:rsid w:val="00677B26"/>
    <w:rsid w:val="0068007A"/>
    <w:rsid w:val="0068022A"/>
    <w:rsid w:val="00680434"/>
    <w:rsid w:val="006804A1"/>
    <w:rsid w:val="00680701"/>
    <w:rsid w:val="0068073D"/>
    <w:rsid w:val="006807B0"/>
    <w:rsid w:val="00680A9A"/>
    <w:rsid w:val="00680AB4"/>
    <w:rsid w:val="0068158C"/>
    <w:rsid w:val="006816E4"/>
    <w:rsid w:val="00681890"/>
    <w:rsid w:val="006821C9"/>
    <w:rsid w:val="0068225C"/>
    <w:rsid w:val="0068252E"/>
    <w:rsid w:val="00682E12"/>
    <w:rsid w:val="00682EA4"/>
    <w:rsid w:val="00683022"/>
    <w:rsid w:val="00683447"/>
    <w:rsid w:val="00683700"/>
    <w:rsid w:val="006837D6"/>
    <w:rsid w:val="00683A61"/>
    <w:rsid w:val="00683C01"/>
    <w:rsid w:val="00683C4A"/>
    <w:rsid w:val="00683CD1"/>
    <w:rsid w:val="00683D27"/>
    <w:rsid w:val="00683D83"/>
    <w:rsid w:val="006846AD"/>
    <w:rsid w:val="006848B3"/>
    <w:rsid w:val="00684953"/>
    <w:rsid w:val="00684AC9"/>
    <w:rsid w:val="00684C3D"/>
    <w:rsid w:val="00684CA5"/>
    <w:rsid w:val="00684F46"/>
    <w:rsid w:val="00685333"/>
    <w:rsid w:val="0068555F"/>
    <w:rsid w:val="00685886"/>
    <w:rsid w:val="006858D2"/>
    <w:rsid w:val="00685989"/>
    <w:rsid w:val="00685A31"/>
    <w:rsid w:val="0068622D"/>
    <w:rsid w:val="0068626A"/>
    <w:rsid w:val="00686284"/>
    <w:rsid w:val="006863BD"/>
    <w:rsid w:val="0068671F"/>
    <w:rsid w:val="006867C6"/>
    <w:rsid w:val="00686A6B"/>
    <w:rsid w:val="00686E1D"/>
    <w:rsid w:val="00687173"/>
    <w:rsid w:val="006871E0"/>
    <w:rsid w:val="006872AC"/>
    <w:rsid w:val="00687352"/>
    <w:rsid w:val="00687683"/>
    <w:rsid w:val="0068791F"/>
    <w:rsid w:val="00687A5C"/>
    <w:rsid w:val="00687A75"/>
    <w:rsid w:val="00687BC5"/>
    <w:rsid w:val="00687CE8"/>
    <w:rsid w:val="00687CEE"/>
    <w:rsid w:val="00687D6E"/>
    <w:rsid w:val="00687E2B"/>
    <w:rsid w:val="00687EBD"/>
    <w:rsid w:val="00690019"/>
    <w:rsid w:val="00690127"/>
    <w:rsid w:val="00690137"/>
    <w:rsid w:val="006901F1"/>
    <w:rsid w:val="00690342"/>
    <w:rsid w:val="0069048C"/>
    <w:rsid w:val="006904C6"/>
    <w:rsid w:val="00690532"/>
    <w:rsid w:val="00690551"/>
    <w:rsid w:val="006906B5"/>
    <w:rsid w:val="006906D2"/>
    <w:rsid w:val="00690712"/>
    <w:rsid w:val="00690727"/>
    <w:rsid w:val="00690761"/>
    <w:rsid w:val="0069085D"/>
    <w:rsid w:val="00690A18"/>
    <w:rsid w:val="00691011"/>
    <w:rsid w:val="00691015"/>
    <w:rsid w:val="0069118F"/>
    <w:rsid w:val="006915B2"/>
    <w:rsid w:val="00691637"/>
    <w:rsid w:val="0069164C"/>
    <w:rsid w:val="00691DDD"/>
    <w:rsid w:val="00692111"/>
    <w:rsid w:val="0069223D"/>
    <w:rsid w:val="0069224D"/>
    <w:rsid w:val="00692259"/>
    <w:rsid w:val="006923AC"/>
    <w:rsid w:val="00692D6F"/>
    <w:rsid w:val="00692D98"/>
    <w:rsid w:val="00692EB3"/>
    <w:rsid w:val="00692EBE"/>
    <w:rsid w:val="006931BD"/>
    <w:rsid w:val="00693331"/>
    <w:rsid w:val="0069340E"/>
    <w:rsid w:val="00693470"/>
    <w:rsid w:val="00693737"/>
    <w:rsid w:val="00693773"/>
    <w:rsid w:val="00693AA4"/>
    <w:rsid w:val="00693AD4"/>
    <w:rsid w:val="00694382"/>
    <w:rsid w:val="006946AC"/>
    <w:rsid w:val="00694725"/>
    <w:rsid w:val="00694822"/>
    <w:rsid w:val="0069488A"/>
    <w:rsid w:val="00694CF2"/>
    <w:rsid w:val="00694DFB"/>
    <w:rsid w:val="006952EF"/>
    <w:rsid w:val="006955A1"/>
    <w:rsid w:val="0069593E"/>
    <w:rsid w:val="006960BB"/>
    <w:rsid w:val="006962A4"/>
    <w:rsid w:val="006962CA"/>
    <w:rsid w:val="00696312"/>
    <w:rsid w:val="006969D3"/>
    <w:rsid w:val="00696C5A"/>
    <w:rsid w:val="00696E5D"/>
    <w:rsid w:val="00697114"/>
    <w:rsid w:val="00697515"/>
    <w:rsid w:val="006976D3"/>
    <w:rsid w:val="00697E17"/>
    <w:rsid w:val="00697E40"/>
    <w:rsid w:val="0069AA65"/>
    <w:rsid w:val="006A04D2"/>
    <w:rsid w:val="006A05FC"/>
    <w:rsid w:val="006A0C45"/>
    <w:rsid w:val="006A0C99"/>
    <w:rsid w:val="006A0CF0"/>
    <w:rsid w:val="006A0D19"/>
    <w:rsid w:val="006A0FB9"/>
    <w:rsid w:val="006A13EF"/>
    <w:rsid w:val="006A1566"/>
    <w:rsid w:val="006A191F"/>
    <w:rsid w:val="006A1A55"/>
    <w:rsid w:val="006A1B7C"/>
    <w:rsid w:val="006A1C21"/>
    <w:rsid w:val="006A1CE2"/>
    <w:rsid w:val="006A1ECF"/>
    <w:rsid w:val="006A2247"/>
    <w:rsid w:val="006A22C4"/>
    <w:rsid w:val="006A22CD"/>
    <w:rsid w:val="006A270E"/>
    <w:rsid w:val="006A2774"/>
    <w:rsid w:val="006A27D6"/>
    <w:rsid w:val="006A285B"/>
    <w:rsid w:val="006A2A8B"/>
    <w:rsid w:val="006A2C0C"/>
    <w:rsid w:val="006A2C0D"/>
    <w:rsid w:val="006A2E65"/>
    <w:rsid w:val="006A2FB9"/>
    <w:rsid w:val="006A32B5"/>
    <w:rsid w:val="006A35F4"/>
    <w:rsid w:val="006A36A1"/>
    <w:rsid w:val="006A3B48"/>
    <w:rsid w:val="006A3D68"/>
    <w:rsid w:val="006A3F47"/>
    <w:rsid w:val="006A4098"/>
    <w:rsid w:val="006A4465"/>
    <w:rsid w:val="006A47B3"/>
    <w:rsid w:val="006A47BC"/>
    <w:rsid w:val="006A47F6"/>
    <w:rsid w:val="006A4946"/>
    <w:rsid w:val="006A49C9"/>
    <w:rsid w:val="006A4AF7"/>
    <w:rsid w:val="006A4C38"/>
    <w:rsid w:val="006A4FFE"/>
    <w:rsid w:val="006A513E"/>
    <w:rsid w:val="006A56CD"/>
    <w:rsid w:val="006A58B6"/>
    <w:rsid w:val="006A5B16"/>
    <w:rsid w:val="006A5C0F"/>
    <w:rsid w:val="006A5D0E"/>
    <w:rsid w:val="006A5D99"/>
    <w:rsid w:val="006A6226"/>
    <w:rsid w:val="006A6461"/>
    <w:rsid w:val="006A664C"/>
    <w:rsid w:val="006A66F1"/>
    <w:rsid w:val="006A67DD"/>
    <w:rsid w:val="006A68D7"/>
    <w:rsid w:val="006A6BA0"/>
    <w:rsid w:val="006A6CE6"/>
    <w:rsid w:val="006A700F"/>
    <w:rsid w:val="006A76EA"/>
    <w:rsid w:val="006A785E"/>
    <w:rsid w:val="006A7C11"/>
    <w:rsid w:val="006A7CA8"/>
    <w:rsid w:val="006A7D98"/>
    <w:rsid w:val="006A7F97"/>
    <w:rsid w:val="006B0026"/>
    <w:rsid w:val="006B0349"/>
    <w:rsid w:val="006B0779"/>
    <w:rsid w:val="006B0B38"/>
    <w:rsid w:val="006B0BD2"/>
    <w:rsid w:val="006B0D54"/>
    <w:rsid w:val="006B0DA4"/>
    <w:rsid w:val="006B0EE4"/>
    <w:rsid w:val="006B11AA"/>
    <w:rsid w:val="006B1539"/>
    <w:rsid w:val="006B1A0B"/>
    <w:rsid w:val="006B1AE5"/>
    <w:rsid w:val="006B1C67"/>
    <w:rsid w:val="006B1E27"/>
    <w:rsid w:val="006B2148"/>
    <w:rsid w:val="006B2750"/>
    <w:rsid w:val="006B27DA"/>
    <w:rsid w:val="006B29C5"/>
    <w:rsid w:val="006B29EF"/>
    <w:rsid w:val="006B3080"/>
    <w:rsid w:val="006B30BE"/>
    <w:rsid w:val="006B3159"/>
    <w:rsid w:val="006B31A4"/>
    <w:rsid w:val="006B3424"/>
    <w:rsid w:val="006B3445"/>
    <w:rsid w:val="006B36C8"/>
    <w:rsid w:val="006B3814"/>
    <w:rsid w:val="006B38D1"/>
    <w:rsid w:val="006B3F59"/>
    <w:rsid w:val="006B3F6D"/>
    <w:rsid w:val="006B41CB"/>
    <w:rsid w:val="006B436B"/>
    <w:rsid w:val="006B4564"/>
    <w:rsid w:val="006B4781"/>
    <w:rsid w:val="006B4B6D"/>
    <w:rsid w:val="006B4BCD"/>
    <w:rsid w:val="006B4F8D"/>
    <w:rsid w:val="006B5087"/>
    <w:rsid w:val="006B50DB"/>
    <w:rsid w:val="006B5184"/>
    <w:rsid w:val="006B5436"/>
    <w:rsid w:val="006B550B"/>
    <w:rsid w:val="006B5555"/>
    <w:rsid w:val="006B5642"/>
    <w:rsid w:val="006B57E2"/>
    <w:rsid w:val="006B5867"/>
    <w:rsid w:val="006B59C1"/>
    <w:rsid w:val="006B5A4B"/>
    <w:rsid w:val="006B5AA8"/>
    <w:rsid w:val="006B5AF7"/>
    <w:rsid w:val="006B5DDB"/>
    <w:rsid w:val="006B61D3"/>
    <w:rsid w:val="006B62FE"/>
    <w:rsid w:val="006B640E"/>
    <w:rsid w:val="006B6495"/>
    <w:rsid w:val="006B661B"/>
    <w:rsid w:val="006B68F6"/>
    <w:rsid w:val="006B6C53"/>
    <w:rsid w:val="006B6EB2"/>
    <w:rsid w:val="006B6EFF"/>
    <w:rsid w:val="006B6FEF"/>
    <w:rsid w:val="006B7409"/>
    <w:rsid w:val="006B74B6"/>
    <w:rsid w:val="006B758E"/>
    <w:rsid w:val="006B7740"/>
    <w:rsid w:val="006B7866"/>
    <w:rsid w:val="006B79A9"/>
    <w:rsid w:val="006B7A0E"/>
    <w:rsid w:val="006B7EBD"/>
    <w:rsid w:val="006BD370"/>
    <w:rsid w:val="006C0105"/>
    <w:rsid w:val="006C0491"/>
    <w:rsid w:val="006C04C7"/>
    <w:rsid w:val="006C05C3"/>
    <w:rsid w:val="006C0678"/>
    <w:rsid w:val="006C0699"/>
    <w:rsid w:val="006C0AD5"/>
    <w:rsid w:val="006C0F4C"/>
    <w:rsid w:val="006C1332"/>
    <w:rsid w:val="006C1661"/>
    <w:rsid w:val="006C176A"/>
    <w:rsid w:val="006C17A2"/>
    <w:rsid w:val="006C180C"/>
    <w:rsid w:val="006C1C22"/>
    <w:rsid w:val="006C1C46"/>
    <w:rsid w:val="006C1CD7"/>
    <w:rsid w:val="006C1EDB"/>
    <w:rsid w:val="006C2010"/>
    <w:rsid w:val="006C2095"/>
    <w:rsid w:val="006C216D"/>
    <w:rsid w:val="006C266F"/>
    <w:rsid w:val="006C2930"/>
    <w:rsid w:val="006C2C76"/>
    <w:rsid w:val="006C2E18"/>
    <w:rsid w:val="006C2F00"/>
    <w:rsid w:val="006C3228"/>
    <w:rsid w:val="006C326D"/>
    <w:rsid w:val="006C3381"/>
    <w:rsid w:val="006C3433"/>
    <w:rsid w:val="006C3C37"/>
    <w:rsid w:val="006C3EDD"/>
    <w:rsid w:val="006C3F52"/>
    <w:rsid w:val="006C3F98"/>
    <w:rsid w:val="006C3F99"/>
    <w:rsid w:val="006C43D8"/>
    <w:rsid w:val="006C4402"/>
    <w:rsid w:val="006C441F"/>
    <w:rsid w:val="006C4473"/>
    <w:rsid w:val="006C448D"/>
    <w:rsid w:val="006C45A4"/>
    <w:rsid w:val="006C4A68"/>
    <w:rsid w:val="006C4B13"/>
    <w:rsid w:val="006C4EAF"/>
    <w:rsid w:val="006C4F87"/>
    <w:rsid w:val="006C509A"/>
    <w:rsid w:val="006C517A"/>
    <w:rsid w:val="006C5833"/>
    <w:rsid w:val="006C58D9"/>
    <w:rsid w:val="006C5956"/>
    <w:rsid w:val="006C5B5E"/>
    <w:rsid w:val="006C5F16"/>
    <w:rsid w:val="006C60C3"/>
    <w:rsid w:val="006C6177"/>
    <w:rsid w:val="006C6337"/>
    <w:rsid w:val="006C6702"/>
    <w:rsid w:val="006C681E"/>
    <w:rsid w:val="006C69DE"/>
    <w:rsid w:val="006C6ABC"/>
    <w:rsid w:val="006C6B2B"/>
    <w:rsid w:val="006C6BDA"/>
    <w:rsid w:val="006C6CB1"/>
    <w:rsid w:val="006C6D90"/>
    <w:rsid w:val="006C6ED9"/>
    <w:rsid w:val="006C6EDB"/>
    <w:rsid w:val="006C7092"/>
    <w:rsid w:val="006C719B"/>
    <w:rsid w:val="006C773C"/>
    <w:rsid w:val="006C7923"/>
    <w:rsid w:val="006C7A5D"/>
    <w:rsid w:val="006C7A84"/>
    <w:rsid w:val="006C7F0C"/>
    <w:rsid w:val="006C7FC4"/>
    <w:rsid w:val="006C7FE5"/>
    <w:rsid w:val="006D029D"/>
    <w:rsid w:val="006D04A0"/>
    <w:rsid w:val="006D0622"/>
    <w:rsid w:val="006D07FC"/>
    <w:rsid w:val="006D08F2"/>
    <w:rsid w:val="006D0981"/>
    <w:rsid w:val="006D0A04"/>
    <w:rsid w:val="006D0BC0"/>
    <w:rsid w:val="006D0DBE"/>
    <w:rsid w:val="006D1106"/>
    <w:rsid w:val="006D176B"/>
    <w:rsid w:val="006D1790"/>
    <w:rsid w:val="006D1810"/>
    <w:rsid w:val="006D19E8"/>
    <w:rsid w:val="006D1BF1"/>
    <w:rsid w:val="006D1C85"/>
    <w:rsid w:val="006D1C9E"/>
    <w:rsid w:val="006D1F26"/>
    <w:rsid w:val="006D1F3A"/>
    <w:rsid w:val="006D1FC7"/>
    <w:rsid w:val="006D1FDE"/>
    <w:rsid w:val="006D229D"/>
    <w:rsid w:val="006D2311"/>
    <w:rsid w:val="006D23C5"/>
    <w:rsid w:val="006D2471"/>
    <w:rsid w:val="006D255D"/>
    <w:rsid w:val="006D25E6"/>
    <w:rsid w:val="006D261D"/>
    <w:rsid w:val="006D2661"/>
    <w:rsid w:val="006D2C55"/>
    <w:rsid w:val="006D2C68"/>
    <w:rsid w:val="006D2F24"/>
    <w:rsid w:val="006D2FA2"/>
    <w:rsid w:val="006D302A"/>
    <w:rsid w:val="006D3034"/>
    <w:rsid w:val="006D3152"/>
    <w:rsid w:val="006D33DA"/>
    <w:rsid w:val="006D3530"/>
    <w:rsid w:val="006D36C3"/>
    <w:rsid w:val="006D39F1"/>
    <w:rsid w:val="006D4205"/>
    <w:rsid w:val="006D4350"/>
    <w:rsid w:val="006D43AD"/>
    <w:rsid w:val="006D4452"/>
    <w:rsid w:val="006D4465"/>
    <w:rsid w:val="006D4533"/>
    <w:rsid w:val="006D48DA"/>
    <w:rsid w:val="006D48F5"/>
    <w:rsid w:val="006D4DF6"/>
    <w:rsid w:val="006D4EE2"/>
    <w:rsid w:val="006D52F2"/>
    <w:rsid w:val="006D5393"/>
    <w:rsid w:val="006D56A5"/>
    <w:rsid w:val="006D5788"/>
    <w:rsid w:val="006D5B57"/>
    <w:rsid w:val="006D5EF3"/>
    <w:rsid w:val="006D61FC"/>
    <w:rsid w:val="006D6355"/>
    <w:rsid w:val="006D63D8"/>
    <w:rsid w:val="006D64A6"/>
    <w:rsid w:val="006D6809"/>
    <w:rsid w:val="006D6EB1"/>
    <w:rsid w:val="006D6EB6"/>
    <w:rsid w:val="006D6F04"/>
    <w:rsid w:val="006D6F61"/>
    <w:rsid w:val="006D74EF"/>
    <w:rsid w:val="006D753B"/>
    <w:rsid w:val="006D760E"/>
    <w:rsid w:val="006D770F"/>
    <w:rsid w:val="006D7AB2"/>
    <w:rsid w:val="006D7AD5"/>
    <w:rsid w:val="006D7FDB"/>
    <w:rsid w:val="006E01FF"/>
    <w:rsid w:val="006E0867"/>
    <w:rsid w:val="006E0AE9"/>
    <w:rsid w:val="006E0D39"/>
    <w:rsid w:val="006E14F9"/>
    <w:rsid w:val="006E1678"/>
    <w:rsid w:val="006E1694"/>
    <w:rsid w:val="006E17A2"/>
    <w:rsid w:val="006E1985"/>
    <w:rsid w:val="006E1D60"/>
    <w:rsid w:val="006E1F97"/>
    <w:rsid w:val="006E2017"/>
    <w:rsid w:val="006E2075"/>
    <w:rsid w:val="006E234B"/>
    <w:rsid w:val="006E24F0"/>
    <w:rsid w:val="006E25B1"/>
    <w:rsid w:val="006E27FA"/>
    <w:rsid w:val="006E29EF"/>
    <w:rsid w:val="006E2DD0"/>
    <w:rsid w:val="006E3231"/>
    <w:rsid w:val="006E3260"/>
    <w:rsid w:val="006E334A"/>
    <w:rsid w:val="006E33D5"/>
    <w:rsid w:val="006E34FB"/>
    <w:rsid w:val="006E35AB"/>
    <w:rsid w:val="006E3A60"/>
    <w:rsid w:val="006E3A65"/>
    <w:rsid w:val="006E3C3E"/>
    <w:rsid w:val="006E3E9F"/>
    <w:rsid w:val="006E3FD7"/>
    <w:rsid w:val="006E4024"/>
    <w:rsid w:val="006E4027"/>
    <w:rsid w:val="006E4106"/>
    <w:rsid w:val="006E44A4"/>
    <w:rsid w:val="006E4520"/>
    <w:rsid w:val="006E4539"/>
    <w:rsid w:val="006E466F"/>
    <w:rsid w:val="006E490B"/>
    <w:rsid w:val="006E4B1C"/>
    <w:rsid w:val="006E4B5C"/>
    <w:rsid w:val="006E4B61"/>
    <w:rsid w:val="006E5013"/>
    <w:rsid w:val="006E5094"/>
    <w:rsid w:val="006E50CB"/>
    <w:rsid w:val="006E52E4"/>
    <w:rsid w:val="006E5602"/>
    <w:rsid w:val="006E568F"/>
    <w:rsid w:val="006E56DF"/>
    <w:rsid w:val="006E5873"/>
    <w:rsid w:val="006E5928"/>
    <w:rsid w:val="006E59A0"/>
    <w:rsid w:val="006E5AA3"/>
    <w:rsid w:val="006E5BF7"/>
    <w:rsid w:val="006E5DC1"/>
    <w:rsid w:val="006E5EE7"/>
    <w:rsid w:val="006E6065"/>
    <w:rsid w:val="006E629B"/>
    <w:rsid w:val="006E65D6"/>
    <w:rsid w:val="006E66B8"/>
    <w:rsid w:val="006E66D3"/>
    <w:rsid w:val="006E673A"/>
    <w:rsid w:val="006E68D3"/>
    <w:rsid w:val="006E6A3F"/>
    <w:rsid w:val="006E6D38"/>
    <w:rsid w:val="006E6EB3"/>
    <w:rsid w:val="006E6FBD"/>
    <w:rsid w:val="006E700C"/>
    <w:rsid w:val="006E70CA"/>
    <w:rsid w:val="006E70CC"/>
    <w:rsid w:val="006E7197"/>
    <w:rsid w:val="006E726F"/>
    <w:rsid w:val="006E7270"/>
    <w:rsid w:val="006E7327"/>
    <w:rsid w:val="006E73F5"/>
    <w:rsid w:val="006E760B"/>
    <w:rsid w:val="006E7BD0"/>
    <w:rsid w:val="006E7C85"/>
    <w:rsid w:val="006E7DAC"/>
    <w:rsid w:val="006F000F"/>
    <w:rsid w:val="006F0110"/>
    <w:rsid w:val="006F0449"/>
    <w:rsid w:val="006F04A7"/>
    <w:rsid w:val="006F05DF"/>
    <w:rsid w:val="006F0B26"/>
    <w:rsid w:val="006F0C97"/>
    <w:rsid w:val="006F0FFF"/>
    <w:rsid w:val="006F1595"/>
    <w:rsid w:val="006F1638"/>
    <w:rsid w:val="006F16E4"/>
    <w:rsid w:val="006F1FB4"/>
    <w:rsid w:val="006F2393"/>
    <w:rsid w:val="006F23CE"/>
    <w:rsid w:val="006F253C"/>
    <w:rsid w:val="006F274B"/>
    <w:rsid w:val="006F2899"/>
    <w:rsid w:val="006F2C18"/>
    <w:rsid w:val="006F2CB9"/>
    <w:rsid w:val="006F2D51"/>
    <w:rsid w:val="006F3167"/>
    <w:rsid w:val="006F3774"/>
    <w:rsid w:val="006F38A6"/>
    <w:rsid w:val="006F3A4A"/>
    <w:rsid w:val="006F3BEC"/>
    <w:rsid w:val="006F3E50"/>
    <w:rsid w:val="006F407B"/>
    <w:rsid w:val="006F4266"/>
    <w:rsid w:val="006F431F"/>
    <w:rsid w:val="006F43D1"/>
    <w:rsid w:val="006F455A"/>
    <w:rsid w:val="006F4574"/>
    <w:rsid w:val="006F4A32"/>
    <w:rsid w:val="006F4B67"/>
    <w:rsid w:val="006F4C1E"/>
    <w:rsid w:val="006F5044"/>
    <w:rsid w:val="006F53A3"/>
    <w:rsid w:val="006F53FD"/>
    <w:rsid w:val="006F55A5"/>
    <w:rsid w:val="006F55A8"/>
    <w:rsid w:val="006F5670"/>
    <w:rsid w:val="006F56B1"/>
    <w:rsid w:val="006F5824"/>
    <w:rsid w:val="006F594A"/>
    <w:rsid w:val="006F5D31"/>
    <w:rsid w:val="006F62FF"/>
    <w:rsid w:val="006F6576"/>
    <w:rsid w:val="006F6590"/>
    <w:rsid w:val="006F68F4"/>
    <w:rsid w:val="006F6B9D"/>
    <w:rsid w:val="006F6C31"/>
    <w:rsid w:val="006F6D26"/>
    <w:rsid w:val="006F6D4D"/>
    <w:rsid w:val="006F6F6C"/>
    <w:rsid w:val="006F7695"/>
    <w:rsid w:val="006F777E"/>
    <w:rsid w:val="006F77C3"/>
    <w:rsid w:val="006F78F7"/>
    <w:rsid w:val="006F7D6F"/>
    <w:rsid w:val="00700498"/>
    <w:rsid w:val="00700545"/>
    <w:rsid w:val="00700BCD"/>
    <w:rsid w:val="00700CB0"/>
    <w:rsid w:val="00700DF6"/>
    <w:rsid w:val="00700F57"/>
    <w:rsid w:val="007012F1"/>
    <w:rsid w:val="0070153F"/>
    <w:rsid w:val="007015C7"/>
    <w:rsid w:val="0070163D"/>
    <w:rsid w:val="00701E9D"/>
    <w:rsid w:val="0070260D"/>
    <w:rsid w:val="0070282C"/>
    <w:rsid w:val="00702AAF"/>
    <w:rsid w:val="00702AD8"/>
    <w:rsid w:val="00702FF1"/>
    <w:rsid w:val="00703282"/>
    <w:rsid w:val="007034D1"/>
    <w:rsid w:val="0070362B"/>
    <w:rsid w:val="00703A96"/>
    <w:rsid w:val="00703B4C"/>
    <w:rsid w:val="00703CA1"/>
    <w:rsid w:val="00703EBA"/>
    <w:rsid w:val="0070408C"/>
    <w:rsid w:val="00704163"/>
    <w:rsid w:val="007042A6"/>
    <w:rsid w:val="0070433F"/>
    <w:rsid w:val="0070450C"/>
    <w:rsid w:val="007045A7"/>
    <w:rsid w:val="00704753"/>
    <w:rsid w:val="00704847"/>
    <w:rsid w:val="007048AF"/>
    <w:rsid w:val="00704A7C"/>
    <w:rsid w:val="00704B98"/>
    <w:rsid w:val="00704B9A"/>
    <w:rsid w:val="00704D2B"/>
    <w:rsid w:val="00704D5E"/>
    <w:rsid w:val="00704F53"/>
    <w:rsid w:val="007052CF"/>
    <w:rsid w:val="00705510"/>
    <w:rsid w:val="00705797"/>
    <w:rsid w:val="00705951"/>
    <w:rsid w:val="0070599B"/>
    <w:rsid w:val="00706176"/>
    <w:rsid w:val="007061F0"/>
    <w:rsid w:val="007067D9"/>
    <w:rsid w:val="00706DC3"/>
    <w:rsid w:val="0070708B"/>
    <w:rsid w:val="007070F9"/>
    <w:rsid w:val="0070724D"/>
    <w:rsid w:val="00707466"/>
    <w:rsid w:val="007076D5"/>
    <w:rsid w:val="0070789C"/>
    <w:rsid w:val="00707F24"/>
    <w:rsid w:val="00707F8A"/>
    <w:rsid w:val="00710076"/>
    <w:rsid w:val="0071043C"/>
    <w:rsid w:val="00710532"/>
    <w:rsid w:val="00710684"/>
    <w:rsid w:val="00710D4C"/>
    <w:rsid w:val="00710E63"/>
    <w:rsid w:val="00711337"/>
    <w:rsid w:val="007115E2"/>
    <w:rsid w:val="0071174A"/>
    <w:rsid w:val="00711BC9"/>
    <w:rsid w:val="00711BDD"/>
    <w:rsid w:val="00712013"/>
    <w:rsid w:val="00712503"/>
    <w:rsid w:val="0071254A"/>
    <w:rsid w:val="00712708"/>
    <w:rsid w:val="00712A7A"/>
    <w:rsid w:val="00712B9F"/>
    <w:rsid w:val="00712CD8"/>
    <w:rsid w:val="00712E7B"/>
    <w:rsid w:val="00712E9D"/>
    <w:rsid w:val="00712ED6"/>
    <w:rsid w:val="00713023"/>
    <w:rsid w:val="0071306E"/>
    <w:rsid w:val="007132D8"/>
    <w:rsid w:val="0071357D"/>
    <w:rsid w:val="007136FB"/>
    <w:rsid w:val="0071373B"/>
    <w:rsid w:val="0071388B"/>
    <w:rsid w:val="0071392C"/>
    <w:rsid w:val="007139A7"/>
    <w:rsid w:val="00713DD6"/>
    <w:rsid w:val="00714605"/>
    <w:rsid w:val="007146A2"/>
    <w:rsid w:val="00714BC7"/>
    <w:rsid w:val="00714C9F"/>
    <w:rsid w:val="00714D54"/>
    <w:rsid w:val="00714D55"/>
    <w:rsid w:val="00714DA8"/>
    <w:rsid w:val="0071523F"/>
    <w:rsid w:val="00715398"/>
    <w:rsid w:val="00715429"/>
    <w:rsid w:val="00715940"/>
    <w:rsid w:val="00715981"/>
    <w:rsid w:val="00715B88"/>
    <w:rsid w:val="00715C73"/>
    <w:rsid w:val="00715D2C"/>
    <w:rsid w:val="00715DEB"/>
    <w:rsid w:val="00715E23"/>
    <w:rsid w:val="00715FBE"/>
    <w:rsid w:val="0071600A"/>
    <w:rsid w:val="0071623F"/>
    <w:rsid w:val="007163BB"/>
    <w:rsid w:val="00716771"/>
    <w:rsid w:val="007167FD"/>
    <w:rsid w:val="0071697B"/>
    <w:rsid w:val="00716D03"/>
    <w:rsid w:val="0071717C"/>
    <w:rsid w:val="0071728E"/>
    <w:rsid w:val="007174A0"/>
    <w:rsid w:val="00717850"/>
    <w:rsid w:val="00717DB8"/>
    <w:rsid w:val="00717FAD"/>
    <w:rsid w:val="00720937"/>
    <w:rsid w:val="00720BAF"/>
    <w:rsid w:val="00720C4A"/>
    <w:rsid w:val="00720C9B"/>
    <w:rsid w:val="00720F18"/>
    <w:rsid w:val="00720F2D"/>
    <w:rsid w:val="00721169"/>
    <w:rsid w:val="007211E8"/>
    <w:rsid w:val="0072131A"/>
    <w:rsid w:val="0072133F"/>
    <w:rsid w:val="00721518"/>
    <w:rsid w:val="0072153C"/>
    <w:rsid w:val="0072165E"/>
    <w:rsid w:val="007217B5"/>
    <w:rsid w:val="007222EF"/>
    <w:rsid w:val="0072252A"/>
    <w:rsid w:val="007229A6"/>
    <w:rsid w:val="00722B6C"/>
    <w:rsid w:val="00722EB8"/>
    <w:rsid w:val="00722F54"/>
    <w:rsid w:val="00722FAD"/>
    <w:rsid w:val="0072352A"/>
    <w:rsid w:val="007235D0"/>
    <w:rsid w:val="0072361F"/>
    <w:rsid w:val="007237BC"/>
    <w:rsid w:val="00723A3A"/>
    <w:rsid w:val="00723AE2"/>
    <w:rsid w:val="00723C11"/>
    <w:rsid w:val="00723F4A"/>
    <w:rsid w:val="00724131"/>
    <w:rsid w:val="0072443D"/>
    <w:rsid w:val="007247ED"/>
    <w:rsid w:val="00724AD7"/>
    <w:rsid w:val="00724BA7"/>
    <w:rsid w:val="00724C3C"/>
    <w:rsid w:val="00725065"/>
    <w:rsid w:val="00725265"/>
    <w:rsid w:val="00725344"/>
    <w:rsid w:val="007254B1"/>
    <w:rsid w:val="007254C5"/>
    <w:rsid w:val="00725710"/>
    <w:rsid w:val="00725784"/>
    <w:rsid w:val="00725788"/>
    <w:rsid w:val="00725A03"/>
    <w:rsid w:val="00725F7A"/>
    <w:rsid w:val="00725F7B"/>
    <w:rsid w:val="007263A5"/>
    <w:rsid w:val="00726691"/>
    <w:rsid w:val="00726846"/>
    <w:rsid w:val="0072694E"/>
    <w:rsid w:val="0072698E"/>
    <w:rsid w:val="00726A3C"/>
    <w:rsid w:val="00726E80"/>
    <w:rsid w:val="00726ED9"/>
    <w:rsid w:val="0072707F"/>
    <w:rsid w:val="00727152"/>
    <w:rsid w:val="0072715B"/>
    <w:rsid w:val="00727D84"/>
    <w:rsid w:val="00727FED"/>
    <w:rsid w:val="00730250"/>
    <w:rsid w:val="007303BA"/>
    <w:rsid w:val="00730814"/>
    <w:rsid w:val="00730A2E"/>
    <w:rsid w:val="00730DC0"/>
    <w:rsid w:val="0073130E"/>
    <w:rsid w:val="00731466"/>
    <w:rsid w:val="0073154F"/>
    <w:rsid w:val="00731590"/>
    <w:rsid w:val="007315A4"/>
    <w:rsid w:val="007315F8"/>
    <w:rsid w:val="007318F3"/>
    <w:rsid w:val="00731F4F"/>
    <w:rsid w:val="007321EF"/>
    <w:rsid w:val="00732310"/>
    <w:rsid w:val="007328A5"/>
    <w:rsid w:val="00732C73"/>
    <w:rsid w:val="00732EE5"/>
    <w:rsid w:val="00732F37"/>
    <w:rsid w:val="007330E8"/>
    <w:rsid w:val="0073310D"/>
    <w:rsid w:val="0073315B"/>
    <w:rsid w:val="00733531"/>
    <w:rsid w:val="00733596"/>
    <w:rsid w:val="0073367F"/>
    <w:rsid w:val="0073388A"/>
    <w:rsid w:val="00733971"/>
    <w:rsid w:val="0073399A"/>
    <w:rsid w:val="00733AE7"/>
    <w:rsid w:val="00733E17"/>
    <w:rsid w:val="00733F76"/>
    <w:rsid w:val="0073417C"/>
    <w:rsid w:val="007341EA"/>
    <w:rsid w:val="007341FA"/>
    <w:rsid w:val="00734AE3"/>
    <w:rsid w:val="00734C9B"/>
    <w:rsid w:val="00734F0D"/>
    <w:rsid w:val="00734F15"/>
    <w:rsid w:val="00735265"/>
    <w:rsid w:val="007353C9"/>
    <w:rsid w:val="0073598E"/>
    <w:rsid w:val="00735C04"/>
    <w:rsid w:val="00735C38"/>
    <w:rsid w:val="00735CB8"/>
    <w:rsid w:val="00735CE8"/>
    <w:rsid w:val="00735DCC"/>
    <w:rsid w:val="00735F2D"/>
    <w:rsid w:val="00736197"/>
    <w:rsid w:val="0073665F"/>
    <w:rsid w:val="00736770"/>
    <w:rsid w:val="0073686C"/>
    <w:rsid w:val="00736925"/>
    <w:rsid w:val="00736968"/>
    <w:rsid w:val="00736A4A"/>
    <w:rsid w:val="00736ADF"/>
    <w:rsid w:val="00737172"/>
    <w:rsid w:val="00737250"/>
    <w:rsid w:val="007372EB"/>
    <w:rsid w:val="00737361"/>
    <w:rsid w:val="00737400"/>
    <w:rsid w:val="0073779B"/>
    <w:rsid w:val="007377C5"/>
    <w:rsid w:val="00737891"/>
    <w:rsid w:val="00737901"/>
    <w:rsid w:val="0073799D"/>
    <w:rsid w:val="00737B99"/>
    <w:rsid w:val="00737BD4"/>
    <w:rsid w:val="00737D50"/>
    <w:rsid w:val="00737F92"/>
    <w:rsid w:val="0074000C"/>
    <w:rsid w:val="0074004E"/>
    <w:rsid w:val="007400DE"/>
    <w:rsid w:val="007405B9"/>
    <w:rsid w:val="0074065D"/>
    <w:rsid w:val="0074087E"/>
    <w:rsid w:val="007409AB"/>
    <w:rsid w:val="00740A31"/>
    <w:rsid w:val="00740A5B"/>
    <w:rsid w:val="00740F42"/>
    <w:rsid w:val="007411AF"/>
    <w:rsid w:val="00741521"/>
    <w:rsid w:val="00741669"/>
    <w:rsid w:val="007416AD"/>
    <w:rsid w:val="00741E57"/>
    <w:rsid w:val="007422B5"/>
    <w:rsid w:val="007423C7"/>
    <w:rsid w:val="007428C6"/>
    <w:rsid w:val="00742B31"/>
    <w:rsid w:val="00742B6C"/>
    <w:rsid w:val="00742F20"/>
    <w:rsid w:val="00743150"/>
    <w:rsid w:val="0074331D"/>
    <w:rsid w:val="007433C9"/>
    <w:rsid w:val="00743401"/>
    <w:rsid w:val="00743490"/>
    <w:rsid w:val="007434C6"/>
    <w:rsid w:val="00743525"/>
    <w:rsid w:val="00743864"/>
    <w:rsid w:val="00743D08"/>
    <w:rsid w:val="00743DBB"/>
    <w:rsid w:val="00743E34"/>
    <w:rsid w:val="00743E8B"/>
    <w:rsid w:val="00744851"/>
    <w:rsid w:val="00744923"/>
    <w:rsid w:val="00744B0B"/>
    <w:rsid w:val="00744D99"/>
    <w:rsid w:val="00744E11"/>
    <w:rsid w:val="00745000"/>
    <w:rsid w:val="00745097"/>
    <w:rsid w:val="007450A5"/>
    <w:rsid w:val="007454CC"/>
    <w:rsid w:val="0074583A"/>
    <w:rsid w:val="007459D0"/>
    <w:rsid w:val="00745D70"/>
    <w:rsid w:val="00745D88"/>
    <w:rsid w:val="00745E88"/>
    <w:rsid w:val="00745F1D"/>
    <w:rsid w:val="00745F6D"/>
    <w:rsid w:val="007466BD"/>
    <w:rsid w:val="007467AF"/>
    <w:rsid w:val="00746834"/>
    <w:rsid w:val="00746C05"/>
    <w:rsid w:val="00746E28"/>
    <w:rsid w:val="00746E9A"/>
    <w:rsid w:val="007470C9"/>
    <w:rsid w:val="00747172"/>
    <w:rsid w:val="00747802"/>
    <w:rsid w:val="007478DC"/>
    <w:rsid w:val="00747A78"/>
    <w:rsid w:val="00747B2A"/>
    <w:rsid w:val="00747B7D"/>
    <w:rsid w:val="00747BF5"/>
    <w:rsid w:val="00747F63"/>
    <w:rsid w:val="0075007E"/>
    <w:rsid w:val="0075043E"/>
    <w:rsid w:val="007504B4"/>
    <w:rsid w:val="00750736"/>
    <w:rsid w:val="007508DD"/>
    <w:rsid w:val="00750BCE"/>
    <w:rsid w:val="0075189E"/>
    <w:rsid w:val="007518F1"/>
    <w:rsid w:val="0075196D"/>
    <w:rsid w:val="00751ADB"/>
    <w:rsid w:val="00751CE2"/>
    <w:rsid w:val="00751DC8"/>
    <w:rsid w:val="0075231D"/>
    <w:rsid w:val="00752A8A"/>
    <w:rsid w:val="00752C1D"/>
    <w:rsid w:val="00752DE1"/>
    <w:rsid w:val="007530D9"/>
    <w:rsid w:val="00753103"/>
    <w:rsid w:val="0075393F"/>
    <w:rsid w:val="00753DF3"/>
    <w:rsid w:val="00754240"/>
    <w:rsid w:val="00754890"/>
    <w:rsid w:val="0075493E"/>
    <w:rsid w:val="007549E1"/>
    <w:rsid w:val="007551D9"/>
    <w:rsid w:val="00755410"/>
    <w:rsid w:val="00755440"/>
    <w:rsid w:val="00755B1C"/>
    <w:rsid w:val="00755D6E"/>
    <w:rsid w:val="00755DA5"/>
    <w:rsid w:val="00755E8D"/>
    <w:rsid w:val="007560AC"/>
    <w:rsid w:val="00756382"/>
    <w:rsid w:val="007563DF"/>
    <w:rsid w:val="00756C06"/>
    <w:rsid w:val="00756C96"/>
    <w:rsid w:val="00756C9B"/>
    <w:rsid w:val="00756CE8"/>
    <w:rsid w:val="00757084"/>
    <w:rsid w:val="00757179"/>
    <w:rsid w:val="007571C4"/>
    <w:rsid w:val="00757745"/>
    <w:rsid w:val="00757882"/>
    <w:rsid w:val="00757D41"/>
    <w:rsid w:val="00757E98"/>
    <w:rsid w:val="00757E9B"/>
    <w:rsid w:val="0076081C"/>
    <w:rsid w:val="0076092A"/>
    <w:rsid w:val="0076094F"/>
    <w:rsid w:val="00760CE5"/>
    <w:rsid w:val="00760E25"/>
    <w:rsid w:val="00760F70"/>
    <w:rsid w:val="00761092"/>
    <w:rsid w:val="007610B1"/>
    <w:rsid w:val="00761258"/>
    <w:rsid w:val="007612F9"/>
    <w:rsid w:val="0076144D"/>
    <w:rsid w:val="0076158B"/>
    <w:rsid w:val="00761706"/>
    <w:rsid w:val="00761719"/>
    <w:rsid w:val="0076181E"/>
    <w:rsid w:val="00761A3A"/>
    <w:rsid w:val="00761C32"/>
    <w:rsid w:val="00761D54"/>
    <w:rsid w:val="00761E6E"/>
    <w:rsid w:val="00761EC0"/>
    <w:rsid w:val="00761F1D"/>
    <w:rsid w:val="007621E0"/>
    <w:rsid w:val="00762342"/>
    <w:rsid w:val="007626A0"/>
    <w:rsid w:val="007627EA"/>
    <w:rsid w:val="00762A2D"/>
    <w:rsid w:val="00762AC2"/>
    <w:rsid w:val="00762C1C"/>
    <w:rsid w:val="00762C1D"/>
    <w:rsid w:val="00762D26"/>
    <w:rsid w:val="00762E80"/>
    <w:rsid w:val="0076334A"/>
    <w:rsid w:val="0076345C"/>
    <w:rsid w:val="00763583"/>
    <w:rsid w:val="007635C3"/>
    <w:rsid w:val="0076363F"/>
    <w:rsid w:val="0076388A"/>
    <w:rsid w:val="00763A58"/>
    <w:rsid w:val="00763A7B"/>
    <w:rsid w:val="00763AE3"/>
    <w:rsid w:val="00763C69"/>
    <w:rsid w:val="00764640"/>
    <w:rsid w:val="00764C1A"/>
    <w:rsid w:val="00764D93"/>
    <w:rsid w:val="00765293"/>
    <w:rsid w:val="007652CA"/>
    <w:rsid w:val="007652D2"/>
    <w:rsid w:val="007653F6"/>
    <w:rsid w:val="00765490"/>
    <w:rsid w:val="00765748"/>
    <w:rsid w:val="00765772"/>
    <w:rsid w:val="0076580E"/>
    <w:rsid w:val="00765AF1"/>
    <w:rsid w:val="00765BBD"/>
    <w:rsid w:val="00765CDC"/>
    <w:rsid w:val="00765D49"/>
    <w:rsid w:val="0076608E"/>
    <w:rsid w:val="007660BE"/>
    <w:rsid w:val="00766156"/>
    <w:rsid w:val="007663C0"/>
    <w:rsid w:val="00766877"/>
    <w:rsid w:val="007668D8"/>
    <w:rsid w:val="00766908"/>
    <w:rsid w:val="007669BF"/>
    <w:rsid w:val="007669FD"/>
    <w:rsid w:val="00766F5C"/>
    <w:rsid w:val="00766FCC"/>
    <w:rsid w:val="007670F4"/>
    <w:rsid w:val="00767B8A"/>
    <w:rsid w:val="00767E1D"/>
    <w:rsid w:val="00767F1C"/>
    <w:rsid w:val="007702FB"/>
    <w:rsid w:val="0077036B"/>
    <w:rsid w:val="00770649"/>
    <w:rsid w:val="007709E7"/>
    <w:rsid w:val="00770A40"/>
    <w:rsid w:val="00770B1F"/>
    <w:rsid w:val="00770B65"/>
    <w:rsid w:val="00770BAD"/>
    <w:rsid w:val="00770CD8"/>
    <w:rsid w:val="00770E74"/>
    <w:rsid w:val="00770FB8"/>
    <w:rsid w:val="00771430"/>
    <w:rsid w:val="007719D8"/>
    <w:rsid w:val="007719F0"/>
    <w:rsid w:val="00771B4F"/>
    <w:rsid w:val="00771BDE"/>
    <w:rsid w:val="00771E4C"/>
    <w:rsid w:val="007720EA"/>
    <w:rsid w:val="00772197"/>
    <w:rsid w:val="007721FD"/>
    <w:rsid w:val="00772321"/>
    <w:rsid w:val="0077249E"/>
    <w:rsid w:val="007725F2"/>
    <w:rsid w:val="00772760"/>
    <w:rsid w:val="00772AFE"/>
    <w:rsid w:val="00772B28"/>
    <w:rsid w:val="00772C12"/>
    <w:rsid w:val="00772CAA"/>
    <w:rsid w:val="00772D84"/>
    <w:rsid w:val="00772E43"/>
    <w:rsid w:val="00773102"/>
    <w:rsid w:val="0077319B"/>
    <w:rsid w:val="007731B3"/>
    <w:rsid w:val="007736C1"/>
    <w:rsid w:val="00773B3C"/>
    <w:rsid w:val="00773F94"/>
    <w:rsid w:val="0077412A"/>
    <w:rsid w:val="007741A2"/>
    <w:rsid w:val="0077422C"/>
    <w:rsid w:val="0077428C"/>
    <w:rsid w:val="0077450C"/>
    <w:rsid w:val="007746E1"/>
    <w:rsid w:val="00775030"/>
    <w:rsid w:val="00775112"/>
    <w:rsid w:val="00775414"/>
    <w:rsid w:val="00775A0E"/>
    <w:rsid w:val="00775CD2"/>
    <w:rsid w:val="00775D36"/>
    <w:rsid w:val="00775D80"/>
    <w:rsid w:val="00776022"/>
    <w:rsid w:val="00776179"/>
    <w:rsid w:val="0077628D"/>
    <w:rsid w:val="00776490"/>
    <w:rsid w:val="007764F4"/>
    <w:rsid w:val="0077659E"/>
    <w:rsid w:val="007765B6"/>
    <w:rsid w:val="007765EC"/>
    <w:rsid w:val="007765F6"/>
    <w:rsid w:val="007766F7"/>
    <w:rsid w:val="007768B9"/>
    <w:rsid w:val="007768D3"/>
    <w:rsid w:val="00776B7B"/>
    <w:rsid w:val="00776D83"/>
    <w:rsid w:val="00776E78"/>
    <w:rsid w:val="00777038"/>
    <w:rsid w:val="007770A4"/>
    <w:rsid w:val="0077738C"/>
    <w:rsid w:val="0077748A"/>
    <w:rsid w:val="007774A4"/>
    <w:rsid w:val="00777B4B"/>
    <w:rsid w:val="00777BAB"/>
    <w:rsid w:val="00777C28"/>
    <w:rsid w:val="00777C6C"/>
    <w:rsid w:val="00777DAA"/>
    <w:rsid w:val="00777DE8"/>
    <w:rsid w:val="00777E40"/>
    <w:rsid w:val="0078015E"/>
    <w:rsid w:val="00780387"/>
    <w:rsid w:val="007803D9"/>
    <w:rsid w:val="007807DE"/>
    <w:rsid w:val="007807E1"/>
    <w:rsid w:val="0078084A"/>
    <w:rsid w:val="00780A3D"/>
    <w:rsid w:val="00780A8D"/>
    <w:rsid w:val="00780D20"/>
    <w:rsid w:val="00780FCC"/>
    <w:rsid w:val="0078129F"/>
    <w:rsid w:val="0078131A"/>
    <w:rsid w:val="00781337"/>
    <w:rsid w:val="00781385"/>
    <w:rsid w:val="007813C8"/>
    <w:rsid w:val="007813EB"/>
    <w:rsid w:val="00781CDA"/>
    <w:rsid w:val="00781DE7"/>
    <w:rsid w:val="00781E72"/>
    <w:rsid w:val="007821D9"/>
    <w:rsid w:val="0078289C"/>
    <w:rsid w:val="007829D0"/>
    <w:rsid w:val="00782A80"/>
    <w:rsid w:val="00782AA6"/>
    <w:rsid w:val="00782B72"/>
    <w:rsid w:val="00782C04"/>
    <w:rsid w:val="00782C2F"/>
    <w:rsid w:val="00782ED4"/>
    <w:rsid w:val="0078380F"/>
    <w:rsid w:val="007838D4"/>
    <w:rsid w:val="007839E4"/>
    <w:rsid w:val="00783A82"/>
    <w:rsid w:val="00783B46"/>
    <w:rsid w:val="00783EF1"/>
    <w:rsid w:val="00783EFC"/>
    <w:rsid w:val="007841DE"/>
    <w:rsid w:val="007842A0"/>
    <w:rsid w:val="00784354"/>
    <w:rsid w:val="0078468F"/>
    <w:rsid w:val="00784C18"/>
    <w:rsid w:val="00784ECD"/>
    <w:rsid w:val="00785038"/>
    <w:rsid w:val="0078511B"/>
    <w:rsid w:val="0078526D"/>
    <w:rsid w:val="00785643"/>
    <w:rsid w:val="00785710"/>
    <w:rsid w:val="00786017"/>
    <w:rsid w:val="007860C5"/>
    <w:rsid w:val="00786183"/>
    <w:rsid w:val="0078664D"/>
    <w:rsid w:val="00786652"/>
    <w:rsid w:val="00786741"/>
    <w:rsid w:val="00786896"/>
    <w:rsid w:val="007868C8"/>
    <w:rsid w:val="00786C32"/>
    <w:rsid w:val="00787185"/>
    <w:rsid w:val="00787383"/>
    <w:rsid w:val="00787490"/>
    <w:rsid w:val="007877A0"/>
    <w:rsid w:val="007877BC"/>
    <w:rsid w:val="00787922"/>
    <w:rsid w:val="007879B8"/>
    <w:rsid w:val="00787B4C"/>
    <w:rsid w:val="00787B87"/>
    <w:rsid w:val="00787DE1"/>
    <w:rsid w:val="00787E54"/>
    <w:rsid w:val="00787F08"/>
    <w:rsid w:val="007904FF"/>
    <w:rsid w:val="00790778"/>
    <w:rsid w:val="00790793"/>
    <w:rsid w:val="00791171"/>
    <w:rsid w:val="00791326"/>
    <w:rsid w:val="00791471"/>
    <w:rsid w:val="007914F2"/>
    <w:rsid w:val="00791567"/>
    <w:rsid w:val="007916EB"/>
    <w:rsid w:val="0079188A"/>
    <w:rsid w:val="00791BEF"/>
    <w:rsid w:val="00791D3D"/>
    <w:rsid w:val="00792074"/>
    <w:rsid w:val="0079229F"/>
    <w:rsid w:val="0079249D"/>
    <w:rsid w:val="007926C6"/>
    <w:rsid w:val="00792861"/>
    <w:rsid w:val="0079290D"/>
    <w:rsid w:val="00792A38"/>
    <w:rsid w:val="00792A95"/>
    <w:rsid w:val="00792BB9"/>
    <w:rsid w:val="00792C25"/>
    <w:rsid w:val="00792E8C"/>
    <w:rsid w:val="00793444"/>
    <w:rsid w:val="007935BE"/>
    <w:rsid w:val="0079395B"/>
    <w:rsid w:val="00793BA6"/>
    <w:rsid w:val="00793BD4"/>
    <w:rsid w:val="00793FF7"/>
    <w:rsid w:val="00794103"/>
    <w:rsid w:val="00794196"/>
    <w:rsid w:val="007942E9"/>
    <w:rsid w:val="00794338"/>
    <w:rsid w:val="007944F4"/>
    <w:rsid w:val="007946C0"/>
    <w:rsid w:val="00794772"/>
    <w:rsid w:val="00794C09"/>
    <w:rsid w:val="00795016"/>
    <w:rsid w:val="00795194"/>
    <w:rsid w:val="0079533F"/>
    <w:rsid w:val="00795562"/>
    <w:rsid w:val="00795679"/>
    <w:rsid w:val="0079569F"/>
    <w:rsid w:val="00795B20"/>
    <w:rsid w:val="00795E79"/>
    <w:rsid w:val="00796023"/>
    <w:rsid w:val="00796073"/>
    <w:rsid w:val="0079613B"/>
    <w:rsid w:val="00796489"/>
    <w:rsid w:val="00796626"/>
    <w:rsid w:val="0079668A"/>
    <w:rsid w:val="0079669B"/>
    <w:rsid w:val="007966A4"/>
    <w:rsid w:val="00796E24"/>
    <w:rsid w:val="007971C2"/>
    <w:rsid w:val="007973F9"/>
    <w:rsid w:val="007974EA"/>
    <w:rsid w:val="00797626"/>
    <w:rsid w:val="00797775"/>
    <w:rsid w:val="007977F6"/>
    <w:rsid w:val="00797820"/>
    <w:rsid w:val="007979AA"/>
    <w:rsid w:val="00797B20"/>
    <w:rsid w:val="00797B3F"/>
    <w:rsid w:val="00797B85"/>
    <w:rsid w:val="00797BE0"/>
    <w:rsid w:val="00797BFE"/>
    <w:rsid w:val="00797C4E"/>
    <w:rsid w:val="00797C85"/>
    <w:rsid w:val="007A01FB"/>
    <w:rsid w:val="007A051E"/>
    <w:rsid w:val="007A0565"/>
    <w:rsid w:val="007A0875"/>
    <w:rsid w:val="007A091C"/>
    <w:rsid w:val="007A0A7B"/>
    <w:rsid w:val="007A0B8F"/>
    <w:rsid w:val="007A0D03"/>
    <w:rsid w:val="007A1072"/>
    <w:rsid w:val="007A10E0"/>
    <w:rsid w:val="007A149F"/>
    <w:rsid w:val="007A1549"/>
    <w:rsid w:val="007A1558"/>
    <w:rsid w:val="007A15C6"/>
    <w:rsid w:val="007A17F9"/>
    <w:rsid w:val="007A1815"/>
    <w:rsid w:val="007A18DA"/>
    <w:rsid w:val="007A19EE"/>
    <w:rsid w:val="007A1F02"/>
    <w:rsid w:val="007A2182"/>
    <w:rsid w:val="007A223E"/>
    <w:rsid w:val="007A2287"/>
    <w:rsid w:val="007A2374"/>
    <w:rsid w:val="007A238D"/>
    <w:rsid w:val="007A24CA"/>
    <w:rsid w:val="007A24F2"/>
    <w:rsid w:val="007A2618"/>
    <w:rsid w:val="007A2B08"/>
    <w:rsid w:val="007A2B56"/>
    <w:rsid w:val="007A2CD4"/>
    <w:rsid w:val="007A2ED4"/>
    <w:rsid w:val="007A2FA8"/>
    <w:rsid w:val="007A310C"/>
    <w:rsid w:val="007A3530"/>
    <w:rsid w:val="007A35D3"/>
    <w:rsid w:val="007A3FAE"/>
    <w:rsid w:val="007A425E"/>
    <w:rsid w:val="007A437B"/>
    <w:rsid w:val="007A46F3"/>
    <w:rsid w:val="007A4886"/>
    <w:rsid w:val="007A4C62"/>
    <w:rsid w:val="007A4D8C"/>
    <w:rsid w:val="007A4F96"/>
    <w:rsid w:val="007A4FAF"/>
    <w:rsid w:val="007A50A1"/>
    <w:rsid w:val="007A518C"/>
    <w:rsid w:val="007A530F"/>
    <w:rsid w:val="007A544E"/>
    <w:rsid w:val="007A5472"/>
    <w:rsid w:val="007A5821"/>
    <w:rsid w:val="007A5B01"/>
    <w:rsid w:val="007A6097"/>
    <w:rsid w:val="007A61C4"/>
    <w:rsid w:val="007A6255"/>
    <w:rsid w:val="007A640E"/>
    <w:rsid w:val="007A64BB"/>
    <w:rsid w:val="007A6500"/>
    <w:rsid w:val="007A6523"/>
    <w:rsid w:val="007A652A"/>
    <w:rsid w:val="007A6687"/>
    <w:rsid w:val="007A6911"/>
    <w:rsid w:val="007A692A"/>
    <w:rsid w:val="007A69DF"/>
    <w:rsid w:val="007A6A8C"/>
    <w:rsid w:val="007A6EC5"/>
    <w:rsid w:val="007A6FF3"/>
    <w:rsid w:val="007A7072"/>
    <w:rsid w:val="007A7E20"/>
    <w:rsid w:val="007A7EC2"/>
    <w:rsid w:val="007B0175"/>
    <w:rsid w:val="007B0370"/>
    <w:rsid w:val="007B0685"/>
    <w:rsid w:val="007B08BD"/>
    <w:rsid w:val="007B0909"/>
    <w:rsid w:val="007B0D2C"/>
    <w:rsid w:val="007B0F28"/>
    <w:rsid w:val="007B104E"/>
    <w:rsid w:val="007B12C5"/>
    <w:rsid w:val="007B15CE"/>
    <w:rsid w:val="007B18AC"/>
    <w:rsid w:val="007B194D"/>
    <w:rsid w:val="007B1A7D"/>
    <w:rsid w:val="007B1AF8"/>
    <w:rsid w:val="007B1C2E"/>
    <w:rsid w:val="007B1FFA"/>
    <w:rsid w:val="007B2464"/>
    <w:rsid w:val="007B2632"/>
    <w:rsid w:val="007B28EA"/>
    <w:rsid w:val="007B2A05"/>
    <w:rsid w:val="007B2AA8"/>
    <w:rsid w:val="007B2B71"/>
    <w:rsid w:val="007B2BEE"/>
    <w:rsid w:val="007B2C4A"/>
    <w:rsid w:val="007B2FCD"/>
    <w:rsid w:val="007B3018"/>
    <w:rsid w:val="007B305D"/>
    <w:rsid w:val="007B311C"/>
    <w:rsid w:val="007B3212"/>
    <w:rsid w:val="007B3243"/>
    <w:rsid w:val="007B3359"/>
    <w:rsid w:val="007B33CE"/>
    <w:rsid w:val="007B362E"/>
    <w:rsid w:val="007B36A4"/>
    <w:rsid w:val="007B3A4A"/>
    <w:rsid w:val="007B3ACB"/>
    <w:rsid w:val="007B3CEB"/>
    <w:rsid w:val="007B3D37"/>
    <w:rsid w:val="007B3F10"/>
    <w:rsid w:val="007B445B"/>
    <w:rsid w:val="007B4A1F"/>
    <w:rsid w:val="007B4D05"/>
    <w:rsid w:val="007B4D81"/>
    <w:rsid w:val="007B5532"/>
    <w:rsid w:val="007B5884"/>
    <w:rsid w:val="007B5CBC"/>
    <w:rsid w:val="007B5D4E"/>
    <w:rsid w:val="007B5E0A"/>
    <w:rsid w:val="007B5E7A"/>
    <w:rsid w:val="007B5F1F"/>
    <w:rsid w:val="007B5F25"/>
    <w:rsid w:val="007B5F8C"/>
    <w:rsid w:val="007B6107"/>
    <w:rsid w:val="007B6206"/>
    <w:rsid w:val="007B633D"/>
    <w:rsid w:val="007B6454"/>
    <w:rsid w:val="007B647B"/>
    <w:rsid w:val="007B683A"/>
    <w:rsid w:val="007B6D57"/>
    <w:rsid w:val="007B6DF3"/>
    <w:rsid w:val="007B708A"/>
    <w:rsid w:val="007B709E"/>
    <w:rsid w:val="007B70AD"/>
    <w:rsid w:val="007B7308"/>
    <w:rsid w:val="007B734D"/>
    <w:rsid w:val="007B75A4"/>
    <w:rsid w:val="007B7750"/>
    <w:rsid w:val="007B777C"/>
    <w:rsid w:val="007B7995"/>
    <w:rsid w:val="007B7A2F"/>
    <w:rsid w:val="007B7A3A"/>
    <w:rsid w:val="007B7B42"/>
    <w:rsid w:val="007C02A7"/>
    <w:rsid w:val="007C03A3"/>
    <w:rsid w:val="007C050D"/>
    <w:rsid w:val="007C094D"/>
    <w:rsid w:val="007C0B57"/>
    <w:rsid w:val="007C0BFC"/>
    <w:rsid w:val="007C0CB8"/>
    <w:rsid w:val="007C0CC9"/>
    <w:rsid w:val="007C0E31"/>
    <w:rsid w:val="007C0E32"/>
    <w:rsid w:val="007C0EB5"/>
    <w:rsid w:val="007C10DB"/>
    <w:rsid w:val="007C1538"/>
    <w:rsid w:val="007C1844"/>
    <w:rsid w:val="007C1B25"/>
    <w:rsid w:val="007C1BD1"/>
    <w:rsid w:val="007C1C41"/>
    <w:rsid w:val="007C1ED6"/>
    <w:rsid w:val="007C1F08"/>
    <w:rsid w:val="007C2538"/>
    <w:rsid w:val="007C2548"/>
    <w:rsid w:val="007C2A06"/>
    <w:rsid w:val="007C2A7C"/>
    <w:rsid w:val="007C2B7B"/>
    <w:rsid w:val="007C2DF5"/>
    <w:rsid w:val="007C2E73"/>
    <w:rsid w:val="007C2F46"/>
    <w:rsid w:val="007C3237"/>
    <w:rsid w:val="007C35DC"/>
    <w:rsid w:val="007C369D"/>
    <w:rsid w:val="007C3998"/>
    <w:rsid w:val="007C3A45"/>
    <w:rsid w:val="007C3B67"/>
    <w:rsid w:val="007C414B"/>
    <w:rsid w:val="007C42A2"/>
    <w:rsid w:val="007C42C3"/>
    <w:rsid w:val="007C4591"/>
    <w:rsid w:val="007C461B"/>
    <w:rsid w:val="007C4706"/>
    <w:rsid w:val="007C477C"/>
    <w:rsid w:val="007C4A52"/>
    <w:rsid w:val="007C4BD9"/>
    <w:rsid w:val="007C4C1D"/>
    <w:rsid w:val="007C5550"/>
    <w:rsid w:val="007C58E0"/>
    <w:rsid w:val="007C59A1"/>
    <w:rsid w:val="007C59FE"/>
    <w:rsid w:val="007C5A46"/>
    <w:rsid w:val="007C5BD1"/>
    <w:rsid w:val="007C6185"/>
    <w:rsid w:val="007C6226"/>
    <w:rsid w:val="007C6259"/>
    <w:rsid w:val="007C6696"/>
    <w:rsid w:val="007C7120"/>
    <w:rsid w:val="007C7133"/>
    <w:rsid w:val="007C715F"/>
    <w:rsid w:val="007C7243"/>
    <w:rsid w:val="007C72A6"/>
    <w:rsid w:val="007C744E"/>
    <w:rsid w:val="007C7A00"/>
    <w:rsid w:val="007C7B96"/>
    <w:rsid w:val="007C7C21"/>
    <w:rsid w:val="007C7E8C"/>
    <w:rsid w:val="007D0012"/>
    <w:rsid w:val="007D01EB"/>
    <w:rsid w:val="007D07FB"/>
    <w:rsid w:val="007D0807"/>
    <w:rsid w:val="007D08BD"/>
    <w:rsid w:val="007D0B4B"/>
    <w:rsid w:val="007D0CDF"/>
    <w:rsid w:val="007D0ED4"/>
    <w:rsid w:val="007D103C"/>
    <w:rsid w:val="007D1272"/>
    <w:rsid w:val="007D1273"/>
    <w:rsid w:val="007D13C3"/>
    <w:rsid w:val="007D159B"/>
    <w:rsid w:val="007D1951"/>
    <w:rsid w:val="007D198E"/>
    <w:rsid w:val="007D1AB5"/>
    <w:rsid w:val="007D1F0A"/>
    <w:rsid w:val="007D1FC1"/>
    <w:rsid w:val="007D207B"/>
    <w:rsid w:val="007D2081"/>
    <w:rsid w:val="007D2149"/>
    <w:rsid w:val="007D23B9"/>
    <w:rsid w:val="007D27FF"/>
    <w:rsid w:val="007D2800"/>
    <w:rsid w:val="007D2B6F"/>
    <w:rsid w:val="007D2DB7"/>
    <w:rsid w:val="007D3050"/>
    <w:rsid w:val="007D3428"/>
    <w:rsid w:val="007D3690"/>
    <w:rsid w:val="007D3921"/>
    <w:rsid w:val="007D3A72"/>
    <w:rsid w:val="007D3CCC"/>
    <w:rsid w:val="007D3D8D"/>
    <w:rsid w:val="007D41AA"/>
    <w:rsid w:val="007D44F6"/>
    <w:rsid w:val="007D453E"/>
    <w:rsid w:val="007D4852"/>
    <w:rsid w:val="007D4891"/>
    <w:rsid w:val="007D4C3E"/>
    <w:rsid w:val="007D4F38"/>
    <w:rsid w:val="007D5198"/>
    <w:rsid w:val="007D5338"/>
    <w:rsid w:val="007D557C"/>
    <w:rsid w:val="007D5901"/>
    <w:rsid w:val="007D5A61"/>
    <w:rsid w:val="007D5AFF"/>
    <w:rsid w:val="007D5E13"/>
    <w:rsid w:val="007D5F3B"/>
    <w:rsid w:val="007D5F80"/>
    <w:rsid w:val="007D62FE"/>
    <w:rsid w:val="007D6377"/>
    <w:rsid w:val="007D63C6"/>
    <w:rsid w:val="007D648D"/>
    <w:rsid w:val="007D6634"/>
    <w:rsid w:val="007D672A"/>
    <w:rsid w:val="007D687A"/>
    <w:rsid w:val="007D68F9"/>
    <w:rsid w:val="007D694B"/>
    <w:rsid w:val="007D6D87"/>
    <w:rsid w:val="007D6FF3"/>
    <w:rsid w:val="007D7069"/>
    <w:rsid w:val="007D7085"/>
    <w:rsid w:val="007D70D6"/>
    <w:rsid w:val="007D72DF"/>
    <w:rsid w:val="007D75BB"/>
    <w:rsid w:val="007D7619"/>
    <w:rsid w:val="007D7719"/>
    <w:rsid w:val="007D7B5D"/>
    <w:rsid w:val="007D7B7B"/>
    <w:rsid w:val="007D7BA7"/>
    <w:rsid w:val="007E0169"/>
    <w:rsid w:val="007E02A6"/>
    <w:rsid w:val="007E02BA"/>
    <w:rsid w:val="007E0728"/>
    <w:rsid w:val="007E0744"/>
    <w:rsid w:val="007E098D"/>
    <w:rsid w:val="007E0BEB"/>
    <w:rsid w:val="007E0C0B"/>
    <w:rsid w:val="007E16BD"/>
    <w:rsid w:val="007E199F"/>
    <w:rsid w:val="007E2045"/>
    <w:rsid w:val="007E20C9"/>
    <w:rsid w:val="007E2581"/>
    <w:rsid w:val="007E2693"/>
    <w:rsid w:val="007E28E6"/>
    <w:rsid w:val="007E2E96"/>
    <w:rsid w:val="007E2F04"/>
    <w:rsid w:val="007E2FBA"/>
    <w:rsid w:val="007E333A"/>
    <w:rsid w:val="007E35FA"/>
    <w:rsid w:val="007E3B1A"/>
    <w:rsid w:val="007E3B51"/>
    <w:rsid w:val="007E3BC8"/>
    <w:rsid w:val="007E3BEA"/>
    <w:rsid w:val="007E3C37"/>
    <w:rsid w:val="007E3F94"/>
    <w:rsid w:val="007E4015"/>
    <w:rsid w:val="007E407E"/>
    <w:rsid w:val="007E41D0"/>
    <w:rsid w:val="007E4334"/>
    <w:rsid w:val="007E4765"/>
    <w:rsid w:val="007E47E7"/>
    <w:rsid w:val="007E49E7"/>
    <w:rsid w:val="007E4C3D"/>
    <w:rsid w:val="007E4D33"/>
    <w:rsid w:val="007E4E2C"/>
    <w:rsid w:val="007E4FCF"/>
    <w:rsid w:val="007E517B"/>
    <w:rsid w:val="007E52B1"/>
    <w:rsid w:val="007E53DE"/>
    <w:rsid w:val="007E5679"/>
    <w:rsid w:val="007E58C4"/>
    <w:rsid w:val="007E5ACE"/>
    <w:rsid w:val="007E5DEC"/>
    <w:rsid w:val="007E5ED5"/>
    <w:rsid w:val="007E642C"/>
    <w:rsid w:val="007E65E3"/>
    <w:rsid w:val="007E6A23"/>
    <w:rsid w:val="007E6B0A"/>
    <w:rsid w:val="007E6C33"/>
    <w:rsid w:val="007E6C6A"/>
    <w:rsid w:val="007E6DD8"/>
    <w:rsid w:val="007E6DE7"/>
    <w:rsid w:val="007E720B"/>
    <w:rsid w:val="007E72CB"/>
    <w:rsid w:val="007E7377"/>
    <w:rsid w:val="007E73DC"/>
    <w:rsid w:val="007E7732"/>
    <w:rsid w:val="007E7886"/>
    <w:rsid w:val="007E7D45"/>
    <w:rsid w:val="007E7F75"/>
    <w:rsid w:val="007F011B"/>
    <w:rsid w:val="007F020A"/>
    <w:rsid w:val="007F06CD"/>
    <w:rsid w:val="007F074F"/>
    <w:rsid w:val="007F0805"/>
    <w:rsid w:val="007F0A08"/>
    <w:rsid w:val="007F0A3D"/>
    <w:rsid w:val="007F125E"/>
    <w:rsid w:val="007F127A"/>
    <w:rsid w:val="007F1293"/>
    <w:rsid w:val="007F1586"/>
    <w:rsid w:val="007F15C5"/>
    <w:rsid w:val="007F184B"/>
    <w:rsid w:val="007F184E"/>
    <w:rsid w:val="007F190D"/>
    <w:rsid w:val="007F1A52"/>
    <w:rsid w:val="007F1C23"/>
    <w:rsid w:val="007F1C24"/>
    <w:rsid w:val="007F1D25"/>
    <w:rsid w:val="007F23B1"/>
    <w:rsid w:val="007F265A"/>
    <w:rsid w:val="007F26D3"/>
    <w:rsid w:val="007F2783"/>
    <w:rsid w:val="007F27F4"/>
    <w:rsid w:val="007F2802"/>
    <w:rsid w:val="007F295C"/>
    <w:rsid w:val="007F29C2"/>
    <w:rsid w:val="007F2A15"/>
    <w:rsid w:val="007F2DEF"/>
    <w:rsid w:val="007F2F03"/>
    <w:rsid w:val="007F327B"/>
    <w:rsid w:val="007F32C7"/>
    <w:rsid w:val="007F337D"/>
    <w:rsid w:val="007F3490"/>
    <w:rsid w:val="007F3659"/>
    <w:rsid w:val="007F36D2"/>
    <w:rsid w:val="007F36D5"/>
    <w:rsid w:val="007F397B"/>
    <w:rsid w:val="007F3C1B"/>
    <w:rsid w:val="007F3FB0"/>
    <w:rsid w:val="007F4076"/>
    <w:rsid w:val="007F4146"/>
    <w:rsid w:val="007F41B5"/>
    <w:rsid w:val="007F4302"/>
    <w:rsid w:val="007F43AF"/>
    <w:rsid w:val="007F4A01"/>
    <w:rsid w:val="007F4B37"/>
    <w:rsid w:val="007F4F0F"/>
    <w:rsid w:val="007F5615"/>
    <w:rsid w:val="007F56A9"/>
    <w:rsid w:val="007F56AA"/>
    <w:rsid w:val="007F5B2D"/>
    <w:rsid w:val="007F5C69"/>
    <w:rsid w:val="007F5D2A"/>
    <w:rsid w:val="007F5E69"/>
    <w:rsid w:val="007F5E9C"/>
    <w:rsid w:val="007F628A"/>
    <w:rsid w:val="007F63F4"/>
    <w:rsid w:val="007F65BE"/>
    <w:rsid w:val="007F6909"/>
    <w:rsid w:val="007F6A96"/>
    <w:rsid w:val="007F6AD8"/>
    <w:rsid w:val="007F6BDB"/>
    <w:rsid w:val="007F6C5A"/>
    <w:rsid w:val="007F6EB5"/>
    <w:rsid w:val="007F6F1B"/>
    <w:rsid w:val="007F7226"/>
    <w:rsid w:val="007F75D4"/>
    <w:rsid w:val="007F78E6"/>
    <w:rsid w:val="007F796D"/>
    <w:rsid w:val="007F7D18"/>
    <w:rsid w:val="00800152"/>
    <w:rsid w:val="008005AF"/>
    <w:rsid w:val="0080078E"/>
    <w:rsid w:val="00800B51"/>
    <w:rsid w:val="00800D5D"/>
    <w:rsid w:val="00800EE3"/>
    <w:rsid w:val="008011B4"/>
    <w:rsid w:val="008012C6"/>
    <w:rsid w:val="0080135A"/>
    <w:rsid w:val="00801A13"/>
    <w:rsid w:val="00801C2A"/>
    <w:rsid w:val="00801C72"/>
    <w:rsid w:val="00801EDC"/>
    <w:rsid w:val="00801F43"/>
    <w:rsid w:val="00802176"/>
    <w:rsid w:val="00802402"/>
    <w:rsid w:val="00802679"/>
    <w:rsid w:val="0080297A"/>
    <w:rsid w:val="008032F4"/>
    <w:rsid w:val="00803372"/>
    <w:rsid w:val="008034EF"/>
    <w:rsid w:val="00803627"/>
    <w:rsid w:val="0080383C"/>
    <w:rsid w:val="0080397A"/>
    <w:rsid w:val="00803A58"/>
    <w:rsid w:val="0080422E"/>
    <w:rsid w:val="008045ED"/>
    <w:rsid w:val="0080482A"/>
    <w:rsid w:val="00804952"/>
    <w:rsid w:val="00804E40"/>
    <w:rsid w:val="00804EC7"/>
    <w:rsid w:val="00804FC7"/>
    <w:rsid w:val="0080506B"/>
    <w:rsid w:val="00805576"/>
    <w:rsid w:val="008056AA"/>
    <w:rsid w:val="00805996"/>
    <w:rsid w:val="00805CC8"/>
    <w:rsid w:val="00805CDD"/>
    <w:rsid w:val="00805F16"/>
    <w:rsid w:val="00806286"/>
    <w:rsid w:val="0080666B"/>
    <w:rsid w:val="00806750"/>
    <w:rsid w:val="008069A1"/>
    <w:rsid w:val="008069CF"/>
    <w:rsid w:val="00806B01"/>
    <w:rsid w:val="00806D35"/>
    <w:rsid w:val="00806D6C"/>
    <w:rsid w:val="00806F4D"/>
    <w:rsid w:val="00807005"/>
    <w:rsid w:val="00807165"/>
    <w:rsid w:val="0080764E"/>
    <w:rsid w:val="00807710"/>
    <w:rsid w:val="008078DC"/>
    <w:rsid w:val="00807B00"/>
    <w:rsid w:val="00807B51"/>
    <w:rsid w:val="00807C7B"/>
    <w:rsid w:val="00807CF0"/>
    <w:rsid w:val="00807D08"/>
    <w:rsid w:val="00810167"/>
    <w:rsid w:val="00810245"/>
    <w:rsid w:val="00810516"/>
    <w:rsid w:val="00810568"/>
    <w:rsid w:val="0081060A"/>
    <w:rsid w:val="008107B3"/>
    <w:rsid w:val="00810832"/>
    <w:rsid w:val="00810B10"/>
    <w:rsid w:val="00810E07"/>
    <w:rsid w:val="00810F83"/>
    <w:rsid w:val="008116E2"/>
    <w:rsid w:val="008117C6"/>
    <w:rsid w:val="00811C32"/>
    <w:rsid w:val="00812431"/>
    <w:rsid w:val="0081245C"/>
    <w:rsid w:val="0081251E"/>
    <w:rsid w:val="00812794"/>
    <w:rsid w:val="00812964"/>
    <w:rsid w:val="00812A3C"/>
    <w:rsid w:val="00812D58"/>
    <w:rsid w:val="00812D85"/>
    <w:rsid w:val="00813442"/>
    <w:rsid w:val="00813586"/>
    <w:rsid w:val="0081383E"/>
    <w:rsid w:val="008138FB"/>
    <w:rsid w:val="00813B08"/>
    <w:rsid w:val="00813BE7"/>
    <w:rsid w:val="00813D86"/>
    <w:rsid w:val="00813D8A"/>
    <w:rsid w:val="00813D9A"/>
    <w:rsid w:val="00813E74"/>
    <w:rsid w:val="008140DB"/>
    <w:rsid w:val="008144E2"/>
    <w:rsid w:val="00814AFA"/>
    <w:rsid w:val="00814B84"/>
    <w:rsid w:val="00814D4A"/>
    <w:rsid w:val="00814DB6"/>
    <w:rsid w:val="00814DD9"/>
    <w:rsid w:val="00814F3D"/>
    <w:rsid w:val="00814F40"/>
    <w:rsid w:val="0081537A"/>
    <w:rsid w:val="00815516"/>
    <w:rsid w:val="0081564A"/>
    <w:rsid w:val="00815902"/>
    <w:rsid w:val="008159AC"/>
    <w:rsid w:val="00815E49"/>
    <w:rsid w:val="008163F1"/>
    <w:rsid w:val="00816793"/>
    <w:rsid w:val="008167B3"/>
    <w:rsid w:val="008167F5"/>
    <w:rsid w:val="00816945"/>
    <w:rsid w:val="0081698B"/>
    <w:rsid w:val="00816A7B"/>
    <w:rsid w:val="00816B7D"/>
    <w:rsid w:val="00816D5F"/>
    <w:rsid w:val="008170C3"/>
    <w:rsid w:val="008172E6"/>
    <w:rsid w:val="0081731D"/>
    <w:rsid w:val="00817371"/>
    <w:rsid w:val="008174D6"/>
    <w:rsid w:val="008174E6"/>
    <w:rsid w:val="008176C4"/>
    <w:rsid w:val="00817A7C"/>
    <w:rsid w:val="00817D18"/>
    <w:rsid w:val="00817FC9"/>
    <w:rsid w:val="0081D81B"/>
    <w:rsid w:val="00820273"/>
    <w:rsid w:val="00820351"/>
    <w:rsid w:val="0082043C"/>
    <w:rsid w:val="00820777"/>
    <w:rsid w:val="008209E6"/>
    <w:rsid w:val="00820C69"/>
    <w:rsid w:val="00820EBD"/>
    <w:rsid w:val="00821177"/>
    <w:rsid w:val="008212F3"/>
    <w:rsid w:val="008215A7"/>
    <w:rsid w:val="008216E8"/>
    <w:rsid w:val="008219E9"/>
    <w:rsid w:val="00821C2C"/>
    <w:rsid w:val="00821D89"/>
    <w:rsid w:val="00821EBC"/>
    <w:rsid w:val="0082209F"/>
    <w:rsid w:val="00822136"/>
    <w:rsid w:val="0082246B"/>
    <w:rsid w:val="00822598"/>
    <w:rsid w:val="008225AF"/>
    <w:rsid w:val="008225BD"/>
    <w:rsid w:val="00822615"/>
    <w:rsid w:val="00822A6D"/>
    <w:rsid w:val="00822B1A"/>
    <w:rsid w:val="00822D76"/>
    <w:rsid w:val="00823095"/>
    <w:rsid w:val="00823124"/>
    <w:rsid w:val="008233B4"/>
    <w:rsid w:val="00823666"/>
    <w:rsid w:val="008238E8"/>
    <w:rsid w:val="00823C6C"/>
    <w:rsid w:val="00823C9D"/>
    <w:rsid w:val="00823FCF"/>
    <w:rsid w:val="00824630"/>
    <w:rsid w:val="00824697"/>
    <w:rsid w:val="00824B65"/>
    <w:rsid w:val="00824BDA"/>
    <w:rsid w:val="00824DF1"/>
    <w:rsid w:val="008251C7"/>
    <w:rsid w:val="008252CE"/>
    <w:rsid w:val="008252EF"/>
    <w:rsid w:val="00825463"/>
    <w:rsid w:val="00825584"/>
    <w:rsid w:val="00825595"/>
    <w:rsid w:val="008257A0"/>
    <w:rsid w:val="00825C79"/>
    <w:rsid w:val="008260CE"/>
    <w:rsid w:val="00826138"/>
    <w:rsid w:val="00826479"/>
    <w:rsid w:val="00826568"/>
    <w:rsid w:val="008268FC"/>
    <w:rsid w:val="00826926"/>
    <w:rsid w:val="00826978"/>
    <w:rsid w:val="008269AA"/>
    <w:rsid w:val="00826C49"/>
    <w:rsid w:val="00826CAF"/>
    <w:rsid w:val="00827257"/>
    <w:rsid w:val="008272E0"/>
    <w:rsid w:val="0082762A"/>
    <w:rsid w:val="00827B01"/>
    <w:rsid w:val="00827D2B"/>
    <w:rsid w:val="00827DFD"/>
    <w:rsid w:val="00830020"/>
    <w:rsid w:val="00830086"/>
    <w:rsid w:val="00830294"/>
    <w:rsid w:val="0083046D"/>
    <w:rsid w:val="008304C5"/>
    <w:rsid w:val="0083059F"/>
    <w:rsid w:val="008305BD"/>
    <w:rsid w:val="0083085A"/>
    <w:rsid w:val="00830C35"/>
    <w:rsid w:val="00830EA8"/>
    <w:rsid w:val="00830EFD"/>
    <w:rsid w:val="00831076"/>
    <w:rsid w:val="008310C9"/>
    <w:rsid w:val="00831244"/>
    <w:rsid w:val="00831294"/>
    <w:rsid w:val="0083143E"/>
    <w:rsid w:val="00831587"/>
    <w:rsid w:val="00831783"/>
    <w:rsid w:val="00831E17"/>
    <w:rsid w:val="00831FE6"/>
    <w:rsid w:val="008320F7"/>
    <w:rsid w:val="008324AC"/>
    <w:rsid w:val="00832517"/>
    <w:rsid w:val="0083316E"/>
    <w:rsid w:val="00833502"/>
    <w:rsid w:val="00833565"/>
    <w:rsid w:val="00833C60"/>
    <w:rsid w:val="0083431A"/>
    <w:rsid w:val="008347ED"/>
    <w:rsid w:val="008347F2"/>
    <w:rsid w:val="00834BBD"/>
    <w:rsid w:val="00834BE6"/>
    <w:rsid w:val="00834BED"/>
    <w:rsid w:val="00834C94"/>
    <w:rsid w:val="00834DE2"/>
    <w:rsid w:val="00835056"/>
    <w:rsid w:val="008350B2"/>
    <w:rsid w:val="0083519E"/>
    <w:rsid w:val="00835232"/>
    <w:rsid w:val="0083592A"/>
    <w:rsid w:val="00835B23"/>
    <w:rsid w:val="00835C43"/>
    <w:rsid w:val="00835D75"/>
    <w:rsid w:val="00835E62"/>
    <w:rsid w:val="008360BB"/>
    <w:rsid w:val="00836234"/>
    <w:rsid w:val="00836A9F"/>
    <w:rsid w:val="00836C30"/>
    <w:rsid w:val="00836D9A"/>
    <w:rsid w:val="00836E6F"/>
    <w:rsid w:val="00836EC5"/>
    <w:rsid w:val="00837065"/>
    <w:rsid w:val="00837238"/>
    <w:rsid w:val="008372CE"/>
    <w:rsid w:val="008372E3"/>
    <w:rsid w:val="00837361"/>
    <w:rsid w:val="008373EF"/>
    <w:rsid w:val="00837501"/>
    <w:rsid w:val="008375FF"/>
    <w:rsid w:val="00837693"/>
    <w:rsid w:val="00837D0B"/>
    <w:rsid w:val="00837D11"/>
    <w:rsid w:val="00837EA0"/>
    <w:rsid w:val="0084001E"/>
    <w:rsid w:val="0084023F"/>
    <w:rsid w:val="008403BF"/>
    <w:rsid w:val="00840A56"/>
    <w:rsid w:val="00840D5C"/>
    <w:rsid w:val="00840DAF"/>
    <w:rsid w:val="00840DC2"/>
    <w:rsid w:val="00841087"/>
    <w:rsid w:val="00841141"/>
    <w:rsid w:val="0084115E"/>
    <w:rsid w:val="00841183"/>
    <w:rsid w:val="008411A1"/>
    <w:rsid w:val="008412C7"/>
    <w:rsid w:val="0084142F"/>
    <w:rsid w:val="00841702"/>
    <w:rsid w:val="008417EF"/>
    <w:rsid w:val="008419D8"/>
    <w:rsid w:val="00841A50"/>
    <w:rsid w:val="00841C02"/>
    <w:rsid w:val="00841D3C"/>
    <w:rsid w:val="00841EB7"/>
    <w:rsid w:val="008424AE"/>
    <w:rsid w:val="008424C2"/>
    <w:rsid w:val="008429EE"/>
    <w:rsid w:val="00842A7A"/>
    <w:rsid w:val="00842B7A"/>
    <w:rsid w:val="00842E09"/>
    <w:rsid w:val="00842F15"/>
    <w:rsid w:val="0084382A"/>
    <w:rsid w:val="008439E2"/>
    <w:rsid w:val="00843A75"/>
    <w:rsid w:val="00843A83"/>
    <w:rsid w:val="00843E8D"/>
    <w:rsid w:val="008441B9"/>
    <w:rsid w:val="00844246"/>
    <w:rsid w:val="00844312"/>
    <w:rsid w:val="0084485B"/>
    <w:rsid w:val="00844B49"/>
    <w:rsid w:val="00844B61"/>
    <w:rsid w:val="00844C72"/>
    <w:rsid w:val="008450E0"/>
    <w:rsid w:val="008450FE"/>
    <w:rsid w:val="0084520A"/>
    <w:rsid w:val="008454F2"/>
    <w:rsid w:val="00845792"/>
    <w:rsid w:val="008457F1"/>
    <w:rsid w:val="008459A9"/>
    <w:rsid w:val="00845ABC"/>
    <w:rsid w:val="00845DE7"/>
    <w:rsid w:val="00845E6C"/>
    <w:rsid w:val="00845EB7"/>
    <w:rsid w:val="008460C1"/>
    <w:rsid w:val="008466C7"/>
    <w:rsid w:val="008468E4"/>
    <w:rsid w:val="00846BA5"/>
    <w:rsid w:val="00846BED"/>
    <w:rsid w:val="00846BF5"/>
    <w:rsid w:val="00846D98"/>
    <w:rsid w:val="00846DDB"/>
    <w:rsid w:val="0084700D"/>
    <w:rsid w:val="0084708B"/>
    <w:rsid w:val="00847159"/>
    <w:rsid w:val="00847196"/>
    <w:rsid w:val="00847369"/>
    <w:rsid w:val="008477E3"/>
    <w:rsid w:val="00847839"/>
    <w:rsid w:val="008479C2"/>
    <w:rsid w:val="00847A4D"/>
    <w:rsid w:val="00847D3D"/>
    <w:rsid w:val="00847E2E"/>
    <w:rsid w:val="00847EA3"/>
    <w:rsid w:val="00850002"/>
    <w:rsid w:val="00850140"/>
    <w:rsid w:val="0085015C"/>
    <w:rsid w:val="00850173"/>
    <w:rsid w:val="008501B4"/>
    <w:rsid w:val="0085029F"/>
    <w:rsid w:val="00850511"/>
    <w:rsid w:val="008505E2"/>
    <w:rsid w:val="00850E0A"/>
    <w:rsid w:val="00850F2A"/>
    <w:rsid w:val="00850F9C"/>
    <w:rsid w:val="008511E8"/>
    <w:rsid w:val="008513EA"/>
    <w:rsid w:val="00851444"/>
    <w:rsid w:val="008515F1"/>
    <w:rsid w:val="0085167A"/>
    <w:rsid w:val="00851AAF"/>
    <w:rsid w:val="00851BAB"/>
    <w:rsid w:val="008520FA"/>
    <w:rsid w:val="0085214F"/>
    <w:rsid w:val="00852308"/>
    <w:rsid w:val="0085271D"/>
    <w:rsid w:val="008529AB"/>
    <w:rsid w:val="00852B75"/>
    <w:rsid w:val="00852EEF"/>
    <w:rsid w:val="0085300F"/>
    <w:rsid w:val="008530B8"/>
    <w:rsid w:val="008532A0"/>
    <w:rsid w:val="0085334F"/>
    <w:rsid w:val="0085361D"/>
    <w:rsid w:val="008537A7"/>
    <w:rsid w:val="00853A07"/>
    <w:rsid w:val="00853BD3"/>
    <w:rsid w:val="00853EA9"/>
    <w:rsid w:val="008540F6"/>
    <w:rsid w:val="0085444D"/>
    <w:rsid w:val="00854883"/>
    <w:rsid w:val="00854904"/>
    <w:rsid w:val="00854F6C"/>
    <w:rsid w:val="00855304"/>
    <w:rsid w:val="008553F4"/>
    <w:rsid w:val="008553FB"/>
    <w:rsid w:val="008554EC"/>
    <w:rsid w:val="00855542"/>
    <w:rsid w:val="00855662"/>
    <w:rsid w:val="0085584A"/>
    <w:rsid w:val="00855AB5"/>
    <w:rsid w:val="00855BD3"/>
    <w:rsid w:val="00855C22"/>
    <w:rsid w:val="00855CBE"/>
    <w:rsid w:val="00855CFE"/>
    <w:rsid w:val="00855E3E"/>
    <w:rsid w:val="00855E83"/>
    <w:rsid w:val="00855FF1"/>
    <w:rsid w:val="008568E9"/>
    <w:rsid w:val="008569FE"/>
    <w:rsid w:val="00856A2D"/>
    <w:rsid w:val="00856BA1"/>
    <w:rsid w:val="00856CA1"/>
    <w:rsid w:val="00856DC7"/>
    <w:rsid w:val="0085744B"/>
    <w:rsid w:val="00857466"/>
    <w:rsid w:val="00857537"/>
    <w:rsid w:val="00857790"/>
    <w:rsid w:val="008578F2"/>
    <w:rsid w:val="0085792E"/>
    <w:rsid w:val="00857CD8"/>
    <w:rsid w:val="008607DB"/>
    <w:rsid w:val="008608A6"/>
    <w:rsid w:val="0086097E"/>
    <w:rsid w:val="00860B32"/>
    <w:rsid w:val="00860D44"/>
    <w:rsid w:val="00861018"/>
    <w:rsid w:val="008613FA"/>
    <w:rsid w:val="008614B7"/>
    <w:rsid w:val="0086151A"/>
    <w:rsid w:val="00861750"/>
    <w:rsid w:val="00861799"/>
    <w:rsid w:val="0086195D"/>
    <w:rsid w:val="00861B78"/>
    <w:rsid w:val="008621F9"/>
    <w:rsid w:val="00862637"/>
    <w:rsid w:val="00862B54"/>
    <w:rsid w:val="00862D52"/>
    <w:rsid w:val="00862D75"/>
    <w:rsid w:val="00862DCB"/>
    <w:rsid w:val="008633E1"/>
    <w:rsid w:val="008637B5"/>
    <w:rsid w:val="00863813"/>
    <w:rsid w:val="00863A68"/>
    <w:rsid w:val="00863B27"/>
    <w:rsid w:val="00863B72"/>
    <w:rsid w:val="00864473"/>
    <w:rsid w:val="008644B4"/>
    <w:rsid w:val="008648BA"/>
    <w:rsid w:val="00864C48"/>
    <w:rsid w:val="00864C51"/>
    <w:rsid w:val="00864C7D"/>
    <w:rsid w:val="0086539D"/>
    <w:rsid w:val="00865782"/>
    <w:rsid w:val="00865B0C"/>
    <w:rsid w:val="00865D35"/>
    <w:rsid w:val="00865F54"/>
    <w:rsid w:val="00865F86"/>
    <w:rsid w:val="00865FE6"/>
    <w:rsid w:val="00866068"/>
    <w:rsid w:val="008661F1"/>
    <w:rsid w:val="008661FB"/>
    <w:rsid w:val="0086637B"/>
    <w:rsid w:val="008663EB"/>
    <w:rsid w:val="00866734"/>
    <w:rsid w:val="0086680F"/>
    <w:rsid w:val="00866825"/>
    <w:rsid w:val="00866886"/>
    <w:rsid w:val="00866953"/>
    <w:rsid w:val="00866C54"/>
    <w:rsid w:val="00866D4C"/>
    <w:rsid w:val="00866E26"/>
    <w:rsid w:val="00866F95"/>
    <w:rsid w:val="00867071"/>
    <w:rsid w:val="00867428"/>
    <w:rsid w:val="00867816"/>
    <w:rsid w:val="00867A6D"/>
    <w:rsid w:val="00867A95"/>
    <w:rsid w:val="00867B8C"/>
    <w:rsid w:val="00867BBA"/>
    <w:rsid w:val="00867C03"/>
    <w:rsid w:val="00867D4B"/>
    <w:rsid w:val="00870207"/>
    <w:rsid w:val="00870BB6"/>
    <w:rsid w:val="00870EF7"/>
    <w:rsid w:val="00871101"/>
    <w:rsid w:val="0087163A"/>
    <w:rsid w:val="0087170A"/>
    <w:rsid w:val="008718E2"/>
    <w:rsid w:val="00871ABC"/>
    <w:rsid w:val="00871B4F"/>
    <w:rsid w:val="00871C4E"/>
    <w:rsid w:val="0087217F"/>
    <w:rsid w:val="008723F9"/>
    <w:rsid w:val="00872424"/>
    <w:rsid w:val="008726CC"/>
    <w:rsid w:val="00872A13"/>
    <w:rsid w:val="00872B4F"/>
    <w:rsid w:val="00872BAF"/>
    <w:rsid w:val="00872D42"/>
    <w:rsid w:val="00872DA5"/>
    <w:rsid w:val="008732F5"/>
    <w:rsid w:val="008733BD"/>
    <w:rsid w:val="008739C5"/>
    <w:rsid w:val="00873C38"/>
    <w:rsid w:val="00873C55"/>
    <w:rsid w:val="00873EC1"/>
    <w:rsid w:val="008743AF"/>
    <w:rsid w:val="008745AC"/>
    <w:rsid w:val="008745C9"/>
    <w:rsid w:val="0087488D"/>
    <w:rsid w:val="0087489F"/>
    <w:rsid w:val="00874A25"/>
    <w:rsid w:val="00874F60"/>
    <w:rsid w:val="00875196"/>
    <w:rsid w:val="008753C2"/>
    <w:rsid w:val="008755A4"/>
    <w:rsid w:val="0087585D"/>
    <w:rsid w:val="008759B6"/>
    <w:rsid w:val="00875A8A"/>
    <w:rsid w:val="00875AD8"/>
    <w:rsid w:val="00875E0F"/>
    <w:rsid w:val="00876003"/>
    <w:rsid w:val="00876028"/>
    <w:rsid w:val="008760A1"/>
    <w:rsid w:val="008761CF"/>
    <w:rsid w:val="00876737"/>
    <w:rsid w:val="00876851"/>
    <w:rsid w:val="00876A0C"/>
    <w:rsid w:val="00876F2F"/>
    <w:rsid w:val="0087737A"/>
    <w:rsid w:val="00877656"/>
    <w:rsid w:val="008778D6"/>
    <w:rsid w:val="008778E4"/>
    <w:rsid w:val="00877AE1"/>
    <w:rsid w:val="00877CBC"/>
    <w:rsid w:val="00877D63"/>
    <w:rsid w:val="008800C5"/>
    <w:rsid w:val="008800DA"/>
    <w:rsid w:val="0088034B"/>
    <w:rsid w:val="0088094F"/>
    <w:rsid w:val="00880C7F"/>
    <w:rsid w:val="00880C86"/>
    <w:rsid w:val="008811DC"/>
    <w:rsid w:val="008812CF"/>
    <w:rsid w:val="00881708"/>
    <w:rsid w:val="0088179C"/>
    <w:rsid w:val="00881912"/>
    <w:rsid w:val="00881921"/>
    <w:rsid w:val="00881B37"/>
    <w:rsid w:val="00881D2B"/>
    <w:rsid w:val="00881F6A"/>
    <w:rsid w:val="008821E9"/>
    <w:rsid w:val="00882297"/>
    <w:rsid w:val="00882480"/>
    <w:rsid w:val="008824B0"/>
    <w:rsid w:val="00882546"/>
    <w:rsid w:val="00882696"/>
    <w:rsid w:val="00882798"/>
    <w:rsid w:val="008830AA"/>
    <w:rsid w:val="0088357C"/>
    <w:rsid w:val="00883702"/>
    <w:rsid w:val="00883994"/>
    <w:rsid w:val="00883A73"/>
    <w:rsid w:val="00883AC7"/>
    <w:rsid w:val="00883B60"/>
    <w:rsid w:val="00883EB6"/>
    <w:rsid w:val="00883F3E"/>
    <w:rsid w:val="008840C4"/>
    <w:rsid w:val="008840E3"/>
    <w:rsid w:val="0088411E"/>
    <w:rsid w:val="00884132"/>
    <w:rsid w:val="00884176"/>
    <w:rsid w:val="008841B1"/>
    <w:rsid w:val="00884214"/>
    <w:rsid w:val="00884365"/>
    <w:rsid w:val="00884411"/>
    <w:rsid w:val="00884495"/>
    <w:rsid w:val="008844A7"/>
    <w:rsid w:val="0088480D"/>
    <w:rsid w:val="00884D07"/>
    <w:rsid w:val="00884D23"/>
    <w:rsid w:val="00884E33"/>
    <w:rsid w:val="0088556C"/>
    <w:rsid w:val="008855AE"/>
    <w:rsid w:val="008856FD"/>
    <w:rsid w:val="00885C23"/>
    <w:rsid w:val="00885D46"/>
    <w:rsid w:val="00885E6A"/>
    <w:rsid w:val="00885FBA"/>
    <w:rsid w:val="00886006"/>
    <w:rsid w:val="008860CE"/>
    <w:rsid w:val="00886391"/>
    <w:rsid w:val="008863E8"/>
    <w:rsid w:val="00886435"/>
    <w:rsid w:val="0088653F"/>
    <w:rsid w:val="0088684D"/>
    <w:rsid w:val="008868C8"/>
    <w:rsid w:val="008868CB"/>
    <w:rsid w:val="00886CBB"/>
    <w:rsid w:val="00886CBD"/>
    <w:rsid w:val="0088743B"/>
    <w:rsid w:val="00887749"/>
    <w:rsid w:val="008877CC"/>
    <w:rsid w:val="008878A2"/>
    <w:rsid w:val="008879E5"/>
    <w:rsid w:val="00887B48"/>
    <w:rsid w:val="00887DEB"/>
    <w:rsid w:val="00887EFC"/>
    <w:rsid w:val="00890038"/>
    <w:rsid w:val="00890106"/>
    <w:rsid w:val="00890131"/>
    <w:rsid w:val="0089013F"/>
    <w:rsid w:val="00890330"/>
    <w:rsid w:val="00890814"/>
    <w:rsid w:val="00890C67"/>
    <w:rsid w:val="00890DDD"/>
    <w:rsid w:val="00890EAA"/>
    <w:rsid w:val="008910C0"/>
    <w:rsid w:val="008911D4"/>
    <w:rsid w:val="008913F4"/>
    <w:rsid w:val="00891501"/>
    <w:rsid w:val="0089158E"/>
    <w:rsid w:val="00891608"/>
    <w:rsid w:val="00891948"/>
    <w:rsid w:val="00891A1F"/>
    <w:rsid w:val="00891AC9"/>
    <w:rsid w:val="00891D99"/>
    <w:rsid w:val="00891E73"/>
    <w:rsid w:val="00891F3D"/>
    <w:rsid w:val="008922E6"/>
    <w:rsid w:val="008924BD"/>
    <w:rsid w:val="0089258F"/>
    <w:rsid w:val="0089284B"/>
    <w:rsid w:val="00892ABB"/>
    <w:rsid w:val="00892BC4"/>
    <w:rsid w:val="00892F21"/>
    <w:rsid w:val="00892F76"/>
    <w:rsid w:val="00893293"/>
    <w:rsid w:val="00893429"/>
    <w:rsid w:val="008936CB"/>
    <w:rsid w:val="00893AF7"/>
    <w:rsid w:val="00893B39"/>
    <w:rsid w:val="00893E29"/>
    <w:rsid w:val="00893F6C"/>
    <w:rsid w:val="00893FCB"/>
    <w:rsid w:val="0089401F"/>
    <w:rsid w:val="00894250"/>
    <w:rsid w:val="00894437"/>
    <w:rsid w:val="00894513"/>
    <w:rsid w:val="00894736"/>
    <w:rsid w:val="00894929"/>
    <w:rsid w:val="00894B61"/>
    <w:rsid w:val="00894C36"/>
    <w:rsid w:val="00894D0E"/>
    <w:rsid w:val="008951F6"/>
    <w:rsid w:val="00895475"/>
    <w:rsid w:val="008957F6"/>
    <w:rsid w:val="008959BA"/>
    <w:rsid w:val="00895AE8"/>
    <w:rsid w:val="00895BB1"/>
    <w:rsid w:val="00895F29"/>
    <w:rsid w:val="00895F31"/>
    <w:rsid w:val="0089602A"/>
    <w:rsid w:val="0089603D"/>
    <w:rsid w:val="008966B1"/>
    <w:rsid w:val="00896B3D"/>
    <w:rsid w:val="00896BBD"/>
    <w:rsid w:val="00896C09"/>
    <w:rsid w:val="00896C1E"/>
    <w:rsid w:val="00896C62"/>
    <w:rsid w:val="00896CEF"/>
    <w:rsid w:val="00896E51"/>
    <w:rsid w:val="0089718D"/>
    <w:rsid w:val="00897342"/>
    <w:rsid w:val="0089749F"/>
    <w:rsid w:val="00897898"/>
    <w:rsid w:val="0089794E"/>
    <w:rsid w:val="00897A7D"/>
    <w:rsid w:val="00897D20"/>
    <w:rsid w:val="008A000D"/>
    <w:rsid w:val="008A0168"/>
    <w:rsid w:val="008A0614"/>
    <w:rsid w:val="008A08EE"/>
    <w:rsid w:val="008A0A7B"/>
    <w:rsid w:val="008A0AB4"/>
    <w:rsid w:val="008A0C85"/>
    <w:rsid w:val="008A0DC4"/>
    <w:rsid w:val="008A0DE7"/>
    <w:rsid w:val="008A1403"/>
    <w:rsid w:val="008A155E"/>
    <w:rsid w:val="008A1728"/>
    <w:rsid w:val="008A19B7"/>
    <w:rsid w:val="008A19E8"/>
    <w:rsid w:val="008A1A57"/>
    <w:rsid w:val="008A1D2C"/>
    <w:rsid w:val="008A2287"/>
    <w:rsid w:val="008A3244"/>
    <w:rsid w:val="008A3391"/>
    <w:rsid w:val="008A3485"/>
    <w:rsid w:val="008A39BC"/>
    <w:rsid w:val="008A40FA"/>
    <w:rsid w:val="008A41AA"/>
    <w:rsid w:val="008A4283"/>
    <w:rsid w:val="008A4567"/>
    <w:rsid w:val="008A471C"/>
    <w:rsid w:val="008A48D9"/>
    <w:rsid w:val="008A4AC1"/>
    <w:rsid w:val="008A4AD6"/>
    <w:rsid w:val="008A4C15"/>
    <w:rsid w:val="008A4CB7"/>
    <w:rsid w:val="008A4D57"/>
    <w:rsid w:val="008A4F24"/>
    <w:rsid w:val="008A5223"/>
    <w:rsid w:val="008A52EF"/>
    <w:rsid w:val="008A535B"/>
    <w:rsid w:val="008A53EB"/>
    <w:rsid w:val="008A5700"/>
    <w:rsid w:val="008A57F9"/>
    <w:rsid w:val="008A5B0C"/>
    <w:rsid w:val="008A5B83"/>
    <w:rsid w:val="008A5DFF"/>
    <w:rsid w:val="008A61F6"/>
    <w:rsid w:val="008A6230"/>
    <w:rsid w:val="008A6479"/>
    <w:rsid w:val="008A6623"/>
    <w:rsid w:val="008A69EA"/>
    <w:rsid w:val="008A69FD"/>
    <w:rsid w:val="008A6D1D"/>
    <w:rsid w:val="008A6EB0"/>
    <w:rsid w:val="008A706D"/>
    <w:rsid w:val="008A7160"/>
    <w:rsid w:val="008A7173"/>
    <w:rsid w:val="008A741E"/>
    <w:rsid w:val="008A7501"/>
    <w:rsid w:val="008A788A"/>
    <w:rsid w:val="008A7D14"/>
    <w:rsid w:val="008A7F95"/>
    <w:rsid w:val="008B0040"/>
    <w:rsid w:val="008B0481"/>
    <w:rsid w:val="008B0488"/>
    <w:rsid w:val="008B04AE"/>
    <w:rsid w:val="008B0537"/>
    <w:rsid w:val="008B08E7"/>
    <w:rsid w:val="008B097B"/>
    <w:rsid w:val="008B09B5"/>
    <w:rsid w:val="008B09F4"/>
    <w:rsid w:val="008B0B2D"/>
    <w:rsid w:val="008B0DA7"/>
    <w:rsid w:val="008B0F7E"/>
    <w:rsid w:val="008B1043"/>
    <w:rsid w:val="008B1103"/>
    <w:rsid w:val="008B12E8"/>
    <w:rsid w:val="008B1443"/>
    <w:rsid w:val="008B161F"/>
    <w:rsid w:val="008B1756"/>
    <w:rsid w:val="008B1DAE"/>
    <w:rsid w:val="008B2006"/>
    <w:rsid w:val="008B2118"/>
    <w:rsid w:val="008B2791"/>
    <w:rsid w:val="008B297C"/>
    <w:rsid w:val="008B2CB5"/>
    <w:rsid w:val="008B32F3"/>
    <w:rsid w:val="008B3389"/>
    <w:rsid w:val="008B33CA"/>
    <w:rsid w:val="008B3649"/>
    <w:rsid w:val="008B3852"/>
    <w:rsid w:val="008B39CC"/>
    <w:rsid w:val="008B39D2"/>
    <w:rsid w:val="008B3C0C"/>
    <w:rsid w:val="008B3D3A"/>
    <w:rsid w:val="008B40DD"/>
    <w:rsid w:val="008B42B3"/>
    <w:rsid w:val="008B4315"/>
    <w:rsid w:val="008B4366"/>
    <w:rsid w:val="008B4941"/>
    <w:rsid w:val="008B4D59"/>
    <w:rsid w:val="008B5070"/>
    <w:rsid w:val="008B553C"/>
    <w:rsid w:val="008B56BA"/>
    <w:rsid w:val="008B5983"/>
    <w:rsid w:val="008B5AAB"/>
    <w:rsid w:val="008B5C8C"/>
    <w:rsid w:val="008B5CAA"/>
    <w:rsid w:val="008B5F0B"/>
    <w:rsid w:val="008B5FE0"/>
    <w:rsid w:val="008B62AF"/>
    <w:rsid w:val="008B64A1"/>
    <w:rsid w:val="008B6BB9"/>
    <w:rsid w:val="008B6CD0"/>
    <w:rsid w:val="008B6D20"/>
    <w:rsid w:val="008B6EAC"/>
    <w:rsid w:val="008B6EB6"/>
    <w:rsid w:val="008B6F79"/>
    <w:rsid w:val="008B7177"/>
    <w:rsid w:val="008B7990"/>
    <w:rsid w:val="008B7C6C"/>
    <w:rsid w:val="008B7DEB"/>
    <w:rsid w:val="008C003B"/>
    <w:rsid w:val="008C00D4"/>
    <w:rsid w:val="008C03B4"/>
    <w:rsid w:val="008C05E7"/>
    <w:rsid w:val="008C068D"/>
    <w:rsid w:val="008C074A"/>
    <w:rsid w:val="008C0B72"/>
    <w:rsid w:val="008C0D27"/>
    <w:rsid w:val="008C0F4C"/>
    <w:rsid w:val="008C1328"/>
    <w:rsid w:val="008C1578"/>
    <w:rsid w:val="008C178A"/>
    <w:rsid w:val="008C1B66"/>
    <w:rsid w:val="008C1D41"/>
    <w:rsid w:val="008C1ED0"/>
    <w:rsid w:val="008C2413"/>
    <w:rsid w:val="008C2489"/>
    <w:rsid w:val="008C2C3E"/>
    <w:rsid w:val="008C2D9D"/>
    <w:rsid w:val="008C2F2E"/>
    <w:rsid w:val="008C3271"/>
    <w:rsid w:val="008C34DA"/>
    <w:rsid w:val="008C36C6"/>
    <w:rsid w:val="008C3B02"/>
    <w:rsid w:val="008C3C3B"/>
    <w:rsid w:val="008C3D2A"/>
    <w:rsid w:val="008C3EF6"/>
    <w:rsid w:val="008C4146"/>
    <w:rsid w:val="008C41C5"/>
    <w:rsid w:val="008C449E"/>
    <w:rsid w:val="008C4582"/>
    <w:rsid w:val="008C4724"/>
    <w:rsid w:val="008C4BD9"/>
    <w:rsid w:val="008C4E02"/>
    <w:rsid w:val="008C5538"/>
    <w:rsid w:val="008C556A"/>
    <w:rsid w:val="008C59BC"/>
    <w:rsid w:val="008C6123"/>
    <w:rsid w:val="008C63DE"/>
    <w:rsid w:val="008C66B7"/>
    <w:rsid w:val="008C6723"/>
    <w:rsid w:val="008C6B24"/>
    <w:rsid w:val="008C7002"/>
    <w:rsid w:val="008C7171"/>
    <w:rsid w:val="008C733E"/>
    <w:rsid w:val="008C76EA"/>
    <w:rsid w:val="008C782A"/>
    <w:rsid w:val="008C7A69"/>
    <w:rsid w:val="008C7BAB"/>
    <w:rsid w:val="008C7CC0"/>
    <w:rsid w:val="008D02BB"/>
    <w:rsid w:val="008D035B"/>
    <w:rsid w:val="008D0378"/>
    <w:rsid w:val="008D07C6"/>
    <w:rsid w:val="008D0A70"/>
    <w:rsid w:val="008D0C8A"/>
    <w:rsid w:val="008D1153"/>
    <w:rsid w:val="008D116D"/>
    <w:rsid w:val="008D140F"/>
    <w:rsid w:val="008D1725"/>
    <w:rsid w:val="008D1799"/>
    <w:rsid w:val="008D1963"/>
    <w:rsid w:val="008D1B8E"/>
    <w:rsid w:val="008D1F7C"/>
    <w:rsid w:val="008D2441"/>
    <w:rsid w:val="008D2778"/>
    <w:rsid w:val="008D28FD"/>
    <w:rsid w:val="008D2AFC"/>
    <w:rsid w:val="008D2DD2"/>
    <w:rsid w:val="008D2F2C"/>
    <w:rsid w:val="008D30F1"/>
    <w:rsid w:val="008D31FF"/>
    <w:rsid w:val="008D33D8"/>
    <w:rsid w:val="008D3433"/>
    <w:rsid w:val="008D3447"/>
    <w:rsid w:val="008D3457"/>
    <w:rsid w:val="008D3506"/>
    <w:rsid w:val="008D3B9A"/>
    <w:rsid w:val="008D3E64"/>
    <w:rsid w:val="008D3FF6"/>
    <w:rsid w:val="008D4092"/>
    <w:rsid w:val="008D41C6"/>
    <w:rsid w:val="008D41C8"/>
    <w:rsid w:val="008D41E1"/>
    <w:rsid w:val="008D42CE"/>
    <w:rsid w:val="008D4491"/>
    <w:rsid w:val="008D461F"/>
    <w:rsid w:val="008D465B"/>
    <w:rsid w:val="008D46E0"/>
    <w:rsid w:val="008D4AA6"/>
    <w:rsid w:val="008D4DD8"/>
    <w:rsid w:val="008D4EAD"/>
    <w:rsid w:val="008D5058"/>
    <w:rsid w:val="008D5071"/>
    <w:rsid w:val="008D5277"/>
    <w:rsid w:val="008D5291"/>
    <w:rsid w:val="008D5525"/>
    <w:rsid w:val="008D576F"/>
    <w:rsid w:val="008D5AF8"/>
    <w:rsid w:val="008D5D81"/>
    <w:rsid w:val="008D5E0D"/>
    <w:rsid w:val="008D634C"/>
    <w:rsid w:val="008D66D1"/>
    <w:rsid w:val="008D67D9"/>
    <w:rsid w:val="008D6C20"/>
    <w:rsid w:val="008D6C30"/>
    <w:rsid w:val="008D6C8E"/>
    <w:rsid w:val="008D6D6E"/>
    <w:rsid w:val="008D706A"/>
    <w:rsid w:val="008D741E"/>
    <w:rsid w:val="008D75CE"/>
    <w:rsid w:val="008D76BD"/>
    <w:rsid w:val="008D76E2"/>
    <w:rsid w:val="008D79D0"/>
    <w:rsid w:val="008D79E4"/>
    <w:rsid w:val="008D7A97"/>
    <w:rsid w:val="008D7DFA"/>
    <w:rsid w:val="008D7F1D"/>
    <w:rsid w:val="008E0059"/>
    <w:rsid w:val="008E0190"/>
    <w:rsid w:val="008E029D"/>
    <w:rsid w:val="008E02F0"/>
    <w:rsid w:val="008E078E"/>
    <w:rsid w:val="008E0886"/>
    <w:rsid w:val="008E0A82"/>
    <w:rsid w:val="008E0D7C"/>
    <w:rsid w:val="008E1054"/>
    <w:rsid w:val="008E11DB"/>
    <w:rsid w:val="008E12BB"/>
    <w:rsid w:val="008E12F5"/>
    <w:rsid w:val="008E1390"/>
    <w:rsid w:val="008E15C4"/>
    <w:rsid w:val="008E1868"/>
    <w:rsid w:val="008E19AB"/>
    <w:rsid w:val="008E1A4F"/>
    <w:rsid w:val="008E1ECF"/>
    <w:rsid w:val="008E211A"/>
    <w:rsid w:val="008E2137"/>
    <w:rsid w:val="008E2369"/>
    <w:rsid w:val="008E272F"/>
    <w:rsid w:val="008E27AE"/>
    <w:rsid w:val="008E27AF"/>
    <w:rsid w:val="008E2946"/>
    <w:rsid w:val="008E29F5"/>
    <w:rsid w:val="008E2AC6"/>
    <w:rsid w:val="008E2BC8"/>
    <w:rsid w:val="008E31E1"/>
    <w:rsid w:val="008E33B6"/>
    <w:rsid w:val="008E344C"/>
    <w:rsid w:val="008E3456"/>
    <w:rsid w:val="008E39D5"/>
    <w:rsid w:val="008E3B8C"/>
    <w:rsid w:val="008E3FAA"/>
    <w:rsid w:val="008E40A7"/>
    <w:rsid w:val="008E413D"/>
    <w:rsid w:val="008E41F9"/>
    <w:rsid w:val="008E4214"/>
    <w:rsid w:val="008E4282"/>
    <w:rsid w:val="008E442A"/>
    <w:rsid w:val="008E4441"/>
    <w:rsid w:val="008E4940"/>
    <w:rsid w:val="008E50D8"/>
    <w:rsid w:val="008E52F7"/>
    <w:rsid w:val="008E5359"/>
    <w:rsid w:val="008E56D5"/>
    <w:rsid w:val="008E58C2"/>
    <w:rsid w:val="008E5960"/>
    <w:rsid w:val="008E5A15"/>
    <w:rsid w:val="008E5FB0"/>
    <w:rsid w:val="008E6097"/>
    <w:rsid w:val="008E62B4"/>
    <w:rsid w:val="008E62D4"/>
    <w:rsid w:val="008E6408"/>
    <w:rsid w:val="008E6CEE"/>
    <w:rsid w:val="008E6DDE"/>
    <w:rsid w:val="008E6E85"/>
    <w:rsid w:val="008E7101"/>
    <w:rsid w:val="008E71CE"/>
    <w:rsid w:val="008E71DC"/>
    <w:rsid w:val="008E72A3"/>
    <w:rsid w:val="008E7389"/>
    <w:rsid w:val="008E760E"/>
    <w:rsid w:val="008E7854"/>
    <w:rsid w:val="008E7A16"/>
    <w:rsid w:val="008F02A7"/>
    <w:rsid w:val="008F036A"/>
    <w:rsid w:val="008F058F"/>
    <w:rsid w:val="008F071E"/>
    <w:rsid w:val="008F0760"/>
    <w:rsid w:val="008F08F4"/>
    <w:rsid w:val="008F0AEE"/>
    <w:rsid w:val="008F0DDC"/>
    <w:rsid w:val="008F0FEB"/>
    <w:rsid w:val="008F11BC"/>
    <w:rsid w:val="008F11E7"/>
    <w:rsid w:val="008F1447"/>
    <w:rsid w:val="008F18C4"/>
    <w:rsid w:val="008F1ADE"/>
    <w:rsid w:val="008F1D86"/>
    <w:rsid w:val="008F221D"/>
    <w:rsid w:val="008F22A0"/>
    <w:rsid w:val="008F23D0"/>
    <w:rsid w:val="008F23D7"/>
    <w:rsid w:val="008F2849"/>
    <w:rsid w:val="008F28A0"/>
    <w:rsid w:val="008F28ED"/>
    <w:rsid w:val="008F2A97"/>
    <w:rsid w:val="008F2C0C"/>
    <w:rsid w:val="008F2D61"/>
    <w:rsid w:val="008F2DBE"/>
    <w:rsid w:val="008F2F25"/>
    <w:rsid w:val="008F2F77"/>
    <w:rsid w:val="008F3059"/>
    <w:rsid w:val="008F315E"/>
    <w:rsid w:val="008F32A6"/>
    <w:rsid w:val="008F339F"/>
    <w:rsid w:val="008F3A5E"/>
    <w:rsid w:val="008F3C0C"/>
    <w:rsid w:val="008F3E2A"/>
    <w:rsid w:val="008F3EA2"/>
    <w:rsid w:val="008F40C2"/>
    <w:rsid w:val="008F4175"/>
    <w:rsid w:val="008F41EB"/>
    <w:rsid w:val="008F4365"/>
    <w:rsid w:val="008F443D"/>
    <w:rsid w:val="008F4676"/>
    <w:rsid w:val="008F46C8"/>
    <w:rsid w:val="008F46E9"/>
    <w:rsid w:val="008F4783"/>
    <w:rsid w:val="008F47E7"/>
    <w:rsid w:val="008F490E"/>
    <w:rsid w:val="008F4A13"/>
    <w:rsid w:val="008F4F46"/>
    <w:rsid w:val="008F506D"/>
    <w:rsid w:val="008F558E"/>
    <w:rsid w:val="008F579F"/>
    <w:rsid w:val="008F5BA0"/>
    <w:rsid w:val="008F5E47"/>
    <w:rsid w:val="008F5E8F"/>
    <w:rsid w:val="008F5F8F"/>
    <w:rsid w:val="008F6414"/>
    <w:rsid w:val="008F643F"/>
    <w:rsid w:val="008F6580"/>
    <w:rsid w:val="008F6A17"/>
    <w:rsid w:val="008F6B0A"/>
    <w:rsid w:val="008F6E66"/>
    <w:rsid w:val="008F7288"/>
    <w:rsid w:val="008F7561"/>
    <w:rsid w:val="008F7589"/>
    <w:rsid w:val="008F758D"/>
    <w:rsid w:val="008F7915"/>
    <w:rsid w:val="008F7939"/>
    <w:rsid w:val="008F7A9C"/>
    <w:rsid w:val="008F7BDB"/>
    <w:rsid w:val="008F7C16"/>
    <w:rsid w:val="008F7CCD"/>
    <w:rsid w:val="008F7F28"/>
    <w:rsid w:val="008FACA7"/>
    <w:rsid w:val="00900025"/>
    <w:rsid w:val="009001F8"/>
    <w:rsid w:val="0090061B"/>
    <w:rsid w:val="00900685"/>
    <w:rsid w:val="00900711"/>
    <w:rsid w:val="009007AF"/>
    <w:rsid w:val="00900994"/>
    <w:rsid w:val="00900C66"/>
    <w:rsid w:val="00900E71"/>
    <w:rsid w:val="009011A3"/>
    <w:rsid w:val="009016FE"/>
    <w:rsid w:val="00901914"/>
    <w:rsid w:val="009019CA"/>
    <w:rsid w:val="009019EF"/>
    <w:rsid w:val="00901C29"/>
    <w:rsid w:val="0090293E"/>
    <w:rsid w:val="00902B06"/>
    <w:rsid w:val="00902DEF"/>
    <w:rsid w:val="00902E85"/>
    <w:rsid w:val="00903145"/>
    <w:rsid w:val="00903286"/>
    <w:rsid w:val="0090328D"/>
    <w:rsid w:val="009036BA"/>
    <w:rsid w:val="00903B25"/>
    <w:rsid w:val="00903F2B"/>
    <w:rsid w:val="00903FBC"/>
    <w:rsid w:val="00903FDF"/>
    <w:rsid w:val="00904444"/>
    <w:rsid w:val="009045C9"/>
    <w:rsid w:val="009046FB"/>
    <w:rsid w:val="009047D4"/>
    <w:rsid w:val="00904985"/>
    <w:rsid w:val="00904BFD"/>
    <w:rsid w:val="00904DFA"/>
    <w:rsid w:val="00904EFB"/>
    <w:rsid w:val="00905585"/>
    <w:rsid w:val="0090558F"/>
    <w:rsid w:val="00905788"/>
    <w:rsid w:val="00905789"/>
    <w:rsid w:val="0090580E"/>
    <w:rsid w:val="0090584C"/>
    <w:rsid w:val="00905EC8"/>
    <w:rsid w:val="009062B4"/>
    <w:rsid w:val="00906445"/>
    <w:rsid w:val="00906498"/>
    <w:rsid w:val="00906645"/>
    <w:rsid w:val="009066BC"/>
    <w:rsid w:val="0090672B"/>
    <w:rsid w:val="009072E6"/>
    <w:rsid w:val="00907C81"/>
    <w:rsid w:val="00907E24"/>
    <w:rsid w:val="009100A5"/>
    <w:rsid w:val="00910207"/>
    <w:rsid w:val="00910225"/>
    <w:rsid w:val="00910248"/>
    <w:rsid w:val="00910560"/>
    <w:rsid w:val="00910569"/>
    <w:rsid w:val="00910617"/>
    <w:rsid w:val="00910B0C"/>
    <w:rsid w:val="00910B76"/>
    <w:rsid w:val="00910B95"/>
    <w:rsid w:val="00910BBC"/>
    <w:rsid w:val="00910C0A"/>
    <w:rsid w:val="00910D74"/>
    <w:rsid w:val="00910FEE"/>
    <w:rsid w:val="00911066"/>
    <w:rsid w:val="009110E8"/>
    <w:rsid w:val="00911152"/>
    <w:rsid w:val="009118E6"/>
    <w:rsid w:val="00911988"/>
    <w:rsid w:val="00911A4D"/>
    <w:rsid w:val="00911AC2"/>
    <w:rsid w:val="00911AEC"/>
    <w:rsid w:val="00911B71"/>
    <w:rsid w:val="00911D42"/>
    <w:rsid w:val="009125F8"/>
    <w:rsid w:val="009128ED"/>
    <w:rsid w:val="0091295E"/>
    <w:rsid w:val="00912AB6"/>
    <w:rsid w:val="00912BB1"/>
    <w:rsid w:val="00912BB2"/>
    <w:rsid w:val="00912E27"/>
    <w:rsid w:val="00912EB0"/>
    <w:rsid w:val="00912FF3"/>
    <w:rsid w:val="0091307B"/>
    <w:rsid w:val="009135AA"/>
    <w:rsid w:val="00913A34"/>
    <w:rsid w:val="00913C12"/>
    <w:rsid w:val="00913E78"/>
    <w:rsid w:val="009142FB"/>
    <w:rsid w:val="0091431A"/>
    <w:rsid w:val="0091444C"/>
    <w:rsid w:val="00915487"/>
    <w:rsid w:val="0091554D"/>
    <w:rsid w:val="00915C1B"/>
    <w:rsid w:val="00915E2D"/>
    <w:rsid w:val="00916191"/>
    <w:rsid w:val="009162AA"/>
    <w:rsid w:val="0091640B"/>
    <w:rsid w:val="0091640C"/>
    <w:rsid w:val="0091642B"/>
    <w:rsid w:val="00916F23"/>
    <w:rsid w:val="00917075"/>
    <w:rsid w:val="00917125"/>
    <w:rsid w:val="009177DE"/>
    <w:rsid w:val="009178CD"/>
    <w:rsid w:val="00917A88"/>
    <w:rsid w:val="00917F8C"/>
    <w:rsid w:val="00920011"/>
    <w:rsid w:val="0092038B"/>
    <w:rsid w:val="009206AA"/>
    <w:rsid w:val="0092086D"/>
    <w:rsid w:val="00920B32"/>
    <w:rsid w:val="00920BD1"/>
    <w:rsid w:val="0092134E"/>
    <w:rsid w:val="009213B2"/>
    <w:rsid w:val="009214C2"/>
    <w:rsid w:val="009216B5"/>
    <w:rsid w:val="00921985"/>
    <w:rsid w:val="00921B95"/>
    <w:rsid w:val="009223D3"/>
    <w:rsid w:val="009224C4"/>
    <w:rsid w:val="00922627"/>
    <w:rsid w:val="00922A79"/>
    <w:rsid w:val="00922B7E"/>
    <w:rsid w:val="00922EFC"/>
    <w:rsid w:val="00922FA1"/>
    <w:rsid w:val="00923009"/>
    <w:rsid w:val="009231E0"/>
    <w:rsid w:val="00923400"/>
    <w:rsid w:val="00923476"/>
    <w:rsid w:val="009235A2"/>
    <w:rsid w:val="0092400F"/>
    <w:rsid w:val="009241E9"/>
    <w:rsid w:val="00924273"/>
    <w:rsid w:val="00924669"/>
    <w:rsid w:val="00924DF6"/>
    <w:rsid w:val="00924FCA"/>
    <w:rsid w:val="00925074"/>
    <w:rsid w:val="0092513C"/>
    <w:rsid w:val="00925251"/>
    <w:rsid w:val="00925356"/>
    <w:rsid w:val="009253BC"/>
    <w:rsid w:val="009254E2"/>
    <w:rsid w:val="009255CB"/>
    <w:rsid w:val="00925864"/>
    <w:rsid w:val="00925C3C"/>
    <w:rsid w:val="00925FD3"/>
    <w:rsid w:val="0092601A"/>
    <w:rsid w:val="0092630D"/>
    <w:rsid w:val="00926333"/>
    <w:rsid w:val="009264FE"/>
    <w:rsid w:val="00926565"/>
    <w:rsid w:val="00926C4A"/>
    <w:rsid w:val="00926D24"/>
    <w:rsid w:val="00927071"/>
    <w:rsid w:val="009279E2"/>
    <w:rsid w:val="00927E3B"/>
    <w:rsid w:val="00927EB6"/>
    <w:rsid w:val="0093002F"/>
    <w:rsid w:val="00930075"/>
    <w:rsid w:val="00930236"/>
    <w:rsid w:val="00930293"/>
    <w:rsid w:val="00930348"/>
    <w:rsid w:val="0093043C"/>
    <w:rsid w:val="009309AB"/>
    <w:rsid w:val="009309B2"/>
    <w:rsid w:val="00931099"/>
    <w:rsid w:val="0093128B"/>
    <w:rsid w:val="0093171B"/>
    <w:rsid w:val="0093179F"/>
    <w:rsid w:val="00931A77"/>
    <w:rsid w:val="00931C2A"/>
    <w:rsid w:val="00932597"/>
    <w:rsid w:val="0093296D"/>
    <w:rsid w:val="00932A6D"/>
    <w:rsid w:val="009330DA"/>
    <w:rsid w:val="009331B0"/>
    <w:rsid w:val="00933372"/>
    <w:rsid w:val="00933518"/>
    <w:rsid w:val="009335FD"/>
    <w:rsid w:val="00933AA6"/>
    <w:rsid w:val="00933B38"/>
    <w:rsid w:val="00933DE7"/>
    <w:rsid w:val="0093410A"/>
    <w:rsid w:val="00934180"/>
    <w:rsid w:val="0093429A"/>
    <w:rsid w:val="00934531"/>
    <w:rsid w:val="0093485F"/>
    <w:rsid w:val="00934A70"/>
    <w:rsid w:val="00934D4E"/>
    <w:rsid w:val="00934D7F"/>
    <w:rsid w:val="00934DA0"/>
    <w:rsid w:val="00934E6B"/>
    <w:rsid w:val="00934EB4"/>
    <w:rsid w:val="00935391"/>
    <w:rsid w:val="009354D7"/>
    <w:rsid w:val="00935714"/>
    <w:rsid w:val="00935806"/>
    <w:rsid w:val="0093585F"/>
    <w:rsid w:val="00935CE4"/>
    <w:rsid w:val="00936317"/>
    <w:rsid w:val="00936354"/>
    <w:rsid w:val="00936408"/>
    <w:rsid w:val="00936B20"/>
    <w:rsid w:val="00936B60"/>
    <w:rsid w:val="00936CB0"/>
    <w:rsid w:val="00936D8F"/>
    <w:rsid w:val="00936DB5"/>
    <w:rsid w:val="00936FF3"/>
    <w:rsid w:val="00937108"/>
    <w:rsid w:val="0093756C"/>
    <w:rsid w:val="009375D4"/>
    <w:rsid w:val="0093770B"/>
    <w:rsid w:val="00937A52"/>
    <w:rsid w:val="00937D78"/>
    <w:rsid w:val="009402F5"/>
    <w:rsid w:val="00940444"/>
    <w:rsid w:val="009404A0"/>
    <w:rsid w:val="009408A6"/>
    <w:rsid w:val="00940A6B"/>
    <w:rsid w:val="00940D07"/>
    <w:rsid w:val="0094108F"/>
    <w:rsid w:val="009411A8"/>
    <w:rsid w:val="009412A0"/>
    <w:rsid w:val="009413EB"/>
    <w:rsid w:val="009415F0"/>
    <w:rsid w:val="00941635"/>
    <w:rsid w:val="0094163F"/>
    <w:rsid w:val="009416B2"/>
    <w:rsid w:val="009417CF"/>
    <w:rsid w:val="009417E6"/>
    <w:rsid w:val="009417F0"/>
    <w:rsid w:val="0094196C"/>
    <w:rsid w:val="00941C30"/>
    <w:rsid w:val="00941F47"/>
    <w:rsid w:val="009421C7"/>
    <w:rsid w:val="00942436"/>
    <w:rsid w:val="00942721"/>
    <w:rsid w:val="00942763"/>
    <w:rsid w:val="0094279A"/>
    <w:rsid w:val="00942E73"/>
    <w:rsid w:val="0094318E"/>
    <w:rsid w:val="009433A4"/>
    <w:rsid w:val="009437A3"/>
    <w:rsid w:val="009438F0"/>
    <w:rsid w:val="0094399B"/>
    <w:rsid w:val="009439E4"/>
    <w:rsid w:val="00943E20"/>
    <w:rsid w:val="00943E35"/>
    <w:rsid w:val="00943E6F"/>
    <w:rsid w:val="00943F3F"/>
    <w:rsid w:val="00943F76"/>
    <w:rsid w:val="009440B1"/>
    <w:rsid w:val="009440B6"/>
    <w:rsid w:val="00944593"/>
    <w:rsid w:val="00944878"/>
    <w:rsid w:val="0094499B"/>
    <w:rsid w:val="009449D6"/>
    <w:rsid w:val="00944A95"/>
    <w:rsid w:val="00944CC1"/>
    <w:rsid w:val="00944F72"/>
    <w:rsid w:val="00945062"/>
    <w:rsid w:val="009452C0"/>
    <w:rsid w:val="00945325"/>
    <w:rsid w:val="00945368"/>
    <w:rsid w:val="00945511"/>
    <w:rsid w:val="00945575"/>
    <w:rsid w:val="0094562B"/>
    <w:rsid w:val="0094567C"/>
    <w:rsid w:val="00945813"/>
    <w:rsid w:val="00945A16"/>
    <w:rsid w:val="00945BE9"/>
    <w:rsid w:val="00945CA9"/>
    <w:rsid w:val="00946574"/>
    <w:rsid w:val="009465C8"/>
    <w:rsid w:val="00946751"/>
    <w:rsid w:val="00946877"/>
    <w:rsid w:val="009469BA"/>
    <w:rsid w:val="00946A9D"/>
    <w:rsid w:val="00946BBF"/>
    <w:rsid w:val="00946D54"/>
    <w:rsid w:val="00946FFF"/>
    <w:rsid w:val="00947100"/>
    <w:rsid w:val="0094777B"/>
    <w:rsid w:val="00947903"/>
    <w:rsid w:val="00947DFB"/>
    <w:rsid w:val="009500B1"/>
    <w:rsid w:val="0095016A"/>
    <w:rsid w:val="009501BA"/>
    <w:rsid w:val="00950201"/>
    <w:rsid w:val="0095055F"/>
    <w:rsid w:val="00950F93"/>
    <w:rsid w:val="00950F9D"/>
    <w:rsid w:val="00951007"/>
    <w:rsid w:val="00951090"/>
    <w:rsid w:val="00951374"/>
    <w:rsid w:val="00951432"/>
    <w:rsid w:val="00951435"/>
    <w:rsid w:val="00951505"/>
    <w:rsid w:val="009515CD"/>
    <w:rsid w:val="00951755"/>
    <w:rsid w:val="00951EDF"/>
    <w:rsid w:val="0095208F"/>
    <w:rsid w:val="0095210A"/>
    <w:rsid w:val="00952114"/>
    <w:rsid w:val="00952246"/>
    <w:rsid w:val="0095232F"/>
    <w:rsid w:val="009524A8"/>
    <w:rsid w:val="00952505"/>
    <w:rsid w:val="009526E8"/>
    <w:rsid w:val="0095283C"/>
    <w:rsid w:val="00952D78"/>
    <w:rsid w:val="00952E22"/>
    <w:rsid w:val="0095319E"/>
    <w:rsid w:val="009532A0"/>
    <w:rsid w:val="009532D3"/>
    <w:rsid w:val="009536EA"/>
    <w:rsid w:val="0095394A"/>
    <w:rsid w:val="00953C13"/>
    <w:rsid w:val="00953EBB"/>
    <w:rsid w:val="009545A8"/>
    <w:rsid w:val="00954743"/>
    <w:rsid w:val="009547E0"/>
    <w:rsid w:val="009548A0"/>
    <w:rsid w:val="009548BB"/>
    <w:rsid w:val="009549DA"/>
    <w:rsid w:val="00954B1E"/>
    <w:rsid w:val="00954FD0"/>
    <w:rsid w:val="0095562C"/>
    <w:rsid w:val="00955760"/>
    <w:rsid w:val="00955B2F"/>
    <w:rsid w:val="00955D8C"/>
    <w:rsid w:val="00955EDC"/>
    <w:rsid w:val="00955FE3"/>
    <w:rsid w:val="00956095"/>
    <w:rsid w:val="0095612C"/>
    <w:rsid w:val="009561AF"/>
    <w:rsid w:val="00956270"/>
    <w:rsid w:val="00956418"/>
    <w:rsid w:val="0095644C"/>
    <w:rsid w:val="009566BA"/>
    <w:rsid w:val="00956741"/>
    <w:rsid w:val="0095677D"/>
    <w:rsid w:val="00956913"/>
    <w:rsid w:val="00956F2A"/>
    <w:rsid w:val="009570A4"/>
    <w:rsid w:val="009572ED"/>
    <w:rsid w:val="0095734C"/>
    <w:rsid w:val="00957494"/>
    <w:rsid w:val="009574CD"/>
    <w:rsid w:val="009575E4"/>
    <w:rsid w:val="00957762"/>
    <w:rsid w:val="00957BE0"/>
    <w:rsid w:val="00957ECC"/>
    <w:rsid w:val="00960316"/>
    <w:rsid w:val="00960537"/>
    <w:rsid w:val="00960586"/>
    <w:rsid w:val="009606F2"/>
    <w:rsid w:val="00960833"/>
    <w:rsid w:val="009608E2"/>
    <w:rsid w:val="00960CA3"/>
    <w:rsid w:val="00960D3B"/>
    <w:rsid w:val="00960D91"/>
    <w:rsid w:val="00961336"/>
    <w:rsid w:val="00961756"/>
    <w:rsid w:val="009617D9"/>
    <w:rsid w:val="00961838"/>
    <w:rsid w:val="009618C5"/>
    <w:rsid w:val="00961919"/>
    <w:rsid w:val="00961CBA"/>
    <w:rsid w:val="00961E6C"/>
    <w:rsid w:val="00961FC1"/>
    <w:rsid w:val="00961FCD"/>
    <w:rsid w:val="00962049"/>
    <w:rsid w:val="00962363"/>
    <w:rsid w:val="0096239C"/>
    <w:rsid w:val="0096249A"/>
    <w:rsid w:val="0096272E"/>
    <w:rsid w:val="00962B32"/>
    <w:rsid w:val="00962CD0"/>
    <w:rsid w:val="00962E15"/>
    <w:rsid w:val="00962E3A"/>
    <w:rsid w:val="00962E8B"/>
    <w:rsid w:val="00962ECA"/>
    <w:rsid w:val="00962EE3"/>
    <w:rsid w:val="00963111"/>
    <w:rsid w:val="00963206"/>
    <w:rsid w:val="00963A36"/>
    <w:rsid w:val="0096418D"/>
    <w:rsid w:val="0096420C"/>
    <w:rsid w:val="0096465B"/>
    <w:rsid w:val="00964672"/>
    <w:rsid w:val="00964D5E"/>
    <w:rsid w:val="00964D81"/>
    <w:rsid w:val="0096518C"/>
    <w:rsid w:val="009651E5"/>
    <w:rsid w:val="00965209"/>
    <w:rsid w:val="00965386"/>
    <w:rsid w:val="00965491"/>
    <w:rsid w:val="00965620"/>
    <w:rsid w:val="0096569E"/>
    <w:rsid w:val="009656D4"/>
    <w:rsid w:val="00965E27"/>
    <w:rsid w:val="00965FFA"/>
    <w:rsid w:val="00966019"/>
    <w:rsid w:val="009660BB"/>
    <w:rsid w:val="009662B4"/>
    <w:rsid w:val="0096648B"/>
    <w:rsid w:val="009664E1"/>
    <w:rsid w:val="00966564"/>
    <w:rsid w:val="00966663"/>
    <w:rsid w:val="00966766"/>
    <w:rsid w:val="00966A95"/>
    <w:rsid w:val="00966E01"/>
    <w:rsid w:val="00966F17"/>
    <w:rsid w:val="00966FB3"/>
    <w:rsid w:val="00967076"/>
    <w:rsid w:val="00967149"/>
    <w:rsid w:val="009671B2"/>
    <w:rsid w:val="00967253"/>
    <w:rsid w:val="009675E9"/>
    <w:rsid w:val="009675F6"/>
    <w:rsid w:val="0096764C"/>
    <w:rsid w:val="009677B2"/>
    <w:rsid w:val="00967F6F"/>
    <w:rsid w:val="00967FC5"/>
    <w:rsid w:val="00970254"/>
    <w:rsid w:val="0097041F"/>
    <w:rsid w:val="00970841"/>
    <w:rsid w:val="009708F5"/>
    <w:rsid w:val="00970A20"/>
    <w:rsid w:val="00970A65"/>
    <w:rsid w:val="00970F88"/>
    <w:rsid w:val="00971270"/>
    <w:rsid w:val="0097140D"/>
    <w:rsid w:val="00971418"/>
    <w:rsid w:val="009715FE"/>
    <w:rsid w:val="0097176E"/>
    <w:rsid w:val="00971776"/>
    <w:rsid w:val="00971832"/>
    <w:rsid w:val="0097187E"/>
    <w:rsid w:val="009718C4"/>
    <w:rsid w:val="00971B77"/>
    <w:rsid w:val="00971BF0"/>
    <w:rsid w:val="00971E85"/>
    <w:rsid w:val="00971E96"/>
    <w:rsid w:val="00972655"/>
    <w:rsid w:val="00972830"/>
    <w:rsid w:val="00972934"/>
    <w:rsid w:val="00972B86"/>
    <w:rsid w:val="00972BD3"/>
    <w:rsid w:val="00972E18"/>
    <w:rsid w:val="00972E2C"/>
    <w:rsid w:val="00972E58"/>
    <w:rsid w:val="00972EA1"/>
    <w:rsid w:val="00972F04"/>
    <w:rsid w:val="0097302D"/>
    <w:rsid w:val="00973110"/>
    <w:rsid w:val="00973158"/>
    <w:rsid w:val="009735B0"/>
    <w:rsid w:val="009736B0"/>
    <w:rsid w:val="0097376C"/>
    <w:rsid w:val="00973C88"/>
    <w:rsid w:val="00973CD4"/>
    <w:rsid w:val="00973F50"/>
    <w:rsid w:val="00973FBD"/>
    <w:rsid w:val="00974003"/>
    <w:rsid w:val="009740E1"/>
    <w:rsid w:val="00974178"/>
    <w:rsid w:val="00974183"/>
    <w:rsid w:val="00974185"/>
    <w:rsid w:val="009741D4"/>
    <w:rsid w:val="00974236"/>
    <w:rsid w:val="009742E3"/>
    <w:rsid w:val="00974375"/>
    <w:rsid w:val="00974D5D"/>
    <w:rsid w:val="00974DF5"/>
    <w:rsid w:val="00974E59"/>
    <w:rsid w:val="00975029"/>
    <w:rsid w:val="00975085"/>
    <w:rsid w:val="0097513E"/>
    <w:rsid w:val="0097515F"/>
    <w:rsid w:val="00975175"/>
    <w:rsid w:val="00975804"/>
    <w:rsid w:val="00975977"/>
    <w:rsid w:val="00975AB0"/>
    <w:rsid w:val="00975DDC"/>
    <w:rsid w:val="00976134"/>
    <w:rsid w:val="00976191"/>
    <w:rsid w:val="00976873"/>
    <w:rsid w:val="0097690C"/>
    <w:rsid w:val="00976C96"/>
    <w:rsid w:val="00976CA5"/>
    <w:rsid w:val="00976D4D"/>
    <w:rsid w:val="00976DFE"/>
    <w:rsid w:val="00976E61"/>
    <w:rsid w:val="0097753F"/>
    <w:rsid w:val="00977964"/>
    <w:rsid w:val="00977A5E"/>
    <w:rsid w:val="00977EA8"/>
    <w:rsid w:val="00980398"/>
    <w:rsid w:val="00980556"/>
    <w:rsid w:val="009807FA"/>
    <w:rsid w:val="00980928"/>
    <w:rsid w:val="00980CA5"/>
    <w:rsid w:val="00980CB8"/>
    <w:rsid w:val="00980CFE"/>
    <w:rsid w:val="00980E73"/>
    <w:rsid w:val="00980EDA"/>
    <w:rsid w:val="009813E2"/>
    <w:rsid w:val="00981418"/>
    <w:rsid w:val="00981596"/>
    <w:rsid w:val="00981E46"/>
    <w:rsid w:val="0098212C"/>
    <w:rsid w:val="0098216A"/>
    <w:rsid w:val="00982184"/>
    <w:rsid w:val="009821DF"/>
    <w:rsid w:val="009821F0"/>
    <w:rsid w:val="009822B4"/>
    <w:rsid w:val="009823BD"/>
    <w:rsid w:val="009825C0"/>
    <w:rsid w:val="0098263A"/>
    <w:rsid w:val="009827A4"/>
    <w:rsid w:val="00982C15"/>
    <w:rsid w:val="00982C63"/>
    <w:rsid w:val="00982CBF"/>
    <w:rsid w:val="00982D36"/>
    <w:rsid w:val="00982D88"/>
    <w:rsid w:val="00982EAE"/>
    <w:rsid w:val="00982F1E"/>
    <w:rsid w:val="009830E3"/>
    <w:rsid w:val="009834C6"/>
    <w:rsid w:val="00983584"/>
    <w:rsid w:val="00983901"/>
    <w:rsid w:val="00983C74"/>
    <w:rsid w:val="00983D7F"/>
    <w:rsid w:val="00983EB5"/>
    <w:rsid w:val="00983F96"/>
    <w:rsid w:val="00984086"/>
    <w:rsid w:val="00984268"/>
    <w:rsid w:val="00984386"/>
    <w:rsid w:val="009844E3"/>
    <w:rsid w:val="009845AE"/>
    <w:rsid w:val="00984975"/>
    <w:rsid w:val="009849CB"/>
    <w:rsid w:val="00984AE9"/>
    <w:rsid w:val="00984E6E"/>
    <w:rsid w:val="009852B8"/>
    <w:rsid w:val="00985576"/>
    <w:rsid w:val="00985653"/>
    <w:rsid w:val="009857B0"/>
    <w:rsid w:val="00985801"/>
    <w:rsid w:val="00985A70"/>
    <w:rsid w:val="00985B68"/>
    <w:rsid w:val="00985BDA"/>
    <w:rsid w:val="009861B1"/>
    <w:rsid w:val="00986545"/>
    <w:rsid w:val="0098672E"/>
    <w:rsid w:val="009869CB"/>
    <w:rsid w:val="00986B30"/>
    <w:rsid w:val="00986C94"/>
    <w:rsid w:val="00986CD5"/>
    <w:rsid w:val="0098734C"/>
    <w:rsid w:val="009873CF"/>
    <w:rsid w:val="009875C0"/>
    <w:rsid w:val="009875ED"/>
    <w:rsid w:val="009878C8"/>
    <w:rsid w:val="009878DB"/>
    <w:rsid w:val="00987942"/>
    <w:rsid w:val="00987961"/>
    <w:rsid w:val="00987A51"/>
    <w:rsid w:val="00987AC6"/>
    <w:rsid w:val="00987C8B"/>
    <w:rsid w:val="009900DC"/>
    <w:rsid w:val="009901DF"/>
    <w:rsid w:val="00990389"/>
    <w:rsid w:val="00990521"/>
    <w:rsid w:val="009905F4"/>
    <w:rsid w:val="009908BA"/>
    <w:rsid w:val="0099099F"/>
    <w:rsid w:val="00990C48"/>
    <w:rsid w:val="0099119F"/>
    <w:rsid w:val="0099126E"/>
    <w:rsid w:val="009915C2"/>
    <w:rsid w:val="00991782"/>
    <w:rsid w:val="00991BB8"/>
    <w:rsid w:val="00991F30"/>
    <w:rsid w:val="00992237"/>
    <w:rsid w:val="00992DFD"/>
    <w:rsid w:val="00992E22"/>
    <w:rsid w:val="009930B7"/>
    <w:rsid w:val="009931C6"/>
    <w:rsid w:val="009934DD"/>
    <w:rsid w:val="0099387A"/>
    <w:rsid w:val="00993BFE"/>
    <w:rsid w:val="00993CDD"/>
    <w:rsid w:val="00993E6C"/>
    <w:rsid w:val="00993F77"/>
    <w:rsid w:val="0099401C"/>
    <w:rsid w:val="0099408E"/>
    <w:rsid w:val="0099424F"/>
    <w:rsid w:val="00994486"/>
    <w:rsid w:val="00994780"/>
    <w:rsid w:val="009949E8"/>
    <w:rsid w:val="009950D3"/>
    <w:rsid w:val="00995516"/>
    <w:rsid w:val="0099592C"/>
    <w:rsid w:val="00995B19"/>
    <w:rsid w:val="00995BC4"/>
    <w:rsid w:val="00995C67"/>
    <w:rsid w:val="00995D76"/>
    <w:rsid w:val="00995DFA"/>
    <w:rsid w:val="009960B7"/>
    <w:rsid w:val="0099635F"/>
    <w:rsid w:val="00996378"/>
    <w:rsid w:val="0099640A"/>
    <w:rsid w:val="00996492"/>
    <w:rsid w:val="009964CF"/>
    <w:rsid w:val="0099650F"/>
    <w:rsid w:val="0099654C"/>
    <w:rsid w:val="0099654F"/>
    <w:rsid w:val="009966F9"/>
    <w:rsid w:val="00996930"/>
    <w:rsid w:val="00996B1A"/>
    <w:rsid w:val="00996E8C"/>
    <w:rsid w:val="009970A6"/>
    <w:rsid w:val="00997143"/>
    <w:rsid w:val="009972F3"/>
    <w:rsid w:val="00997381"/>
    <w:rsid w:val="009973AD"/>
    <w:rsid w:val="00997594"/>
    <w:rsid w:val="00997813"/>
    <w:rsid w:val="00997856"/>
    <w:rsid w:val="00997ADE"/>
    <w:rsid w:val="00997CB0"/>
    <w:rsid w:val="009A0189"/>
    <w:rsid w:val="009A091C"/>
    <w:rsid w:val="009A09BD"/>
    <w:rsid w:val="009A0A5D"/>
    <w:rsid w:val="009A0AE9"/>
    <w:rsid w:val="009A1213"/>
    <w:rsid w:val="009A134A"/>
    <w:rsid w:val="009A1393"/>
    <w:rsid w:val="009A159B"/>
    <w:rsid w:val="009A16EA"/>
    <w:rsid w:val="009A1736"/>
    <w:rsid w:val="009A1895"/>
    <w:rsid w:val="009A19BC"/>
    <w:rsid w:val="009A19D9"/>
    <w:rsid w:val="009A1A0A"/>
    <w:rsid w:val="009A1A4E"/>
    <w:rsid w:val="009A1A9D"/>
    <w:rsid w:val="009A1FCE"/>
    <w:rsid w:val="009A20AD"/>
    <w:rsid w:val="009A2D65"/>
    <w:rsid w:val="009A2DC8"/>
    <w:rsid w:val="009A35AD"/>
    <w:rsid w:val="009A372F"/>
    <w:rsid w:val="009A3A31"/>
    <w:rsid w:val="009A3B6C"/>
    <w:rsid w:val="009A3DAB"/>
    <w:rsid w:val="009A4306"/>
    <w:rsid w:val="009A44F3"/>
    <w:rsid w:val="009A49CD"/>
    <w:rsid w:val="009A4A39"/>
    <w:rsid w:val="009A533F"/>
    <w:rsid w:val="009A57BE"/>
    <w:rsid w:val="009A594C"/>
    <w:rsid w:val="009A5BB2"/>
    <w:rsid w:val="009A5D6D"/>
    <w:rsid w:val="009A5E2C"/>
    <w:rsid w:val="009A652A"/>
    <w:rsid w:val="009A6BCC"/>
    <w:rsid w:val="009A701C"/>
    <w:rsid w:val="009A716D"/>
    <w:rsid w:val="009A7402"/>
    <w:rsid w:val="009A78A8"/>
    <w:rsid w:val="009A7E56"/>
    <w:rsid w:val="009A7E68"/>
    <w:rsid w:val="009B0083"/>
    <w:rsid w:val="009B0124"/>
    <w:rsid w:val="009B012D"/>
    <w:rsid w:val="009B0153"/>
    <w:rsid w:val="009B01E0"/>
    <w:rsid w:val="009B0382"/>
    <w:rsid w:val="009B0399"/>
    <w:rsid w:val="009B092B"/>
    <w:rsid w:val="009B0BD4"/>
    <w:rsid w:val="009B0D84"/>
    <w:rsid w:val="009B0DED"/>
    <w:rsid w:val="009B1361"/>
    <w:rsid w:val="009B13C8"/>
    <w:rsid w:val="009B1637"/>
    <w:rsid w:val="009B1669"/>
    <w:rsid w:val="009B167F"/>
    <w:rsid w:val="009B18DA"/>
    <w:rsid w:val="009B18E7"/>
    <w:rsid w:val="009B1951"/>
    <w:rsid w:val="009B1CA9"/>
    <w:rsid w:val="009B1F39"/>
    <w:rsid w:val="009B1F3A"/>
    <w:rsid w:val="009B1F63"/>
    <w:rsid w:val="009B20B8"/>
    <w:rsid w:val="009B20C6"/>
    <w:rsid w:val="009B2195"/>
    <w:rsid w:val="009B21F6"/>
    <w:rsid w:val="009B2376"/>
    <w:rsid w:val="009B23EB"/>
    <w:rsid w:val="009B243B"/>
    <w:rsid w:val="009B26CA"/>
    <w:rsid w:val="009B2A94"/>
    <w:rsid w:val="009B2ACA"/>
    <w:rsid w:val="009B2B2A"/>
    <w:rsid w:val="009B2BB4"/>
    <w:rsid w:val="009B2CF2"/>
    <w:rsid w:val="009B2D69"/>
    <w:rsid w:val="009B2E35"/>
    <w:rsid w:val="009B2E91"/>
    <w:rsid w:val="009B2EC2"/>
    <w:rsid w:val="009B30CE"/>
    <w:rsid w:val="009B328E"/>
    <w:rsid w:val="009B3352"/>
    <w:rsid w:val="009B378E"/>
    <w:rsid w:val="009B3A23"/>
    <w:rsid w:val="009B3B74"/>
    <w:rsid w:val="009B3BD6"/>
    <w:rsid w:val="009B3FD3"/>
    <w:rsid w:val="009B43A6"/>
    <w:rsid w:val="009B4524"/>
    <w:rsid w:val="009B46E1"/>
    <w:rsid w:val="009B4AB5"/>
    <w:rsid w:val="009B504F"/>
    <w:rsid w:val="009B50D1"/>
    <w:rsid w:val="009B5140"/>
    <w:rsid w:val="009B5535"/>
    <w:rsid w:val="009B5598"/>
    <w:rsid w:val="009B5AC2"/>
    <w:rsid w:val="009B5C75"/>
    <w:rsid w:val="009B5CA5"/>
    <w:rsid w:val="009B5CAA"/>
    <w:rsid w:val="009B5FD7"/>
    <w:rsid w:val="009B6295"/>
    <w:rsid w:val="009B63AD"/>
    <w:rsid w:val="009B6783"/>
    <w:rsid w:val="009B6843"/>
    <w:rsid w:val="009B6BCC"/>
    <w:rsid w:val="009B6EB7"/>
    <w:rsid w:val="009B7138"/>
    <w:rsid w:val="009B784D"/>
    <w:rsid w:val="009B7868"/>
    <w:rsid w:val="009B7CCA"/>
    <w:rsid w:val="009B7F07"/>
    <w:rsid w:val="009C008A"/>
    <w:rsid w:val="009C01D5"/>
    <w:rsid w:val="009C0B79"/>
    <w:rsid w:val="009C10FB"/>
    <w:rsid w:val="009C1111"/>
    <w:rsid w:val="009C119C"/>
    <w:rsid w:val="009C12DB"/>
    <w:rsid w:val="009C1365"/>
    <w:rsid w:val="009C1685"/>
    <w:rsid w:val="009C1A9B"/>
    <w:rsid w:val="009C2091"/>
    <w:rsid w:val="009C209F"/>
    <w:rsid w:val="009C2401"/>
    <w:rsid w:val="009C257C"/>
    <w:rsid w:val="009C273B"/>
    <w:rsid w:val="009C2799"/>
    <w:rsid w:val="009C291F"/>
    <w:rsid w:val="009C2AF3"/>
    <w:rsid w:val="009C2D24"/>
    <w:rsid w:val="009C3168"/>
    <w:rsid w:val="009C3205"/>
    <w:rsid w:val="009C3342"/>
    <w:rsid w:val="009C35D5"/>
    <w:rsid w:val="009C3716"/>
    <w:rsid w:val="009C3895"/>
    <w:rsid w:val="009C3943"/>
    <w:rsid w:val="009C39DB"/>
    <w:rsid w:val="009C3A9B"/>
    <w:rsid w:val="009C3BDB"/>
    <w:rsid w:val="009C3CA3"/>
    <w:rsid w:val="009C3E4F"/>
    <w:rsid w:val="009C411B"/>
    <w:rsid w:val="009C4445"/>
    <w:rsid w:val="009C45BA"/>
    <w:rsid w:val="009C4610"/>
    <w:rsid w:val="009C4882"/>
    <w:rsid w:val="009C4BEE"/>
    <w:rsid w:val="009C4E84"/>
    <w:rsid w:val="009C536F"/>
    <w:rsid w:val="009C58C6"/>
    <w:rsid w:val="009C5E8A"/>
    <w:rsid w:val="009C5F47"/>
    <w:rsid w:val="009C5FB8"/>
    <w:rsid w:val="009C61C2"/>
    <w:rsid w:val="009C62C1"/>
    <w:rsid w:val="009C6311"/>
    <w:rsid w:val="009C6556"/>
    <w:rsid w:val="009C6DAA"/>
    <w:rsid w:val="009C6E6C"/>
    <w:rsid w:val="009C6F21"/>
    <w:rsid w:val="009C70BD"/>
    <w:rsid w:val="009C7159"/>
    <w:rsid w:val="009C71C9"/>
    <w:rsid w:val="009C7376"/>
    <w:rsid w:val="009C7404"/>
    <w:rsid w:val="009C7770"/>
    <w:rsid w:val="009C7D27"/>
    <w:rsid w:val="009C7DC2"/>
    <w:rsid w:val="009D00F4"/>
    <w:rsid w:val="009D00F5"/>
    <w:rsid w:val="009D012B"/>
    <w:rsid w:val="009D0194"/>
    <w:rsid w:val="009D022F"/>
    <w:rsid w:val="009D06AC"/>
    <w:rsid w:val="009D0707"/>
    <w:rsid w:val="009D0870"/>
    <w:rsid w:val="009D0AE0"/>
    <w:rsid w:val="009D0B4D"/>
    <w:rsid w:val="009D112E"/>
    <w:rsid w:val="009D1203"/>
    <w:rsid w:val="009D1276"/>
    <w:rsid w:val="009D135B"/>
    <w:rsid w:val="009D16D4"/>
    <w:rsid w:val="009D18A5"/>
    <w:rsid w:val="009D1948"/>
    <w:rsid w:val="009D19E7"/>
    <w:rsid w:val="009D1B8B"/>
    <w:rsid w:val="009D2530"/>
    <w:rsid w:val="009D266F"/>
    <w:rsid w:val="009D2762"/>
    <w:rsid w:val="009D2850"/>
    <w:rsid w:val="009D2B32"/>
    <w:rsid w:val="009D2DB1"/>
    <w:rsid w:val="009D3030"/>
    <w:rsid w:val="009D3082"/>
    <w:rsid w:val="009D3964"/>
    <w:rsid w:val="009D3B19"/>
    <w:rsid w:val="009D3B77"/>
    <w:rsid w:val="009D3B9F"/>
    <w:rsid w:val="009D3C23"/>
    <w:rsid w:val="009D3EE3"/>
    <w:rsid w:val="009D4047"/>
    <w:rsid w:val="009D41F5"/>
    <w:rsid w:val="009D4336"/>
    <w:rsid w:val="009D4396"/>
    <w:rsid w:val="009D43AA"/>
    <w:rsid w:val="009D43AB"/>
    <w:rsid w:val="009D43D0"/>
    <w:rsid w:val="009D4815"/>
    <w:rsid w:val="009D4BEA"/>
    <w:rsid w:val="009D4C73"/>
    <w:rsid w:val="009D4CEF"/>
    <w:rsid w:val="009D5038"/>
    <w:rsid w:val="009D524C"/>
    <w:rsid w:val="009D52B1"/>
    <w:rsid w:val="009D5425"/>
    <w:rsid w:val="009D5435"/>
    <w:rsid w:val="009D54E1"/>
    <w:rsid w:val="009D598F"/>
    <w:rsid w:val="009D5DBC"/>
    <w:rsid w:val="009D5E55"/>
    <w:rsid w:val="009D5FED"/>
    <w:rsid w:val="009D637E"/>
    <w:rsid w:val="009D688E"/>
    <w:rsid w:val="009D69E0"/>
    <w:rsid w:val="009D69E4"/>
    <w:rsid w:val="009D6A00"/>
    <w:rsid w:val="009D6B5B"/>
    <w:rsid w:val="009D6EB5"/>
    <w:rsid w:val="009D723A"/>
    <w:rsid w:val="009D7523"/>
    <w:rsid w:val="009D7660"/>
    <w:rsid w:val="009D7909"/>
    <w:rsid w:val="009D7C28"/>
    <w:rsid w:val="009D7C57"/>
    <w:rsid w:val="009D7DAF"/>
    <w:rsid w:val="009E00B9"/>
    <w:rsid w:val="009E0127"/>
    <w:rsid w:val="009E01C2"/>
    <w:rsid w:val="009E04D3"/>
    <w:rsid w:val="009E0A70"/>
    <w:rsid w:val="009E0AAC"/>
    <w:rsid w:val="009E0C6B"/>
    <w:rsid w:val="009E13B6"/>
    <w:rsid w:val="009E185C"/>
    <w:rsid w:val="009E1ADB"/>
    <w:rsid w:val="009E1E6C"/>
    <w:rsid w:val="009E2186"/>
    <w:rsid w:val="009E2811"/>
    <w:rsid w:val="009E2B6B"/>
    <w:rsid w:val="009E2E6D"/>
    <w:rsid w:val="009E2FE1"/>
    <w:rsid w:val="009E31B2"/>
    <w:rsid w:val="009E3225"/>
    <w:rsid w:val="009E3310"/>
    <w:rsid w:val="009E3441"/>
    <w:rsid w:val="009E3743"/>
    <w:rsid w:val="009E37BB"/>
    <w:rsid w:val="009E3984"/>
    <w:rsid w:val="009E3BD5"/>
    <w:rsid w:val="009E3F9B"/>
    <w:rsid w:val="009E43CE"/>
    <w:rsid w:val="009E49A3"/>
    <w:rsid w:val="009E4CC2"/>
    <w:rsid w:val="009E51D5"/>
    <w:rsid w:val="009E58C1"/>
    <w:rsid w:val="009E594B"/>
    <w:rsid w:val="009E5BCC"/>
    <w:rsid w:val="009E5BCF"/>
    <w:rsid w:val="009E5CDC"/>
    <w:rsid w:val="009E5E50"/>
    <w:rsid w:val="009E5EB7"/>
    <w:rsid w:val="009E63D8"/>
    <w:rsid w:val="009E68EC"/>
    <w:rsid w:val="009E6961"/>
    <w:rsid w:val="009E6A81"/>
    <w:rsid w:val="009E6AE0"/>
    <w:rsid w:val="009E6B2A"/>
    <w:rsid w:val="009E6B88"/>
    <w:rsid w:val="009E6D2F"/>
    <w:rsid w:val="009E6E6A"/>
    <w:rsid w:val="009E6ED5"/>
    <w:rsid w:val="009E70FC"/>
    <w:rsid w:val="009E71BD"/>
    <w:rsid w:val="009E7861"/>
    <w:rsid w:val="009E7912"/>
    <w:rsid w:val="009E7BA6"/>
    <w:rsid w:val="009E7DE3"/>
    <w:rsid w:val="009E7DFC"/>
    <w:rsid w:val="009F02C1"/>
    <w:rsid w:val="009F0525"/>
    <w:rsid w:val="009F0604"/>
    <w:rsid w:val="009F0773"/>
    <w:rsid w:val="009F07C8"/>
    <w:rsid w:val="009F0938"/>
    <w:rsid w:val="009F0BC8"/>
    <w:rsid w:val="009F0C9A"/>
    <w:rsid w:val="009F0D8D"/>
    <w:rsid w:val="009F11A6"/>
    <w:rsid w:val="009F122A"/>
    <w:rsid w:val="009F152D"/>
    <w:rsid w:val="009F1724"/>
    <w:rsid w:val="009F1B21"/>
    <w:rsid w:val="009F1CCF"/>
    <w:rsid w:val="009F1FAF"/>
    <w:rsid w:val="009F253F"/>
    <w:rsid w:val="009F29E5"/>
    <w:rsid w:val="009F3258"/>
    <w:rsid w:val="009F3300"/>
    <w:rsid w:val="009F3512"/>
    <w:rsid w:val="009F396E"/>
    <w:rsid w:val="009F3A7D"/>
    <w:rsid w:val="009F3C59"/>
    <w:rsid w:val="009F3E2A"/>
    <w:rsid w:val="009F42D6"/>
    <w:rsid w:val="009F42DC"/>
    <w:rsid w:val="009F4400"/>
    <w:rsid w:val="009F4789"/>
    <w:rsid w:val="009F4BEC"/>
    <w:rsid w:val="009F4E71"/>
    <w:rsid w:val="009F50B1"/>
    <w:rsid w:val="009F513D"/>
    <w:rsid w:val="009F5414"/>
    <w:rsid w:val="009F5868"/>
    <w:rsid w:val="009F5AC5"/>
    <w:rsid w:val="009F5B8C"/>
    <w:rsid w:val="009F5E03"/>
    <w:rsid w:val="009F6071"/>
    <w:rsid w:val="009F61C4"/>
    <w:rsid w:val="009F6333"/>
    <w:rsid w:val="009F643C"/>
    <w:rsid w:val="009F66EE"/>
    <w:rsid w:val="009F6845"/>
    <w:rsid w:val="009F6900"/>
    <w:rsid w:val="009F6B41"/>
    <w:rsid w:val="009F6BFE"/>
    <w:rsid w:val="009F6D5A"/>
    <w:rsid w:val="009F6D9C"/>
    <w:rsid w:val="009F6EB9"/>
    <w:rsid w:val="009F7045"/>
    <w:rsid w:val="009F70DA"/>
    <w:rsid w:val="009F7369"/>
    <w:rsid w:val="009F73FE"/>
    <w:rsid w:val="009F74ED"/>
    <w:rsid w:val="009F75F1"/>
    <w:rsid w:val="009F7610"/>
    <w:rsid w:val="009F76A5"/>
    <w:rsid w:val="009F77BE"/>
    <w:rsid w:val="009F7B3E"/>
    <w:rsid w:val="009F7BE2"/>
    <w:rsid w:val="009F7E55"/>
    <w:rsid w:val="009F7EC6"/>
    <w:rsid w:val="009F7EC7"/>
    <w:rsid w:val="00A00239"/>
    <w:rsid w:val="00A0023F"/>
    <w:rsid w:val="00A002B8"/>
    <w:rsid w:val="00A0037E"/>
    <w:rsid w:val="00A008E0"/>
    <w:rsid w:val="00A009C2"/>
    <w:rsid w:val="00A00CC5"/>
    <w:rsid w:val="00A0114D"/>
    <w:rsid w:val="00A013E8"/>
    <w:rsid w:val="00A01459"/>
    <w:rsid w:val="00A01711"/>
    <w:rsid w:val="00A01736"/>
    <w:rsid w:val="00A01741"/>
    <w:rsid w:val="00A01959"/>
    <w:rsid w:val="00A01A7A"/>
    <w:rsid w:val="00A01BD9"/>
    <w:rsid w:val="00A02050"/>
    <w:rsid w:val="00A02182"/>
    <w:rsid w:val="00A0233C"/>
    <w:rsid w:val="00A02723"/>
    <w:rsid w:val="00A02758"/>
    <w:rsid w:val="00A029EE"/>
    <w:rsid w:val="00A02C9B"/>
    <w:rsid w:val="00A02E43"/>
    <w:rsid w:val="00A03104"/>
    <w:rsid w:val="00A03461"/>
    <w:rsid w:val="00A03706"/>
    <w:rsid w:val="00A0381A"/>
    <w:rsid w:val="00A039FB"/>
    <w:rsid w:val="00A03A30"/>
    <w:rsid w:val="00A03D00"/>
    <w:rsid w:val="00A03D12"/>
    <w:rsid w:val="00A03E39"/>
    <w:rsid w:val="00A04354"/>
    <w:rsid w:val="00A045BB"/>
    <w:rsid w:val="00A047D5"/>
    <w:rsid w:val="00A0485F"/>
    <w:rsid w:val="00A04B2B"/>
    <w:rsid w:val="00A04B98"/>
    <w:rsid w:val="00A04BC2"/>
    <w:rsid w:val="00A04F25"/>
    <w:rsid w:val="00A04F35"/>
    <w:rsid w:val="00A052E2"/>
    <w:rsid w:val="00A05414"/>
    <w:rsid w:val="00A054B8"/>
    <w:rsid w:val="00A05637"/>
    <w:rsid w:val="00A0568A"/>
    <w:rsid w:val="00A0568E"/>
    <w:rsid w:val="00A056A6"/>
    <w:rsid w:val="00A05866"/>
    <w:rsid w:val="00A05C12"/>
    <w:rsid w:val="00A05C34"/>
    <w:rsid w:val="00A05DB9"/>
    <w:rsid w:val="00A05DC3"/>
    <w:rsid w:val="00A05FFE"/>
    <w:rsid w:val="00A06076"/>
    <w:rsid w:val="00A060AA"/>
    <w:rsid w:val="00A06405"/>
    <w:rsid w:val="00A06558"/>
    <w:rsid w:val="00A06630"/>
    <w:rsid w:val="00A066EE"/>
    <w:rsid w:val="00A06865"/>
    <w:rsid w:val="00A07091"/>
    <w:rsid w:val="00A07251"/>
    <w:rsid w:val="00A072B6"/>
    <w:rsid w:val="00A07532"/>
    <w:rsid w:val="00A0775A"/>
    <w:rsid w:val="00A079B6"/>
    <w:rsid w:val="00A07BCA"/>
    <w:rsid w:val="00A07E09"/>
    <w:rsid w:val="00A07E96"/>
    <w:rsid w:val="00A104C6"/>
    <w:rsid w:val="00A10649"/>
    <w:rsid w:val="00A10726"/>
    <w:rsid w:val="00A10E24"/>
    <w:rsid w:val="00A113B8"/>
    <w:rsid w:val="00A11706"/>
    <w:rsid w:val="00A119D3"/>
    <w:rsid w:val="00A11C5E"/>
    <w:rsid w:val="00A11C83"/>
    <w:rsid w:val="00A1207A"/>
    <w:rsid w:val="00A1212D"/>
    <w:rsid w:val="00A1221F"/>
    <w:rsid w:val="00A12269"/>
    <w:rsid w:val="00A12472"/>
    <w:rsid w:val="00A126E5"/>
    <w:rsid w:val="00A12779"/>
    <w:rsid w:val="00A12A62"/>
    <w:rsid w:val="00A12AAD"/>
    <w:rsid w:val="00A12ABF"/>
    <w:rsid w:val="00A12C4E"/>
    <w:rsid w:val="00A12C8B"/>
    <w:rsid w:val="00A12CD1"/>
    <w:rsid w:val="00A131F4"/>
    <w:rsid w:val="00A1340A"/>
    <w:rsid w:val="00A13501"/>
    <w:rsid w:val="00A13700"/>
    <w:rsid w:val="00A13916"/>
    <w:rsid w:val="00A13D11"/>
    <w:rsid w:val="00A13F6B"/>
    <w:rsid w:val="00A1423A"/>
    <w:rsid w:val="00A149D3"/>
    <w:rsid w:val="00A14AF6"/>
    <w:rsid w:val="00A14B40"/>
    <w:rsid w:val="00A14E3F"/>
    <w:rsid w:val="00A14FAE"/>
    <w:rsid w:val="00A1501F"/>
    <w:rsid w:val="00A15096"/>
    <w:rsid w:val="00A15692"/>
    <w:rsid w:val="00A156C2"/>
    <w:rsid w:val="00A15743"/>
    <w:rsid w:val="00A15A99"/>
    <w:rsid w:val="00A15FB4"/>
    <w:rsid w:val="00A162E1"/>
    <w:rsid w:val="00A164F8"/>
    <w:rsid w:val="00A16814"/>
    <w:rsid w:val="00A16A09"/>
    <w:rsid w:val="00A16A7E"/>
    <w:rsid w:val="00A16E2C"/>
    <w:rsid w:val="00A17261"/>
    <w:rsid w:val="00A17441"/>
    <w:rsid w:val="00A1752E"/>
    <w:rsid w:val="00A1777C"/>
    <w:rsid w:val="00A177E1"/>
    <w:rsid w:val="00A17844"/>
    <w:rsid w:val="00A178E3"/>
    <w:rsid w:val="00A17A3B"/>
    <w:rsid w:val="00A17A9C"/>
    <w:rsid w:val="00A200B5"/>
    <w:rsid w:val="00A2020C"/>
    <w:rsid w:val="00A20784"/>
    <w:rsid w:val="00A20BAB"/>
    <w:rsid w:val="00A20D7D"/>
    <w:rsid w:val="00A20E84"/>
    <w:rsid w:val="00A21042"/>
    <w:rsid w:val="00A213CA"/>
    <w:rsid w:val="00A215F9"/>
    <w:rsid w:val="00A21830"/>
    <w:rsid w:val="00A21BD0"/>
    <w:rsid w:val="00A21F62"/>
    <w:rsid w:val="00A220DD"/>
    <w:rsid w:val="00A228BB"/>
    <w:rsid w:val="00A22A32"/>
    <w:rsid w:val="00A22A6E"/>
    <w:rsid w:val="00A22B83"/>
    <w:rsid w:val="00A22E11"/>
    <w:rsid w:val="00A22EC0"/>
    <w:rsid w:val="00A23003"/>
    <w:rsid w:val="00A2306D"/>
    <w:rsid w:val="00A23329"/>
    <w:rsid w:val="00A23401"/>
    <w:rsid w:val="00A2361E"/>
    <w:rsid w:val="00A23900"/>
    <w:rsid w:val="00A23D53"/>
    <w:rsid w:val="00A23F62"/>
    <w:rsid w:val="00A24006"/>
    <w:rsid w:val="00A2432E"/>
    <w:rsid w:val="00A243B0"/>
    <w:rsid w:val="00A24A26"/>
    <w:rsid w:val="00A24EA8"/>
    <w:rsid w:val="00A250CF"/>
    <w:rsid w:val="00A25339"/>
    <w:rsid w:val="00A2538D"/>
    <w:rsid w:val="00A25411"/>
    <w:rsid w:val="00A254C2"/>
    <w:rsid w:val="00A25581"/>
    <w:rsid w:val="00A25727"/>
    <w:rsid w:val="00A2572B"/>
    <w:rsid w:val="00A258FA"/>
    <w:rsid w:val="00A25937"/>
    <w:rsid w:val="00A259B6"/>
    <w:rsid w:val="00A25A08"/>
    <w:rsid w:val="00A25B48"/>
    <w:rsid w:val="00A25CCE"/>
    <w:rsid w:val="00A25CE3"/>
    <w:rsid w:val="00A25EBA"/>
    <w:rsid w:val="00A2632E"/>
    <w:rsid w:val="00A26361"/>
    <w:rsid w:val="00A26835"/>
    <w:rsid w:val="00A26839"/>
    <w:rsid w:val="00A268AC"/>
    <w:rsid w:val="00A26CE8"/>
    <w:rsid w:val="00A26D0C"/>
    <w:rsid w:val="00A26DC9"/>
    <w:rsid w:val="00A2701F"/>
    <w:rsid w:val="00A2718F"/>
    <w:rsid w:val="00A2724D"/>
    <w:rsid w:val="00A273F5"/>
    <w:rsid w:val="00A2750B"/>
    <w:rsid w:val="00A2756C"/>
    <w:rsid w:val="00A275CA"/>
    <w:rsid w:val="00A275D1"/>
    <w:rsid w:val="00A27642"/>
    <w:rsid w:val="00A276AB"/>
    <w:rsid w:val="00A276E5"/>
    <w:rsid w:val="00A27A0A"/>
    <w:rsid w:val="00A27B6A"/>
    <w:rsid w:val="00A300A6"/>
    <w:rsid w:val="00A301AB"/>
    <w:rsid w:val="00A302E0"/>
    <w:rsid w:val="00A305C6"/>
    <w:rsid w:val="00A306E9"/>
    <w:rsid w:val="00A306F0"/>
    <w:rsid w:val="00A307A3"/>
    <w:rsid w:val="00A30903"/>
    <w:rsid w:val="00A30ABA"/>
    <w:rsid w:val="00A30C3C"/>
    <w:rsid w:val="00A30CA6"/>
    <w:rsid w:val="00A30E2D"/>
    <w:rsid w:val="00A30EE4"/>
    <w:rsid w:val="00A30F39"/>
    <w:rsid w:val="00A30FFD"/>
    <w:rsid w:val="00A311F2"/>
    <w:rsid w:val="00A3124A"/>
    <w:rsid w:val="00A31490"/>
    <w:rsid w:val="00A31497"/>
    <w:rsid w:val="00A314E4"/>
    <w:rsid w:val="00A31A20"/>
    <w:rsid w:val="00A31AD2"/>
    <w:rsid w:val="00A31B25"/>
    <w:rsid w:val="00A32151"/>
    <w:rsid w:val="00A32176"/>
    <w:rsid w:val="00A32397"/>
    <w:rsid w:val="00A3244A"/>
    <w:rsid w:val="00A32481"/>
    <w:rsid w:val="00A327D0"/>
    <w:rsid w:val="00A327F5"/>
    <w:rsid w:val="00A328B3"/>
    <w:rsid w:val="00A32C42"/>
    <w:rsid w:val="00A32E27"/>
    <w:rsid w:val="00A33E93"/>
    <w:rsid w:val="00A34029"/>
    <w:rsid w:val="00A342E2"/>
    <w:rsid w:val="00A347FC"/>
    <w:rsid w:val="00A349DB"/>
    <w:rsid w:val="00A34DBC"/>
    <w:rsid w:val="00A34F4A"/>
    <w:rsid w:val="00A35021"/>
    <w:rsid w:val="00A35362"/>
    <w:rsid w:val="00A356FA"/>
    <w:rsid w:val="00A35732"/>
    <w:rsid w:val="00A3595C"/>
    <w:rsid w:val="00A35A48"/>
    <w:rsid w:val="00A35D81"/>
    <w:rsid w:val="00A35E33"/>
    <w:rsid w:val="00A35EA0"/>
    <w:rsid w:val="00A360C8"/>
    <w:rsid w:val="00A361E2"/>
    <w:rsid w:val="00A362AC"/>
    <w:rsid w:val="00A36445"/>
    <w:rsid w:val="00A364B1"/>
    <w:rsid w:val="00A36533"/>
    <w:rsid w:val="00A36790"/>
    <w:rsid w:val="00A3687A"/>
    <w:rsid w:val="00A3688A"/>
    <w:rsid w:val="00A36B31"/>
    <w:rsid w:val="00A370EA"/>
    <w:rsid w:val="00A371D3"/>
    <w:rsid w:val="00A37567"/>
    <w:rsid w:val="00A3757A"/>
    <w:rsid w:val="00A37591"/>
    <w:rsid w:val="00A3761A"/>
    <w:rsid w:val="00A377C4"/>
    <w:rsid w:val="00A37A94"/>
    <w:rsid w:val="00A40585"/>
    <w:rsid w:val="00A40592"/>
    <w:rsid w:val="00A405E5"/>
    <w:rsid w:val="00A40786"/>
    <w:rsid w:val="00A4098B"/>
    <w:rsid w:val="00A40A87"/>
    <w:rsid w:val="00A40B59"/>
    <w:rsid w:val="00A40C22"/>
    <w:rsid w:val="00A411E0"/>
    <w:rsid w:val="00A412C5"/>
    <w:rsid w:val="00A4157E"/>
    <w:rsid w:val="00A4185B"/>
    <w:rsid w:val="00A41915"/>
    <w:rsid w:val="00A41DA6"/>
    <w:rsid w:val="00A420A7"/>
    <w:rsid w:val="00A42142"/>
    <w:rsid w:val="00A42522"/>
    <w:rsid w:val="00A42A0B"/>
    <w:rsid w:val="00A42F0C"/>
    <w:rsid w:val="00A43213"/>
    <w:rsid w:val="00A4321E"/>
    <w:rsid w:val="00A4369B"/>
    <w:rsid w:val="00A4395A"/>
    <w:rsid w:val="00A43AED"/>
    <w:rsid w:val="00A43D5F"/>
    <w:rsid w:val="00A43E0F"/>
    <w:rsid w:val="00A4400B"/>
    <w:rsid w:val="00A4405F"/>
    <w:rsid w:val="00A444EB"/>
    <w:rsid w:val="00A44840"/>
    <w:rsid w:val="00A448BF"/>
    <w:rsid w:val="00A448E7"/>
    <w:rsid w:val="00A44A03"/>
    <w:rsid w:val="00A44A3A"/>
    <w:rsid w:val="00A44D1F"/>
    <w:rsid w:val="00A44FCD"/>
    <w:rsid w:val="00A45388"/>
    <w:rsid w:val="00A45389"/>
    <w:rsid w:val="00A45B7C"/>
    <w:rsid w:val="00A45F6A"/>
    <w:rsid w:val="00A46326"/>
    <w:rsid w:val="00A46378"/>
    <w:rsid w:val="00A465DD"/>
    <w:rsid w:val="00A46917"/>
    <w:rsid w:val="00A4697D"/>
    <w:rsid w:val="00A46B41"/>
    <w:rsid w:val="00A46BD7"/>
    <w:rsid w:val="00A46BDE"/>
    <w:rsid w:val="00A46E40"/>
    <w:rsid w:val="00A46FE3"/>
    <w:rsid w:val="00A47109"/>
    <w:rsid w:val="00A4716F"/>
    <w:rsid w:val="00A4738A"/>
    <w:rsid w:val="00A47499"/>
    <w:rsid w:val="00A476A2"/>
    <w:rsid w:val="00A476FF"/>
    <w:rsid w:val="00A4772F"/>
    <w:rsid w:val="00A478F8"/>
    <w:rsid w:val="00A47C01"/>
    <w:rsid w:val="00A47D8B"/>
    <w:rsid w:val="00A50328"/>
    <w:rsid w:val="00A50628"/>
    <w:rsid w:val="00A50724"/>
    <w:rsid w:val="00A5073A"/>
    <w:rsid w:val="00A514AB"/>
    <w:rsid w:val="00A51536"/>
    <w:rsid w:val="00A516DA"/>
    <w:rsid w:val="00A52204"/>
    <w:rsid w:val="00A52336"/>
    <w:rsid w:val="00A52563"/>
    <w:rsid w:val="00A52603"/>
    <w:rsid w:val="00A5285A"/>
    <w:rsid w:val="00A52A9A"/>
    <w:rsid w:val="00A52CA6"/>
    <w:rsid w:val="00A52E59"/>
    <w:rsid w:val="00A53084"/>
    <w:rsid w:val="00A5317E"/>
    <w:rsid w:val="00A531D5"/>
    <w:rsid w:val="00A533A8"/>
    <w:rsid w:val="00A533DB"/>
    <w:rsid w:val="00A5379B"/>
    <w:rsid w:val="00A537A4"/>
    <w:rsid w:val="00A53AB7"/>
    <w:rsid w:val="00A53BC6"/>
    <w:rsid w:val="00A53CBC"/>
    <w:rsid w:val="00A53E1D"/>
    <w:rsid w:val="00A53E51"/>
    <w:rsid w:val="00A53E87"/>
    <w:rsid w:val="00A541C7"/>
    <w:rsid w:val="00A542AF"/>
    <w:rsid w:val="00A543BB"/>
    <w:rsid w:val="00A544B1"/>
    <w:rsid w:val="00A544BB"/>
    <w:rsid w:val="00A545D9"/>
    <w:rsid w:val="00A549E6"/>
    <w:rsid w:val="00A54D23"/>
    <w:rsid w:val="00A54E4B"/>
    <w:rsid w:val="00A55146"/>
    <w:rsid w:val="00A55150"/>
    <w:rsid w:val="00A55B07"/>
    <w:rsid w:val="00A55B4F"/>
    <w:rsid w:val="00A55E39"/>
    <w:rsid w:val="00A55FE8"/>
    <w:rsid w:val="00A56012"/>
    <w:rsid w:val="00A560B9"/>
    <w:rsid w:val="00A56174"/>
    <w:rsid w:val="00A56204"/>
    <w:rsid w:val="00A5664D"/>
    <w:rsid w:val="00A5678D"/>
    <w:rsid w:val="00A5680A"/>
    <w:rsid w:val="00A56B0F"/>
    <w:rsid w:val="00A56CB8"/>
    <w:rsid w:val="00A56FD8"/>
    <w:rsid w:val="00A57000"/>
    <w:rsid w:val="00A570F1"/>
    <w:rsid w:val="00A573FA"/>
    <w:rsid w:val="00A57427"/>
    <w:rsid w:val="00A5743F"/>
    <w:rsid w:val="00A574C9"/>
    <w:rsid w:val="00A575E2"/>
    <w:rsid w:val="00A57638"/>
    <w:rsid w:val="00A5782E"/>
    <w:rsid w:val="00A57867"/>
    <w:rsid w:val="00A579F0"/>
    <w:rsid w:val="00A57A19"/>
    <w:rsid w:val="00A57A5D"/>
    <w:rsid w:val="00A57BA9"/>
    <w:rsid w:val="00A57F15"/>
    <w:rsid w:val="00A60267"/>
    <w:rsid w:val="00A603A1"/>
    <w:rsid w:val="00A606A5"/>
    <w:rsid w:val="00A6071E"/>
    <w:rsid w:val="00A60917"/>
    <w:rsid w:val="00A60B7A"/>
    <w:rsid w:val="00A60BA9"/>
    <w:rsid w:val="00A60CCE"/>
    <w:rsid w:val="00A60E15"/>
    <w:rsid w:val="00A614E9"/>
    <w:rsid w:val="00A6155E"/>
    <w:rsid w:val="00A615E2"/>
    <w:rsid w:val="00A61A04"/>
    <w:rsid w:val="00A61BD7"/>
    <w:rsid w:val="00A61C73"/>
    <w:rsid w:val="00A61CF6"/>
    <w:rsid w:val="00A61E45"/>
    <w:rsid w:val="00A61FAE"/>
    <w:rsid w:val="00A6201B"/>
    <w:rsid w:val="00A6202D"/>
    <w:rsid w:val="00A624EB"/>
    <w:rsid w:val="00A62ADB"/>
    <w:rsid w:val="00A62C82"/>
    <w:rsid w:val="00A62D45"/>
    <w:rsid w:val="00A6317B"/>
    <w:rsid w:val="00A631CF"/>
    <w:rsid w:val="00A631F0"/>
    <w:rsid w:val="00A63467"/>
    <w:rsid w:val="00A63844"/>
    <w:rsid w:val="00A6387D"/>
    <w:rsid w:val="00A63969"/>
    <w:rsid w:val="00A63AB8"/>
    <w:rsid w:val="00A63BD6"/>
    <w:rsid w:val="00A63C18"/>
    <w:rsid w:val="00A63C7B"/>
    <w:rsid w:val="00A6415A"/>
    <w:rsid w:val="00A641E0"/>
    <w:rsid w:val="00A64283"/>
    <w:rsid w:val="00A647A4"/>
    <w:rsid w:val="00A64CC5"/>
    <w:rsid w:val="00A64D3D"/>
    <w:rsid w:val="00A64F6D"/>
    <w:rsid w:val="00A6524E"/>
    <w:rsid w:val="00A653A0"/>
    <w:rsid w:val="00A654A1"/>
    <w:rsid w:val="00A654C6"/>
    <w:rsid w:val="00A65585"/>
    <w:rsid w:val="00A6588B"/>
    <w:rsid w:val="00A65A54"/>
    <w:rsid w:val="00A65BC4"/>
    <w:rsid w:val="00A65BF3"/>
    <w:rsid w:val="00A65D03"/>
    <w:rsid w:val="00A65D45"/>
    <w:rsid w:val="00A65D78"/>
    <w:rsid w:val="00A65DD6"/>
    <w:rsid w:val="00A65F98"/>
    <w:rsid w:val="00A66174"/>
    <w:rsid w:val="00A6669E"/>
    <w:rsid w:val="00A666B3"/>
    <w:rsid w:val="00A6672D"/>
    <w:rsid w:val="00A6681E"/>
    <w:rsid w:val="00A66B2B"/>
    <w:rsid w:val="00A66B78"/>
    <w:rsid w:val="00A66CE8"/>
    <w:rsid w:val="00A66E3C"/>
    <w:rsid w:val="00A6755A"/>
    <w:rsid w:val="00A67A97"/>
    <w:rsid w:val="00A67BBF"/>
    <w:rsid w:val="00A67C47"/>
    <w:rsid w:val="00A67DD8"/>
    <w:rsid w:val="00A700F6"/>
    <w:rsid w:val="00A706B6"/>
    <w:rsid w:val="00A707C6"/>
    <w:rsid w:val="00A707E8"/>
    <w:rsid w:val="00A70B40"/>
    <w:rsid w:val="00A70D54"/>
    <w:rsid w:val="00A7100B"/>
    <w:rsid w:val="00A71232"/>
    <w:rsid w:val="00A71233"/>
    <w:rsid w:val="00A71344"/>
    <w:rsid w:val="00A71348"/>
    <w:rsid w:val="00A7174A"/>
    <w:rsid w:val="00A719F7"/>
    <w:rsid w:val="00A71E7E"/>
    <w:rsid w:val="00A72392"/>
    <w:rsid w:val="00A725AD"/>
    <w:rsid w:val="00A72751"/>
    <w:rsid w:val="00A728DE"/>
    <w:rsid w:val="00A72A8F"/>
    <w:rsid w:val="00A72B87"/>
    <w:rsid w:val="00A72C24"/>
    <w:rsid w:val="00A73046"/>
    <w:rsid w:val="00A730CB"/>
    <w:rsid w:val="00A730D9"/>
    <w:rsid w:val="00A73283"/>
    <w:rsid w:val="00A733DB"/>
    <w:rsid w:val="00A735F8"/>
    <w:rsid w:val="00A73704"/>
    <w:rsid w:val="00A73757"/>
    <w:rsid w:val="00A739E3"/>
    <w:rsid w:val="00A73AEC"/>
    <w:rsid w:val="00A73BCD"/>
    <w:rsid w:val="00A73CC6"/>
    <w:rsid w:val="00A73D03"/>
    <w:rsid w:val="00A73D2E"/>
    <w:rsid w:val="00A741B6"/>
    <w:rsid w:val="00A74278"/>
    <w:rsid w:val="00A74304"/>
    <w:rsid w:val="00A7430C"/>
    <w:rsid w:val="00A7431D"/>
    <w:rsid w:val="00A744E5"/>
    <w:rsid w:val="00A745B1"/>
    <w:rsid w:val="00A745CD"/>
    <w:rsid w:val="00A74694"/>
    <w:rsid w:val="00A7477F"/>
    <w:rsid w:val="00A748A7"/>
    <w:rsid w:val="00A748E5"/>
    <w:rsid w:val="00A74D79"/>
    <w:rsid w:val="00A74F2B"/>
    <w:rsid w:val="00A74F31"/>
    <w:rsid w:val="00A750E8"/>
    <w:rsid w:val="00A753B9"/>
    <w:rsid w:val="00A75755"/>
    <w:rsid w:val="00A7575B"/>
    <w:rsid w:val="00A757E9"/>
    <w:rsid w:val="00A75858"/>
    <w:rsid w:val="00A75B7F"/>
    <w:rsid w:val="00A75CC4"/>
    <w:rsid w:val="00A75DCA"/>
    <w:rsid w:val="00A7625E"/>
    <w:rsid w:val="00A7634B"/>
    <w:rsid w:val="00A7646F"/>
    <w:rsid w:val="00A765F9"/>
    <w:rsid w:val="00A76669"/>
    <w:rsid w:val="00A76C1D"/>
    <w:rsid w:val="00A76C3B"/>
    <w:rsid w:val="00A76E77"/>
    <w:rsid w:val="00A77253"/>
    <w:rsid w:val="00A77291"/>
    <w:rsid w:val="00A77437"/>
    <w:rsid w:val="00A7754C"/>
    <w:rsid w:val="00A775E1"/>
    <w:rsid w:val="00A77B2E"/>
    <w:rsid w:val="00A77E04"/>
    <w:rsid w:val="00A77F6B"/>
    <w:rsid w:val="00A7A64E"/>
    <w:rsid w:val="00A80350"/>
    <w:rsid w:val="00A8060E"/>
    <w:rsid w:val="00A8088A"/>
    <w:rsid w:val="00A80999"/>
    <w:rsid w:val="00A80A9A"/>
    <w:rsid w:val="00A80B9C"/>
    <w:rsid w:val="00A80BA5"/>
    <w:rsid w:val="00A80FC5"/>
    <w:rsid w:val="00A813B2"/>
    <w:rsid w:val="00A81AB0"/>
    <w:rsid w:val="00A81AB1"/>
    <w:rsid w:val="00A81B0E"/>
    <w:rsid w:val="00A81CE7"/>
    <w:rsid w:val="00A81E31"/>
    <w:rsid w:val="00A81E49"/>
    <w:rsid w:val="00A823B6"/>
    <w:rsid w:val="00A82479"/>
    <w:rsid w:val="00A82540"/>
    <w:rsid w:val="00A82800"/>
    <w:rsid w:val="00A829F2"/>
    <w:rsid w:val="00A82B92"/>
    <w:rsid w:val="00A82C68"/>
    <w:rsid w:val="00A82F84"/>
    <w:rsid w:val="00A832BE"/>
    <w:rsid w:val="00A8335E"/>
    <w:rsid w:val="00A833A5"/>
    <w:rsid w:val="00A835F6"/>
    <w:rsid w:val="00A837F5"/>
    <w:rsid w:val="00A83EF3"/>
    <w:rsid w:val="00A83F62"/>
    <w:rsid w:val="00A84112"/>
    <w:rsid w:val="00A84634"/>
    <w:rsid w:val="00A8499A"/>
    <w:rsid w:val="00A84A37"/>
    <w:rsid w:val="00A854CC"/>
    <w:rsid w:val="00A8598A"/>
    <w:rsid w:val="00A859E4"/>
    <w:rsid w:val="00A85A10"/>
    <w:rsid w:val="00A85A48"/>
    <w:rsid w:val="00A85C4D"/>
    <w:rsid w:val="00A85D72"/>
    <w:rsid w:val="00A85E40"/>
    <w:rsid w:val="00A860C4"/>
    <w:rsid w:val="00A86138"/>
    <w:rsid w:val="00A8639B"/>
    <w:rsid w:val="00A86659"/>
    <w:rsid w:val="00A8677E"/>
    <w:rsid w:val="00A86859"/>
    <w:rsid w:val="00A86923"/>
    <w:rsid w:val="00A86A5D"/>
    <w:rsid w:val="00A86EBB"/>
    <w:rsid w:val="00A879F8"/>
    <w:rsid w:val="00A87A28"/>
    <w:rsid w:val="00A87A43"/>
    <w:rsid w:val="00A87CCA"/>
    <w:rsid w:val="00A87D29"/>
    <w:rsid w:val="00A90066"/>
    <w:rsid w:val="00A906C8"/>
    <w:rsid w:val="00A90B74"/>
    <w:rsid w:val="00A90E0D"/>
    <w:rsid w:val="00A90F26"/>
    <w:rsid w:val="00A90FEF"/>
    <w:rsid w:val="00A90FFD"/>
    <w:rsid w:val="00A911F7"/>
    <w:rsid w:val="00A91323"/>
    <w:rsid w:val="00A91358"/>
    <w:rsid w:val="00A91593"/>
    <w:rsid w:val="00A915BC"/>
    <w:rsid w:val="00A9181C"/>
    <w:rsid w:val="00A91B2D"/>
    <w:rsid w:val="00A91C38"/>
    <w:rsid w:val="00A91D9D"/>
    <w:rsid w:val="00A91ED8"/>
    <w:rsid w:val="00A92042"/>
    <w:rsid w:val="00A920C2"/>
    <w:rsid w:val="00A9221A"/>
    <w:rsid w:val="00A924E7"/>
    <w:rsid w:val="00A927EF"/>
    <w:rsid w:val="00A92873"/>
    <w:rsid w:val="00A929DB"/>
    <w:rsid w:val="00A92B57"/>
    <w:rsid w:val="00A92DC8"/>
    <w:rsid w:val="00A92E35"/>
    <w:rsid w:val="00A9300C"/>
    <w:rsid w:val="00A93063"/>
    <w:rsid w:val="00A9311F"/>
    <w:rsid w:val="00A93367"/>
    <w:rsid w:val="00A93522"/>
    <w:rsid w:val="00A935AC"/>
    <w:rsid w:val="00A935BE"/>
    <w:rsid w:val="00A938CE"/>
    <w:rsid w:val="00A93B79"/>
    <w:rsid w:val="00A9440F"/>
    <w:rsid w:val="00A944AB"/>
    <w:rsid w:val="00A9461C"/>
    <w:rsid w:val="00A9474C"/>
    <w:rsid w:val="00A94F7B"/>
    <w:rsid w:val="00A951A3"/>
    <w:rsid w:val="00A952C2"/>
    <w:rsid w:val="00A95349"/>
    <w:rsid w:val="00A9568F"/>
    <w:rsid w:val="00A956FD"/>
    <w:rsid w:val="00A957DD"/>
    <w:rsid w:val="00A95C04"/>
    <w:rsid w:val="00A95D10"/>
    <w:rsid w:val="00A962CF"/>
    <w:rsid w:val="00A966C4"/>
    <w:rsid w:val="00A96722"/>
    <w:rsid w:val="00A96934"/>
    <w:rsid w:val="00A96C31"/>
    <w:rsid w:val="00A96C50"/>
    <w:rsid w:val="00A9703E"/>
    <w:rsid w:val="00A9741F"/>
    <w:rsid w:val="00A976F6"/>
    <w:rsid w:val="00A97CE7"/>
    <w:rsid w:val="00A97F27"/>
    <w:rsid w:val="00AA0288"/>
    <w:rsid w:val="00AA03D2"/>
    <w:rsid w:val="00AA040E"/>
    <w:rsid w:val="00AA041E"/>
    <w:rsid w:val="00AA0719"/>
    <w:rsid w:val="00AA074E"/>
    <w:rsid w:val="00AA0D81"/>
    <w:rsid w:val="00AA1332"/>
    <w:rsid w:val="00AA17A9"/>
    <w:rsid w:val="00AA1D9D"/>
    <w:rsid w:val="00AA1F53"/>
    <w:rsid w:val="00AA1F59"/>
    <w:rsid w:val="00AA1FCE"/>
    <w:rsid w:val="00AA2149"/>
    <w:rsid w:val="00AA223B"/>
    <w:rsid w:val="00AA28BF"/>
    <w:rsid w:val="00AA2C81"/>
    <w:rsid w:val="00AA2DAF"/>
    <w:rsid w:val="00AA2DE6"/>
    <w:rsid w:val="00AA32D9"/>
    <w:rsid w:val="00AA331E"/>
    <w:rsid w:val="00AA350F"/>
    <w:rsid w:val="00AA36FB"/>
    <w:rsid w:val="00AA38B8"/>
    <w:rsid w:val="00AA391D"/>
    <w:rsid w:val="00AA4167"/>
    <w:rsid w:val="00AA41B5"/>
    <w:rsid w:val="00AA43B7"/>
    <w:rsid w:val="00AA45E3"/>
    <w:rsid w:val="00AA46ED"/>
    <w:rsid w:val="00AA4AA6"/>
    <w:rsid w:val="00AA4D6A"/>
    <w:rsid w:val="00AA4F5E"/>
    <w:rsid w:val="00AA529D"/>
    <w:rsid w:val="00AA53D3"/>
    <w:rsid w:val="00AA5678"/>
    <w:rsid w:val="00AA5809"/>
    <w:rsid w:val="00AA584C"/>
    <w:rsid w:val="00AA5B36"/>
    <w:rsid w:val="00AA5C6A"/>
    <w:rsid w:val="00AA616A"/>
    <w:rsid w:val="00AA61C7"/>
    <w:rsid w:val="00AA622D"/>
    <w:rsid w:val="00AA6292"/>
    <w:rsid w:val="00AA62C9"/>
    <w:rsid w:val="00AA63D2"/>
    <w:rsid w:val="00AA640D"/>
    <w:rsid w:val="00AA65E2"/>
    <w:rsid w:val="00AA6847"/>
    <w:rsid w:val="00AA6A8F"/>
    <w:rsid w:val="00AA716C"/>
    <w:rsid w:val="00AA7194"/>
    <w:rsid w:val="00AA72E7"/>
    <w:rsid w:val="00AA74A6"/>
    <w:rsid w:val="00AA75C2"/>
    <w:rsid w:val="00AA7989"/>
    <w:rsid w:val="00AA7C85"/>
    <w:rsid w:val="00AA7D08"/>
    <w:rsid w:val="00AB0208"/>
    <w:rsid w:val="00AB0430"/>
    <w:rsid w:val="00AB05F2"/>
    <w:rsid w:val="00AB07D1"/>
    <w:rsid w:val="00AB0865"/>
    <w:rsid w:val="00AB08B5"/>
    <w:rsid w:val="00AB098B"/>
    <w:rsid w:val="00AB09EA"/>
    <w:rsid w:val="00AB0A73"/>
    <w:rsid w:val="00AB0C10"/>
    <w:rsid w:val="00AB0DEA"/>
    <w:rsid w:val="00AB1099"/>
    <w:rsid w:val="00AB1328"/>
    <w:rsid w:val="00AB1335"/>
    <w:rsid w:val="00AB19E8"/>
    <w:rsid w:val="00AB1CF0"/>
    <w:rsid w:val="00AB1FD4"/>
    <w:rsid w:val="00AB25A3"/>
    <w:rsid w:val="00AB2672"/>
    <w:rsid w:val="00AB27AB"/>
    <w:rsid w:val="00AB2A1A"/>
    <w:rsid w:val="00AB2A95"/>
    <w:rsid w:val="00AB2BD6"/>
    <w:rsid w:val="00AB2E05"/>
    <w:rsid w:val="00AB2EE9"/>
    <w:rsid w:val="00AB2F69"/>
    <w:rsid w:val="00AB311F"/>
    <w:rsid w:val="00AB3214"/>
    <w:rsid w:val="00AB342F"/>
    <w:rsid w:val="00AB34D0"/>
    <w:rsid w:val="00AB3B6C"/>
    <w:rsid w:val="00AB3E63"/>
    <w:rsid w:val="00AB4038"/>
    <w:rsid w:val="00AB4049"/>
    <w:rsid w:val="00AB441A"/>
    <w:rsid w:val="00AB441E"/>
    <w:rsid w:val="00AB4596"/>
    <w:rsid w:val="00AB45B4"/>
    <w:rsid w:val="00AB4B81"/>
    <w:rsid w:val="00AB4CE3"/>
    <w:rsid w:val="00AB4E56"/>
    <w:rsid w:val="00AB54D3"/>
    <w:rsid w:val="00AB55D8"/>
    <w:rsid w:val="00AB55DB"/>
    <w:rsid w:val="00AB55E0"/>
    <w:rsid w:val="00AB587C"/>
    <w:rsid w:val="00AB5952"/>
    <w:rsid w:val="00AB59DA"/>
    <w:rsid w:val="00AB5C87"/>
    <w:rsid w:val="00AB5FEF"/>
    <w:rsid w:val="00AB63E8"/>
    <w:rsid w:val="00AB7462"/>
    <w:rsid w:val="00AB75FE"/>
    <w:rsid w:val="00AB77C1"/>
    <w:rsid w:val="00AB786F"/>
    <w:rsid w:val="00AB7C65"/>
    <w:rsid w:val="00AB7D03"/>
    <w:rsid w:val="00AB7D69"/>
    <w:rsid w:val="00AB7D8D"/>
    <w:rsid w:val="00AC00DD"/>
    <w:rsid w:val="00AC01C0"/>
    <w:rsid w:val="00AC0255"/>
    <w:rsid w:val="00AC05DB"/>
    <w:rsid w:val="00AC0A76"/>
    <w:rsid w:val="00AC1260"/>
    <w:rsid w:val="00AC1306"/>
    <w:rsid w:val="00AC166D"/>
    <w:rsid w:val="00AC1ABF"/>
    <w:rsid w:val="00AC2142"/>
    <w:rsid w:val="00AC228C"/>
    <w:rsid w:val="00AC2380"/>
    <w:rsid w:val="00AC272F"/>
    <w:rsid w:val="00AC2A61"/>
    <w:rsid w:val="00AC2C2E"/>
    <w:rsid w:val="00AC2D4F"/>
    <w:rsid w:val="00AC2E21"/>
    <w:rsid w:val="00AC2ECC"/>
    <w:rsid w:val="00AC30D9"/>
    <w:rsid w:val="00AC3172"/>
    <w:rsid w:val="00AC327D"/>
    <w:rsid w:val="00AC3298"/>
    <w:rsid w:val="00AC378E"/>
    <w:rsid w:val="00AC39BA"/>
    <w:rsid w:val="00AC3C02"/>
    <w:rsid w:val="00AC423B"/>
    <w:rsid w:val="00AC46B7"/>
    <w:rsid w:val="00AC47A9"/>
    <w:rsid w:val="00AC4B3E"/>
    <w:rsid w:val="00AC4CDB"/>
    <w:rsid w:val="00AC4D1B"/>
    <w:rsid w:val="00AC4ED2"/>
    <w:rsid w:val="00AC4F43"/>
    <w:rsid w:val="00AC54BF"/>
    <w:rsid w:val="00AC555D"/>
    <w:rsid w:val="00AC5756"/>
    <w:rsid w:val="00AC5786"/>
    <w:rsid w:val="00AC5BA7"/>
    <w:rsid w:val="00AC5BCA"/>
    <w:rsid w:val="00AC5F55"/>
    <w:rsid w:val="00AC5FD3"/>
    <w:rsid w:val="00AC608E"/>
    <w:rsid w:val="00AC60ED"/>
    <w:rsid w:val="00AC60F0"/>
    <w:rsid w:val="00AC6198"/>
    <w:rsid w:val="00AC68A9"/>
    <w:rsid w:val="00AC69A1"/>
    <w:rsid w:val="00AC6AD5"/>
    <w:rsid w:val="00AC6B9A"/>
    <w:rsid w:val="00AC6E20"/>
    <w:rsid w:val="00AC6E98"/>
    <w:rsid w:val="00AC7189"/>
    <w:rsid w:val="00AC7256"/>
    <w:rsid w:val="00AC74E0"/>
    <w:rsid w:val="00AC74F0"/>
    <w:rsid w:val="00AC75DA"/>
    <w:rsid w:val="00AC77CC"/>
    <w:rsid w:val="00AC78B3"/>
    <w:rsid w:val="00AC7A47"/>
    <w:rsid w:val="00AC7EB6"/>
    <w:rsid w:val="00AC7F69"/>
    <w:rsid w:val="00AD00E9"/>
    <w:rsid w:val="00AD023F"/>
    <w:rsid w:val="00AD05DC"/>
    <w:rsid w:val="00AD05F8"/>
    <w:rsid w:val="00AD0A33"/>
    <w:rsid w:val="00AD0E43"/>
    <w:rsid w:val="00AD10AB"/>
    <w:rsid w:val="00AD156E"/>
    <w:rsid w:val="00AD16EC"/>
    <w:rsid w:val="00AD1CE2"/>
    <w:rsid w:val="00AD2365"/>
    <w:rsid w:val="00AD2884"/>
    <w:rsid w:val="00AD28D6"/>
    <w:rsid w:val="00AD2BBB"/>
    <w:rsid w:val="00AD2D07"/>
    <w:rsid w:val="00AD3103"/>
    <w:rsid w:val="00AD33F5"/>
    <w:rsid w:val="00AD34BF"/>
    <w:rsid w:val="00AD34CB"/>
    <w:rsid w:val="00AD3724"/>
    <w:rsid w:val="00AD3818"/>
    <w:rsid w:val="00AD3A92"/>
    <w:rsid w:val="00AD3E00"/>
    <w:rsid w:val="00AD405B"/>
    <w:rsid w:val="00AD41FD"/>
    <w:rsid w:val="00AD4353"/>
    <w:rsid w:val="00AD486A"/>
    <w:rsid w:val="00AD4A3D"/>
    <w:rsid w:val="00AD4B36"/>
    <w:rsid w:val="00AD4BA8"/>
    <w:rsid w:val="00AD4BF7"/>
    <w:rsid w:val="00AD4E01"/>
    <w:rsid w:val="00AD4E13"/>
    <w:rsid w:val="00AD4F9E"/>
    <w:rsid w:val="00AD509E"/>
    <w:rsid w:val="00AD52A8"/>
    <w:rsid w:val="00AD550F"/>
    <w:rsid w:val="00AD5AA8"/>
    <w:rsid w:val="00AD5C55"/>
    <w:rsid w:val="00AD5E17"/>
    <w:rsid w:val="00AD5FB0"/>
    <w:rsid w:val="00AD6004"/>
    <w:rsid w:val="00AD6386"/>
    <w:rsid w:val="00AD6851"/>
    <w:rsid w:val="00AD71A4"/>
    <w:rsid w:val="00AD72C2"/>
    <w:rsid w:val="00AD738B"/>
    <w:rsid w:val="00AD747D"/>
    <w:rsid w:val="00AD76B0"/>
    <w:rsid w:val="00AD76FC"/>
    <w:rsid w:val="00AD79F3"/>
    <w:rsid w:val="00AD7C4C"/>
    <w:rsid w:val="00AD7C5F"/>
    <w:rsid w:val="00AD7DE0"/>
    <w:rsid w:val="00AD7FFA"/>
    <w:rsid w:val="00AE012C"/>
    <w:rsid w:val="00AE029A"/>
    <w:rsid w:val="00AE0364"/>
    <w:rsid w:val="00AE03B5"/>
    <w:rsid w:val="00AE03F4"/>
    <w:rsid w:val="00AE0689"/>
    <w:rsid w:val="00AE0784"/>
    <w:rsid w:val="00AE080F"/>
    <w:rsid w:val="00AE081C"/>
    <w:rsid w:val="00AE093F"/>
    <w:rsid w:val="00AE09B2"/>
    <w:rsid w:val="00AE0B1D"/>
    <w:rsid w:val="00AE0C89"/>
    <w:rsid w:val="00AE0E99"/>
    <w:rsid w:val="00AE0FF5"/>
    <w:rsid w:val="00AE14AC"/>
    <w:rsid w:val="00AE161D"/>
    <w:rsid w:val="00AE1649"/>
    <w:rsid w:val="00AE16A0"/>
    <w:rsid w:val="00AE185D"/>
    <w:rsid w:val="00AE1B18"/>
    <w:rsid w:val="00AE1E80"/>
    <w:rsid w:val="00AE217D"/>
    <w:rsid w:val="00AE2212"/>
    <w:rsid w:val="00AE27C6"/>
    <w:rsid w:val="00AE2AAB"/>
    <w:rsid w:val="00AE2E13"/>
    <w:rsid w:val="00AE2E68"/>
    <w:rsid w:val="00AE3028"/>
    <w:rsid w:val="00AE321D"/>
    <w:rsid w:val="00AE32BC"/>
    <w:rsid w:val="00AE3550"/>
    <w:rsid w:val="00AE376E"/>
    <w:rsid w:val="00AE3979"/>
    <w:rsid w:val="00AE39C0"/>
    <w:rsid w:val="00AE4077"/>
    <w:rsid w:val="00AE4353"/>
    <w:rsid w:val="00AE46CD"/>
    <w:rsid w:val="00AE4F91"/>
    <w:rsid w:val="00AE51C1"/>
    <w:rsid w:val="00AE5B20"/>
    <w:rsid w:val="00AE5D05"/>
    <w:rsid w:val="00AE5E5B"/>
    <w:rsid w:val="00AE5F0E"/>
    <w:rsid w:val="00AE5FDD"/>
    <w:rsid w:val="00AE6139"/>
    <w:rsid w:val="00AE64F9"/>
    <w:rsid w:val="00AE659C"/>
    <w:rsid w:val="00AE680F"/>
    <w:rsid w:val="00AE6994"/>
    <w:rsid w:val="00AE7019"/>
    <w:rsid w:val="00AE701A"/>
    <w:rsid w:val="00AE7376"/>
    <w:rsid w:val="00AE74A2"/>
    <w:rsid w:val="00AE765C"/>
    <w:rsid w:val="00AE7A26"/>
    <w:rsid w:val="00AE7ED9"/>
    <w:rsid w:val="00AE7F2A"/>
    <w:rsid w:val="00AE7FF0"/>
    <w:rsid w:val="00AF03C9"/>
    <w:rsid w:val="00AF0C40"/>
    <w:rsid w:val="00AF0EAF"/>
    <w:rsid w:val="00AF10D7"/>
    <w:rsid w:val="00AF1208"/>
    <w:rsid w:val="00AF13A3"/>
    <w:rsid w:val="00AF14A8"/>
    <w:rsid w:val="00AF17BF"/>
    <w:rsid w:val="00AF1915"/>
    <w:rsid w:val="00AF193A"/>
    <w:rsid w:val="00AF1EB2"/>
    <w:rsid w:val="00AF1F7F"/>
    <w:rsid w:val="00AF2187"/>
    <w:rsid w:val="00AF22F6"/>
    <w:rsid w:val="00AF2383"/>
    <w:rsid w:val="00AF2AEB"/>
    <w:rsid w:val="00AF2D11"/>
    <w:rsid w:val="00AF2EA7"/>
    <w:rsid w:val="00AF324E"/>
    <w:rsid w:val="00AF3474"/>
    <w:rsid w:val="00AF34BA"/>
    <w:rsid w:val="00AF3543"/>
    <w:rsid w:val="00AF3665"/>
    <w:rsid w:val="00AF3731"/>
    <w:rsid w:val="00AF3E70"/>
    <w:rsid w:val="00AF424A"/>
    <w:rsid w:val="00AF43E0"/>
    <w:rsid w:val="00AF47D5"/>
    <w:rsid w:val="00AF488F"/>
    <w:rsid w:val="00AF4ADE"/>
    <w:rsid w:val="00AF50DC"/>
    <w:rsid w:val="00AF50EE"/>
    <w:rsid w:val="00AF526B"/>
    <w:rsid w:val="00AF52AB"/>
    <w:rsid w:val="00AF53CE"/>
    <w:rsid w:val="00AF5448"/>
    <w:rsid w:val="00AF5590"/>
    <w:rsid w:val="00AF57C7"/>
    <w:rsid w:val="00AF634E"/>
    <w:rsid w:val="00AF646A"/>
    <w:rsid w:val="00AF6CB1"/>
    <w:rsid w:val="00AF6DBA"/>
    <w:rsid w:val="00AF6EFD"/>
    <w:rsid w:val="00AF713D"/>
    <w:rsid w:val="00AF71F7"/>
    <w:rsid w:val="00AF77C8"/>
    <w:rsid w:val="00AF7877"/>
    <w:rsid w:val="00AF7A74"/>
    <w:rsid w:val="00AF7BA9"/>
    <w:rsid w:val="00AF7CF7"/>
    <w:rsid w:val="00AF7E60"/>
    <w:rsid w:val="00B0019F"/>
    <w:rsid w:val="00B00403"/>
    <w:rsid w:val="00B004CE"/>
    <w:rsid w:val="00B005CD"/>
    <w:rsid w:val="00B007D4"/>
    <w:rsid w:val="00B00C45"/>
    <w:rsid w:val="00B00EDE"/>
    <w:rsid w:val="00B013F5"/>
    <w:rsid w:val="00B015E9"/>
    <w:rsid w:val="00B017A0"/>
    <w:rsid w:val="00B01836"/>
    <w:rsid w:val="00B0183C"/>
    <w:rsid w:val="00B018E2"/>
    <w:rsid w:val="00B01BB8"/>
    <w:rsid w:val="00B01C87"/>
    <w:rsid w:val="00B01DC9"/>
    <w:rsid w:val="00B01E7B"/>
    <w:rsid w:val="00B01FCF"/>
    <w:rsid w:val="00B01FFF"/>
    <w:rsid w:val="00B0207E"/>
    <w:rsid w:val="00B02154"/>
    <w:rsid w:val="00B02190"/>
    <w:rsid w:val="00B0261A"/>
    <w:rsid w:val="00B029C3"/>
    <w:rsid w:val="00B02E20"/>
    <w:rsid w:val="00B02E8B"/>
    <w:rsid w:val="00B02FAA"/>
    <w:rsid w:val="00B030E3"/>
    <w:rsid w:val="00B03479"/>
    <w:rsid w:val="00B034D4"/>
    <w:rsid w:val="00B0370F"/>
    <w:rsid w:val="00B03C2C"/>
    <w:rsid w:val="00B03C77"/>
    <w:rsid w:val="00B03CE3"/>
    <w:rsid w:val="00B03DCF"/>
    <w:rsid w:val="00B03E83"/>
    <w:rsid w:val="00B03F6C"/>
    <w:rsid w:val="00B042D7"/>
    <w:rsid w:val="00B044DD"/>
    <w:rsid w:val="00B04527"/>
    <w:rsid w:val="00B04B93"/>
    <w:rsid w:val="00B04BE9"/>
    <w:rsid w:val="00B04E6E"/>
    <w:rsid w:val="00B04F1E"/>
    <w:rsid w:val="00B0502A"/>
    <w:rsid w:val="00B0520D"/>
    <w:rsid w:val="00B05315"/>
    <w:rsid w:val="00B055CA"/>
    <w:rsid w:val="00B05A1E"/>
    <w:rsid w:val="00B05ED7"/>
    <w:rsid w:val="00B05FAC"/>
    <w:rsid w:val="00B06453"/>
    <w:rsid w:val="00B0649D"/>
    <w:rsid w:val="00B06738"/>
    <w:rsid w:val="00B06AD8"/>
    <w:rsid w:val="00B06C30"/>
    <w:rsid w:val="00B06D5E"/>
    <w:rsid w:val="00B06DF2"/>
    <w:rsid w:val="00B06F2C"/>
    <w:rsid w:val="00B06F68"/>
    <w:rsid w:val="00B070AE"/>
    <w:rsid w:val="00B0722F"/>
    <w:rsid w:val="00B0729B"/>
    <w:rsid w:val="00B075B1"/>
    <w:rsid w:val="00B076B4"/>
    <w:rsid w:val="00B07A2E"/>
    <w:rsid w:val="00B07C17"/>
    <w:rsid w:val="00B07C46"/>
    <w:rsid w:val="00B07C7E"/>
    <w:rsid w:val="00B07E0B"/>
    <w:rsid w:val="00B101EF"/>
    <w:rsid w:val="00B10486"/>
    <w:rsid w:val="00B1068F"/>
    <w:rsid w:val="00B10704"/>
    <w:rsid w:val="00B10939"/>
    <w:rsid w:val="00B10B09"/>
    <w:rsid w:val="00B10B27"/>
    <w:rsid w:val="00B1111F"/>
    <w:rsid w:val="00B112BC"/>
    <w:rsid w:val="00B1164F"/>
    <w:rsid w:val="00B11941"/>
    <w:rsid w:val="00B12B64"/>
    <w:rsid w:val="00B12BCC"/>
    <w:rsid w:val="00B12D81"/>
    <w:rsid w:val="00B12E15"/>
    <w:rsid w:val="00B12E39"/>
    <w:rsid w:val="00B12E80"/>
    <w:rsid w:val="00B12FAD"/>
    <w:rsid w:val="00B13071"/>
    <w:rsid w:val="00B13446"/>
    <w:rsid w:val="00B1366B"/>
    <w:rsid w:val="00B138E7"/>
    <w:rsid w:val="00B13966"/>
    <w:rsid w:val="00B13A7A"/>
    <w:rsid w:val="00B13FAD"/>
    <w:rsid w:val="00B14067"/>
    <w:rsid w:val="00B1406B"/>
    <w:rsid w:val="00B1420E"/>
    <w:rsid w:val="00B1450B"/>
    <w:rsid w:val="00B147FB"/>
    <w:rsid w:val="00B14B4D"/>
    <w:rsid w:val="00B14D62"/>
    <w:rsid w:val="00B14D7C"/>
    <w:rsid w:val="00B14F44"/>
    <w:rsid w:val="00B151D1"/>
    <w:rsid w:val="00B151E6"/>
    <w:rsid w:val="00B15292"/>
    <w:rsid w:val="00B153D3"/>
    <w:rsid w:val="00B15943"/>
    <w:rsid w:val="00B15969"/>
    <w:rsid w:val="00B15E2B"/>
    <w:rsid w:val="00B16156"/>
    <w:rsid w:val="00B1647A"/>
    <w:rsid w:val="00B16603"/>
    <w:rsid w:val="00B166E9"/>
    <w:rsid w:val="00B16C7E"/>
    <w:rsid w:val="00B16D07"/>
    <w:rsid w:val="00B16F70"/>
    <w:rsid w:val="00B16FF0"/>
    <w:rsid w:val="00B170D8"/>
    <w:rsid w:val="00B17225"/>
    <w:rsid w:val="00B1736C"/>
    <w:rsid w:val="00B1768D"/>
    <w:rsid w:val="00B179E1"/>
    <w:rsid w:val="00B179E7"/>
    <w:rsid w:val="00B17A44"/>
    <w:rsid w:val="00B17F7C"/>
    <w:rsid w:val="00B2027C"/>
    <w:rsid w:val="00B2031D"/>
    <w:rsid w:val="00B206E7"/>
    <w:rsid w:val="00B20A05"/>
    <w:rsid w:val="00B20BC2"/>
    <w:rsid w:val="00B20C39"/>
    <w:rsid w:val="00B20E00"/>
    <w:rsid w:val="00B21450"/>
    <w:rsid w:val="00B21A48"/>
    <w:rsid w:val="00B21BBE"/>
    <w:rsid w:val="00B21DA9"/>
    <w:rsid w:val="00B223E2"/>
    <w:rsid w:val="00B22618"/>
    <w:rsid w:val="00B22669"/>
    <w:rsid w:val="00B22895"/>
    <w:rsid w:val="00B22C3B"/>
    <w:rsid w:val="00B22C8D"/>
    <w:rsid w:val="00B22DC1"/>
    <w:rsid w:val="00B230CA"/>
    <w:rsid w:val="00B23394"/>
    <w:rsid w:val="00B23588"/>
    <w:rsid w:val="00B23747"/>
    <w:rsid w:val="00B23866"/>
    <w:rsid w:val="00B23910"/>
    <w:rsid w:val="00B23BFF"/>
    <w:rsid w:val="00B23FB4"/>
    <w:rsid w:val="00B24254"/>
    <w:rsid w:val="00B24305"/>
    <w:rsid w:val="00B24313"/>
    <w:rsid w:val="00B2437C"/>
    <w:rsid w:val="00B2442F"/>
    <w:rsid w:val="00B245CE"/>
    <w:rsid w:val="00B2465F"/>
    <w:rsid w:val="00B24859"/>
    <w:rsid w:val="00B2494A"/>
    <w:rsid w:val="00B25604"/>
    <w:rsid w:val="00B257B8"/>
    <w:rsid w:val="00B257DF"/>
    <w:rsid w:val="00B259A9"/>
    <w:rsid w:val="00B259F8"/>
    <w:rsid w:val="00B25B5A"/>
    <w:rsid w:val="00B25B71"/>
    <w:rsid w:val="00B26242"/>
    <w:rsid w:val="00B26614"/>
    <w:rsid w:val="00B267E4"/>
    <w:rsid w:val="00B27120"/>
    <w:rsid w:val="00B2712A"/>
    <w:rsid w:val="00B2770A"/>
    <w:rsid w:val="00B27D3A"/>
    <w:rsid w:val="00B27D91"/>
    <w:rsid w:val="00B27E36"/>
    <w:rsid w:val="00B27EC1"/>
    <w:rsid w:val="00B2CEB4"/>
    <w:rsid w:val="00B304DD"/>
    <w:rsid w:val="00B30655"/>
    <w:rsid w:val="00B30738"/>
    <w:rsid w:val="00B30A93"/>
    <w:rsid w:val="00B30D14"/>
    <w:rsid w:val="00B30ED1"/>
    <w:rsid w:val="00B31481"/>
    <w:rsid w:val="00B3171A"/>
    <w:rsid w:val="00B31728"/>
    <w:rsid w:val="00B31A66"/>
    <w:rsid w:val="00B31BD9"/>
    <w:rsid w:val="00B31D60"/>
    <w:rsid w:val="00B31F86"/>
    <w:rsid w:val="00B31FCD"/>
    <w:rsid w:val="00B3208C"/>
    <w:rsid w:val="00B3244C"/>
    <w:rsid w:val="00B32847"/>
    <w:rsid w:val="00B32CF9"/>
    <w:rsid w:val="00B32F44"/>
    <w:rsid w:val="00B335EA"/>
    <w:rsid w:val="00B33733"/>
    <w:rsid w:val="00B33923"/>
    <w:rsid w:val="00B33CF3"/>
    <w:rsid w:val="00B33FC4"/>
    <w:rsid w:val="00B3434E"/>
    <w:rsid w:val="00B34592"/>
    <w:rsid w:val="00B345FC"/>
    <w:rsid w:val="00B34AE6"/>
    <w:rsid w:val="00B34BF6"/>
    <w:rsid w:val="00B34D97"/>
    <w:rsid w:val="00B34F85"/>
    <w:rsid w:val="00B35076"/>
    <w:rsid w:val="00B3507C"/>
    <w:rsid w:val="00B35112"/>
    <w:rsid w:val="00B3512E"/>
    <w:rsid w:val="00B354E1"/>
    <w:rsid w:val="00B35553"/>
    <w:rsid w:val="00B35565"/>
    <w:rsid w:val="00B3580D"/>
    <w:rsid w:val="00B358EC"/>
    <w:rsid w:val="00B35935"/>
    <w:rsid w:val="00B35D1D"/>
    <w:rsid w:val="00B36259"/>
    <w:rsid w:val="00B36311"/>
    <w:rsid w:val="00B36374"/>
    <w:rsid w:val="00B36715"/>
    <w:rsid w:val="00B36747"/>
    <w:rsid w:val="00B368BF"/>
    <w:rsid w:val="00B368C5"/>
    <w:rsid w:val="00B36B7A"/>
    <w:rsid w:val="00B36CCD"/>
    <w:rsid w:val="00B36FA7"/>
    <w:rsid w:val="00B3709D"/>
    <w:rsid w:val="00B37214"/>
    <w:rsid w:val="00B37427"/>
    <w:rsid w:val="00B37A73"/>
    <w:rsid w:val="00B37DA4"/>
    <w:rsid w:val="00B37ECC"/>
    <w:rsid w:val="00B37EE2"/>
    <w:rsid w:val="00B37F1C"/>
    <w:rsid w:val="00B37F6B"/>
    <w:rsid w:val="00B401D1"/>
    <w:rsid w:val="00B40294"/>
    <w:rsid w:val="00B403D9"/>
    <w:rsid w:val="00B405F2"/>
    <w:rsid w:val="00B4077F"/>
    <w:rsid w:val="00B40794"/>
    <w:rsid w:val="00B40B27"/>
    <w:rsid w:val="00B40E59"/>
    <w:rsid w:val="00B40EF5"/>
    <w:rsid w:val="00B41173"/>
    <w:rsid w:val="00B41280"/>
    <w:rsid w:val="00B4128F"/>
    <w:rsid w:val="00B4137F"/>
    <w:rsid w:val="00B417D1"/>
    <w:rsid w:val="00B41915"/>
    <w:rsid w:val="00B41952"/>
    <w:rsid w:val="00B41CE4"/>
    <w:rsid w:val="00B41CFF"/>
    <w:rsid w:val="00B41F28"/>
    <w:rsid w:val="00B420E3"/>
    <w:rsid w:val="00B4243D"/>
    <w:rsid w:val="00B4249A"/>
    <w:rsid w:val="00B425E6"/>
    <w:rsid w:val="00B42683"/>
    <w:rsid w:val="00B42691"/>
    <w:rsid w:val="00B429E4"/>
    <w:rsid w:val="00B42D07"/>
    <w:rsid w:val="00B42E34"/>
    <w:rsid w:val="00B42E91"/>
    <w:rsid w:val="00B4301D"/>
    <w:rsid w:val="00B43495"/>
    <w:rsid w:val="00B434C9"/>
    <w:rsid w:val="00B43721"/>
    <w:rsid w:val="00B43740"/>
    <w:rsid w:val="00B4396B"/>
    <w:rsid w:val="00B43A5B"/>
    <w:rsid w:val="00B43C95"/>
    <w:rsid w:val="00B43F65"/>
    <w:rsid w:val="00B43F6D"/>
    <w:rsid w:val="00B43F75"/>
    <w:rsid w:val="00B4403A"/>
    <w:rsid w:val="00B441BD"/>
    <w:rsid w:val="00B44446"/>
    <w:rsid w:val="00B448B6"/>
    <w:rsid w:val="00B448E2"/>
    <w:rsid w:val="00B44A5B"/>
    <w:rsid w:val="00B44D0F"/>
    <w:rsid w:val="00B44DDC"/>
    <w:rsid w:val="00B450C7"/>
    <w:rsid w:val="00B4523F"/>
    <w:rsid w:val="00B45320"/>
    <w:rsid w:val="00B455B3"/>
    <w:rsid w:val="00B45E6F"/>
    <w:rsid w:val="00B45FA0"/>
    <w:rsid w:val="00B46751"/>
    <w:rsid w:val="00B467C3"/>
    <w:rsid w:val="00B469DF"/>
    <w:rsid w:val="00B46CF5"/>
    <w:rsid w:val="00B46FD8"/>
    <w:rsid w:val="00B470DE"/>
    <w:rsid w:val="00B471F1"/>
    <w:rsid w:val="00B4721D"/>
    <w:rsid w:val="00B4731F"/>
    <w:rsid w:val="00B473F5"/>
    <w:rsid w:val="00B47526"/>
    <w:rsid w:val="00B4768A"/>
    <w:rsid w:val="00B47AD0"/>
    <w:rsid w:val="00B47BFA"/>
    <w:rsid w:val="00B47E73"/>
    <w:rsid w:val="00B47F47"/>
    <w:rsid w:val="00B47FE9"/>
    <w:rsid w:val="00B502A2"/>
    <w:rsid w:val="00B50310"/>
    <w:rsid w:val="00B504AF"/>
    <w:rsid w:val="00B504D5"/>
    <w:rsid w:val="00B505D9"/>
    <w:rsid w:val="00B5060F"/>
    <w:rsid w:val="00B508A0"/>
    <w:rsid w:val="00B50C1A"/>
    <w:rsid w:val="00B50F05"/>
    <w:rsid w:val="00B50F8F"/>
    <w:rsid w:val="00B510D1"/>
    <w:rsid w:val="00B51408"/>
    <w:rsid w:val="00B5156B"/>
    <w:rsid w:val="00B51CD4"/>
    <w:rsid w:val="00B51F96"/>
    <w:rsid w:val="00B5207F"/>
    <w:rsid w:val="00B520DA"/>
    <w:rsid w:val="00B523E9"/>
    <w:rsid w:val="00B5256A"/>
    <w:rsid w:val="00B52609"/>
    <w:rsid w:val="00B52728"/>
    <w:rsid w:val="00B52813"/>
    <w:rsid w:val="00B52AC0"/>
    <w:rsid w:val="00B52B8E"/>
    <w:rsid w:val="00B52CDF"/>
    <w:rsid w:val="00B52DFA"/>
    <w:rsid w:val="00B52E8D"/>
    <w:rsid w:val="00B530AC"/>
    <w:rsid w:val="00B533FE"/>
    <w:rsid w:val="00B53401"/>
    <w:rsid w:val="00B5377F"/>
    <w:rsid w:val="00B537A6"/>
    <w:rsid w:val="00B53942"/>
    <w:rsid w:val="00B53950"/>
    <w:rsid w:val="00B53A45"/>
    <w:rsid w:val="00B53AF5"/>
    <w:rsid w:val="00B53C02"/>
    <w:rsid w:val="00B541D0"/>
    <w:rsid w:val="00B54278"/>
    <w:rsid w:val="00B542D8"/>
    <w:rsid w:val="00B543D5"/>
    <w:rsid w:val="00B54A27"/>
    <w:rsid w:val="00B54E58"/>
    <w:rsid w:val="00B54FF7"/>
    <w:rsid w:val="00B552A4"/>
    <w:rsid w:val="00B55420"/>
    <w:rsid w:val="00B5543B"/>
    <w:rsid w:val="00B556BB"/>
    <w:rsid w:val="00B55768"/>
    <w:rsid w:val="00B55BC3"/>
    <w:rsid w:val="00B55BFB"/>
    <w:rsid w:val="00B55CA7"/>
    <w:rsid w:val="00B55FA1"/>
    <w:rsid w:val="00B5635E"/>
    <w:rsid w:val="00B56587"/>
    <w:rsid w:val="00B565EF"/>
    <w:rsid w:val="00B565F1"/>
    <w:rsid w:val="00B567B8"/>
    <w:rsid w:val="00B567C0"/>
    <w:rsid w:val="00B56AE8"/>
    <w:rsid w:val="00B56D7C"/>
    <w:rsid w:val="00B56E81"/>
    <w:rsid w:val="00B570E5"/>
    <w:rsid w:val="00B5713F"/>
    <w:rsid w:val="00B574B9"/>
    <w:rsid w:val="00B577BE"/>
    <w:rsid w:val="00B57D4A"/>
    <w:rsid w:val="00B57EB4"/>
    <w:rsid w:val="00B57ED2"/>
    <w:rsid w:val="00B60573"/>
    <w:rsid w:val="00B6061F"/>
    <w:rsid w:val="00B60932"/>
    <w:rsid w:val="00B60C44"/>
    <w:rsid w:val="00B612E4"/>
    <w:rsid w:val="00B61391"/>
    <w:rsid w:val="00B6139B"/>
    <w:rsid w:val="00B61732"/>
    <w:rsid w:val="00B617E3"/>
    <w:rsid w:val="00B61884"/>
    <w:rsid w:val="00B61AF5"/>
    <w:rsid w:val="00B61EB1"/>
    <w:rsid w:val="00B62028"/>
    <w:rsid w:val="00B620E1"/>
    <w:rsid w:val="00B6220B"/>
    <w:rsid w:val="00B623C0"/>
    <w:rsid w:val="00B624DB"/>
    <w:rsid w:val="00B62694"/>
    <w:rsid w:val="00B626A9"/>
    <w:rsid w:val="00B62A73"/>
    <w:rsid w:val="00B62CF5"/>
    <w:rsid w:val="00B63134"/>
    <w:rsid w:val="00B633A3"/>
    <w:rsid w:val="00B633D2"/>
    <w:rsid w:val="00B6347D"/>
    <w:rsid w:val="00B635AE"/>
    <w:rsid w:val="00B6364A"/>
    <w:rsid w:val="00B636B7"/>
    <w:rsid w:val="00B63AF8"/>
    <w:rsid w:val="00B63F41"/>
    <w:rsid w:val="00B640F3"/>
    <w:rsid w:val="00B641E9"/>
    <w:rsid w:val="00B64298"/>
    <w:rsid w:val="00B642C2"/>
    <w:rsid w:val="00B644D2"/>
    <w:rsid w:val="00B64589"/>
    <w:rsid w:val="00B6469E"/>
    <w:rsid w:val="00B6488D"/>
    <w:rsid w:val="00B649CC"/>
    <w:rsid w:val="00B64BE7"/>
    <w:rsid w:val="00B64EA7"/>
    <w:rsid w:val="00B64ED9"/>
    <w:rsid w:val="00B64F34"/>
    <w:rsid w:val="00B64FED"/>
    <w:rsid w:val="00B65223"/>
    <w:rsid w:val="00B65438"/>
    <w:rsid w:val="00B6556D"/>
    <w:rsid w:val="00B657F1"/>
    <w:rsid w:val="00B65B61"/>
    <w:rsid w:val="00B65EE9"/>
    <w:rsid w:val="00B65FD4"/>
    <w:rsid w:val="00B6606A"/>
    <w:rsid w:val="00B66290"/>
    <w:rsid w:val="00B66343"/>
    <w:rsid w:val="00B6664D"/>
    <w:rsid w:val="00B66AD7"/>
    <w:rsid w:val="00B66C06"/>
    <w:rsid w:val="00B66FB2"/>
    <w:rsid w:val="00B66FC3"/>
    <w:rsid w:val="00B6732A"/>
    <w:rsid w:val="00B67637"/>
    <w:rsid w:val="00B6779A"/>
    <w:rsid w:val="00B677FD"/>
    <w:rsid w:val="00B67848"/>
    <w:rsid w:val="00B705FB"/>
    <w:rsid w:val="00B70727"/>
    <w:rsid w:val="00B70950"/>
    <w:rsid w:val="00B7096B"/>
    <w:rsid w:val="00B70CCE"/>
    <w:rsid w:val="00B70DD7"/>
    <w:rsid w:val="00B70DE9"/>
    <w:rsid w:val="00B71312"/>
    <w:rsid w:val="00B71819"/>
    <w:rsid w:val="00B718C7"/>
    <w:rsid w:val="00B71D02"/>
    <w:rsid w:val="00B71EF8"/>
    <w:rsid w:val="00B7228C"/>
    <w:rsid w:val="00B728B9"/>
    <w:rsid w:val="00B728C7"/>
    <w:rsid w:val="00B72B42"/>
    <w:rsid w:val="00B72B95"/>
    <w:rsid w:val="00B72CAB"/>
    <w:rsid w:val="00B72EA3"/>
    <w:rsid w:val="00B731A1"/>
    <w:rsid w:val="00B736DE"/>
    <w:rsid w:val="00B7370A"/>
    <w:rsid w:val="00B73771"/>
    <w:rsid w:val="00B737F3"/>
    <w:rsid w:val="00B73876"/>
    <w:rsid w:val="00B73A99"/>
    <w:rsid w:val="00B73B2C"/>
    <w:rsid w:val="00B73E73"/>
    <w:rsid w:val="00B73F8C"/>
    <w:rsid w:val="00B74254"/>
    <w:rsid w:val="00B74379"/>
    <w:rsid w:val="00B74806"/>
    <w:rsid w:val="00B74858"/>
    <w:rsid w:val="00B7498A"/>
    <w:rsid w:val="00B74A97"/>
    <w:rsid w:val="00B74C66"/>
    <w:rsid w:val="00B74CBF"/>
    <w:rsid w:val="00B75246"/>
    <w:rsid w:val="00B7567B"/>
    <w:rsid w:val="00B75AAD"/>
    <w:rsid w:val="00B75CE5"/>
    <w:rsid w:val="00B75E78"/>
    <w:rsid w:val="00B75EFB"/>
    <w:rsid w:val="00B76308"/>
    <w:rsid w:val="00B7665E"/>
    <w:rsid w:val="00B768FC"/>
    <w:rsid w:val="00B76B56"/>
    <w:rsid w:val="00B76C27"/>
    <w:rsid w:val="00B77263"/>
    <w:rsid w:val="00B775EC"/>
    <w:rsid w:val="00B77715"/>
    <w:rsid w:val="00B77F21"/>
    <w:rsid w:val="00B77FD4"/>
    <w:rsid w:val="00B804C9"/>
    <w:rsid w:val="00B806F5"/>
    <w:rsid w:val="00B80AB3"/>
    <w:rsid w:val="00B80E37"/>
    <w:rsid w:val="00B810EC"/>
    <w:rsid w:val="00B81361"/>
    <w:rsid w:val="00B814DF"/>
    <w:rsid w:val="00B818F8"/>
    <w:rsid w:val="00B819C2"/>
    <w:rsid w:val="00B81A6A"/>
    <w:rsid w:val="00B81B1C"/>
    <w:rsid w:val="00B81CB4"/>
    <w:rsid w:val="00B81D07"/>
    <w:rsid w:val="00B81E2F"/>
    <w:rsid w:val="00B81F37"/>
    <w:rsid w:val="00B81F9E"/>
    <w:rsid w:val="00B823EB"/>
    <w:rsid w:val="00B8285A"/>
    <w:rsid w:val="00B82C60"/>
    <w:rsid w:val="00B82C8A"/>
    <w:rsid w:val="00B82E2E"/>
    <w:rsid w:val="00B830ED"/>
    <w:rsid w:val="00B8336B"/>
    <w:rsid w:val="00B833BE"/>
    <w:rsid w:val="00B8357D"/>
    <w:rsid w:val="00B836D1"/>
    <w:rsid w:val="00B838E5"/>
    <w:rsid w:val="00B838FA"/>
    <w:rsid w:val="00B838FC"/>
    <w:rsid w:val="00B83A34"/>
    <w:rsid w:val="00B83AD4"/>
    <w:rsid w:val="00B83B4A"/>
    <w:rsid w:val="00B83CBB"/>
    <w:rsid w:val="00B83F4C"/>
    <w:rsid w:val="00B840A3"/>
    <w:rsid w:val="00B840D8"/>
    <w:rsid w:val="00B84183"/>
    <w:rsid w:val="00B842C2"/>
    <w:rsid w:val="00B8456C"/>
    <w:rsid w:val="00B845CC"/>
    <w:rsid w:val="00B84634"/>
    <w:rsid w:val="00B84693"/>
    <w:rsid w:val="00B849D4"/>
    <w:rsid w:val="00B84A6C"/>
    <w:rsid w:val="00B84B0B"/>
    <w:rsid w:val="00B84D86"/>
    <w:rsid w:val="00B8502D"/>
    <w:rsid w:val="00B850C7"/>
    <w:rsid w:val="00B85204"/>
    <w:rsid w:val="00B852AA"/>
    <w:rsid w:val="00B852B5"/>
    <w:rsid w:val="00B854F8"/>
    <w:rsid w:val="00B85535"/>
    <w:rsid w:val="00B85A7C"/>
    <w:rsid w:val="00B85FE7"/>
    <w:rsid w:val="00B862AA"/>
    <w:rsid w:val="00B8643A"/>
    <w:rsid w:val="00B86A37"/>
    <w:rsid w:val="00B86B0F"/>
    <w:rsid w:val="00B87018"/>
    <w:rsid w:val="00B87349"/>
    <w:rsid w:val="00B874F4"/>
    <w:rsid w:val="00B87824"/>
    <w:rsid w:val="00B87CA3"/>
    <w:rsid w:val="00B903C9"/>
    <w:rsid w:val="00B9089C"/>
    <w:rsid w:val="00B909AA"/>
    <w:rsid w:val="00B909E0"/>
    <w:rsid w:val="00B91139"/>
    <w:rsid w:val="00B9130D"/>
    <w:rsid w:val="00B913E1"/>
    <w:rsid w:val="00B919D5"/>
    <w:rsid w:val="00B919EE"/>
    <w:rsid w:val="00B9204C"/>
    <w:rsid w:val="00B923E6"/>
    <w:rsid w:val="00B92515"/>
    <w:rsid w:val="00B9252E"/>
    <w:rsid w:val="00B926FF"/>
    <w:rsid w:val="00B9271C"/>
    <w:rsid w:val="00B927AA"/>
    <w:rsid w:val="00B9284B"/>
    <w:rsid w:val="00B92BA3"/>
    <w:rsid w:val="00B92EC1"/>
    <w:rsid w:val="00B92EF0"/>
    <w:rsid w:val="00B9307B"/>
    <w:rsid w:val="00B9308E"/>
    <w:rsid w:val="00B933BD"/>
    <w:rsid w:val="00B93607"/>
    <w:rsid w:val="00B93916"/>
    <w:rsid w:val="00B939C5"/>
    <w:rsid w:val="00B93B3F"/>
    <w:rsid w:val="00B93B7D"/>
    <w:rsid w:val="00B93BF1"/>
    <w:rsid w:val="00B93CBE"/>
    <w:rsid w:val="00B940A1"/>
    <w:rsid w:val="00B942A9"/>
    <w:rsid w:val="00B943B0"/>
    <w:rsid w:val="00B94582"/>
    <w:rsid w:val="00B945C5"/>
    <w:rsid w:val="00B94745"/>
    <w:rsid w:val="00B94786"/>
    <w:rsid w:val="00B947B6"/>
    <w:rsid w:val="00B9496A"/>
    <w:rsid w:val="00B94ACF"/>
    <w:rsid w:val="00B94BC1"/>
    <w:rsid w:val="00B94CDE"/>
    <w:rsid w:val="00B94D2C"/>
    <w:rsid w:val="00B94E9A"/>
    <w:rsid w:val="00B95281"/>
    <w:rsid w:val="00B95476"/>
    <w:rsid w:val="00B9552D"/>
    <w:rsid w:val="00B95561"/>
    <w:rsid w:val="00B95864"/>
    <w:rsid w:val="00B958DD"/>
    <w:rsid w:val="00B95EBE"/>
    <w:rsid w:val="00B962C0"/>
    <w:rsid w:val="00B96350"/>
    <w:rsid w:val="00B963C9"/>
    <w:rsid w:val="00B9655F"/>
    <w:rsid w:val="00B9664D"/>
    <w:rsid w:val="00B96ED1"/>
    <w:rsid w:val="00B96F0A"/>
    <w:rsid w:val="00B96F81"/>
    <w:rsid w:val="00B9727E"/>
    <w:rsid w:val="00B9737B"/>
    <w:rsid w:val="00B978D0"/>
    <w:rsid w:val="00B97985"/>
    <w:rsid w:val="00B979E5"/>
    <w:rsid w:val="00B97D8A"/>
    <w:rsid w:val="00B97F42"/>
    <w:rsid w:val="00B97F46"/>
    <w:rsid w:val="00BA02C7"/>
    <w:rsid w:val="00BA054E"/>
    <w:rsid w:val="00BA07BB"/>
    <w:rsid w:val="00BA07E1"/>
    <w:rsid w:val="00BA0814"/>
    <w:rsid w:val="00BA09EF"/>
    <w:rsid w:val="00BA0AF9"/>
    <w:rsid w:val="00BA0E25"/>
    <w:rsid w:val="00BA0EFA"/>
    <w:rsid w:val="00BA1260"/>
    <w:rsid w:val="00BA12C5"/>
    <w:rsid w:val="00BA1517"/>
    <w:rsid w:val="00BA1602"/>
    <w:rsid w:val="00BA1607"/>
    <w:rsid w:val="00BA16C3"/>
    <w:rsid w:val="00BA16E0"/>
    <w:rsid w:val="00BA1730"/>
    <w:rsid w:val="00BA1997"/>
    <w:rsid w:val="00BA1B1E"/>
    <w:rsid w:val="00BA1FE3"/>
    <w:rsid w:val="00BA207A"/>
    <w:rsid w:val="00BA2212"/>
    <w:rsid w:val="00BA2629"/>
    <w:rsid w:val="00BA2813"/>
    <w:rsid w:val="00BA2971"/>
    <w:rsid w:val="00BA2A21"/>
    <w:rsid w:val="00BA2B06"/>
    <w:rsid w:val="00BA2CE2"/>
    <w:rsid w:val="00BA2FD1"/>
    <w:rsid w:val="00BA3055"/>
    <w:rsid w:val="00BA3167"/>
    <w:rsid w:val="00BA3276"/>
    <w:rsid w:val="00BA358B"/>
    <w:rsid w:val="00BA3971"/>
    <w:rsid w:val="00BA3993"/>
    <w:rsid w:val="00BA3D62"/>
    <w:rsid w:val="00BA434E"/>
    <w:rsid w:val="00BA4367"/>
    <w:rsid w:val="00BA44C2"/>
    <w:rsid w:val="00BA45CB"/>
    <w:rsid w:val="00BA4888"/>
    <w:rsid w:val="00BA48AE"/>
    <w:rsid w:val="00BA48C5"/>
    <w:rsid w:val="00BA4B47"/>
    <w:rsid w:val="00BA4C52"/>
    <w:rsid w:val="00BA4F61"/>
    <w:rsid w:val="00BA4FC7"/>
    <w:rsid w:val="00BA5170"/>
    <w:rsid w:val="00BA5460"/>
    <w:rsid w:val="00BA5800"/>
    <w:rsid w:val="00BA58E7"/>
    <w:rsid w:val="00BA597E"/>
    <w:rsid w:val="00BA59A1"/>
    <w:rsid w:val="00BA5A57"/>
    <w:rsid w:val="00BA5DAD"/>
    <w:rsid w:val="00BA6188"/>
    <w:rsid w:val="00BA61E8"/>
    <w:rsid w:val="00BA66F9"/>
    <w:rsid w:val="00BA685D"/>
    <w:rsid w:val="00BA6C6B"/>
    <w:rsid w:val="00BA70F5"/>
    <w:rsid w:val="00BA7637"/>
    <w:rsid w:val="00BA774A"/>
    <w:rsid w:val="00BA782F"/>
    <w:rsid w:val="00BA7A0C"/>
    <w:rsid w:val="00BA7D32"/>
    <w:rsid w:val="00BB0007"/>
    <w:rsid w:val="00BB00DF"/>
    <w:rsid w:val="00BB0234"/>
    <w:rsid w:val="00BB0250"/>
    <w:rsid w:val="00BB032D"/>
    <w:rsid w:val="00BB0789"/>
    <w:rsid w:val="00BB0B47"/>
    <w:rsid w:val="00BB0B79"/>
    <w:rsid w:val="00BB0DB5"/>
    <w:rsid w:val="00BB0ED4"/>
    <w:rsid w:val="00BB10F0"/>
    <w:rsid w:val="00BB147E"/>
    <w:rsid w:val="00BB15E1"/>
    <w:rsid w:val="00BB17BA"/>
    <w:rsid w:val="00BB1929"/>
    <w:rsid w:val="00BB1CE4"/>
    <w:rsid w:val="00BB1CED"/>
    <w:rsid w:val="00BB2589"/>
    <w:rsid w:val="00BB28BB"/>
    <w:rsid w:val="00BB2C71"/>
    <w:rsid w:val="00BB313D"/>
    <w:rsid w:val="00BB3167"/>
    <w:rsid w:val="00BB3447"/>
    <w:rsid w:val="00BB358F"/>
    <w:rsid w:val="00BB38DF"/>
    <w:rsid w:val="00BB3AC0"/>
    <w:rsid w:val="00BB3C23"/>
    <w:rsid w:val="00BB3DAE"/>
    <w:rsid w:val="00BB3E25"/>
    <w:rsid w:val="00BB3EFC"/>
    <w:rsid w:val="00BB3F08"/>
    <w:rsid w:val="00BB3FD7"/>
    <w:rsid w:val="00BB402A"/>
    <w:rsid w:val="00BB408F"/>
    <w:rsid w:val="00BB4171"/>
    <w:rsid w:val="00BB418C"/>
    <w:rsid w:val="00BB43A1"/>
    <w:rsid w:val="00BB466B"/>
    <w:rsid w:val="00BB46B0"/>
    <w:rsid w:val="00BB4DB9"/>
    <w:rsid w:val="00BB537E"/>
    <w:rsid w:val="00BB55E0"/>
    <w:rsid w:val="00BB5676"/>
    <w:rsid w:val="00BB5796"/>
    <w:rsid w:val="00BB57FF"/>
    <w:rsid w:val="00BB5814"/>
    <w:rsid w:val="00BB5843"/>
    <w:rsid w:val="00BB5A92"/>
    <w:rsid w:val="00BB5C1A"/>
    <w:rsid w:val="00BB5DAF"/>
    <w:rsid w:val="00BB5ECD"/>
    <w:rsid w:val="00BB6025"/>
    <w:rsid w:val="00BB60EB"/>
    <w:rsid w:val="00BB61A0"/>
    <w:rsid w:val="00BB623F"/>
    <w:rsid w:val="00BB6653"/>
    <w:rsid w:val="00BB6673"/>
    <w:rsid w:val="00BB673E"/>
    <w:rsid w:val="00BB6777"/>
    <w:rsid w:val="00BB6B0A"/>
    <w:rsid w:val="00BB6DA5"/>
    <w:rsid w:val="00BB6EAF"/>
    <w:rsid w:val="00BB713B"/>
    <w:rsid w:val="00BB71CF"/>
    <w:rsid w:val="00BB7450"/>
    <w:rsid w:val="00BB75F8"/>
    <w:rsid w:val="00BB77B7"/>
    <w:rsid w:val="00BB7B21"/>
    <w:rsid w:val="00BB7B35"/>
    <w:rsid w:val="00BB7B53"/>
    <w:rsid w:val="00BB7B80"/>
    <w:rsid w:val="00BB7E19"/>
    <w:rsid w:val="00BB7EE6"/>
    <w:rsid w:val="00BB7F55"/>
    <w:rsid w:val="00BC039C"/>
    <w:rsid w:val="00BC03D7"/>
    <w:rsid w:val="00BC055F"/>
    <w:rsid w:val="00BC06E9"/>
    <w:rsid w:val="00BC0937"/>
    <w:rsid w:val="00BC0945"/>
    <w:rsid w:val="00BC0C25"/>
    <w:rsid w:val="00BC0DEC"/>
    <w:rsid w:val="00BC0E81"/>
    <w:rsid w:val="00BC16F7"/>
    <w:rsid w:val="00BC1B3F"/>
    <w:rsid w:val="00BC1DB2"/>
    <w:rsid w:val="00BC1ED0"/>
    <w:rsid w:val="00BC2217"/>
    <w:rsid w:val="00BC2474"/>
    <w:rsid w:val="00BC2773"/>
    <w:rsid w:val="00BC28E1"/>
    <w:rsid w:val="00BC29E3"/>
    <w:rsid w:val="00BC2AF7"/>
    <w:rsid w:val="00BC2B42"/>
    <w:rsid w:val="00BC2B54"/>
    <w:rsid w:val="00BC2ED8"/>
    <w:rsid w:val="00BC2FBD"/>
    <w:rsid w:val="00BC307B"/>
    <w:rsid w:val="00BC3193"/>
    <w:rsid w:val="00BC31D4"/>
    <w:rsid w:val="00BC31EF"/>
    <w:rsid w:val="00BC32B4"/>
    <w:rsid w:val="00BC342C"/>
    <w:rsid w:val="00BC367B"/>
    <w:rsid w:val="00BC3AA1"/>
    <w:rsid w:val="00BC3AA4"/>
    <w:rsid w:val="00BC3AAD"/>
    <w:rsid w:val="00BC3BD8"/>
    <w:rsid w:val="00BC4013"/>
    <w:rsid w:val="00BC4221"/>
    <w:rsid w:val="00BC426B"/>
    <w:rsid w:val="00BC427F"/>
    <w:rsid w:val="00BC4326"/>
    <w:rsid w:val="00BC4438"/>
    <w:rsid w:val="00BC4440"/>
    <w:rsid w:val="00BC4477"/>
    <w:rsid w:val="00BC4685"/>
    <w:rsid w:val="00BC4B19"/>
    <w:rsid w:val="00BC4CED"/>
    <w:rsid w:val="00BC4DB9"/>
    <w:rsid w:val="00BC4DD1"/>
    <w:rsid w:val="00BC529B"/>
    <w:rsid w:val="00BC54C4"/>
    <w:rsid w:val="00BC5807"/>
    <w:rsid w:val="00BC584A"/>
    <w:rsid w:val="00BC584F"/>
    <w:rsid w:val="00BC5A21"/>
    <w:rsid w:val="00BC5B43"/>
    <w:rsid w:val="00BC60DC"/>
    <w:rsid w:val="00BC641D"/>
    <w:rsid w:val="00BC660B"/>
    <w:rsid w:val="00BC6717"/>
    <w:rsid w:val="00BC6A55"/>
    <w:rsid w:val="00BC6C86"/>
    <w:rsid w:val="00BC6CBC"/>
    <w:rsid w:val="00BC701E"/>
    <w:rsid w:val="00BC734E"/>
    <w:rsid w:val="00BC7356"/>
    <w:rsid w:val="00BC75B2"/>
    <w:rsid w:val="00BC7F72"/>
    <w:rsid w:val="00BD0097"/>
    <w:rsid w:val="00BD012C"/>
    <w:rsid w:val="00BD0313"/>
    <w:rsid w:val="00BD03DD"/>
    <w:rsid w:val="00BD05A0"/>
    <w:rsid w:val="00BD0901"/>
    <w:rsid w:val="00BD101E"/>
    <w:rsid w:val="00BD1137"/>
    <w:rsid w:val="00BD11D4"/>
    <w:rsid w:val="00BD122B"/>
    <w:rsid w:val="00BD18CB"/>
    <w:rsid w:val="00BD1990"/>
    <w:rsid w:val="00BD19C7"/>
    <w:rsid w:val="00BD1C23"/>
    <w:rsid w:val="00BD1CB2"/>
    <w:rsid w:val="00BD1E18"/>
    <w:rsid w:val="00BD1FA4"/>
    <w:rsid w:val="00BD2137"/>
    <w:rsid w:val="00BD243B"/>
    <w:rsid w:val="00BD245A"/>
    <w:rsid w:val="00BD251D"/>
    <w:rsid w:val="00BD26DC"/>
    <w:rsid w:val="00BD26EE"/>
    <w:rsid w:val="00BD27A5"/>
    <w:rsid w:val="00BD2A41"/>
    <w:rsid w:val="00BD2EE2"/>
    <w:rsid w:val="00BD33BE"/>
    <w:rsid w:val="00BD33EC"/>
    <w:rsid w:val="00BD3A85"/>
    <w:rsid w:val="00BD4046"/>
    <w:rsid w:val="00BD4346"/>
    <w:rsid w:val="00BD484D"/>
    <w:rsid w:val="00BD494B"/>
    <w:rsid w:val="00BD4A76"/>
    <w:rsid w:val="00BD4ECA"/>
    <w:rsid w:val="00BD4FF9"/>
    <w:rsid w:val="00BD5327"/>
    <w:rsid w:val="00BD540F"/>
    <w:rsid w:val="00BD55B6"/>
    <w:rsid w:val="00BD59D1"/>
    <w:rsid w:val="00BD5CC7"/>
    <w:rsid w:val="00BD63E1"/>
    <w:rsid w:val="00BD6449"/>
    <w:rsid w:val="00BD64E8"/>
    <w:rsid w:val="00BD6796"/>
    <w:rsid w:val="00BD67C4"/>
    <w:rsid w:val="00BD69C0"/>
    <w:rsid w:val="00BD69FE"/>
    <w:rsid w:val="00BD6B6C"/>
    <w:rsid w:val="00BD77D4"/>
    <w:rsid w:val="00BD7832"/>
    <w:rsid w:val="00BD7CBB"/>
    <w:rsid w:val="00BE0111"/>
    <w:rsid w:val="00BE02A0"/>
    <w:rsid w:val="00BE0B52"/>
    <w:rsid w:val="00BE0DD7"/>
    <w:rsid w:val="00BE0E1C"/>
    <w:rsid w:val="00BE164B"/>
    <w:rsid w:val="00BE1CCA"/>
    <w:rsid w:val="00BE1D51"/>
    <w:rsid w:val="00BE1D90"/>
    <w:rsid w:val="00BE1DE8"/>
    <w:rsid w:val="00BE1E3D"/>
    <w:rsid w:val="00BE1E68"/>
    <w:rsid w:val="00BE21E5"/>
    <w:rsid w:val="00BE2220"/>
    <w:rsid w:val="00BE226A"/>
    <w:rsid w:val="00BE2310"/>
    <w:rsid w:val="00BE25D7"/>
    <w:rsid w:val="00BE2716"/>
    <w:rsid w:val="00BE2991"/>
    <w:rsid w:val="00BE31AA"/>
    <w:rsid w:val="00BE3539"/>
    <w:rsid w:val="00BE35CD"/>
    <w:rsid w:val="00BE365B"/>
    <w:rsid w:val="00BE368D"/>
    <w:rsid w:val="00BE36B3"/>
    <w:rsid w:val="00BE3A65"/>
    <w:rsid w:val="00BE3AD2"/>
    <w:rsid w:val="00BE3C13"/>
    <w:rsid w:val="00BE4025"/>
    <w:rsid w:val="00BE4045"/>
    <w:rsid w:val="00BE4065"/>
    <w:rsid w:val="00BE4744"/>
    <w:rsid w:val="00BE48BE"/>
    <w:rsid w:val="00BE49DC"/>
    <w:rsid w:val="00BE4AFF"/>
    <w:rsid w:val="00BE4B82"/>
    <w:rsid w:val="00BE4F37"/>
    <w:rsid w:val="00BE51EB"/>
    <w:rsid w:val="00BE542F"/>
    <w:rsid w:val="00BE5552"/>
    <w:rsid w:val="00BE55DA"/>
    <w:rsid w:val="00BE566D"/>
    <w:rsid w:val="00BE56F3"/>
    <w:rsid w:val="00BE58F6"/>
    <w:rsid w:val="00BE5D4B"/>
    <w:rsid w:val="00BE5F7E"/>
    <w:rsid w:val="00BE5FFC"/>
    <w:rsid w:val="00BE6182"/>
    <w:rsid w:val="00BE61E3"/>
    <w:rsid w:val="00BE642F"/>
    <w:rsid w:val="00BE647E"/>
    <w:rsid w:val="00BE6541"/>
    <w:rsid w:val="00BE67B3"/>
    <w:rsid w:val="00BE69A0"/>
    <w:rsid w:val="00BE6A73"/>
    <w:rsid w:val="00BE6B6B"/>
    <w:rsid w:val="00BE7010"/>
    <w:rsid w:val="00BE70C3"/>
    <w:rsid w:val="00BE7339"/>
    <w:rsid w:val="00BE747A"/>
    <w:rsid w:val="00BE75F1"/>
    <w:rsid w:val="00BE7755"/>
    <w:rsid w:val="00BE7C0C"/>
    <w:rsid w:val="00BE7C74"/>
    <w:rsid w:val="00BE7E0A"/>
    <w:rsid w:val="00BF0195"/>
    <w:rsid w:val="00BF0351"/>
    <w:rsid w:val="00BF0417"/>
    <w:rsid w:val="00BF05AD"/>
    <w:rsid w:val="00BF063C"/>
    <w:rsid w:val="00BF0737"/>
    <w:rsid w:val="00BF0929"/>
    <w:rsid w:val="00BF0D98"/>
    <w:rsid w:val="00BF0EE4"/>
    <w:rsid w:val="00BF11C9"/>
    <w:rsid w:val="00BF1580"/>
    <w:rsid w:val="00BF15A5"/>
    <w:rsid w:val="00BF1BA9"/>
    <w:rsid w:val="00BF1F1F"/>
    <w:rsid w:val="00BF202E"/>
    <w:rsid w:val="00BF24EF"/>
    <w:rsid w:val="00BF27B2"/>
    <w:rsid w:val="00BF2A5A"/>
    <w:rsid w:val="00BF2B89"/>
    <w:rsid w:val="00BF2BBD"/>
    <w:rsid w:val="00BF2BEE"/>
    <w:rsid w:val="00BF2DE4"/>
    <w:rsid w:val="00BF2E78"/>
    <w:rsid w:val="00BF2EF0"/>
    <w:rsid w:val="00BF31CB"/>
    <w:rsid w:val="00BF31DB"/>
    <w:rsid w:val="00BF326A"/>
    <w:rsid w:val="00BF36DA"/>
    <w:rsid w:val="00BF37CE"/>
    <w:rsid w:val="00BF4322"/>
    <w:rsid w:val="00BF4375"/>
    <w:rsid w:val="00BF4483"/>
    <w:rsid w:val="00BF4790"/>
    <w:rsid w:val="00BF4E48"/>
    <w:rsid w:val="00BF4E51"/>
    <w:rsid w:val="00BF4EC3"/>
    <w:rsid w:val="00BF4EFC"/>
    <w:rsid w:val="00BF4FA4"/>
    <w:rsid w:val="00BF50E4"/>
    <w:rsid w:val="00BF5189"/>
    <w:rsid w:val="00BF52E9"/>
    <w:rsid w:val="00BF52FD"/>
    <w:rsid w:val="00BF5396"/>
    <w:rsid w:val="00BF5487"/>
    <w:rsid w:val="00BF55A5"/>
    <w:rsid w:val="00BF573C"/>
    <w:rsid w:val="00BF59E3"/>
    <w:rsid w:val="00BF5CB3"/>
    <w:rsid w:val="00BF5ED5"/>
    <w:rsid w:val="00BF602F"/>
    <w:rsid w:val="00BF63A2"/>
    <w:rsid w:val="00BF63E5"/>
    <w:rsid w:val="00BF6465"/>
    <w:rsid w:val="00BF656C"/>
    <w:rsid w:val="00BF657C"/>
    <w:rsid w:val="00BF65E2"/>
    <w:rsid w:val="00BF6ADA"/>
    <w:rsid w:val="00BF6BB0"/>
    <w:rsid w:val="00BF6E1C"/>
    <w:rsid w:val="00BF71D7"/>
    <w:rsid w:val="00BF726E"/>
    <w:rsid w:val="00BF7A02"/>
    <w:rsid w:val="00BF7D41"/>
    <w:rsid w:val="00BF7F6B"/>
    <w:rsid w:val="00C003BB"/>
    <w:rsid w:val="00C00554"/>
    <w:rsid w:val="00C005DD"/>
    <w:rsid w:val="00C00763"/>
    <w:rsid w:val="00C0087A"/>
    <w:rsid w:val="00C00B23"/>
    <w:rsid w:val="00C00B45"/>
    <w:rsid w:val="00C00B68"/>
    <w:rsid w:val="00C00C27"/>
    <w:rsid w:val="00C00D78"/>
    <w:rsid w:val="00C0101A"/>
    <w:rsid w:val="00C0144F"/>
    <w:rsid w:val="00C014A4"/>
    <w:rsid w:val="00C01AB7"/>
    <w:rsid w:val="00C01CCE"/>
    <w:rsid w:val="00C01CD7"/>
    <w:rsid w:val="00C01E5A"/>
    <w:rsid w:val="00C020C7"/>
    <w:rsid w:val="00C0213E"/>
    <w:rsid w:val="00C02769"/>
    <w:rsid w:val="00C02857"/>
    <w:rsid w:val="00C02C7A"/>
    <w:rsid w:val="00C02E38"/>
    <w:rsid w:val="00C031D5"/>
    <w:rsid w:val="00C03296"/>
    <w:rsid w:val="00C03E68"/>
    <w:rsid w:val="00C0433E"/>
    <w:rsid w:val="00C048D9"/>
    <w:rsid w:val="00C04B8F"/>
    <w:rsid w:val="00C04B90"/>
    <w:rsid w:val="00C04C8C"/>
    <w:rsid w:val="00C05107"/>
    <w:rsid w:val="00C0529B"/>
    <w:rsid w:val="00C0541C"/>
    <w:rsid w:val="00C054E2"/>
    <w:rsid w:val="00C055C1"/>
    <w:rsid w:val="00C05A47"/>
    <w:rsid w:val="00C05A84"/>
    <w:rsid w:val="00C05CE9"/>
    <w:rsid w:val="00C05F45"/>
    <w:rsid w:val="00C06156"/>
    <w:rsid w:val="00C062F4"/>
    <w:rsid w:val="00C063AC"/>
    <w:rsid w:val="00C063B9"/>
    <w:rsid w:val="00C064F4"/>
    <w:rsid w:val="00C0667C"/>
    <w:rsid w:val="00C0673D"/>
    <w:rsid w:val="00C06884"/>
    <w:rsid w:val="00C069CA"/>
    <w:rsid w:val="00C06B8D"/>
    <w:rsid w:val="00C06E2B"/>
    <w:rsid w:val="00C075B5"/>
    <w:rsid w:val="00C0774A"/>
    <w:rsid w:val="00C07A31"/>
    <w:rsid w:val="00C07A88"/>
    <w:rsid w:val="00C07E6A"/>
    <w:rsid w:val="00C07EEE"/>
    <w:rsid w:val="00C100A8"/>
    <w:rsid w:val="00C101DF"/>
    <w:rsid w:val="00C10252"/>
    <w:rsid w:val="00C102F1"/>
    <w:rsid w:val="00C10631"/>
    <w:rsid w:val="00C1086F"/>
    <w:rsid w:val="00C10E0A"/>
    <w:rsid w:val="00C10F37"/>
    <w:rsid w:val="00C10FBC"/>
    <w:rsid w:val="00C114C2"/>
    <w:rsid w:val="00C114C7"/>
    <w:rsid w:val="00C11762"/>
    <w:rsid w:val="00C11907"/>
    <w:rsid w:val="00C11A58"/>
    <w:rsid w:val="00C11C27"/>
    <w:rsid w:val="00C11DD7"/>
    <w:rsid w:val="00C11EB7"/>
    <w:rsid w:val="00C12419"/>
    <w:rsid w:val="00C12449"/>
    <w:rsid w:val="00C12569"/>
    <w:rsid w:val="00C12993"/>
    <w:rsid w:val="00C12DEC"/>
    <w:rsid w:val="00C12E5F"/>
    <w:rsid w:val="00C12E71"/>
    <w:rsid w:val="00C12FF4"/>
    <w:rsid w:val="00C13083"/>
    <w:rsid w:val="00C132C7"/>
    <w:rsid w:val="00C1351C"/>
    <w:rsid w:val="00C136F9"/>
    <w:rsid w:val="00C13B27"/>
    <w:rsid w:val="00C13C32"/>
    <w:rsid w:val="00C13C73"/>
    <w:rsid w:val="00C13CE2"/>
    <w:rsid w:val="00C13D8F"/>
    <w:rsid w:val="00C141CB"/>
    <w:rsid w:val="00C14349"/>
    <w:rsid w:val="00C1435E"/>
    <w:rsid w:val="00C1469D"/>
    <w:rsid w:val="00C14971"/>
    <w:rsid w:val="00C14A7B"/>
    <w:rsid w:val="00C14B91"/>
    <w:rsid w:val="00C14DDB"/>
    <w:rsid w:val="00C155FC"/>
    <w:rsid w:val="00C1560A"/>
    <w:rsid w:val="00C156A4"/>
    <w:rsid w:val="00C15958"/>
    <w:rsid w:val="00C15C8C"/>
    <w:rsid w:val="00C15E18"/>
    <w:rsid w:val="00C15F29"/>
    <w:rsid w:val="00C16132"/>
    <w:rsid w:val="00C16645"/>
    <w:rsid w:val="00C16741"/>
    <w:rsid w:val="00C16794"/>
    <w:rsid w:val="00C169BA"/>
    <w:rsid w:val="00C169FE"/>
    <w:rsid w:val="00C16C7B"/>
    <w:rsid w:val="00C16E63"/>
    <w:rsid w:val="00C16FC2"/>
    <w:rsid w:val="00C16FD9"/>
    <w:rsid w:val="00C1700E"/>
    <w:rsid w:val="00C17414"/>
    <w:rsid w:val="00C1746B"/>
    <w:rsid w:val="00C1747E"/>
    <w:rsid w:val="00C174C0"/>
    <w:rsid w:val="00C175B6"/>
    <w:rsid w:val="00C17793"/>
    <w:rsid w:val="00C17B69"/>
    <w:rsid w:val="00C202B3"/>
    <w:rsid w:val="00C2039E"/>
    <w:rsid w:val="00C2061A"/>
    <w:rsid w:val="00C20646"/>
    <w:rsid w:val="00C20804"/>
    <w:rsid w:val="00C208BF"/>
    <w:rsid w:val="00C20909"/>
    <w:rsid w:val="00C20AAD"/>
    <w:rsid w:val="00C20BDD"/>
    <w:rsid w:val="00C20D07"/>
    <w:rsid w:val="00C20F31"/>
    <w:rsid w:val="00C210B6"/>
    <w:rsid w:val="00C214FE"/>
    <w:rsid w:val="00C218D8"/>
    <w:rsid w:val="00C21AAB"/>
    <w:rsid w:val="00C21D42"/>
    <w:rsid w:val="00C21F2D"/>
    <w:rsid w:val="00C2207A"/>
    <w:rsid w:val="00C2208D"/>
    <w:rsid w:val="00C22729"/>
    <w:rsid w:val="00C227D8"/>
    <w:rsid w:val="00C228D6"/>
    <w:rsid w:val="00C22F4C"/>
    <w:rsid w:val="00C22FFC"/>
    <w:rsid w:val="00C230D5"/>
    <w:rsid w:val="00C2330F"/>
    <w:rsid w:val="00C23402"/>
    <w:rsid w:val="00C234C0"/>
    <w:rsid w:val="00C2355E"/>
    <w:rsid w:val="00C23665"/>
    <w:rsid w:val="00C23700"/>
    <w:rsid w:val="00C23DF9"/>
    <w:rsid w:val="00C23F94"/>
    <w:rsid w:val="00C243B8"/>
    <w:rsid w:val="00C24565"/>
    <w:rsid w:val="00C245CF"/>
    <w:rsid w:val="00C246DB"/>
    <w:rsid w:val="00C247C9"/>
    <w:rsid w:val="00C248DB"/>
    <w:rsid w:val="00C24DE4"/>
    <w:rsid w:val="00C24E65"/>
    <w:rsid w:val="00C24EEF"/>
    <w:rsid w:val="00C256E5"/>
    <w:rsid w:val="00C25844"/>
    <w:rsid w:val="00C25922"/>
    <w:rsid w:val="00C25993"/>
    <w:rsid w:val="00C25F74"/>
    <w:rsid w:val="00C262E1"/>
    <w:rsid w:val="00C2653F"/>
    <w:rsid w:val="00C26765"/>
    <w:rsid w:val="00C2687F"/>
    <w:rsid w:val="00C26E20"/>
    <w:rsid w:val="00C271F5"/>
    <w:rsid w:val="00C272CD"/>
    <w:rsid w:val="00C27309"/>
    <w:rsid w:val="00C2754B"/>
    <w:rsid w:val="00C2760D"/>
    <w:rsid w:val="00C27AE6"/>
    <w:rsid w:val="00C27FDC"/>
    <w:rsid w:val="00C3007D"/>
    <w:rsid w:val="00C30197"/>
    <w:rsid w:val="00C30C15"/>
    <w:rsid w:val="00C30F7B"/>
    <w:rsid w:val="00C30FD5"/>
    <w:rsid w:val="00C31324"/>
    <w:rsid w:val="00C3137F"/>
    <w:rsid w:val="00C31826"/>
    <w:rsid w:val="00C31AA9"/>
    <w:rsid w:val="00C31AD8"/>
    <w:rsid w:val="00C320AB"/>
    <w:rsid w:val="00C3217C"/>
    <w:rsid w:val="00C323AB"/>
    <w:rsid w:val="00C32460"/>
    <w:rsid w:val="00C32571"/>
    <w:rsid w:val="00C32970"/>
    <w:rsid w:val="00C3297A"/>
    <w:rsid w:val="00C32FA5"/>
    <w:rsid w:val="00C332E0"/>
    <w:rsid w:val="00C3345C"/>
    <w:rsid w:val="00C33475"/>
    <w:rsid w:val="00C3351C"/>
    <w:rsid w:val="00C335A2"/>
    <w:rsid w:val="00C3375D"/>
    <w:rsid w:val="00C3386C"/>
    <w:rsid w:val="00C33A00"/>
    <w:rsid w:val="00C33BAF"/>
    <w:rsid w:val="00C33BFA"/>
    <w:rsid w:val="00C33C44"/>
    <w:rsid w:val="00C33E0E"/>
    <w:rsid w:val="00C33EBE"/>
    <w:rsid w:val="00C33F6A"/>
    <w:rsid w:val="00C340FE"/>
    <w:rsid w:val="00C34108"/>
    <w:rsid w:val="00C34278"/>
    <w:rsid w:val="00C34398"/>
    <w:rsid w:val="00C3469A"/>
    <w:rsid w:val="00C349CE"/>
    <w:rsid w:val="00C34A72"/>
    <w:rsid w:val="00C34B38"/>
    <w:rsid w:val="00C34E4D"/>
    <w:rsid w:val="00C34FC2"/>
    <w:rsid w:val="00C35235"/>
    <w:rsid w:val="00C3592A"/>
    <w:rsid w:val="00C35A01"/>
    <w:rsid w:val="00C35A22"/>
    <w:rsid w:val="00C35BB6"/>
    <w:rsid w:val="00C35E55"/>
    <w:rsid w:val="00C35EBD"/>
    <w:rsid w:val="00C36093"/>
    <w:rsid w:val="00C36562"/>
    <w:rsid w:val="00C36577"/>
    <w:rsid w:val="00C36602"/>
    <w:rsid w:val="00C36771"/>
    <w:rsid w:val="00C36818"/>
    <w:rsid w:val="00C36981"/>
    <w:rsid w:val="00C36BAC"/>
    <w:rsid w:val="00C37041"/>
    <w:rsid w:val="00C371CD"/>
    <w:rsid w:val="00C37341"/>
    <w:rsid w:val="00C37475"/>
    <w:rsid w:val="00C37925"/>
    <w:rsid w:val="00C37BB2"/>
    <w:rsid w:val="00C40166"/>
    <w:rsid w:val="00C4016A"/>
    <w:rsid w:val="00C4019B"/>
    <w:rsid w:val="00C40430"/>
    <w:rsid w:val="00C407CC"/>
    <w:rsid w:val="00C40814"/>
    <w:rsid w:val="00C40A1B"/>
    <w:rsid w:val="00C40A53"/>
    <w:rsid w:val="00C40B4F"/>
    <w:rsid w:val="00C40B87"/>
    <w:rsid w:val="00C40E07"/>
    <w:rsid w:val="00C41840"/>
    <w:rsid w:val="00C41AC3"/>
    <w:rsid w:val="00C41C3E"/>
    <w:rsid w:val="00C41C64"/>
    <w:rsid w:val="00C41D2A"/>
    <w:rsid w:val="00C41D67"/>
    <w:rsid w:val="00C41D89"/>
    <w:rsid w:val="00C41E44"/>
    <w:rsid w:val="00C41E79"/>
    <w:rsid w:val="00C422EA"/>
    <w:rsid w:val="00C42512"/>
    <w:rsid w:val="00C42531"/>
    <w:rsid w:val="00C42594"/>
    <w:rsid w:val="00C427B4"/>
    <w:rsid w:val="00C42C59"/>
    <w:rsid w:val="00C43257"/>
    <w:rsid w:val="00C4328A"/>
    <w:rsid w:val="00C43577"/>
    <w:rsid w:val="00C4365D"/>
    <w:rsid w:val="00C4369E"/>
    <w:rsid w:val="00C43761"/>
    <w:rsid w:val="00C43A60"/>
    <w:rsid w:val="00C43C55"/>
    <w:rsid w:val="00C43DEE"/>
    <w:rsid w:val="00C43E0F"/>
    <w:rsid w:val="00C440A0"/>
    <w:rsid w:val="00C44162"/>
    <w:rsid w:val="00C4440C"/>
    <w:rsid w:val="00C449E6"/>
    <w:rsid w:val="00C44A2B"/>
    <w:rsid w:val="00C44C92"/>
    <w:rsid w:val="00C44CED"/>
    <w:rsid w:val="00C44DA3"/>
    <w:rsid w:val="00C452B1"/>
    <w:rsid w:val="00C452E4"/>
    <w:rsid w:val="00C453A2"/>
    <w:rsid w:val="00C453BD"/>
    <w:rsid w:val="00C455DF"/>
    <w:rsid w:val="00C45A78"/>
    <w:rsid w:val="00C45F43"/>
    <w:rsid w:val="00C46002"/>
    <w:rsid w:val="00C4600E"/>
    <w:rsid w:val="00C460CF"/>
    <w:rsid w:val="00C461B7"/>
    <w:rsid w:val="00C46321"/>
    <w:rsid w:val="00C464E5"/>
    <w:rsid w:val="00C465F2"/>
    <w:rsid w:val="00C466A5"/>
    <w:rsid w:val="00C4676A"/>
    <w:rsid w:val="00C467FC"/>
    <w:rsid w:val="00C468AB"/>
    <w:rsid w:val="00C46906"/>
    <w:rsid w:val="00C46965"/>
    <w:rsid w:val="00C46C39"/>
    <w:rsid w:val="00C47092"/>
    <w:rsid w:val="00C472CA"/>
    <w:rsid w:val="00C4754B"/>
    <w:rsid w:val="00C47A99"/>
    <w:rsid w:val="00C47CC8"/>
    <w:rsid w:val="00C47E89"/>
    <w:rsid w:val="00C50032"/>
    <w:rsid w:val="00C50243"/>
    <w:rsid w:val="00C50618"/>
    <w:rsid w:val="00C5076C"/>
    <w:rsid w:val="00C50AF5"/>
    <w:rsid w:val="00C50B85"/>
    <w:rsid w:val="00C50D71"/>
    <w:rsid w:val="00C50E61"/>
    <w:rsid w:val="00C51027"/>
    <w:rsid w:val="00C512DC"/>
    <w:rsid w:val="00C5140C"/>
    <w:rsid w:val="00C51975"/>
    <w:rsid w:val="00C51A00"/>
    <w:rsid w:val="00C51B2E"/>
    <w:rsid w:val="00C51CEF"/>
    <w:rsid w:val="00C51D81"/>
    <w:rsid w:val="00C51F5B"/>
    <w:rsid w:val="00C523A6"/>
    <w:rsid w:val="00C5252F"/>
    <w:rsid w:val="00C525D5"/>
    <w:rsid w:val="00C525DB"/>
    <w:rsid w:val="00C52833"/>
    <w:rsid w:val="00C53045"/>
    <w:rsid w:val="00C53103"/>
    <w:rsid w:val="00C535C2"/>
    <w:rsid w:val="00C53BF4"/>
    <w:rsid w:val="00C53C93"/>
    <w:rsid w:val="00C53DFE"/>
    <w:rsid w:val="00C54166"/>
    <w:rsid w:val="00C544A2"/>
    <w:rsid w:val="00C54835"/>
    <w:rsid w:val="00C54889"/>
    <w:rsid w:val="00C54FA2"/>
    <w:rsid w:val="00C5523E"/>
    <w:rsid w:val="00C552E5"/>
    <w:rsid w:val="00C55462"/>
    <w:rsid w:val="00C55B43"/>
    <w:rsid w:val="00C55FA1"/>
    <w:rsid w:val="00C56158"/>
    <w:rsid w:val="00C56177"/>
    <w:rsid w:val="00C561E7"/>
    <w:rsid w:val="00C563B3"/>
    <w:rsid w:val="00C568F4"/>
    <w:rsid w:val="00C56A2C"/>
    <w:rsid w:val="00C56CEE"/>
    <w:rsid w:val="00C56D82"/>
    <w:rsid w:val="00C57099"/>
    <w:rsid w:val="00C57207"/>
    <w:rsid w:val="00C57324"/>
    <w:rsid w:val="00C575D0"/>
    <w:rsid w:val="00C5762E"/>
    <w:rsid w:val="00C5791C"/>
    <w:rsid w:val="00C57A64"/>
    <w:rsid w:val="00C57BF5"/>
    <w:rsid w:val="00C57FE4"/>
    <w:rsid w:val="00C600A0"/>
    <w:rsid w:val="00C60293"/>
    <w:rsid w:val="00C60598"/>
    <w:rsid w:val="00C60BFB"/>
    <w:rsid w:val="00C61045"/>
    <w:rsid w:val="00C610B5"/>
    <w:rsid w:val="00C61225"/>
    <w:rsid w:val="00C613F6"/>
    <w:rsid w:val="00C614DD"/>
    <w:rsid w:val="00C61624"/>
    <w:rsid w:val="00C61669"/>
    <w:rsid w:val="00C61D0E"/>
    <w:rsid w:val="00C61FC7"/>
    <w:rsid w:val="00C62132"/>
    <w:rsid w:val="00C62191"/>
    <w:rsid w:val="00C6258F"/>
    <w:rsid w:val="00C62804"/>
    <w:rsid w:val="00C62C49"/>
    <w:rsid w:val="00C62DBB"/>
    <w:rsid w:val="00C62E21"/>
    <w:rsid w:val="00C62EBA"/>
    <w:rsid w:val="00C63038"/>
    <w:rsid w:val="00C63882"/>
    <w:rsid w:val="00C63A8F"/>
    <w:rsid w:val="00C63C29"/>
    <w:rsid w:val="00C64084"/>
    <w:rsid w:val="00C6414C"/>
    <w:rsid w:val="00C6451D"/>
    <w:rsid w:val="00C6475B"/>
    <w:rsid w:val="00C64821"/>
    <w:rsid w:val="00C64BA2"/>
    <w:rsid w:val="00C64C38"/>
    <w:rsid w:val="00C64CAD"/>
    <w:rsid w:val="00C65193"/>
    <w:rsid w:val="00C65208"/>
    <w:rsid w:val="00C653CC"/>
    <w:rsid w:val="00C65547"/>
    <w:rsid w:val="00C65873"/>
    <w:rsid w:val="00C65938"/>
    <w:rsid w:val="00C65A57"/>
    <w:rsid w:val="00C65C7E"/>
    <w:rsid w:val="00C65CDF"/>
    <w:rsid w:val="00C65CF8"/>
    <w:rsid w:val="00C660C7"/>
    <w:rsid w:val="00C66664"/>
    <w:rsid w:val="00C668EC"/>
    <w:rsid w:val="00C66A1A"/>
    <w:rsid w:val="00C66D3B"/>
    <w:rsid w:val="00C6703E"/>
    <w:rsid w:val="00C67097"/>
    <w:rsid w:val="00C67436"/>
    <w:rsid w:val="00C67450"/>
    <w:rsid w:val="00C676A7"/>
    <w:rsid w:val="00C67BDE"/>
    <w:rsid w:val="00C67C2A"/>
    <w:rsid w:val="00C67DCC"/>
    <w:rsid w:val="00C67DED"/>
    <w:rsid w:val="00C70260"/>
    <w:rsid w:val="00C70560"/>
    <w:rsid w:val="00C70602"/>
    <w:rsid w:val="00C7094C"/>
    <w:rsid w:val="00C70BDA"/>
    <w:rsid w:val="00C70CB7"/>
    <w:rsid w:val="00C70CF4"/>
    <w:rsid w:val="00C70FAC"/>
    <w:rsid w:val="00C7101A"/>
    <w:rsid w:val="00C7111D"/>
    <w:rsid w:val="00C7124B"/>
    <w:rsid w:val="00C71255"/>
    <w:rsid w:val="00C712B6"/>
    <w:rsid w:val="00C71529"/>
    <w:rsid w:val="00C715DE"/>
    <w:rsid w:val="00C71BB6"/>
    <w:rsid w:val="00C71CC0"/>
    <w:rsid w:val="00C722F2"/>
    <w:rsid w:val="00C7257A"/>
    <w:rsid w:val="00C7287F"/>
    <w:rsid w:val="00C728A3"/>
    <w:rsid w:val="00C72B4E"/>
    <w:rsid w:val="00C72D4A"/>
    <w:rsid w:val="00C73017"/>
    <w:rsid w:val="00C7327D"/>
    <w:rsid w:val="00C73344"/>
    <w:rsid w:val="00C73360"/>
    <w:rsid w:val="00C73539"/>
    <w:rsid w:val="00C73A96"/>
    <w:rsid w:val="00C73A9D"/>
    <w:rsid w:val="00C73E6B"/>
    <w:rsid w:val="00C73F17"/>
    <w:rsid w:val="00C74037"/>
    <w:rsid w:val="00C741CB"/>
    <w:rsid w:val="00C742AD"/>
    <w:rsid w:val="00C7433E"/>
    <w:rsid w:val="00C74358"/>
    <w:rsid w:val="00C744B0"/>
    <w:rsid w:val="00C74510"/>
    <w:rsid w:val="00C74652"/>
    <w:rsid w:val="00C74747"/>
    <w:rsid w:val="00C74762"/>
    <w:rsid w:val="00C749ED"/>
    <w:rsid w:val="00C74ADD"/>
    <w:rsid w:val="00C74B0C"/>
    <w:rsid w:val="00C74CF3"/>
    <w:rsid w:val="00C75684"/>
    <w:rsid w:val="00C7572B"/>
    <w:rsid w:val="00C75904"/>
    <w:rsid w:val="00C75A1D"/>
    <w:rsid w:val="00C76001"/>
    <w:rsid w:val="00C760FA"/>
    <w:rsid w:val="00C7616D"/>
    <w:rsid w:val="00C76462"/>
    <w:rsid w:val="00C764CB"/>
    <w:rsid w:val="00C764DF"/>
    <w:rsid w:val="00C7655A"/>
    <w:rsid w:val="00C765F4"/>
    <w:rsid w:val="00C76608"/>
    <w:rsid w:val="00C76709"/>
    <w:rsid w:val="00C7691D"/>
    <w:rsid w:val="00C76D06"/>
    <w:rsid w:val="00C76E3B"/>
    <w:rsid w:val="00C76FB6"/>
    <w:rsid w:val="00C76FBC"/>
    <w:rsid w:val="00C775C5"/>
    <w:rsid w:val="00C77A05"/>
    <w:rsid w:val="00C77AB9"/>
    <w:rsid w:val="00C77F98"/>
    <w:rsid w:val="00C8016C"/>
    <w:rsid w:val="00C8023E"/>
    <w:rsid w:val="00C8052D"/>
    <w:rsid w:val="00C807FA"/>
    <w:rsid w:val="00C8088E"/>
    <w:rsid w:val="00C80A6F"/>
    <w:rsid w:val="00C812FF"/>
    <w:rsid w:val="00C813C0"/>
    <w:rsid w:val="00C8148D"/>
    <w:rsid w:val="00C8150F"/>
    <w:rsid w:val="00C81B0B"/>
    <w:rsid w:val="00C81EC6"/>
    <w:rsid w:val="00C81F57"/>
    <w:rsid w:val="00C81F5A"/>
    <w:rsid w:val="00C82347"/>
    <w:rsid w:val="00C82394"/>
    <w:rsid w:val="00C82732"/>
    <w:rsid w:val="00C82C2F"/>
    <w:rsid w:val="00C82CE9"/>
    <w:rsid w:val="00C82D4E"/>
    <w:rsid w:val="00C82D5D"/>
    <w:rsid w:val="00C8312A"/>
    <w:rsid w:val="00C833C5"/>
    <w:rsid w:val="00C8350D"/>
    <w:rsid w:val="00C83BA6"/>
    <w:rsid w:val="00C83C08"/>
    <w:rsid w:val="00C83F6F"/>
    <w:rsid w:val="00C843C8"/>
    <w:rsid w:val="00C8478C"/>
    <w:rsid w:val="00C84806"/>
    <w:rsid w:val="00C8494A"/>
    <w:rsid w:val="00C84C26"/>
    <w:rsid w:val="00C84C55"/>
    <w:rsid w:val="00C84D7A"/>
    <w:rsid w:val="00C84F9E"/>
    <w:rsid w:val="00C85217"/>
    <w:rsid w:val="00C85A84"/>
    <w:rsid w:val="00C85B09"/>
    <w:rsid w:val="00C85C37"/>
    <w:rsid w:val="00C85C81"/>
    <w:rsid w:val="00C85D36"/>
    <w:rsid w:val="00C85E50"/>
    <w:rsid w:val="00C85E98"/>
    <w:rsid w:val="00C8609A"/>
    <w:rsid w:val="00C867DA"/>
    <w:rsid w:val="00C869E6"/>
    <w:rsid w:val="00C86B50"/>
    <w:rsid w:val="00C86B83"/>
    <w:rsid w:val="00C86E52"/>
    <w:rsid w:val="00C872DE"/>
    <w:rsid w:val="00C8770D"/>
    <w:rsid w:val="00C878DB"/>
    <w:rsid w:val="00C87945"/>
    <w:rsid w:val="00C87BE8"/>
    <w:rsid w:val="00C87E9B"/>
    <w:rsid w:val="00C901AB"/>
    <w:rsid w:val="00C901E2"/>
    <w:rsid w:val="00C9048E"/>
    <w:rsid w:val="00C90581"/>
    <w:rsid w:val="00C90760"/>
    <w:rsid w:val="00C908A0"/>
    <w:rsid w:val="00C90A97"/>
    <w:rsid w:val="00C90E33"/>
    <w:rsid w:val="00C90EC9"/>
    <w:rsid w:val="00C9100D"/>
    <w:rsid w:val="00C9130D"/>
    <w:rsid w:val="00C91311"/>
    <w:rsid w:val="00C913E1"/>
    <w:rsid w:val="00C9142E"/>
    <w:rsid w:val="00C9147C"/>
    <w:rsid w:val="00C91A20"/>
    <w:rsid w:val="00C91DF4"/>
    <w:rsid w:val="00C91DF7"/>
    <w:rsid w:val="00C921DE"/>
    <w:rsid w:val="00C9222F"/>
    <w:rsid w:val="00C924F4"/>
    <w:rsid w:val="00C92559"/>
    <w:rsid w:val="00C9255C"/>
    <w:rsid w:val="00C9255E"/>
    <w:rsid w:val="00C9281D"/>
    <w:rsid w:val="00C92B55"/>
    <w:rsid w:val="00C92BFE"/>
    <w:rsid w:val="00C92F47"/>
    <w:rsid w:val="00C931CA"/>
    <w:rsid w:val="00C93292"/>
    <w:rsid w:val="00C93333"/>
    <w:rsid w:val="00C93383"/>
    <w:rsid w:val="00C93623"/>
    <w:rsid w:val="00C93C59"/>
    <w:rsid w:val="00C93DF7"/>
    <w:rsid w:val="00C93F3C"/>
    <w:rsid w:val="00C94000"/>
    <w:rsid w:val="00C94246"/>
    <w:rsid w:val="00C9445A"/>
    <w:rsid w:val="00C94659"/>
    <w:rsid w:val="00C94689"/>
    <w:rsid w:val="00C94A26"/>
    <w:rsid w:val="00C94AE8"/>
    <w:rsid w:val="00C94DEF"/>
    <w:rsid w:val="00C952C5"/>
    <w:rsid w:val="00C95326"/>
    <w:rsid w:val="00C95393"/>
    <w:rsid w:val="00C953CF"/>
    <w:rsid w:val="00C954B2"/>
    <w:rsid w:val="00C95861"/>
    <w:rsid w:val="00C95CF3"/>
    <w:rsid w:val="00C96105"/>
    <w:rsid w:val="00C9679E"/>
    <w:rsid w:val="00C96C00"/>
    <w:rsid w:val="00C96D26"/>
    <w:rsid w:val="00C96E34"/>
    <w:rsid w:val="00C96F34"/>
    <w:rsid w:val="00C96F3A"/>
    <w:rsid w:val="00C96F6C"/>
    <w:rsid w:val="00C9706A"/>
    <w:rsid w:val="00C970C0"/>
    <w:rsid w:val="00C97202"/>
    <w:rsid w:val="00C97631"/>
    <w:rsid w:val="00C97634"/>
    <w:rsid w:val="00C97CAE"/>
    <w:rsid w:val="00C97FCB"/>
    <w:rsid w:val="00CA0028"/>
    <w:rsid w:val="00CA024E"/>
    <w:rsid w:val="00CA039B"/>
    <w:rsid w:val="00CA05BB"/>
    <w:rsid w:val="00CA05F5"/>
    <w:rsid w:val="00CA0AFF"/>
    <w:rsid w:val="00CA0C12"/>
    <w:rsid w:val="00CA0C80"/>
    <w:rsid w:val="00CA0F13"/>
    <w:rsid w:val="00CA10E6"/>
    <w:rsid w:val="00CA185F"/>
    <w:rsid w:val="00CA18AB"/>
    <w:rsid w:val="00CA18D0"/>
    <w:rsid w:val="00CA1BAF"/>
    <w:rsid w:val="00CA1BB2"/>
    <w:rsid w:val="00CA1C16"/>
    <w:rsid w:val="00CA2023"/>
    <w:rsid w:val="00CA20C2"/>
    <w:rsid w:val="00CA20D7"/>
    <w:rsid w:val="00CA2211"/>
    <w:rsid w:val="00CA2336"/>
    <w:rsid w:val="00CA2409"/>
    <w:rsid w:val="00CA2481"/>
    <w:rsid w:val="00CA2571"/>
    <w:rsid w:val="00CA25C9"/>
    <w:rsid w:val="00CA2725"/>
    <w:rsid w:val="00CA2758"/>
    <w:rsid w:val="00CA2B30"/>
    <w:rsid w:val="00CA2D88"/>
    <w:rsid w:val="00CA2E03"/>
    <w:rsid w:val="00CA2FAC"/>
    <w:rsid w:val="00CA30E7"/>
    <w:rsid w:val="00CA3183"/>
    <w:rsid w:val="00CA3283"/>
    <w:rsid w:val="00CA3305"/>
    <w:rsid w:val="00CA3588"/>
    <w:rsid w:val="00CA3899"/>
    <w:rsid w:val="00CA3A97"/>
    <w:rsid w:val="00CA3FC1"/>
    <w:rsid w:val="00CA42A9"/>
    <w:rsid w:val="00CA42C0"/>
    <w:rsid w:val="00CA460E"/>
    <w:rsid w:val="00CA4770"/>
    <w:rsid w:val="00CA4848"/>
    <w:rsid w:val="00CA4900"/>
    <w:rsid w:val="00CA499F"/>
    <w:rsid w:val="00CA4DD1"/>
    <w:rsid w:val="00CA4E22"/>
    <w:rsid w:val="00CA4FC1"/>
    <w:rsid w:val="00CA5002"/>
    <w:rsid w:val="00CA535D"/>
    <w:rsid w:val="00CA54C3"/>
    <w:rsid w:val="00CA5558"/>
    <w:rsid w:val="00CA557C"/>
    <w:rsid w:val="00CA58F8"/>
    <w:rsid w:val="00CA5D36"/>
    <w:rsid w:val="00CA5DDB"/>
    <w:rsid w:val="00CA5DE9"/>
    <w:rsid w:val="00CA5EFF"/>
    <w:rsid w:val="00CA6077"/>
    <w:rsid w:val="00CA6132"/>
    <w:rsid w:val="00CA614D"/>
    <w:rsid w:val="00CA6544"/>
    <w:rsid w:val="00CA65CA"/>
    <w:rsid w:val="00CA65D3"/>
    <w:rsid w:val="00CA664C"/>
    <w:rsid w:val="00CA667D"/>
    <w:rsid w:val="00CA6715"/>
    <w:rsid w:val="00CA67EC"/>
    <w:rsid w:val="00CA6991"/>
    <w:rsid w:val="00CA6A58"/>
    <w:rsid w:val="00CA6B7A"/>
    <w:rsid w:val="00CA6BEB"/>
    <w:rsid w:val="00CA6C56"/>
    <w:rsid w:val="00CA6D2D"/>
    <w:rsid w:val="00CA6DF8"/>
    <w:rsid w:val="00CA6F38"/>
    <w:rsid w:val="00CA6F49"/>
    <w:rsid w:val="00CA6F54"/>
    <w:rsid w:val="00CA70B8"/>
    <w:rsid w:val="00CA7210"/>
    <w:rsid w:val="00CA7D98"/>
    <w:rsid w:val="00CA7E3D"/>
    <w:rsid w:val="00CB0121"/>
    <w:rsid w:val="00CB025D"/>
    <w:rsid w:val="00CB059F"/>
    <w:rsid w:val="00CB0707"/>
    <w:rsid w:val="00CB08AF"/>
    <w:rsid w:val="00CB090C"/>
    <w:rsid w:val="00CB0918"/>
    <w:rsid w:val="00CB0AA4"/>
    <w:rsid w:val="00CB0B2D"/>
    <w:rsid w:val="00CB0E54"/>
    <w:rsid w:val="00CB0EE8"/>
    <w:rsid w:val="00CB1145"/>
    <w:rsid w:val="00CB13C8"/>
    <w:rsid w:val="00CB1616"/>
    <w:rsid w:val="00CB163A"/>
    <w:rsid w:val="00CB1855"/>
    <w:rsid w:val="00CB18B1"/>
    <w:rsid w:val="00CB1979"/>
    <w:rsid w:val="00CB1BBC"/>
    <w:rsid w:val="00CB1E7C"/>
    <w:rsid w:val="00CB21D4"/>
    <w:rsid w:val="00CB25DA"/>
    <w:rsid w:val="00CB2695"/>
    <w:rsid w:val="00CB274C"/>
    <w:rsid w:val="00CB2968"/>
    <w:rsid w:val="00CB2AA4"/>
    <w:rsid w:val="00CB2C40"/>
    <w:rsid w:val="00CB2C82"/>
    <w:rsid w:val="00CB2D95"/>
    <w:rsid w:val="00CB2E2A"/>
    <w:rsid w:val="00CB2EDC"/>
    <w:rsid w:val="00CB306E"/>
    <w:rsid w:val="00CB30CD"/>
    <w:rsid w:val="00CB32DB"/>
    <w:rsid w:val="00CB3372"/>
    <w:rsid w:val="00CB37AF"/>
    <w:rsid w:val="00CB3AF3"/>
    <w:rsid w:val="00CB3BD8"/>
    <w:rsid w:val="00CB3CE4"/>
    <w:rsid w:val="00CB414B"/>
    <w:rsid w:val="00CB41D7"/>
    <w:rsid w:val="00CB431A"/>
    <w:rsid w:val="00CB43CF"/>
    <w:rsid w:val="00CB4583"/>
    <w:rsid w:val="00CB471C"/>
    <w:rsid w:val="00CB5053"/>
    <w:rsid w:val="00CB51D1"/>
    <w:rsid w:val="00CB53CC"/>
    <w:rsid w:val="00CB5456"/>
    <w:rsid w:val="00CB56EA"/>
    <w:rsid w:val="00CB5BF1"/>
    <w:rsid w:val="00CB6574"/>
    <w:rsid w:val="00CB669A"/>
    <w:rsid w:val="00CB687D"/>
    <w:rsid w:val="00CB68C8"/>
    <w:rsid w:val="00CB6992"/>
    <w:rsid w:val="00CB69B4"/>
    <w:rsid w:val="00CB6DDF"/>
    <w:rsid w:val="00CB6E8F"/>
    <w:rsid w:val="00CB6EC0"/>
    <w:rsid w:val="00CB6EEC"/>
    <w:rsid w:val="00CB6F10"/>
    <w:rsid w:val="00CB6F48"/>
    <w:rsid w:val="00CB71FA"/>
    <w:rsid w:val="00CB72BD"/>
    <w:rsid w:val="00CB78DB"/>
    <w:rsid w:val="00CB78DC"/>
    <w:rsid w:val="00CB7B2F"/>
    <w:rsid w:val="00CB7B48"/>
    <w:rsid w:val="00CC01F4"/>
    <w:rsid w:val="00CC0702"/>
    <w:rsid w:val="00CC0C63"/>
    <w:rsid w:val="00CC0FE9"/>
    <w:rsid w:val="00CC1109"/>
    <w:rsid w:val="00CC137F"/>
    <w:rsid w:val="00CC18CD"/>
    <w:rsid w:val="00CC1BCB"/>
    <w:rsid w:val="00CC20A5"/>
    <w:rsid w:val="00CC24A5"/>
    <w:rsid w:val="00CC24D8"/>
    <w:rsid w:val="00CC2CB4"/>
    <w:rsid w:val="00CC2FAA"/>
    <w:rsid w:val="00CC2FF8"/>
    <w:rsid w:val="00CC312E"/>
    <w:rsid w:val="00CC39AD"/>
    <w:rsid w:val="00CC3A27"/>
    <w:rsid w:val="00CC3AB2"/>
    <w:rsid w:val="00CC3B89"/>
    <w:rsid w:val="00CC3EF4"/>
    <w:rsid w:val="00CC425D"/>
    <w:rsid w:val="00CC432F"/>
    <w:rsid w:val="00CC496E"/>
    <w:rsid w:val="00CC4D01"/>
    <w:rsid w:val="00CC4D64"/>
    <w:rsid w:val="00CC4EA2"/>
    <w:rsid w:val="00CC4F5A"/>
    <w:rsid w:val="00CC4FEB"/>
    <w:rsid w:val="00CC510F"/>
    <w:rsid w:val="00CC5264"/>
    <w:rsid w:val="00CC52D9"/>
    <w:rsid w:val="00CC534A"/>
    <w:rsid w:val="00CC53D6"/>
    <w:rsid w:val="00CC53FA"/>
    <w:rsid w:val="00CC5419"/>
    <w:rsid w:val="00CC56B6"/>
    <w:rsid w:val="00CC59C3"/>
    <w:rsid w:val="00CC5B09"/>
    <w:rsid w:val="00CC5E3B"/>
    <w:rsid w:val="00CC60E2"/>
    <w:rsid w:val="00CC60FA"/>
    <w:rsid w:val="00CC62DE"/>
    <w:rsid w:val="00CC6371"/>
    <w:rsid w:val="00CC6381"/>
    <w:rsid w:val="00CC66C9"/>
    <w:rsid w:val="00CC673B"/>
    <w:rsid w:val="00CC67B2"/>
    <w:rsid w:val="00CC694A"/>
    <w:rsid w:val="00CC6B29"/>
    <w:rsid w:val="00CC6C75"/>
    <w:rsid w:val="00CC6E80"/>
    <w:rsid w:val="00CC711E"/>
    <w:rsid w:val="00CC7589"/>
    <w:rsid w:val="00CC7682"/>
    <w:rsid w:val="00CC775E"/>
    <w:rsid w:val="00CC78CD"/>
    <w:rsid w:val="00CC7A5E"/>
    <w:rsid w:val="00CC7AD0"/>
    <w:rsid w:val="00CC7EFD"/>
    <w:rsid w:val="00CC7F90"/>
    <w:rsid w:val="00CD014A"/>
    <w:rsid w:val="00CD0255"/>
    <w:rsid w:val="00CD03E0"/>
    <w:rsid w:val="00CD07AA"/>
    <w:rsid w:val="00CD0A81"/>
    <w:rsid w:val="00CD0C2B"/>
    <w:rsid w:val="00CD0C64"/>
    <w:rsid w:val="00CD0EA1"/>
    <w:rsid w:val="00CD0EBA"/>
    <w:rsid w:val="00CD0FBB"/>
    <w:rsid w:val="00CD13DD"/>
    <w:rsid w:val="00CD1526"/>
    <w:rsid w:val="00CD19FF"/>
    <w:rsid w:val="00CD1A4E"/>
    <w:rsid w:val="00CD1D79"/>
    <w:rsid w:val="00CD1E3A"/>
    <w:rsid w:val="00CD20DC"/>
    <w:rsid w:val="00CD2115"/>
    <w:rsid w:val="00CD23CD"/>
    <w:rsid w:val="00CD3574"/>
    <w:rsid w:val="00CD3617"/>
    <w:rsid w:val="00CD36C7"/>
    <w:rsid w:val="00CD372C"/>
    <w:rsid w:val="00CD3843"/>
    <w:rsid w:val="00CD3868"/>
    <w:rsid w:val="00CD3E0E"/>
    <w:rsid w:val="00CD3E47"/>
    <w:rsid w:val="00CD4207"/>
    <w:rsid w:val="00CD4387"/>
    <w:rsid w:val="00CD457A"/>
    <w:rsid w:val="00CD4738"/>
    <w:rsid w:val="00CD499C"/>
    <w:rsid w:val="00CD49EB"/>
    <w:rsid w:val="00CD4A41"/>
    <w:rsid w:val="00CD4B1A"/>
    <w:rsid w:val="00CD4C01"/>
    <w:rsid w:val="00CD50AA"/>
    <w:rsid w:val="00CD5141"/>
    <w:rsid w:val="00CD5231"/>
    <w:rsid w:val="00CD53E5"/>
    <w:rsid w:val="00CD56CC"/>
    <w:rsid w:val="00CD5ECC"/>
    <w:rsid w:val="00CD5F12"/>
    <w:rsid w:val="00CD621C"/>
    <w:rsid w:val="00CD62E8"/>
    <w:rsid w:val="00CD634E"/>
    <w:rsid w:val="00CD63DF"/>
    <w:rsid w:val="00CD6918"/>
    <w:rsid w:val="00CD6A0E"/>
    <w:rsid w:val="00CD6A7A"/>
    <w:rsid w:val="00CD6AFF"/>
    <w:rsid w:val="00CD6E1B"/>
    <w:rsid w:val="00CD6FD4"/>
    <w:rsid w:val="00CD727F"/>
    <w:rsid w:val="00CD7421"/>
    <w:rsid w:val="00CD76AE"/>
    <w:rsid w:val="00CD79C6"/>
    <w:rsid w:val="00CD7C4B"/>
    <w:rsid w:val="00CD7D0E"/>
    <w:rsid w:val="00CD7FF3"/>
    <w:rsid w:val="00CE0600"/>
    <w:rsid w:val="00CE068D"/>
    <w:rsid w:val="00CE08CF"/>
    <w:rsid w:val="00CE0CE0"/>
    <w:rsid w:val="00CE1071"/>
    <w:rsid w:val="00CE138A"/>
    <w:rsid w:val="00CE14B5"/>
    <w:rsid w:val="00CE1609"/>
    <w:rsid w:val="00CE179C"/>
    <w:rsid w:val="00CE192C"/>
    <w:rsid w:val="00CE1B19"/>
    <w:rsid w:val="00CE2019"/>
    <w:rsid w:val="00CE21B5"/>
    <w:rsid w:val="00CE2261"/>
    <w:rsid w:val="00CE2388"/>
    <w:rsid w:val="00CE2566"/>
    <w:rsid w:val="00CE26D6"/>
    <w:rsid w:val="00CE2A00"/>
    <w:rsid w:val="00CE2F3E"/>
    <w:rsid w:val="00CE2FC9"/>
    <w:rsid w:val="00CE2FF8"/>
    <w:rsid w:val="00CE33F4"/>
    <w:rsid w:val="00CE37FC"/>
    <w:rsid w:val="00CE3869"/>
    <w:rsid w:val="00CE3C00"/>
    <w:rsid w:val="00CE3E18"/>
    <w:rsid w:val="00CE3FA9"/>
    <w:rsid w:val="00CE4435"/>
    <w:rsid w:val="00CE45E6"/>
    <w:rsid w:val="00CE469E"/>
    <w:rsid w:val="00CE4868"/>
    <w:rsid w:val="00CE4C76"/>
    <w:rsid w:val="00CE4C80"/>
    <w:rsid w:val="00CE4EB8"/>
    <w:rsid w:val="00CE4EDC"/>
    <w:rsid w:val="00CE5171"/>
    <w:rsid w:val="00CE5505"/>
    <w:rsid w:val="00CE5FE5"/>
    <w:rsid w:val="00CE60A8"/>
    <w:rsid w:val="00CE621A"/>
    <w:rsid w:val="00CE630D"/>
    <w:rsid w:val="00CE63BC"/>
    <w:rsid w:val="00CE6541"/>
    <w:rsid w:val="00CE692B"/>
    <w:rsid w:val="00CE6AF4"/>
    <w:rsid w:val="00CE6E91"/>
    <w:rsid w:val="00CE6F77"/>
    <w:rsid w:val="00CE7010"/>
    <w:rsid w:val="00CE7218"/>
    <w:rsid w:val="00CE73F4"/>
    <w:rsid w:val="00CE748F"/>
    <w:rsid w:val="00CE7799"/>
    <w:rsid w:val="00CE7833"/>
    <w:rsid w:val="00CE7B59"/>
    <w:rsid w:val="00CE7C94"/>
    <w:rsid w:val="00CF0039"/>
    <w:rsid w:val="00CF0219"/>
    <w:rsid w:val="00CF085D"/>
    <w:rsid w:val="00CF0B4E"/>
    <w:rsid w:val="00CF0BA0"/>
    <w:rsid w:val="00CF0BD1"/>
    <w:rsid w:val="00CF0CCD"/>
    <w:rsid w:val="00CF0E34"/>
    <w:rsid w:val="00CF0F66"/>
    <w:rsid w:val="00CF0FDF"/>
    <w:rsid w:val="00CF12D5"/>
    <w:rsid w:val="00CF151B"/>
    <w:rsid w:val="00CF1663"/>
    <w:rsid w:val="00CF172F"/>
    <w:rsid w:val="00CF1759"/>
    <w:rsid w:val="00CF1840"/>
    <w:rsid w:val="00CF1877"/>
    <w:rsid w:val="00CF1905"/>
    <w:rsid w:val="00CF1966"/>
    <w:rsid w:val="00CF19E9"/>
    <w:rsid w:val="00CF2151"/>
    <w:rsid w:val="00CF2338"/>
    <w:rsid w:val="00CF29E6"/>
    <w:rsid w:val="00CF2A09"/>
    <w:rsid w:val="00CF33E0"/>
    <w:rsid w:val="00CF344F"/>
    <w:rsid w:val="00CF34C3"/>
    <w:rsid w:val="00CF36DD"/>
    <w:rsid w:val="00CF3725"/>
    <w:rsid w:val="00CF3957"/>
    <w:rsid w:val="00CF3BED"/>
    <w:rsid w:val="00CF42B4"/>
    <w:rsid w:val="00CF48AB"/>
    <w:rsid w:val="00CF4EE0"/>
    <w:rsid w:val="00CF4F52"/>
    <w:rsid w:val="00CF509B"/>
    <w:rsid w:val="00CF5352"/>
    <w:rsid w:val="00CF5364"/>
    <w:rsid w:val="00CF54F6"/>
    <w:rsid w:val="00CF5B23"/>
    <w:rsid w:val="00CF5B96"/>
    <w:rsid w:val="00CF5DF8"/>
    <w:rsid w:val="00CF61FE"/>
    <w:rsid w:val="00CF655F"/>
    <w:rsid w:val="00CF6616"/>
    <w:rsid w:val="00CF6AD3"/>
    <w:rsid w:val="00CF6C19"/>
    <w:rsid w:val="00CF7149"/>
    <w:rsid w:val="00CF7561"/>
    <w:rsid w:val="00CF7585"/>
    <w:rsid w:val="00CF781C"/>
    <w:rsid w:val="00CF78B9"/>
    <w:rsid w:val="00D000F8"/>
    <w:rsid w:val="00D0010E"/>
    <w:rsid w:val="00D0051D"/>
    <w:rsid w:val="00D006EC"/>
    <w:rsid w:val="00D00722"/>
    <w:rsid w:val="00D00A24"/>
    <w:rsid w:val="00D00A3B"/>
    <w:rsid w:val="00D00DEC"/>
    <w:rsid w:val="00D00E31"/>
    <w:rsid w:val="00D01095"/>
    <w:rsid w:val="00D010CB"/>
    <w:rsid w:val="00D014DF"/>
    <w:rsid w:val="00D015E2"/>
    <w:rsid w:val="00D017E8"/>
    <w:rsid w:val="00D01A27"/>
    <w:rsid w:val="00D01B40"/>
    <w:rsid w:val="00D01B4D"/>
    <w:rsid w:val="00D01B83"/>
    <w:rsid w:val="00D01CB1"/>
    <w:rsid w:val="00D02986"/>
    <w:rsid w:val="00D02C8C"/>
    <w:rsid w:val="00D02CCD"/>
    <w:rsid w:val="00D02DF7"/>
    <w:rsid w:val="00D03556"/>
    <w:rsid w:val="00D03626"/>
    <w:rsid w:val="00D039EA"/>
    <w:rsid w:val="00D03ACC"/>
    <w:rsid w:val="00D03CC4"/>
    <w:rsid w:val="00D0404C"/>
    <w:rsid w:val="00D0423F"/>
    <w:rsid w:val="00D042AC"/>
    <w:rsid w:val="00D042FA"/>
    <w:rsid w:val="00D0479C"/>
    <w:rsid w:val="00D04A50"/>
    <w:rsid w:val="00D04CE8"/>
    <w:rsid w:val="00D05093"/>
    <w:rsid w:val="00D052D1"/>
    <w:rsid w:val="00D0559B"/>
    <w:rsid w:val="00D05643"/>
    <w:rsid w:val="00D058A1"/>
    <w:rsid w:val="00D05C93"/>
    <w:rsid w:val="00D05CD0"/>
    <w:rsid w:val="00D05FE5"/>
    <w:rsid w:val="00D0600D"/>
    <w:rsid w:val="00D060A2"/>
    <w:rsid w:val="00D062F1"/>
    <w:rsid w:val="00D06379"/>
    <w:rsid w:val="00D06A34"/>
    <w:rsid w:val="00D06D7E"/>
    <w:rsid w:val="00D06ECE"/>
    <w:rsid w:val="00D07283"/>
    <w:rsid w:val="00D07738"/>
    <w:rsid w:val="00D077BB"/>
    <w:rsid w:val="00D077CE"/>
    <w:rsid w:val="00D07ADD"/>
    <w:rsid w:val="00D07CEF"/>
    <w:rsid w:val="00D07FFA"/>
    <w:rsid w:val="00D101E8"/>
    <w:rsid w:val="00D10325"/>
    <w:rsid w:val="00D107CB"/>
    <w:rsid w:val="00D108E7"/>
    <w:rsid w:val="00D1091A"/>
    <w:rsid w:val="00D10B64"/>
    <w:rsid w:val="00D10C41"/>
    <w:rsid w:val="00D10D1E"/>
    <w:rsid w:val="00D10E1A"/>
    <w:rsid w:val="00D11181"/>
    <w:rsid w:val="00D11FE9"/>
    <w:rsid w:val="00D121AC"/>
    <w:rsid w:val="00D129DF"/>
    <w:rsid w:val="00D12F82"/>
    <w:rsid w:val="00D131B2"/>
    <w:rsid w:val="00D13AE7"/>
    <w:rsid w:val="00D13E77"/>
    <w:rsid w:val="00D143C1"/>
    <w:rsid w:val="00D14475"/>
    <w:rsid w:val="00D144FC"/>
    <w:rsid w:val="00D147BA"/>
    <w:rsid w:val="00D148A6"/>
    <w:rsid w:val="00D14927"/>
    <w:rsid w:val="00D149A3"/>
    <w:rsid w:val="00D14BFD"/>
    <w:rsid w:val="00D14CAA"/>
    <w:rsid w:val="00D14D2A"/>
    <w:rsid w:val="00D14D6F"/>
    <w:rsid w:val="00D14D8E"/>
    <w:rsid w:val="00D14DD9"/>
    <w:rsid w:val="00D14FB8"/>
    <w:rsid w:val="00D15377"/>
    <w:rsid w:val="00D15385"/>
    <w:rsid w:val="00D15468"/>
    <w:rsid w:val="00D156A4"/>
    <w:rsid w:val="00D15703"/>
    <w:rsid w:val="00D15898"/>
    <w:rsid w:val="00D15A2D"/>
    <w:rsid w:val="00D15BE1"/>
    <w:rsid w:val="00D15C6A"/>
    <w:rsid w:val="00D15E0D"/>
    <w:rsid w:val="00D160D7"/>
    <w:rsid w:val="00D16637"/>
    <w:rsid w:val="00D1694B"/>
    <w:rsid w:val="00D1715E"/>
    <w:rsid w:val="00D17430"/>
    <w:rsid w:val="00D176F1"/>
    <w:rsid w:val="00D177E9"/>
    <w:rsid w:val="00D179FD"/>
    <w:rsid w:val="00D17FA5"/>
    <w:rsid w:val="00D20134"/>
    <w:rsid w:val="00D20291"/>
    <w:rsid w:val="00D2030B"/>
    <w:rsid w:val="00D2043D"/>
    <w:rsid w:val="00D204C7"/>
    <w:rsid w:val="00D20678"/>
    <w:rsid w:val="00D20B18"/>
    <w:rsid w:val="00D20CD6"/>
    <w:rsid w:val="00D20E9D"/>
    <w:rsid w:val="00D20F13"/>
    <w:rsid w:val="00D2110C"/>
    <w:rsid w:val="00D213C8"/>
    <w:rsid w:val="00D2144B"/>
    <w:rsid w:val="00D2148A"/>
    <w:rsid w:val="00D217AD"/>
    <w:rsid w:val="00D218CC"/>
    <w:rsid w:val="00D218F9"/>
    <w:rsid w:val="00D21A29"/>
    <w:rsid w:val="00D21D20"/>
    <w:rsid w:val="00D21DD5"/>
    <w:rsid w:val="00D22085"/>
    <w:rsid w:val="00D22106"/>
    <w:rsid w:val="00D221B0"/>
    <w:rsid w:val="00D224E1"/>
    <w:rsid w:val="00D22560"/>
    <w:rsid w:val="00D22590"/>
    <w:rsid w:val="00D226C7"/>
    <w:rsid w:val="00D22719"/>
    <w:rsid w:val="00D22748"/>
    <w:rsid w:val="00D22C15"/>
    <w:rsid w:val="00D22D41"/>
    <w:rsid w:val="00D22F35"/>
    <w:rsid w:val="00D232A1"/>
    <w:rsid w:val="00D2378D"/>
    <w:rsid w:val="00D237CB"/>
    <w:rsid w:val="00D237D3"/>
    <w:rsid w:val="00D23B8B"/>
    <w:rsid w:val="00D24127"/>
    <w:rsid w:val="00D2446D"/>
    <w:rsid w:val="00D24545"/>
    <w:rsid w:val="00D245E1"/>
    <w:rsid w:val="00D24983"/>
    <w:rsid w:val="00D24B12"/>
    <w:rsid w:val="00D24B5D"/>
    <w:rsid w:val="00D24C63"/>
    <w:rsid w:val="00D24C9C"/>
    <w:rsid w:val="00D24DC0"/>
    <w:rsid w:val="00D24FD0"/>
    <w:rsid w:val="00D2518E"/>
    <w:rsid w:val="00D254E4"/>
    <w:rsid w:val="00D25AA0"/>
    <w:rsid w:val="00D25AB4"/>
    <w:rsid w:val="00D25BC8"/>
    <w:rsid w:val="00D25C48"/>
    <w:rsid w:val="00D25D28"/>
    <w:rsid w:val="00D25D55"/>
    <w:rsid w:val="00D25E7E"/>
    <w:rsid w:val="00D26050"/>
    <w:rsid w:val="00D2629D"/>
    <w:rsid w:val="00D263A1"/>
    <w:rsid w:val="00D263C1"/>
    <w:rsid w:val="00D26B0B"/>
    <w:rsid w:val="00D26BAD"/>
    <w:rsid w:val="00D26BDF"/>
    <w:rsid w:val="00D26D0F"/>
    <w:rsid w:val="00D26FF5"/>
    <w:rsid w:val="00D27426"/>
    <w:rsid w:val="00D27538"/>
    <w:rsid w:val="00D2770D"/>
    <w:rsid w:val="00D278EE"/>
    <w:rsid w:val="00D27CC5"/>
    <w:rsid w:val="00D30008"/>
    <w:rsid w:val="00D305AC"/>
    <w:rsid w:val="00D30663"/>
    <w:rsid w:val="00D30733"/>
    <w:rsid w:val="00D30DA3"/>
    <w:rsid w:val="00D30E40"/>
    <w:rsid w:val="00D3102B"/>
    <w:rsid w:val="00D3105F"/>
    <w:rsid w:val="00D3112C"/>
    <w:rsid w:val="00D31233"/>
    <w:rsid w:val="00D31298"/>
    <w:rsid w:val="00D31666"/>
    <w:rsid w:val="00D31C2E"/>
    <w:rsid w:val="00D31C3D"/>
    <w:rsid w:val="00D31D57"/>
    <w:rsid w:val="00D31D8D"/>
    <w:rsid w:val="00D31E2E"/>
    <w:rsid w:val="00D321CC"/>
    <w:rsid w:val="00D3234D"/>
    <w:rsid w:val="00D32365"/>
    <w:rsid w:val="00D32CDC"/>
    <w:rsid w:val="00D32DFB"/>
    <w:rsid w:val="00D32E25"/>
    <w:rsid w:val="00D32E79"/>
    <w:rsid w:val="00D32EB0"/>
    <w:rsid w:val="00D3335F"/>
    <w:rsid w:val="00D33409"/>
    <w:rsid w:val="00D33641"/>
    <w:rsid w:val="00D33651"/>
    <w:rsid w:val="00D33709"/>
    <w:rsid w:val="00D337BD"/>
    <w:rsid w:val="00D339B3"/>
    <w:rsid w:val="00D33A47"/>
    <w:rsid w:val="00D33BA6"/>
    <w:rsid w:val="00D33C75"/>
    <w:rsid w:val="00D342E8"/>
    <w:rsid w:val="00D34339"/>
    <w:rsid w:val="00D343AE"/>
    <w:rsid w:val="00D348BF"/>
    <w:rsid w:val="00D349A1"/>
    <w:rsid w:val="00D34A74"/>
    <w:rsid w:val="00D34AA0"/>
    <w:rsid w:val="00D34E22"/>
    <w:rsid w:val="00D34EA4"/>
    <w:rsid w:val="00D35010"/>
    <w:rsid w:val="00D35262"/>
    <w:rsid w:val="00D353BF"/>
    <w:rsid w:val="00D35672"/>
    <w:rsid w:val="00D35713"/>
    <w:rsid w:val="00D35942"/>
    <w:rsid w:val="00D35B04"/>
    <w:rsid w:val="00D36A60"/>
    <w:rsid w:val="00D36BD5"/>
    <w:rsid w:val="00D36D0E"/>
    <w:rsid w:val="00D36D6A"/>
    <w:rsid w:val="00D36D8D"/>
    <w:rsid w:val="00D36E22"/>
    <w:rsid w:val="00D36F61"/>
    <w:rsid w:val="00D36FE6"/>
    <w:rsid w:val="00D37068"/>
    <w:rsid w:val="00D379CD"/>
    <w:rsid w:val="00D379DA"/>
    <w:rsid w:val="00D37A7F"/>
    <w:rsid w:val="00D37D45"/>
    <w:rsid w:val="00D37D5A"/>
    <w:rsid w:val="00D37EB1"/>
    <w:rsid w:val="00D37F57"/>
    <w:rsid w:val="00D402AE"/>
    <w:rsid w:val="00D4073D"/>
    <w:rsid w:val="00D407E8"/>
    <w:rsid w:val="00D407F7"/>
    <w:rsid w:val="00D4080D"/>
    <w:rsid w:val="00D40B00"/>
    <w:rsid w:val="00D40B91"/>
    <w:rsid w:val="00D40C47"/>
    <w:rsid w:val="00D40D23"/>
    <w:rsid w:val="00D4148D"/>
    <w:rsid w:val="00D415E9"/>
    <w:rsid w:val="00D41BBE"/>
    <w:rsid w:val="00D41FE5"/>
    <w:rsid w:val="00D420A8"/>
    <w:rsid w:val="00D42231"/>
    <w:rsid w:val="00D428A1"/>
    <w:rsid w:val="00D42A87"/>
    <w:rsid w:val="00D42B59"/>
    <w:rsid w:val="00D42C64"/>
    <w:rsid w:val="00D43278"/>
    <w:rsid w:val="00D43581"/>
    <w:rsid w:val="00D43798"/>
    <w:rsid w:val="00D4382B"/>
    <w:rsid w:val="00D43882"/>
    <w:rsid w:val="00D43CD2"/>
    <w:rsid w:val="00D43DEE"/>
    <w:rsid w:val="00D43F3D"/>
    <w:rsid w:val="00D44076"/>
    <w:rsid w:val="00D4415D"/>
    <w:rsid w:val="00D4429D"/>
    <w:rsid w:val="00D4439E"/>
    <w:rsid w:val="00D44A42"/>
    <w:rsid w:val="00D44DD7"/>
    <w:rsid w:val="00D45204"/>
    <w:rsid w:val="00D45218"/>
    <w:rsid w:val="00D4543A"/>
    <w:rsid w:val="00D454BE"/>
    <w:rsid w:val="00D45B29"/>
    <w:rsid w:val="00D45B9A"/>
    <w:rsid w:val="00D461F0"/>
    <w:rsid w:val="00D46738"/>
    <w:rsid w:val="00D4685E"/>
    <w:rsid w:val="00D468F5"/>
    <w:rsid w:val="00D469A9"/>
    <w:rsid w:val="00D470DE"/>
    <w:rsid w:val="00D472A0"/>
    <w:rsid w:val="00D47323"/>
    <w:rsid w:val="00D47493"/>
    <w:rsid w:val="00D47949"/>
    <w:rsid w:val="00D47B21"/>
    <w:rsid w:val="00D47B9E"/>
    <w:rsid w:val="00D47BEE"/>
    <w:rsid w:val="00D47EF8"/>
    <w:rsid w:val="00D50087"/>
    <w:rsid w:val="00D5033E"/>
    <w:rsid w:val="00D5047B"/>
    <w:rsid w:val="00D50595"/>
    <w:rsid w:val="00D50771"/>
    <w:rsid w:val="00D507CD"/>
    <w:rsid w:val="00D50BCB"/>
    <w:rsid w:val="00D50F3D"/>
    <w:rsid w:val="00D51116"/>
    <w:rsid w:val="00D5118B"/>
    <w:rsid w:val="00D5163C"/>
    <w:rsid w:val="00D51AE5"/>
    <w:rsid w:val="00D51BB9"/>
    <w:rsid w:val="00D52134"/>
    <w:rsid w:val="00D52708"/>
    <w:rsid w:val="00D52A3B"/>
    <w:rsid w:val="00D52B33"/>
    <w:rsid w:val="00D53058"/>
    <w:rsid w:val="00D531FC"/>
    <w:rsid w:val="00D53490"/>
    <w:rsid w:val="00D534C8"/>
    <w:rsid w:val="00D534E3"/>
    <w:rsid w:val="00D5356C"/>
    <w:rsid w:val="00D5442D"/>
    <w:rsid w:val="00D545FF"/>
    <w:rsid w:val="00D5463F"/>
    <w:rsid w:val="00D5465C"/>
    <w:rsid w:val="00D54734"/>
    <w:rsid w:val="00D5482E"/>
    <w:rsid w:val="00D54906"/>
    <w:rsid w:val="00D54C5E"/>
    <w:rsid w:val="00D54FD4"/>
    <w:rsid w:val="00D55700"/>
    <w:rsid w:val="00D55789"/>
    <w:rsid w:val="00D55C5E"/>
    <w:rsid w:val="00D55F78"/>
    <w:rsid w:val="00D5618A"/>
    <w:rsid w:val="00D562F1"/>
    <w:rsid w:val="00D5694E"/>
    <w:rsid w:val="00D56ADC"/>
    <w:rsid w:val="00D56FC9"/>
    <w:rsid w:val="00D575FE"/>
    <w:rsid w:val="00D57674"/>
    <w:rsid w:val="00D57813"/>
    <w:rsid w:val="00D5796F"/>
    <w:rsid w:val="00D57B9F"/>
    <w:rsid w:val="00D603B1"/>
    <w:rsid w:val="00D609B1"/>
    <w:rsid w:val="00D60C81"/>
    <w:rsid w:val="00D6120E"/>
    <w:rsid w:val="00D61321"/>
    <w:rsid w:val="00D61B5B"/>
    <w:rsid w:val="00D61E00"/>
    <w:rsid w:val="00D61F2A"/>
    <w:rsid w:val="00D61F99"/>
    <w:rsid w:val="00D626B7"/>
    <w:rsid w:val="00D62820"/>
    <w:rsid w:val="00D62935"/>
    <w:rsid w:val="00D6306E"/>
    <w:rsid w:val="00D6337A"/>
    <w:rsid w:val="00D633A8"/>
    <w:rsid w:val="00D63710"/>
    <w:rsid w:val="00D63847"/>
    <w:rsid w:val="00D63A80"/>
    <w:rsid w:val="00D63E36"/>
    <w:rsid w:val="00D64319"/>
    <w:rsid w:val="00D64418"/>
    <w:rsid w:val="00D6496E"/>
    <w:rsid w:val="00D64980"/>
    <w:rsid w:val="00D64ADC"/>
    <w:rsid w:val="00D64C4E"/>
    <w:rsid w:val="00D64D63"/>
    <w:rsid w:val="00D651C1"/>
    <w:rsid w:val="00D651C5"/>
    <w:rsid w:val="00D6522C"/>
    <w:rsid w:val="00D653D4"/>
    <w:rsid w:val="00D654B4"/>
    <w:rsid w:val="00D658DF"/>
    <w:rsid w:val="00D65A4D"/>
    <w:rsid w:val="00D65BA7"/>
    <w:rsid w:val="00D65C21"/>
    <w:rsid w:val="00D65E89"/>
    <w:rsid w:val="00D6608E"/>
    <w:rsid w:val="00D661EF"/>
    <w:rsid w:val="00D66208"/>
    <w:rsid w:val="00D6641A"/>
    <w:rsid w:val="00D66630"/>
    <w:rsid w:val="00D667D0"/>
    <w:rsid w:val="00D66A0C"/>
    <w:rsid w:val="00D66B75"/>
    <w:rsid w:val="00D66CF8"/>
    <w:rsid w:val="00D66D34"/>
    <w:rsid w:val="00D670D1"/>
    <w:rsid w:val="00D671F4"/>
    <w:rsid w:val="00D6725E"/>
    <w:rsid w:val="00D6754D"/>
    <w:rsid w:val="00D675DB"/>
    <w:rsid w:val="00D6786B"/>
    <w:rsid w:val="00D6790D"/>
    <w:rsid w:val="00D679D4"/>
    <w:rsid w:val="00D67E0C"/>
    <w:rsid w:val="00D67EA0"/>
    <w:rsid w:val="00D67F6E"/>
    <w:rsid w:val="00D7022C"/>
    <w:rsid w:val="00D70608"/>
    <w:rsid w:val="00D70A7D"/>
    <w:rsid w:val="00D7120C"/>
    <w:rsid w:val="00D71264"/>
    <w:rsid w:val="00D71A62"/>
    <w:rsid w:val="00D71CE1"/>
    <w:rsid w:val="00D71DD2"/>
    <w:rsid w:val="00D71E8F"/>
    <w:rsid w:val="00D71EE6"/>
    <w:rsid w:val="00D71F30"/>
    <w:rsid w:val="00D71F67"/>
    <w:rsid w:val="00D71FAC"/>
    <w:rsid w:val="00D71FD2"/>
    <w:rsid w:val="00D72031"/>
    <w:rsid w:val="00D720F3"/>
    <w:rsid w:val="00D72252"/>
    <w:rsid w:val="00D724CF"/>
    <w:rsid w:val="00D727E1"/>
    <w:rsid w:val="00D7294D"/>
    <w:rsid w:val="00D72BC8"/>
    <w:rsid w:val="00D72DF2"/>
    <w:rsid w:val="00D72F4F"/>
    <w:rsid w:val="00D73159"/>
    <w:rsid w:val="00D732FA"/>
    <w:rsid w:val="00D73347"/>
    <w:rsid w:val="00D734E0"/>
    <w:rsid w:val="00D73783"/>
    <w:rsid w:val="00D73A80"/>
    <w:rsid w:val="00D73ABE"/>
    <w:rsid w:val="00D73C9E"/>
    <w:rsid w:val="00D73D4C"/>
    <w:rsid w:val="00D73E5E"/>
    <w:rsid w:val="00D73E9F"/>
    <w:rsid w:val="00D73F7B"/>
    <w:rsid w:val="00D73FFD"/>
    <w:rsid w:val="00D743E9"/>
    <w:rsid w:val="00D74505"/>
    <w:rsid w:val="00D74595"/>
    <w:rsid w:val="00D74BF7"/>
    <w:rsid w:val="00D74CB0"/>
    <w:rsid w:val="00D74D54"/>
    <w:rsid w:val="00D74F6B"/>
    <w:rsid w:val="00D75127"/>
    <w:rsid w:val="00D75598"/>
    <w:rsid w:val="00D756A9"/>
    <w:rsid w:val="00D75805"/>
    <w:rsid w:val="00D75819"/>
    <w:rsid w:val="00D759AD"/>
    <w:rsid w:val="00D75B3A"/>
    <w:rsid w:val="00D760BB"/>
    <w:rsid w:val="00D765DD"/>
    <w:rsid w:val="00D76793"/>
    <w:rsid w:val="00D767AA"/>
    <w:rsid w:val="00D76861"/>
    <w:rsid w:val="00D769B0"/>
    <w:rsid w:val="00D76A45"/>
    <w:rsid w:val="00D76A56"/>
    <w:rsid w:val="00D77438"/>
    <w:rsid w:val="00D77516"/>
    <w:rsid w:val="00D77AF8"/>
    <w:rsid w:val="00D77BE0"/>
    <w:rsid w:val="00D77EAE"/>
    <w:rsid w:val="00D800A6"/>
    <w:rsid w:val="00D80618"/>
    <w:rsid w:val="00D80E70"/>
    <w:rsid w:val="00D80E9C"/>
    <w:rsid w:val="00D81016"/>
    <w:rsid w:val="00D81415"/>
    <w:rsid w:val="00D8176C"/>
    <w:rsid w:val="00D818C5"/>
    <w:rsid w:val="00D8190D"/>
    <w:rsid w:val="00D8192D"/>
    <w:rsid w:val="00D81B18"/>
    <w:rsid w:val="00D81C01"/>
    <w:rsid w:val="00D81F24"/>
    <w:rsid w:val="00D82230"/>
    <w:rsid w:val="00D82340"/>
    <w:rsid w:val="00D82568"/>
    <w:rsid w:val="00D82964"/>
    <w:rsid w:val="00D82A88"/>
    <w:rsid w:val="00D82AA5"/>
    <w:rsid w:val="00D82D25"/>
    <w:rsid w:val="00D82D91"/>
    <w:rsid w:val="00D82DAD"/>
    <w:rsid w:val="00D8323D"/>
    <w:rsid w:val="00D83556"/>
    <w:rsid w:val="00D836CE"/>
    <w:rsid w:val="00D8384C"/>
    <w:rsid w:val="00D83D8F"/>
    <w:rsid w:val="00D83FEE"/>
    <w:rsid w:val="00D8402A"/>
    <w:rsid w:val="00D84473"/>
    <w:rsid w:val="00D84487"/>
    <w:rsid w:val="00D845B9"/>
    <w:rsid w:val="00D846A9"/>
    <w:rsid w:val="00D84C18"/>
    <w:rsid w:val="00D84F73"/>
    <w:rsid w:val="00D854EC"/>
    <w:rsid w:val="00D8554F"/>
    <w:rsid w:val="00D8556E"/>
    <w:rsid w:val="00D85721"/>
    <w:rsid w:val="00D8572B"/>
    <w:rsid w:val="00D859D0"/>
    <w:rsid w:val="00D85AE8"/>
    <w:rsid w:val="00D85D68"/>
    <w:rsid w:val="00D85DDA"/>
    <w:rsid w:val="00D8604A"/>
    <w:rsid w:val="00D8604F"/>
    <w:rsid w:val="00D860DD"/>
    <w:rsid w:val="00D8679C"/>
    <w:rsid w:val="00D867A7"/>
    <w:rsid w:val="00D86939"/>
    <w:rsid w:val="00D86C20"/>
    <w:rsid w:val="00D86E2C"/>
    <w:rsid w:val="00D8711B"/>
    <w:rsid w:val="00D87129"/>
    <w:rsid w:val="00D876AA"/>
    <w:rsid w:val="00D876E9"/>
    <w:rsid w:val="00D87A4A"/>
    <w:rsid w:val="00D87ACF"/>
    <w:rsid w:val="00D87D77"/>
    <w:rsid w:val="00D87DEA"/>
    <w:rsid w:val="00D87F14"/>
    <w:rsid w:val="00D87F9C"/>
    <w:rsid w:val="00D90003"/>
    <w:rsid w:val="00D904F1"/>
    <w:rsid w:val="00D90D20"/>
    <w:rsid w:val="00D90DC8"/>
    <w:rsid w:val="00D90DF7"/>
    <w:rsid w:val="00D90E78"/>
    <w:rsid w:val="00D90F56"/>
    <w:rsid w:val="00D910DF"/>
    <w:rsid w:val="00D91614"/>
    <w:rsid w:val="00D91F2C"/>
    <w:rsid w:val="00D9230D"/>
    <w:rsid w:val="00D923EB"/>
    <w:rsid w:val="00D92677"/>
    <w:rsid w:val="00D926C9"/>
    <w:rsid w:val="00D92CFD"/>
    <w:rsid w:val="00D92D2E"/>
    <w:rsid w:val="00D92E3D"/>
    <w:rsid w:val="00D92E45"/>
    <w:rsid w:val="00D92FA0"/>
    <w:rsid w:val="00D92FB5"/>
    <w:rsid w:val="00D930DC"/>
    <w:rsid w:val="00D93105"/>
    <w:rsid w:val="00D93273"/>
    <w:rsid w:val="00D935D6"/>
    <w:rsid w:val="00D93762"/>
    <w:rsid w:val="00D937F1"/>
    <w:rsid w:val="00D93ADB"/>
    <w:rsid w:val="00D93C57"/>
    <w:rsid w:val="00D93D21"/>
    <w:rsid w:val="00D93DA1"/>
    <w:rsid w:val="00D941C8"/>
    <w:rsid w:val="00D9437C"/>
    <w:rsid w:val="00D94431"/>
    <w:rsid w:val="00D9463F"/>
    <w:rsid w:val="00D947BD"/>
    <w:rsid w:val="00D94CCF"/>
    <w:rsid w:val="00D94CDD"/>
    <w:rsid w:val="00D94CF6"/>
    <w:rsid w:val="00D94DA0"/>
    <w:rsid w:val="00D94E0E"/>
    <w:rsid w:val="00D94E1C"/>
    <w:rsid w:val="00D94F57"/>
    <w:rsid w:val="00D95072"/>
    <w:rsid w:val="00D95098"/>
    <w:rsid w:val="00D95554"/>
    <w:rsid w:val="00D9568C"/>
    <w:rsid w:val="00D956A1"/>
    <w:rsid w:val="00D957F6"/>
    <w:rsid w:val="00D96528"/>
    <w:rsid w:val="00D96580"/>
    <w:rsid w:val="00D96589"/>
    <w:rsid w:val="00D96815"/>
    <w:rsid w:val="00D96F05"/>
    <w:rsid w:val="00D96F47"/>
    <w:rsid w:val="00D96F65"/>
    <w:rsid w:val="00D97499"/>
    <w:rsid w:val="00D9794E"/>
    <w:rsid w:val="00D97E6B"/>
    <w:rsid w:val="00D97FD6"/>
    <w:rsid w:val="00D97FDF"/>
    <w:rsid w:val="00DA00DA"/>
    <w:rsid w:val="00DA03BF"/>
    <w:rsid w:val="00DA0451"/>
    <w:rsid w:val="00DA0546"/>
    <w:rsid w:val="00DA06B1"/>
    <w:rsid w:val="00DA08AF"/>
    <w:rsid w:val="00DA0944"/>
    <w:rsid w:val="00DA0FF9"/>
    <w:rsid w:val="00DA1767"/>
    <w:rsid w:val="00DA1C99"/>
    <w:rsid w:val="00DA1E43"/>
    <w:rsid w:val="00DA2325"/>
    <w:rsid w:val="00DA25A6"/>
    <w:rsid w:val="00DA281E"/>
    <w:rsid w:val="00DA30E1"/>
    <w:rsid w:val="00DA37EC"/>
    <w:rsid w:val="00DA3831"/>
    <w:rsid w:val="00DA387E"/>
    <w:rsid w:val="00DA38E2"/>
    <w:rsid w:val="00DA3B3C"/>
    <w:rsid w:val="00DA3B53"/>
    <w:rsid w:val="00DA3D07"/>
    <w:rsid w:val="00DA40D1"/>
    <w:rsid w:val="00DA41F0"/>
    <w:rsid w:val="00DA43DB"/>
    <w:rsid w:val="00DA451E"/>
    <w:rsid w:val="00DA46A8"/>
    <w:rsid w:val="00DA4722"/>
    <w:rsid w:val="00DA4C23"/>
    <w:rsid w:val="00DA4E65"/>
    <w:rsid w:val="00DA4F13"/>
    <w:rsid w:val="00DA4F41"/>
    <w:rsid w:val="00DA50A6"/>
    <w:rsid w:val="00DA51D5"/>
    <w:rsid w:val="00DA562F"/>
    <w:rsid w:val="00DA580D"/>
    <w:rsid w:val="00DA590C"/>
    <w:rsid w:val="00DA5935"/>
    <w:rsid w:val="00DA5C12"/>
    <w:rsid w:val="00DA5D02"/>
    <w:rsid w:val="00DA5D68"/>
    <w:rsid w:val="00DA610E"/>
    <w:rsid w:val="00DA6145"/>
    <w:rsid w:val="00DA6337"/>
    <w:rsid w:val="00DA6408"/>
    <w:rsid w:val="00DA640D"/>
    <w:rsid w:val="00DA641C"/>
    <w:rsid w:val="00DA64B1"/>
    <w:rsid w:val="00DA6659"/>
    <w:rsid w:val="00DA68A8"/>
    <w:rsid w:val="00DA6930"/>
    <w:rsid w:val="00DA6AE2"/>
    <w:rsid w:val="00DA6D58"/>
    <w:rsid w:val="00DA6E84"/>
    <w:rsid w:val="00DA75EB"/>
    <w:rsid w:val="00DA7A38"/>
    <w:rsid w:val="00DA7B32"/>
    <w:rsid w:val="00DA7E4D"/>
    <w:rsid w:val="00DB014B"/>
    <w:rsid w:val="00DB01BE"/>
    <w:rsid w:val="00DB01F0"/>
    <w:rsid w:val="00DB03D2"/>
    <w:rsid w:val="00DB04B3"/>
    <w:rsid w:val="00DB0544"/>
    <w:rsid w:val="00DB0745"/>
    <w:rsid w:val="00DB0AE0"/>
    <w:rsid w:val="00DB0C37"/>
    <w:rsid w:val="00DB0CAF"/>
    <w:rsid w:val="00DB0EF2"/>
    <w:rsid w:val="00DB1426"/>
    <w:rsid w:val="00DB1553"/>
    <w:rsid w:val="00DB167B"/>
    <w:rsid w:val="00DB16D9"/>
    <w:rsid w:val="00DB1807"/>
    <w:rsid w:val="00DB1AA6"/>
    <w:rsid w:val="00DB1B94"/>
    <w:rsid w:val="00DB1F86"/>
    <w:rsid w:val="00DB20F6"/>
    <w:rsid w:val="00DB218B"/>
    <w:rsid w:val="00DB23EA"/>
    <w:rsid w:val="00DB243C"/>
    <w:rsid w:val="00DB244B"/>
    <w:rsid w:val="00DB258F"/>
    <w:rsid w:val="00DB2A93"/>
    <w:rsid w:val="00DB2B2C"/>
    <w:rsid w:val="00DB2D67"/>
    <w:rsid w:val="00DB3053"/>
    <w:rsid w:val="00DB317B"/>
    <w:rsid w:val="00DB3251"/>
    <w:rsid w:val="00DB32C3"/>
    <w:rsid w:val="00DB367E"/>
    <w:rsid w:val="00DB3698"/>
    <w:rsid w:val="00DB36AF"/>
    <w:rsid w:val="00DB3805"/>
    <w:rsid w:val="00DB3826"/>
    <w:rsid w:val="00DB3C54"/>
    <w:rsid w:val="00DB3CB3"/>
    <w:rsid w:val="00DB3EBD"/>
    <w:rsid w:val="00DB4266"/>
    <w:rsid w:val="00DB4688"/>
    <w:rsid w:val="00DB47F1"/>
    <w:rsid w:val="00DB4813"/>
    <w:rsid w:val="00DB4819"/>
    <w:rsid w:val="00DB4ACF"/>
    <w:rsid w:val="00DB4B13"/>
    <w:rsid w:val="00DB4BAC"/>
    <w:rsid w:val="00DB4C14"/>
    <w:rsid w:val="00DB4EBB"/>
    <w:rsid w:val="00DB4EEB"/>
    <w:rsid w:val="00DB4F3F"/>
    <w:rsid w:val="00DB52E5"/>
    <w:rsid w:val="00DB5370"/>
    <w:rsid w:val="00DB55A2"/>
    <w:rsid w:val="00DB585C"/>
    <w:rsid w:val="00DB5930"/>
    <w:rsid w:val="00DB5951"/>
    <w:rsid w:val="00DB5BFE"/>
    <w:rsid w:val="00DB5E98"/>
    <w:rsid w:val="00DB5F03"/>
    <w:rsid w:val="00DB6257"/>
    <w:rsid w:val="00DB6687"/>
    <w:rsid w:val="00DB686B"/>
    <w:rsid w:val="00DB68B1"/>
    <w:rsid w:val="00DB6DC9"/>
    <w:rsid w:val="00DB6ED1"/>
    <w:rsid w:val="00DB6F61"/>
    <w:rsid w:val="00DB6FE5"/>
    <w:rsid w:val="00DB716D"/>
    <w:rsid w:val="00DB73BD"/>
    <w:rsid w:val="00DB7453"/>
    <w:rsid w:val="00DB7799"/>
    <w:rsid w:val="00DB7A3C"/>
    <w:rsid w:val="00DB7B80"/>
    <w:rsid w:val="00DB7BDF"/>
    <w:rsid w:val="00DB7C5C"/>
    <w:rsid w:val="00DB7CA9"/>
    <w:rsid w:val="00DC0264"/>
    <w:rsid w:val="00DC09D9"/>
    <w:rsid w:val="00DC0E0D"/>
    <w:rsid w:val="00DC0EE6"/>
    <w:rsid w:val="00DC0FB0"/>
    <w:rsid w:val="00DC1009"/>
    <w:rsid w:val="00DC12BD"/>
    <w:rsid w:val="00DC1504"/>
    <w:rsid w:val="00DC190C"/>
    <w:rsid w:val="00DC1AB0"/>
    <w:rsid w:val="00DC1ADF"/>
    <w:rsid w:val="00DC1D9D"/>
    <w:rsid w:val="00DC1E2D"/>
    <w:rsid w:val="00DC1E5A"/>
    <w:rsid w:val="00DC2018"/>
    <w:rsid w:val="00DC21BF"/>
    <w:rsid w:val="00DC222D"/>
    <w:rsid w:val="00DC2348"/>
    <w:rsid w:val="00DC23E3"/>
    <w:rsid w:val="00DC2404"/>
    <w:rsid w:val="00DC28FA"/>
    <w:rsid w:val="00DC2970"/>
    <w:rsid w:val="00DC2C8F"/>
    <w:rsid w:val="00DC2CB0"/>
    <w:rsid w:val="00DC2CE0"/>
    <w:rsid w:val="00DC2FAE"/>
    <w:rsid w:val="00DC30B1"/>
    <w:rsid w:val="00DC32CC"/>
    <w:rsid w:val="00DC370E"/>
    <w:rsid w:val="00DC3AB6"/>
    <w:rsid w:val="00DC3BB4"/>
    <w:rsid w:val="00DC3FD3"/>
    <w:rsid w:val="00DC407F"/>
    <w:rsid w:val="00DC40DE"/>
    <w:rsid w:val="00DC41DE"/>
    <w:rsid w:val="00DC422A"/>
    <w:rsid w:val="00DC46B1"/>
    <w:rsid w:val="00DC47EC"/>
    <w:rsid w:val="00DC49F0"/>
    <w:rsid w:val="00DC4A99"/>
    <w:rsid w:val="00DC4AA6"/>
    <w:rsid w:val="00DC4DB3"/>
    <w:rsid w:val="00DC4FEC"/>
    <w:rsid w:val="00DC508C"/>
    <w:rsid w:val="00DC5267"/>
    <w:rsid w:val="00DC5757"/>
    <w:rsid w:val="00DC5EFC"/>
    <w:rsid w:val="00DC5F1F"/>
    <w:rsid w:val="00DC5FCB"/>
    <w:rsid w:val="00DC6353"/>
    <w:rsid w:val="00DC63C9"/>
    <w:rsid w:val="00DC63EC"/>
    <w:rsid w:val="00DC6477"/>
    <w:rsid w:val="00DC6795"/>
    <w:rsid w:val="00DC6B54"/>
    <w:rsid w:val="00DC6B62"/>
    <w:rsid w:val="00DC6BE6"/>
    <w:rsid w:val="00DC6D85"/>
    <w:rsid w:val="00DC7297"/>
    <w:rsid w:val="00DC7334"/>
    <w:rsid w:val="00DC7532"/>
    <w:rsid w:val="00DC7589"/>
    <w:rsid w:val="00DC7806"/>
    <w:rsid w:val="00DC78D0"/>
    <w:rsid w:val="00DC7B0C"/>
    <w:rsid w:val="00DC7B14"/>
    <w:rsid w:val="00DC7CCF"/>
    <w:rsid w:val="00DC7D60"/>
    <w:rsid w:val="00DC7E89"/>
    <w:rsid w:val="00DC7FDE"/>
    <w:rsid w:val="00DD01A6"/>
    <w:rsid w:val="00DD055D"/>
    <w:rsid w:val="00DD05A5"/>
    <w:rsid w:val="00DD0645"/>
    <w:rsid w:val="00DD0711"/>
    <w:rsid w:val="00DD0A88"/>
    <w:rsid w:val="00DD0E7A"/>
    <w:rsid w:val="00DD111A"/>
    <w:rsid w:val="00DD11E4"/>
    <w:rsid w:val="00DD12D7"/>
    <w:rsid w:val="00DD183C"/>
    <w:rsid w:val="00DD1A2D"/>
    <w:rsid w:val="00DD1A71"/>
    <w:rsid w:val="00DD1E5A"/>
    <w:rsid w:val="00DD220A"/>
    <w:rsid w:val="00DD263D"/>
    <w:rsid w:val="00DD2847"/>
    <w:rsid w:val="00DD28BD"/>
    <w:rsid w:val="00DD2BD3"/>
    <w:rsid w:val="00DD2C61"/>
    <w:rsid w:val="00DD300A"/>
    <w:rsid w:val="00DD30A3"/>
    <w:rsid w:val="00DD3286"/>
    <w:rsid w:val="00DD3589"/>
    <w:rsid w:val="00DD35E2"/>
    <w:rsid w:val="00DD3822"/>
    <w:rsid w:val="00DD3837"/>
    <w:rsid w:val="00DD3B92"/>
    <w:rsid w:val="00DD3CA1"/>
    <w:rsid w:val="00DD3FB5"/>
    <w:rsid w:val="00DD4064"/>
    <w:rsid w:val="00DD4346"/>
    <w:rsid w:val="00DD439A"/>
    <w:rsid w:val="00DD442B"/>
    <w:rsid w:val="00DD44EF"/>
    <w:rsid w:val="00DD44F7"/>
    <w:rsid w:val="00DD48BE"/>
    <w:rsid w:val="00DD49FE"/>
    <w:rsid w:val="00DD4C4D"/>
    <w:rsid w:val="00DD4E16"/>
    <w:rsid w:val="00DD50A0"/>
    <w:rsid w:val="00DD5541"/>
    <w:rsid w:val="00DD55BE"/>
    <w:rsid w:val="00DD57DE"/>
    <w:rsid w:val="00DD5945"/>
    <w:rsid w:val="00DD5D4A"/>
    <w:rsid w:val="00DD5DFD"/>
    <w:rsid w:val="00DD6670"/>
    <w:rsid w:val="00DD6706"/>
    <w:rsid w:val="00DD68D7"/>
    <w:rsid w:val="00DD6B7E"/>
    <w:rsid w:val="00DD6BE3"/>
    <w:rsid w:val="00DD708C"/>
    <w:rsid w:val="00DD7246"/>
    <w:rsid w:val="00DD752E"/>
    <w:rsid w:val="00DD77C9"/>
    <w:rsid w:val="00DD78A4"/>
    <w:rsid w:val="00DD78AB"/>
    <w:rsid w:val="00DD7917"/>
    <w:rsid w:val="00DD796C"/>
    <w:rsid w:val="00DD796D"/>
    <w:rsid w:val="00DD7D65"/>
    <w:rsid w:val="00DD7E30"/>
    <w:rsid w:val="00DE0014"/>
    <w:rsid w:val="00DE0074"/>
    <w:rsid w:val="00DE020E"/>
    <w:rsid w:val="00DE04D9"/>
    <w:rsid w:val="00DE0553"/>
    <w:rsid w:val="00DE05B5"/>
    <w:rsid w:val="00DE088D"/>
    <w:rsid w:val="00DE093F"/>
    <w:rsid w:val="00DE095C"/>
    <w:rsid w:val="00DE099C"/>
    <w:rsid w:val="00DE0CF6"/>
    <w:rsid w:val="00DE108C"/>
    <w:rsid w:val="00DE17C6"/>
    <w:rsid w:val="00DE1AF8"/>
    <w:rsid w:val="00DE1B03"/>
    <w:rsid w:val="00DE1DB5"/>
    <w:rsid w:val="00DE1F00"/>
    <w:rsid w:val="00DE1F32"/>
    <w:rsid w:val="00DE2505"/>
    <w:rsid w:val="00DE25CB"/>
    <w:rsid w:val="00DE273D"/>
    <w:rsid w:val="00DE27A6"/>
    <w:rsid w:val="00DE287C"/>
    <w:rsid w:val="00DE2A3F"/>
    <w:rsid w:val="00DE2CAB"/>
    <w:rsid w:val="00DE2EEF"/>
    <w:rsid w:val="00DE310A"/>
    <w:rsid w:val="00DE337D"/>
    <w:rsid w:val="00DE362F"/>
    <w:rsid w:val="00DE3830"/>
    <w:rsid w:val="00DE3AC2"/>
    <w:rsid w:val="00DE3B03"/>
    <w:rsid w:val="00DE3B3F"/>
    <w:rsid w:val="00DE3BFA"/>
    <w:rsid w:val="00DE3EB9"/>
    <w:rsid w:val="00DE4003"/>
    <w:rsid w:val="00DE4083"/>
    <w:rsid w:val="00DE424D"/>
    <w:rsid w:val="00DE42CF"/>
    <w:rsid w:val="00DE43AE"/>
    <w:rsid w:val="00DE4869"/>
    <w:rsid w:val="00DE4B32"/>
    <w:rsid w:val="00DE4B47"/>
    <w:rsid w:val="00DE4DA5"/>
    <w:rsid w:val="00DE4E07"/>
    <w:rsid w:val="00DE4EC6"/>
    <w:rsid w:val="00DE4F15"/>
    <w:rsid w:val="00DE52D7"/>
    <w:rsid w:val="00DE52EC"/>
    <w:rsid w:val="00DE54DF"/>
    <w:rsid w:val="00DE5599"/>
    <w:rsid w:val="00DE572A"/>
    <w:rsid w:val="00DE5734"/>
    <w:rsid w:val="00DE5C15"/>
    <w:rsid w:val="00DE5CBA"/>
    <w:rsid w:val="00DE5DD7"/>
    <w:rsid w:val="00DE5F85"/>
    <w:rsid w:val="00DE61FD"/>
    <w:rsid w:val="00DE648A"/>
    <w:rsid w:val="00DE65CF"/>
    <w:rsid w:val="00DE6691"/>
    <w:rsid w:val="00DE69E6"/>
    <w:rsid w:val="00DE6E17"/>
    <w:rsid w:val="00DE70AE"/>
    <w:rsid w:val="00DE711D"/>
    <w:rsid w:val="00DE756C"/>
    <w:rsid w:val="00DE7936"/>
    <w:rsid w:val="00DE7E97"/>
    <w:rsid w:val="00DF0076"/>
    <w:rsid w:val="00DF019B"/>
    <w:rsid w:val="00DF03E6"/>
    <w:rsid w:val="00DF046C"/>
    <w:rsid w:val="00DF0937"/>
    <w:rsid w:val="00DF0E06"/>
    <w:rsid w:val="00DF104C"/>
    <w:rsid w:val="00DF1111"/>
    <w:rsid w:val="00DF12AC"/>
    <w:rsid w:val="00DF18E7"/>
    <w:rsid w:val="00DF1C3A"/>
    <w:rsid w:val="00DF1C41"/>
    <w:rsid w:val="00DF1E56"/>
    <w:rsid w:val="00DF1E62"/>
    <w:rsid w:val="00DF1F88"/>
    <w:rsid w:val="00DF1FA9"/>
    <w:rsid w:val="00DF2016"/>
    <w:rsid w:val="00DF21B8"/>
    <w:rsid w:val="00DF21BC"/>
    <w:rsid w:val="00DF29A6"/>
    <w:rsid w:val="00DF2B8A"/>
    <w:rsid w:val="00DF2D3D"/>
    <w:rsid w:val="00DF31DC"/>
    <w:rsid w:val="00DF33A2"/>
    <w:rsid w:val="00DF348C"/>
    <w:rsid w:val="00DF34BC"/>
    <w:rsid w:val="00DF3B34"/>
    <w:rsid w:val="00DF3D0F"/>
    <w:rsid w:val="00DF3D5F"/>
    <w:rsid w:val="00DF4083"/>
    <w:rsid w:val="00DF42CF"/>
    <w:rsid w:val="00DF440C"/>
    <w:rsid w:val="00DF4843"/>
    <w:rsid w:val="00DF4852"/>
    <w:rsid w:val="00DF497E"/>
    <w:rsid w:val="00DF4B79"/>
    <w:rsid w:val="00DF4F27"/>
    <w:rsid w:val="00DF5B01"/>
    <w:rsid w:val="00DF5CB3"/>
    <w:rsid w:val="00DF5DFD"/>
    <w:rsid w:val="00DF66CA"/>
    <w:rsid w:val="00DF68B6"/>
    <w:rsid w:val="00DF6963"/>
    <w:rsid w:val="00DF6C66"/>
    <w:rsid w:val="00DF6F76"/>
    <w:rsid w:val="00DF700F"/>
    <w:rsid w:val="00DF7027"/>
    <w:rsid w:val="00DF70BA"/>
    <w:rsid w:val="00DF71D6"/>
    <w:rsid w:val="00DF752B"/>
    <w:rsid w:val="00DF77FC"/>
    <w:rsid w:val="00DF7AAF"/>
    <w:rsid w:val="00DF7BE8"/>
    <w:rsid w:val="00DF7C61"/>
    <w:rsid w:val="00E002B2"/>
    <w:rsid w:val="00E0043A"/>
    <w:rsid w:val="00E0070E"/>
    <w:rsid w:val="00E009B5"/>
    <w:rsid w:val="00E009C2"/>
    <w:rsid w:val="00E00AEC"/>
    <w:rsid w:val="00E00B49"/>
    <w:rsid w:val="00E00DCE"/>
    <w:rsid w:val="00E00F73"/>
    <w:rsid w:val="00E0106D"/>
    <w:rsid w:val="00E0113C"/>
    <w:rsid w:val="00E01166"/>
    <w:rsid w:val="00E01378"/>
    <w:rsid w:val="00E014E3"/>
    <w:rsid w:val="00E014FB"/>
    <w:rsid w:val="00E019AC"/>
    <w:rsid w:val="00E01A02"/>
    <w:rsid w:val="00E01E14"/>
    <w:rsid w:val="00E01E1D"/>
    <w:rsid w:val="00E0223F"/>
    <w:rsid w:val="00E02A49"/>
    <w:rsid w:val="00E02D75"/>
    <w:rsid w:val="00E02F02"/>
    <w:rsid w:val="00E034CF"/>
    <w:rsid w:val="00E03548"/>
    <w:rsid w:val="00E03BE2"/>
    <w:rsid w:val="00E03C40"/>
    <w:rsid w:val="00E040B5"/>
    <w:rsid w:val="00E044BE"/>
    <w:rsid w:val="00E04686"/>
    <w:rsid w:val="00E046A4"/>
    <w:rsid w:val="00E04968"/>
    <w:rsid w:val="00E049EE"/>
    <w:rsid w:val="00E04AEF"/>
    <w:rsid w:val="00E04CCA"/>
    <w:rsid w:val="00E04CE3"/>
    <w:rsid w:val="00E04FAF"/>
    <w:rsid w:val="00E051E3"/>
    <w:rsid w:val="00E0565C"/>
    <w:rsid w:val="00E058A6"/>
    <w:rsid w:val="00E058B5"/>
    <w:rsid w:val="00E05B50"/>
    <w:rsid w:val="00E05E8F"/>
    <w:rsid w:val="00E05FB6"/>
    <w:rsid w:val="00E06036"/>
    <w:rsid w:val="00E06177"/>
    <w:rsid w:val="00E0626C"/>
    <w:rsid w:val="00E0630E"/>
    <w:rsid w:val="00E067E2"/>
    <w:rsid w:val="00E06D24"/>
    <w:rsid w:val="00E07392"/>
    <w:rsid w:val="00E073E1"/>
    <w:rsid w:val="00E076F4"/>
    <w:rsid w:val="00E078E3"/>
    <w:rsid w:val="00E07B03"/>
    <w:rsid w:val="00E07D3F"/>
    <w:rsid w:val="00E07D8F"/>
    <w:rsid w:val="00E10576"/>
    <w:rsid w:val="00E105A1"/>
    <w:rsid w:val="00E10623"/>
    <w:rsid w:val="00E1075B"/>
    <w:rsid w:val="00E10959"/>
    <w:rsid w:val="00E10AA2"/>
    <w:rsid w:val="00E10BEC"/>
    <w:rsid w:val="00E10C4C"/>
    <w:rsid w:val="00E10E65"/>
    <w:rsid w:val="00E10F6B"/>
    <w:rsid w:val="00E1105D"/>
    <w:rsid w:val="00E111BF"/>
    <w:rsid w:val="00E112F3"/>
    <w:rsid w:val="00E11A51"/>
    <w:rsid w:val="00E11BC6"/>
    <w:rsid w:val="00E11C32"/>
    <w:rsid w:val="00E11C9F"/>
    <w:rsid w:val="00E11FE2"/>
    <w:rsid w:val="00E1219A"/>
    <w:rsid w:val="00E12478"/>
    <w:rsid w:val="00E12486"/>
    <w:rsid w:val="00E12547"/>
    <w:rsid w:val="00E125D6"/>
    <w:rsid w:val="00E126C9"/>
    <w:rsid w:val="00E1274D"/>
    <w:rsid w:val="00E1288A"/>
    <w:rsid w:val="00E1288E"/>
    <w:rsid w:val="00E12AC9"/>
    <w:rsid w:val="00E12ED8"/>
    <w:rsid w:val="00E13244"/>
    <w:rsid w:val="00E1354A"/>
    <w:rsid w:val="00E1357A"/>
    <w:rsid w:val="00E135E9"/>
    <w:rsid w:val="00E137BB"/>
    <w:rsid w:val="00E13AB1"/>
    <w:rsid w:val="00E13D20"/>
    <w:rsid w:val="00E13D39"/>
    <w:rsid w:val="00E1413D"/>
    <w:rsid w:val="00E14282"/>
    <w:rsid w:val="00E144AD"/>
    <w:rsid w:val="00E145BA"/>
    <w:rsid w:val="00E14820"/>
    <w:rsid w:val="00E149F5"/>
    <w:rsid w:val="00E14FC1"/>
    <w:rsid w:val="00E1514A"/>
    <w:rsid w:val="00E15186"/>
    <w:rsid w:val="00E153D4"/>
    <w:rsid w:val="00E15564"/>
    <w:rsid w:val="00E15706"/>
    <w:rsid w:val="00E158A6"/>
    <w:rsid w:val="00E1593E"/>
    <w:rsid w:val="00E15A3C"/>
    <w:rsid w:val="00E15AB5"/>
    <w:rsid w:val="00E15B7D"/>
    <w:rsid w:val="00E15ECE"/>
    <w:rsid w:val="00E161EC"/>
    <w:rsid w:val="00E16ADC"/>
    <w:rsid w:val="00E16B87"/>
    <w:rsid w:val="00E16DFB"/>
    <w:rsid w:val="00E16EA1"/>
    <w:rsid w:val="00E17484"/>
    <w:rsid w:val="00E17727"/>
    <w:rsid w:val="00E177B5"/>
    <w:rsid w:val="00E17963"/>
    <w:rsid w:val="00E179DB"/>
    <w:rsid w:val="00E17BE6"/>
    <w:rsid w:val="00E17D90"/>
    <w:rsid w:val="00E17D95"/>
    <w:rsid w:val="00E17DAC"/>
    <w:rsid w:val="00E17E82"/>
    <w:rsid w:val="00E17ECB"/>
    <w:rsid w:val="00E17EF7"/>
    <w:rsid w:val="00E204A6"/>
    <w:rsid w:val="00E20785"/>
    <w:rsid w:val="00E2089B"/>
    <w:rsid w:val="00E20AFD"/>
    <w:rsid w:val="00E20F4D"/>
    <w:rsid w:val="00E21366"/>
    <w:rsid w:val="00E2148E"/>
    <w:rsid w:val="00E2156A"/>
    <w:rsid w:val="00E216D8"/>
    <w:rsid w:val="00E2190C"/>
    <w:rsid w:val="00E21BE7"/>
    <w:rsid w:val="00E21EA3"/>
    <w:rsid w:val="00E21F04"/>
    <w:rsid w:val="00E221CE"/>
    <w:rsid w:val="00E22540"/>
    <w:rsid w:val="00E2264B"/>
    <w:rsid w:val="00E2265B"/>
    <w:rsid w:val="00E22956"/>
    <w:rsid w:val="00E22AE6"/>
    <w:rsid w:val="00E22E24"/>
    <w:rsid w:val="00E2318F"/>
    <w:rsid w:val="00E232F8"/>
    <w:rsid w:val="00E2336B"/>
    <w:rsid w:val="00E23554"/>
    <w:rsid w:val="00E23DE2"/>
    <w:rsid w:val="00E243DC"/>
    <w:rsid w:val="00E2441F"/>
    <w:rsid w:val="00E24423"/>
    <w:rsid w:val="00E24929"/>
    <w:rsid w:val="00E24C54"/>
    <w:rsid w:val="00E24D3B"/>
    <w:rsid w:val="00E24F42"/>
    <w:rsid w:val="00E25004"/>
    <w:rsid w:val="00E2502C"/>
    <w:rsid w:val="00E25389"/>
    <w:rsid w:val="00E253C7"/>
    <w:rsid w:val="00E2544D"/>
    <w:rsid w:val="00E25622"/>
    <w:rsid w:val="00E25628"/>
    <w:rsid w:val="00E257E9"/>
    <w:rsid w:val="00E25D90"/>
    <w:rsid w:val="00E25F81"/>
    <w:rsid w:val="00E26005"/>
    <w:rsid w:val="00E26063"/>
    <w:rsid w:val="00E2606A"/>
    <w:rsid w:val="00E2609B"/>
    <w:rsid w:val="00E260F7"/>
    <w:rsid w:val="00E2632E"/>
    <w:rsid w:val="00E26404"/>
    <w:rsid w:val="00E26635"/>
    <w:rsid w:val="00E267D3"/>
    <w:rsid w:val="00E26876"/>
    <w:rsid w:val="00E2691F"/>
    <w:rsid w:val="00E26B9C"/>
    <w:rsid w:val="00E26BCF"/>
    <w:rsid w:val="00E26BE8"/>
    <w:rsid w:val="00E26D19"/>
    <w:rsid w:val="00E26D63"/>
    <w:rsid w:val="00E26D7B"/>
    <w:rsid w:val="00E26DF9"/>
    <w:rsid w:val="00E26E26"/>
    <w:rsid w:val="00E27121"/>
    <w:rsid w:val="00E278B8"/>
    <w:rsid w:val="00E27B29"/>
    <w:rsid w:val="00E27CAF"/>
    <w:rsid w:val="00E27E6A"/>
    <w:rsid w:val="00E301E9"/>
    <w:rsid w:val="00E3034D"/>
    <w:rsid w:val="00E30421"/>
    <w:rsid w:val="00E3063F"/>
    <w:rsid w:val="00E30647"/>
    <w:rsid w:val="00E3079F"/>
    <w:rsid w:val="00E30BDE"/>
    <w:rsid w:val="00E30BE2"/>
    <w:rsid w:val="00E30C34"/>
    <w:rsid w:val="00E31211"/>
    <w:rsid w:val="00E31412"/>
    <w:rsid w:val="00E31473"/>
    <w:rsid w:val="00E316C6"/>
    <w:rsid w:val="00E318DD"/>
    <w:rsid w:val="00E32093"/>
    <w:rsid w:val="00E320AA"/>
    <w:rsid w:val="00E322B9"/>
    <w:rsid w:val="00E324BD"/>
    <w:rsid w:val="00E3295D"/>
    <w:rsid w:val="00E329F5"/>
    <w:rsid w:val="00E32C9C"/>
    <w:rsid w:val="00E32CFE"/>
    <w:rsid w:val="00E32D2E"/>
    <w:rsid w:val="00E33592"/>
    <w:rsid w:val="00E3387D"/>
    <w:rsid w:val="00E33A2E"/>
    <w:rsid w:val="00E33A61"/>
    <w:rsid w:val="00E33BDA"/>
    <w:rsid w:val="00E33CF6"/>
    <w:rsid w:val="00E340F9"/>
    <w:rsid w:val="00E34131"/>
    <w:rsid w:val="00E342A5"/>
    <w:rsid w:val="00E3433B"/>
    <w:rsid w:val="00E3436F"/>
    <w:rsid w:val="00E3467F"/>
    <w:rsid w:val="00E349F8"/>
    <w:rsid w:val="00E34DF2"/>
    <w:rsid w:val="00E34FEF"/>
    <w:rsid w:val="00E354CF"/>
    <w:rsid w:val="00E35614"/>
    <w:rsid w:val="00E35C7D"/>
    <w:rsid w:val="00E35D4D"/>
    <w:rsid w:val="00E35D60"/>
    <w:rsid w:val="00E360B1"/>
    <w:rsid w:val="00E362B3"/>
    <w:rsid w:val="00E367FC"/>
    <w:rsid w:val="00E368EC"/>
    <w:rsid w:val="00E36943"/>
    <w:rsid w:val="00E36A6B"/>
    <w:rsid w:val="00E36BA4"/>
    <w:rsid w:val="00E36C4D"/>
    <w:rsid w:val="00E36D9A"/>
    <w:rsid w:val="00E36F7C"/>
    <w:rsid w:val="00E372D2"/>
    <w:rsid w:val="00E37434"/>
    <w:rsid w:val="00E376BA"/>
    <w:rsid w:val="00E378CC"/>
    <w:rsid w:val="00E378D7"/>
    <w:rsid w:val="00E37A41"/>
    <w:rsid w:val="00E37A56"/>
    <w:rsid w:val="00E37E8D"/>
    <w:rsid w:val="00E40009"/>
    <w:rsid w:val="00E40024"/>
    <w:rsid w:val="00E40581"/>
    <w:rsid w:val="00E40618"/>
    <w:rsid w:val="00E407F9"/>
    <w:rsid w:val="00E40A47"/>
    <w:rsid w:val="00E40B2C"/>
    <w:rsid w:val="00E40CFF"/>
    <w:rsid w:val="00E40D2F"/>
    <w:rsid w:val="00E4112C"/>
    <w:rsid w:val="00E412D0"/>
    <w:rsid w:val="00E4141F"/>
    <w:rsid w:val="00E41438"/>
    <w:rsid w:val="00E41512"/>
    <w:rsid w:val="00E416CA"/>
    <w:rsid w:val="00E41C47"/>
    <w:rsid w:val="00E41CB1"/>
    <w:rsid w:val="00E41CF3"/>
    <w:rsid w:val="00E41DEC"/>
    <w:rsid w:val="00E4200A"/>
    <w:rsid w:val="00E422A5"/>
    <w:rsid w:val="00E42325"/>
    <w:rsid w:val="00E423B1"/>
    <w:rsid w:val="00E424F8"/>
    <w:rsid w:val="00E425E6"/>
    <w:rsid w:val="00E42783"/>
    <w:rsid w:val="00E4284D"/>
    <w:rsid w:val="00E42C85"/>
    <w:rsid w:val="00E42CAC"/>
    <w:rsid w:val="00E42D0D"/>
    <w:rsid w:val="00E433D0"/>
    <w:rsid w:val="00E43444"/>
    <w:rsid w:val="00E43853"/>
    <w:rsid w:val="00E43A0B"/>
    <w:rsid w:val="00E43B81"/>
    <w:rsid w:val="00E43D2C"/>
    <w:rsid w:val="00E43DA9"/>
    <w:rsid w:val="00E43DAF"/>
    <w:rsid w:val="00E43DE1"/>
    <w:rsid w:val="00E44514"/>
    <w:rsid w:val="00E44881"/>
    <w:rsid w:val="00E448B8"/>
    <w:rsid w:val="00E44F8C"/>
    <w:rsid w:val="00E44FAA"/>
    <w:rsid w:val="00E45846"/>
    <w:rsid w:val="00E45B14"/>
    <w:rsid w:val="00E45B31"/>
    <w:rsid w:val="00E45B3D"/>
    <w:rsid w:val="00E46230"/>
    <w:rsid w:val="00E46349"/>
    <w:rsid w:val="00E4677F"/>
    <w:rsid w:val="00E46C9C"/>
    <w:rsid w:val="00E46CA7"/>
    <w:rsid w:val="00E46E19"/>
    <w:rsid w:val="00E4710E"/>
    <w:rsid w:val="00E4714E"/>
    <w:rsid w:val="00E473A2"/>
    <w:rsid w:val="00E473EE"/>
    <w:rsid w:val="00E4750C"/>
    <w:rsid w:val="00E4777E"/>
    <w:rsid w:val="00E47963"/>
    <w:rsid w:val="00E47A4C"/>
    <w:rsid w:val="00E47A7C"/>
    <w:rsid w:val="00E47D36"/>
    <w:rsid w:val="00E47FC7"/>
    <w:rsid w:val="00E4D99E"/>
    <w:rsid w:val="00E502E6"/>
    <w:rsid w:val="00E50789"/>
    <w:rsid w:val="00E50891"/>
    <w:rsid w:val="00E50C0D"/>
    <w:rsid w:val="00E50C7C"/>
    <w:rsid w:val="00E50D12"/>
    <w:rsid w:val="00E50EE7"/>
    <w:rsid w:val="00E50F05"/>
    <w:rsid w:val="00E51009"/>
    <w:rsid w:val="00E51286"/>
    <w:rsid w:val="00E512EC"/>
    <w:rsid w:val="00E51530"/>
    <w:rsid w:val="00E515BE"/>
    <w:rsid w:val="00E516AF"/>
    <w:rsid w:val="00E51745"/>
    <w:rsid w:val="00E51817"/>
    <w:rsid w:val="00E51912"/>
    <w:rsid w:val="00E51954"/>
    <w:rsid w:val="00E51AF2"/>
    <w:rsid w:val="00E51C18"/>
    <w:rsid w:val="00E51D96"/>
    <w:rsid w:val="00E5225A"/>
    <w:rsid w:val="00E52599"/>
    <w:rsid w:val="00E5271C"/>
    <w:rsid w:val="00E527DA"/>
    <w:rsid w:val="00E52835"/>
    <w:rsid w:val="00E52A10"/>
    <w:rsid w:val="00E52A71"/>
    <w:rsid w:val="00E52CEC"/>
    <w:rsid w:val="00E52D82"/>
    <w:rsid w:val="00E52EF1"/>
    <w:rsid w:val="00E5302E"/>
    <w:rsid w:val="00E53800"/>
    <w:rsid w:val="00E5386A"/>
    <w:rsid w:val="00E53884"/>
    <w:rsid w:val="00E538F9"/>
    <w:rsid w:val="00E539A8"/>
    <w:rsid w:val="00E53D70"/>
    <w:rsid w:val="00E53D74"/>
    <w:rsid w:val="00E53EE4"/>
    <w:rsid w:val="00E541C1"/>
    <w:rsid w:val="00E5425E"/>
    <w:rsid w:val="00E54310"/>
    <w:rsid w:val="00E543E9"/>
    <w:rsid w:val="00E54612"/>
    <w:rsid w:val="00E547EF"/>
    <w:rsid w:val="00E54CB0"/>
    <w:rsid w:val="00E54FB1"/>
    <w:rsid w:val="00E55053"/>
    <w:rsid w:val="00E5528A"/>
    <w:rsid w:val="00E552F2"/>
    <w:rsid w:val="00E5530E"/>
    <w:rsid w:val="00E55683"/>
    <w:rsid w:val="00E557F8"/>
    <w:rsid w:val="00E5585E"/>
    <w:rsid w:val="00E55920"/>
    <w:rsid w:val="00E55C59"/>
    <w:rsid w:val="00E55C91"/>
    <w:rsid w:val="00E55F0E"/>
    <w:rsid w:val="00E55FE5"/>
    <w:rsid w:val="00E5608B"/>
    <w:rsid w:val="00E5611E"/>
    <w:rsid w:val="00E5638E"/>
    <w:rsid w:val="00E56467"/>
    <w:rsid w:val="00E564A4"/>
    <w:rsid w:val="00E56509"/>
    <w:rsid w:val="00E56869"/>
    <w:rsid w:val="00E569AE"/>
    <w:rsid w:val="00E56D4F"/>
    <w:rsid w:val="00E57052"/>
    <w:rsid w:val="00E570CE"/>
    <w:rsid w:val="00E570FA"/>
    <w:rsid w:val="00E57482"/>
    <w:rsid w:val="00E57486"/>
    <w:rsid w:val="00E575C1"/>
    <w:rsid w:val="00E57E6D"/>
    <w:rsid w:val="00E57E83"/>
    <w:rsid w:val="00E57E98"/>
    <w:rsid w:val="00E57ED8"/>
    <w:rsid w:val="00E57F7B"/>
    <w:rsid w:val="00E603D4"/>
    <w:rsid w:val="00E6041F"/>
    <w:rsid w:val="00E60949"/>
    <w:rsid w:val="00E60A9C"/>
    <w:rsid w:val="00E60B09"/>
    <w:rsid w:val="00E60DF9"/>
    <w:rsid w:val="00E611BF"/>
    <w:rsid w:val="00E611F6"/>
    <w:rsid w:val="00E618E5"/>
    <w:rsid w:val="00E61A2F"/>
    <w:rsid w:val="00E61AB5"/>
    <w:rsid w:val="00E61D12"/>
    <w:rsid w:val="00E61EB3"/>
    <w:rsid w:val="00E621CF"/>
    <w:rsid w:val="00E62416"/>
    <w:rsid w:val="00E62653"/>
    <w:rsid w:val="00E62887"/>
    <w:rsid w:val="00E629E6"/>
    <w:rsid w:val="00E62BD0"/>
    <w:rsid w:val="00E62DFF"/>
    <w:rsid w:val="00E63004"/>
    <w:rsid w:val="00E63122"/>
    <w:rsid w:val="00E63137"/>
    <w:rsid w:val="00E6313A"/>
    <w:rsid w:val="00E6372A"/>
    <w:rsid w:val="00E63735"/>
    <w:rsid w:val="00E63A63"/>
    <w:rsid w:val="00E63B92"/>
    <w:rsid w:val="00E63CEA"/>
    <w:rsid w:val="00E63FB6"/>
    <w:rsid w:val="00E641CA"/>
    <w:rsid w:val="00E641D6"/>
    <w:rsid w:val="00E6422A"/>
    <w:rsid w:val="00E6424D"/>
    <w:rsid w:val="00E64526"/>
    <w:rsid w:val="00E64531"/>
    <w:rsid w:val="00E646C2"/>
    <w:rsid w:val="00E6485A"/>
    <w:rsid w:val="00E6496D"/>
    <w:rsid w:val="00E64F7B"/>
    <w:rsid w:val="00E64FBA"/>
    <w:rsid w:val="00E653AF"/>
    <w:rsid w:val="00E65533"/>
    <w:rsid w:val="00E656F0"/>
    <w:rsid w:val="00E65A61"/>
    <w:rsid w:val="00E65BD4"/>
    <w:rsid w:val="00E65E1B"/>
    <w:rsid w:val="00E66030"/>
    <w:rsid w:val="00E6654E"/>
    <w:rsid w:val="00E6671B"/>
    <w:rsid w:val="00E6682D"/>
    <w:rsid w:val="00E66C18"/>
    <w:rsid w:val="00E66CF3"/>
    <w:rsid w:val="00E66D62"/>
    <w:rsid w:val="00E66D68"/>
    <w:rsid w:val="00E66DC3"/>
    <w:rsid w:val="00E677BF"/>
    <w:rsid w:val="00E67855"/>
    <w:rsid w:val="00E6794E"/>
    <w:rsid w:val="00E6797F"/>
    <w:rsid w:val="00E679B8"/>
    <w:rsid w:val="00E679D9"/>
    <w:rsid w:val="00E67A25"/>
    <w:rsid w:val="00E70075"/>
    <w:rsid w:val="00E7049D"/>
    <w:rsid w:val="00E705D4"/>
    <w:rsid w:val="00E709B3"/>
    <w:rsid w:val="00E70C75"/>
    <w:rsid w:val="00E70D15"/>
    <w:rsid w:val="00E70D61"/>
    <w:rsid w:val="00E70E0D"/>
    <w:rsid w:val="00E70E88"/>
    <w:rsid w:val="00E70EFC"/>
    <w:rsid w:val="00E713CC"/>
    <w:rsid w:val="00E71452"/>
    <w:rsid w:val="00E715B7"/>
    <w:rsid w:val="00E718B7"/>
    <w:rsid w:val="00E71BE0"/>
    <w:rsid w:val="00E71FC4"/>
    <w:rsid w:val="00E720E2"/>
    <w:rsid w:val="00E7217B"/>
    <w:rsid w:val="00E72367"/>
    <w:rsid w:val="00E7256B"/>
    <w:rsid w:val="00E725B4"/>
    <w:rsid w:val="00E72631"/>
    <w:rsid w:val="00E72850"/>
    <w:rsid w:val="00E72928"/>
    <w:rsid w:val="00E729D2"/>
    <w:rsid w:val="00E72C6A"/>
    <w:rsid w:val="00E72E25"/>
    <w:rsid w:val="00E736B9"/>
    <w:rsid w:val="00E738EE"/>
    <w:rsid w:val="00E7399A"/>
    <w:rsid w:val="00E73A09"/>
    <w:rsid w:val="00E73A2A"/>
    <w:rsid w:val="00E73AC7"/>
    <w:rsid w:val="00E73CDD"/>
    <w:rsid w:val="00E73E06"/>
    <w:rsid w:val="00E73F49"/>
    <w:rsid w:val="00E74340"/>
    <w:rsid w:val="00E74344"/>
    <w:rsid w:val="00E74481"/>
    <w:rsid w:val="00E74529"/>
    <w:rsid w:val="00E748EF"/>
    <w:rsid w:val="00E74A3C"/>
    <w:rsid w:val="00E74B7D"/>
    <w:rsid w:val="00E74C67"/>
    <w:rsid w:val="00E74C7B"/>
    <w:rsid w:val="00E74CFD"/>
    <w:rsid w:val="00E75091"/>
    <w:rsid w:val="00E7514C"/>
    <w:rsid w:val="00E7515F"/>
    <w:rsid w:val="00E751D7"/>
    <w:rsid w:val="00E75774"/>
    <w:rsid w:val="00E75B95"/>
    <w:rsid w:val="00E75C37"/>
    <w:rsid w:val="00E75D1A"/>
    <w:rsid w:val="00E7667B"/>
    <w:rsid w:val="00E768FA"/>
    <w:rsid w:val="00E76C94"/>
    <w:rsid w:val="00E76DE9"/>
    <w:rsid w:val="00E772BD"/>
    <w:rsid w:val="00E773C3"/>
    <w:rsid w:val="00E77ACF"/>
    <w:rsid w:val="00E77B59"/>
    <w:rsid w:val="00E801C6"/>
    <w:rsid w:val="00E80267"/>
    <w:rsid w:val="00E80415"/>
    <w:rsid w:val="00E805F9"/>
    <w:rsid w:val="00E80759"/>
    <w:rsid w:val="00E8082B"/>
    <w:rsid w:val="00E80974"/>
    <w:rsid w:val="00E80B2B"/>
    <w:rsid w:val="00E80CF8"/>
    <w:rsid w:val="00E810BB"/>
    <w:rsid w:val="00E81558"/>
    <w:rsid w:val="00E815FE"/>
    <w:rsid w:val="00E81B06"/>
    <w:rsid w:val="00E81CCE"/>
    <w:rsid w:val="00E81DCF"/>
    <w:rsid w:val="00E81E09"/>
    <w:rsid w:val="00E81E35"/>
    <w:rsid w:val="00E81E59"/>
    <w:rsid w:val="00E81FBA"/>
    <w:rsid w:val="00E823F3"/>
    <w:rsid w:val="00E824C0"/>
    <w:rsid w:val="00E828D7"/>
    <w:rsid w:val="00E82DDD"/>
    <w:rsid w:val="00E82E5F"/>
    <w:rsid w:val="00E82F15"/>
    <w:rsid w:val="00E82F4E"/>
    <w:rsid w:val="00E831D0"/>
    <w:rsid w:val="00E8323B"/>
    <w:rsid w:val="00E8338E"/>
    <w:rsid w:val="00E8353A"/>
    <w:rsid w:val="00E8375D"/>
    <w:rsid w:val="00E83827"/>
    <w:rsid w:val="00E838DE"/>
    <w:rsid w:val="00E839B6"/>
    <w:rsid w:val="00E83BD0"/>
    <w:rsid w:val="00E83C14"/>
    <w:rsid w:val="00E83CFA"/>
    <w:rsid w:val="00E83D25"/>
    <w:rsid w:val="00E83FB5"/>
    <w:rsid w:val="00E8402F"/>
    <w:rsid w:val="00E841A1"/>
    <w:rsid w:val="00E841D0"/>
    <w:rsid w:val="00E841D5"/>
    <w:rsid w:val="00E842CE"/>
    <w:rsid w:val="00E8431F"/>
    <w:rsid w:val="00E84326"/>
    <w:rsid w:val="00E84337"/>
    <w:rsid w:val="00E843C9"/>
    <w:rsid w:val="00E84507"/>
    <w:rsid w:val="00E845E0"/>
    <w:rsid w:val="00E84DA9"/>
    <w:rsid w:val="00E850CE"/>
    <w:rsid w:val="00E85146"/>
    <w:rsid w:val="00E85333"/>
    <w:rsid w:val="00E85A4A"/>
    <w:rsid w:val="00E85ADD"/>
    <w:rsid w:val="00E86363"/>
    <w:rsid w:val="00E86498"/>
    <w:rsid w:val="00E86879"/>
    <w:rsid w:val="00E86C1A"/>
    <w:rsid w:val="00E86C99"/>
    <w:rsid w:val="00E86D0E"/>
    <w:rsid w:val="00E86DE8"/>
    <w:rsid w:val="00E86E51"/>
    <w:rsid w:val="00E8714F"/>
    <w:rsid w:val="00E87214"/>
    <w:rsid w:val="00E87515"/>
    <w:rsid w:val="00E87549"/>
    <w:rsid w:val="00E87821"/>
    <w:rsid w:val="00E879EE"/>
    <w:rsid w:val="00E87CAD"/>
    <w:rsid w:val="00E87E90"/>
    <w:rsid w:val="00E87EF3"/>
    <w:rsid w:val="00E902F8"/>
    <w:rsid w:val="00E90439"/>
    <w:rsid w:val="00E90452"/>
    <w:rsid w:val="00E9066B"/>
    <w:rsid w:val="00E90D41"/>
    <w:rsid w:val="00E90E77"/>
    <w:rsid w:val="00E911F4"/>
    <w:rsid w:val="00E9129D"/>
    <w:rsid w:val="00E91313"/>
    <w:rsid w:val="00E91480"/>
    <w:rsid w:val="00E914F3"/>
    <w:rsid w:val="00E917C2"/>
    <w:rsid w:val="00E917CE"/>
    <w:rsid w:val="00E91BF6"/>
    <w:rsid w:val="00E91D44"/>
    <w:rsid w:val="00E91E36"/>
    <w:rsid w:val="00E91F7C"/>
    <w:rsid w:val="00E921AA"/>
    <w:rsid w:val="00E922D1"/>
    <w:rsid w:val="00E923B0"/>
    <w:rsid w:val="00E924AA"/>
    <w:rsid w:val="00E926C0"/>
    <w:rsid w:val="00E92757"/>
    <w:rsid w:val="00E928CE"/>
    <w:rsid w:val="00E92AF9"/>
    <w:rsid w:val="00E92BBD"/>
    <w:rsid w:val="00E92CAF"/>
    <w:rsid w:val="00E92E2D"/>
    <w:rsid w:val="00E930D5"/>
    <w:rsid w:val="00E9348A"/>
    <w:rsid w:val="00E934B6"/>
    <w:rsid w:val="00E935D0"/>
    <w:rsid w:val="00E93A46"/>
    <w:rsid w:val="00E93BE4"/>
    <w:rsid w:val="00E93BF6"/>
    <w:rsid w:val="00E93DDA"/>
    <w:rsid w:val="00E94064"/>
    <w:rsid w:val="00E941C1"/>
    <w:rsid w:val="00E94483"/>
    <w:rsid w:val="00E945A1"/>
    <w:rsid w:val="00E94640"/>
    <w:rsid w:val="00E94643"/>
    <w:rsid w:val="00E946AB"/>
    <w:rsid w:val="00E94911"/>
    <w:rsid w:val="00E949D0"/>
    <w:rsid w:val="00E94C38"/>
    <w:rsid w:val="00E94EE1"/>
    <w:rsid w:val="00E953DF"/>
    <w:rsid w:val="00E953F1"/>
    <w:rsid w:val="00E95DEC"/>
    <w:rsid w:val="00E960D6"/>
    <w:rsid w:val="00E9611B"/>
    <w:rsid w:val="00E963B4"/>
    <w:rsid w:val="00E96919"/>
    <w:rsid w:val="00E96AF0"/>
    <w:rsid w:val="00E96E0E"/>
    <w:rsid w:val="00E96F0D"/>
    <w:rsid w:val="00E97049"/>
    <w:rsid w:val="00E97388"/>
    <w:rsid w:val="00E9775E"/>
    <w:rsid w:val="00E979A7"/>
    <w:rsid w:val="00E97C72"/>
    <w:rsid w:val="00EA00FB"/>
    <w:rsid w:val="00EA0320"/>
    <w:rsid w:val="00EA03B1"/>
    <w:rsid w:val="00EA044E"/>
    <w:rsid w:val="00EA046A"/>
    <w:rsid w:val="00EA04F4"/>
    <w:rsid w:val="00EA0553"/>
    <w:rsid w:val="00EA05EF"/>
    <w:rsid w:val="00EA0A4A"/>
    <w:rsid w:val="00EA0C3D"/>
    <w:rsid w:val="00EA0EA9"/>
    <w:rsid w:val="00EA1017"/>
    <w:rsid w:val="00EA101E"/>
    <w:rsid w:val="00EA1051"/>
    <w:rsid w:val="00EA1193"/>
    <w:rsid w:val="00EA12FA"/>
    <w:rsid w:val="00EA14D6"/>
    <w:rsid w:val="00EA1696"/>
    <w:rsid w:val="00EA1699"/>
    <w:rsid w:val="00EA1917"/>
    <w:rsid w:val="00EA1A83"/>
    <w:rsid w:val="00EA1B64"/>
    <w:rsid w:val="00EA1C2E"/>
    <w:rsid w:val="00EA1C33"/>
    <w:rsid w:val="00EA1C39"/>
    <w:rsid w:val="00EA1C50"/>
    <w:rsid w:val="00EA1E2D"/>
    <w:rsid w:val="00EA22D1"/>
    <w:rsid w:val="00EA22D4"/>
    <w:rsid w:val="00EA233D"/>
    <w:rsid w:val="00EA2559"/>
    <w:rsid w:val="00EA2668"/>
    <w:rsid w:val="00EA2683"/>
    <w:rsid w:val="00EA2729"/>
    <w:rsid w:val="00EA2734"/>
    <w:rsid w:val="00EA283A"/>
    <w:rsid w:val="00EA2882"/>
    <w:rsid w:val="00EA2E7F"/>
    <w:rsid w:val="00EA2EDF"/>
    <w:rsid w:val="00EA2FD5"/>
    <w:rsid w:val="00EA3104"/>
    <w:rsid w:val="00EA3213"/>
    <w:rsid w:val="00EA3259"/>
    <w:rsid w:val="00EA33D1"/>
    <w:rsid w:val="00EA34DF"/>
    <w:rsid w:val="00EA355D"/>
    <w:rsid w:val="00EA3A62"/>
    <w:rsid w:val="00EA3C21"/>
    <w:rsid w:val="00EA3DDC"/>
    <w:rsid w:val="00EA40DC"/>
    <w:rsid w:val="00EA420E"/>
    <w:rsid w:val="00EA4333"/>
    <w:rsid w:val="00EA4641"/>
    <w:rsid w:val="00EA4662"/>
    <w:rsid w:val="00EA4B7A"/>
    <w:rsid w:val="00EA4FC4"/>
    <w:rsid w:val="00EA5097"/>
    <w:rsid w:val="00EA5179"/>
    <w:rsid w:val="00EA5A2D"/>
    <w:rsid w:val="00EA5A2F"/>
    <w:rsid w:val="00EA5B05"/>
    <w:rsid w:val="00EA5B0F"/>
    <w:rsid w:val="00EA5BD9"/>
    <w:rsid w:val="00EA5E32"/>
    <w:rsid w:val="00EA5EE4"/>
    <w:rsid w:val="00EA5FFE"/>
    <w:rsid w:val="00EA6040"/>
    <w:rsid w:val="00EA6214"/>
    <w:rsid w:val="00EA62BC"/>
    <w:rsid w:val="00EA6369"/>
    <w:rsid w:val="00EA68CC"/>
    <w:rsid w:val="00EA6BAE"/>
    <w:rsid w:val="00EA6CD3"/>
    <w:rsid w:val="00EA6D98"/>
    <w:rsid w:val="00EA6DD3"/>
    <w:rsid w:val="00EA6F18"/>
    <w:rsid w:val="00EA7050"/>
    <w:rsid w:val="00EA70F9"/>
    <w:rsid w:val="00EA79D7"/>
    <w:rsid w:val="00EA7BB7"/>
    <w:rsid w:val="00EA7BC5"/>
    <w:rsid w:val="00EA7C97"/>
    <w:rsid w:val="00EA7EB6"/>
    <w:rsid w:val="00EB0798"/>
    <w:rsid w:val="00EB0B26"/>
    <w:rsid w:val="00EB0B6B"/>
    <w:rsid w:val="00EB0EA3"/>
    <w:rsid w:val="00EB0F60"/>
    <w:rsid w:val="00EB106A"/>
    <w:rsid w:val="00EB112E"/>
    <w:rsid w:val="00EB11BD"/>
    <w:rsid w:val="00EB1393"/>
    <w:rsid w:val="00EB1BFD"/>
    <w:rsid w:val="00EB1C00"/>
    <w:rsid w:val="00EB1C94"/>
    <w:rsid w:val="00EB20D2"/>
    <w:rsid w:val="00EB20EC"/>
    <w:rsid w:val="00EB22F8"/>
    <w:rsid w:val="00EB2380"/>
    <w:rsid w:val="00EB240B"/>
    <w:rsid w:val="00EB256E"/>
    <w:rsid w:val="00EB2700"/>
    <w:rsid w:val="00EB297D"/>
    <w:rsid w:val="00EB2B3F"/>
    <w:rsid w:val="00EB2CEE"/>
    <w:rsid w:val="00EB2D6E"/>
    <w:rsid w:val="00EB2F03"/>
    <w:rsid w:val="00EB2F7B"/>
    <w:rsid w:val="00EB319A"/>
    <w:rsid w:val="00EB3CFA"/>
    <w:rsid w:val="00EB3FD3"/>
    <w:rsid w:val="00EB4219"/>
    <w:rsid w:val="00EB4312"/>
    <w:rsid w:val="00EB43D3"/>
    <w:rsid w:val="00EB43F8"/>
    <w:rsid w:val="00EB48F5"/>
    <w:rsid w:val="00EB490F"/>
    <w:rsid w:val="00EB4A07"/>
    <w:rsid w:val="00EB4BDA"/>
    <w:rsid w:val="00EB4E2C"/>
    <w:rsid w:val="00EB4FF1"/>
    <w:rsid w:val="00EB4FF9"/>
    <w:rsid w:val="00EB5251"/>
    <w:rsid w:val="00EB52FA"/>
    <w:rsid w:val="00EB5353"/>
    <w:rsid w:val="00EB5488"/>
    <w:rsid w:val="00EB55C5"/>
    <w:rsid w:val="00EB5896"/>
    <w:rsid w:val="00EB5F57"/>
    <w:rsid w:val="00EB5F75"/>
    <w:rsid w:val="00EB6194"/>
    <w:rsid w:val="00EB6265"/>
    <w:rsid w:val="00EB62F8"/>
    <w:rsid w:val="00EB6B41"/>
    <w:rsid w:val="00EB6B71"/>
    <w:rsid w:val="00EB6B90"/>
    <w:rsid w:val="00EB6C41"/>
    <w:rsid w:val="00EB6C74"/>
    <w:rsid w:val="00EB6D51"/>
    <w:rsid w:val="00EB6DAA"/>
    <w:rsid w:val="00EB6E24"/>
    <w:rsid w:val="00EB6F07"/>
    <w:rsid w:val="00EB70FD"/>
    <w:rsid w:val="00EB7416"/>
    <w:rsid w:val="00EB7505"/>
    <w:rsid w:val="00EB7711"/>
    <w:rsid w:val="00EB7843"/>
    <w:rsid w:val="00EB7B58"/>
    <w:rsid w:val="00EB7B94"/>
    <w:rsid w:val="00EB7C7B"/>
    <w:rsid w:val="00EB7D64"/>
    <w:rsid w:val="00EB7DD3"/>
    <w:rsid w:val="00EB7F93"/>
    <w:rsid w:val="00EC04A1"/>
    <w:rsid w:val="00EC0670"/>
    <w:rsid w:val="00EC0B16"/>
    <w:rsid w:val="00EC0B17"/>
    <w:rsid w:val="00EC0BD6"/>
    <w:rsid w:val="00EC0DB5"/>
    <w:rsid w:val="00EC0E35"/>
    <w:rsid w:val="00EC0E71"/>
    <w:rsid w:val="00EC1000"/>
    <w:rsid w:val="00EC138F"/>
    <w:rsid w:val="00EC13B9"/>
    <w:rsid w:val="00EC16F2"/>
    <w:rsid w:val="00EC189B"/>
    <w:rsid w:val="00EC1B2E"/>
    <w:rsid w:val="00EC1BEA"/>
    <w:rsid w:val="00EC1D29"/>
    <w:rsid w:val="00EC1E2A"/>
    <w:rsid w:val="00EC1F31"/>
    <w:rsid w:val="00EC1FA6"/>
    <w:rsid w:val="00EC1FCB"/>
    <w:rsid w:val="00EC2627"/>
    <w:rsid w:val="00EC2C13"/>
    <w:rsid w:val="00EC2ED3"/>
    <w:rsid w:val="00EC2F57"/>
    <w:rsid w:val="00EC3903"/>
    <w:rsid w:val="00EC3AEA"/>
    <w:rsid w:val="00EC3B16"/>
    <w:rsid w:val="00EC3B42"/>
    <w:rsid w:val="00EC3C08"/>
    <w:rsid w:val="00EC3C96"/>
    <w:rsid w:val="00EC41B3"/>
    <w:rsid w:val="00EC4210"/>
    <w:rsid w:val="00EC42C6"/>
    <w:rsid w:val="00EC43A2"/>
    <w:rsid w:val="00EC45A3"/>
    <w:rsid w:val="00EC45E1"/>
    <w:rsid w:val="00EC500F"/>
    <w:rsid w:val="00EC5786"/>
    <w:rsid w:val="00EC5929"/>
    <w:rsid w:val="00EC59AE"/>
    <w:rsid w:val="00EC5E48"/>
    <w:rsid w:val="00EC62DF"/>
    <w:rsid w:val="00EC6312"/>
    <w:rsid w:val="00EC637F"/>
    <w:rsid w:val="00EC6497"/>
    <w:rsid w:val="00EC6953"/>
    <w:rsid w:val="00EC6A03"/>
    <w:rsid w:val="00EC6B57"/>
    <w:rsid w:val="00EC6B63"/>
    <w:rsid w:val="00EC706E"/>
    <w:rsid w:val="00EC7138"/>
    <w:rsid w:val="00EC7149"/>
    <w:rsid w:val="00EC715A"/>
    <w:rsid w:val="00EC756D"/>
    <w:rsid w:val="00EC7638"/>
    <w:rsid w:val="00EC771F"/>
    <w:rsid w:val="00EC7A3E"/>
    <w:rsid w:val="00ED018E"/>
    <w:rsid w:val="00ED01BE"/>
    <w:rsid w:val="00ED02ED"/>
    <w:rsid w:val="00ED0349"/>
    <w:rsid w:val="00ED04EC"/>
    <w:rsid w:val="00ED0513"/>
    <w:rsid w:val="00ED0971"/>
    <w:rsid w:val="00ED09F8"/>
    <w:rsid w:val="00ED0A06"/>
    <w:rsid w:val="00ED0A0D"/>
    <w:rsid w:val="00ED0B23"/>
    <w:rsid w:val="00ED0DC3"/>
    <w:rsid w:val="00ED0E80"/>
    <w:rsid w:val="00ED1606"/>
    <w:rsid w:val="00ED16C6"/>
    <w:rsid w:val="00ED19DB"/>
    <w:rsid w:val="00ED1E28"/>
    <w:rsid w:val="00ED1E7C"/>
    <w:rsid w:val="00ED21D3"/>
    <w:rsid w:val="00ED246D"/>
    <w:rsid w:val="00ED24E5"/>
    <w:rsid w:val="00ED324C"/>
    <w:rsid w:val="00ED347C"/>
    <w:rsid w:val="00ED347E"/>
    <w:rsid w:val="00ED363B"/>
    <w:rsid w:val="00ED37C0"/>
    <w:rsid w:val="00ED3908"/>
    <w:rsid w:val="00ED3AB2"/>
    <w:rsid w:val="00ED3D60"/>
    <w:rsid w:val="00ED3F8D"/>
    <w:rsid w:val="00ED41DA"/>
    <w:rsid w:val="00ED43EF"/>
    <w:rsid w:val="00ED4493"/>
    <w:rsid w:val="00ED4AA1"/>
    <w:rsid w:val="00ED4DFA"/>
    <w:rsid w:val="00ED4F0E"/>
    <w:rsid w:val="00ED504C"/>
    <w:rsid w:val="00ED5958"/>
    <w:rsid w:val="00ED5A15"/>
    <w:rsid w:val="00ED5A32"/>
    <w:rsid w:val="00ED5BF8"/>
    <w:rsid w:val="00ED5CD5"/>
    <w:rsid w:val="00ED5DC8"/>
    <w:rsid w:val="00ED5FC6"/>
    <w:rsid w:val="00ED621C"/>
    <w:rsid w:val="00ED64F4"/>
    <w:rsid w:val="00ED65B9"/>
    <w:rsid w:val="00ED6689"/>
    <w:rsid w:val="00ED69AC"/>
    <w:rsid w:val="00ED6CDA"/>
    <w:rsid w:val="00ED6D35"/>
    <w:rsid w:val="00ED6D4B"/>
    <w:rsid w:val="00ED6FDB"/>
    <w:rsid w:val="00ED71E8"/>
    <w:rsid w:val="00ED72C7"/>
    <w:rsid w:val="00ED7347"/>
    <w:rsid w:val="00ED7387"/>
    <w:rsid w:val="00ED7578"/>
    <w:rsid w:val="00ED78BB"/>
    <w:rsid w:val="00ED78D8"/>
    <w:rsid w:val="00ED7A00"/>
    <w:rsid w:val="00ED7B70"/>
    <w:rsid w:val="00EE00F7"/>
    <w:rsid w:val="00EE0196"/>
    <w:rsid w:val="00EE022D"/>
    <w:rsid w:val="00EE02D7"/>
    <w:rsid w:val="00EE03C7"/>
    <w:rsid w:val="00EE04CA"/>
    <w:rsid w:val="00EE050D"/>
    <w:rsid w:val="00EE08F9"/>
    <w:rsid w:val="00EE09D3"/>
    <w:rsid w:val="00EE0A4E"/>
    <w:rsid w:val="00EE0B7D"/>
    <w:rsid w:val="00EE0D34"/>
    <w:rsid w:val="00EE0D95"/>
    <w:rsid w:val="00EE0F4A"/>
    <w:rsid w:val="00EE1094"/>
    <w:rsid w:val="00EE10D5"/>
    <w:rsid w:val="00EE1264"/>
    <w:rsid w:val="00EE1850"/>
    <w:rsid w:val="00EE1B5F"/>
    <w:rsid w:val="00EE1D68"/>
    <w:rsid w:val="00EE1F0C"/>
    <w:rsid w:val="00EE2370"/>
    <w:rsid w:val="00EE2458"/>
    <w:rsid w:val="00EE24D5"/>
    <w:rsid w:val="00EE2CD0"/>
    <w:rsid w:val="00EE2D61"/>
    <w:rsid w:val="00EE2F0B"/>
    <w:rsid w:val="00EE306F"/>
    <w:rsid w:val="00EE31B3"/>
    <w:rsid w:val="00EE3B5C"/>
    <w:rsid w:val="00EE3E7B"/>
    <w:rsid w:val="00EE3E87"/>
    <w:rsid w:val="00EE3F74"/>
    <w:rsid w:val="00EE41BD"/>
    <w:rsid w:val="00EE45F0"/>
    <w:rsid w:val="00EE46AA"/>
    <w:rsid w:val="00EE47FB"/>
    <w:rsid w:val="00EE5405"/>
    <w:rsid w:val="00EE56CF"/>
    <w:rsid w:val="00EE5DE6"/>
    <w:rsid w:val="00EE5DF1"/>
    <w:rsid w:val="00EE63A1"/>
    <w:rsid w:val="00EE662E"/>
    <w:rsid w:val="00EE67BE"/>
    <w:rsid w:val="00EE6A55"/>
    <w:rsid w:val="00EE6B41"/>
    <w:rsid w:val="00EE6DEE"/>
    <w:rsid w:val="00EE7624"/>
    <w:rsid w:val="00EE7723"/>
    <w:rsid w:val="00EE782E"/>
    <w:rsid w:val="00EE78AC"/>
    <w:rsid w:val="00EE7C47"/>
    <w:rsid w:val="00EF015B"/>
    <w:rsid w:val="00EF0506"/>
    <w:rsid w:val="00EF0CF2"/>
    <w:rsid w:val="00EF0E1C"/>
    <w:rsid w:val="00EF0E8A"/>
    <w:rsid w:val="00EF0EAA"/>
    <w:rsid w:val="00EF1033"/>
    <w:rsid w:val="00EF1143"/>
    <w:rsid w:val="00EF196A"/>
    <w:rsid w:val="00EF1DC8"/>
    <w:rsid w:val="00EF200B"/>
    <w:rsid w:val="00EF2073"/>
    <w:rsid w:val="00EF2172"/>
    <w:rsid w:val="00EF228D"/>
    <w:rsid w:val="00EF241F"/>
    <w:rsid w:val="00EF28F4"/>
    <w:rsid w:val="00EF3024"/>
    <w:rsid w:val="00EF31D3"/>
    <w:rsid w:val="00EF3945"/>
    <w:rsid w:val="00EF396B"/>
    <w:rsid w:val="00EF3B78"/>
    <w:rsid w:val="00EF3BF0"/>
    <w:rsid w:val="00EF3C09"/>
    <w:rsid w:val="00EF3C47"/>
    <w:rsid w:val="00EF3E14"/>
    <w:rsid w:val="00EF3F02"/>
    <w:rsid w:val="00EF4798"/>
    <w:rsid w:val="00EF49DC"/>
    <w:rsid w:val="00EF4B17"/>
    <w:rsid w:val="00EF4C0F"/>
    <w:rsid w:val="00EF515E"/>
    <w:rsid w:val="00EF51D8"/>
    <w:rsid w:val="00EF5297"/>
    <w:rsid w:val="00EF5500"/>
    <w:rsid w:val="00EF5516"/>
    <w:rsid w:val="00EF552F"/>
    <w:rsid w:val="00EF5C23"/>
    <w:rsid w:val="00EF5CDD"/>
    <w:rsid w:val="00EF5D44"/>
    <w:rsid w:val="00EF60EC"/>
    <w:rsid w:val="00EF6148"/>
    <w:rsid w:val="00EF6178"/>
    <w:rsid w:val="00EF6228"/>
    <w:rsid w:val="00EF6284"/>
    <w:rsid w:val="00EF6A28"/>
    <w:rsid w:val="00EF6AC8"/>
    <w:rsid w:val="00EF6C8A"/>
    <w:rsid w:val="00EF6CCF"/>
    <w:rsid w:val="00EF6FBD"/>
    <w:rsid w:val="00EF73CC"/>
    <w:rsid w:val="00EF7427"/>
    <w:rsid w:val="00EF7476"/>
    <w:rsid w:val="00EF758A"/>
    <w:rsid w:val="00EF7D96"/>
    <w:rsid w:val="00EF7FF2"/>
    <w:rsid w:val="00F00193"/>
    <w:rsid w:val="00F003EB"/>
    <w:rsid w:val="00F00539"/>
    <w:rsid w:val="00F00640"/>
    <w:rsid w:val="00F00763"/>
    <w:rsid w:val="00F0080C"/>
    <w:rsid w:val="00F009CE"/>
    <w:rsid w:val="00F00B45"/>
    <w:rsid w:val="00F00DB4"/>
    <w:rsid w:val="00F014AC"/>
    <w:rsid w:val="00F015D6"/>
    <w:rsid w:val="00F01667"/>
    <w:rsid w:val="00F0185C"/>
    <w:rsid w:val="00F01B39"/>
    <w:rsid w:val="00F01BBD"/>
    <w:rsid w:val="00F01EDC"/>
    <w:rsid w:val="00F0206E"/>
    <w:rsid w:val="00F0208A"/>
    <w:rsid w:val="00F020A0"/>
    <w:rsid w:val="00F02223"/>
    <w:rsid w:val="00F022F9"/>
    <w:rsid w:val="00F02369"/>
    <w:rsid w:val="00F023BB"/>
    <w:rsid w:val="00F02436"/>
    <w:rsid w:val="00F02467"/>
    <w:rsid w:val="00F025EB"/>
    <w:rsid w:val="00F02841"/>
    <w:rsid w:val="00F02B8B"/>
    <w:rsid w:val="00F02BA7"/>
    <w:rsid w:val="00F02BEB"/>
    <w:rsid w:val="00F02D7A"/>
    <w:rsid w:val="00F02E38"/>
    <w:rsid w:val="00F02E4F"/>
    <w:rsid w:val="00F02F98"/>
    <w:rsid w:val="00F030DB"/>
    <w:rsid w:val="00F032F1"/>
    <w:rsid w:val="00F03338"/>
    <w:rsid w:val="00F03611"/>
    <w:rsid w:val="00F03DBA"/>
    <w:rsid w:val="00F03E3E"/>
    <w:rsid w:val="00F03F2D"/>
    <w:rsid w:val="00F040AF"/>
    <w:rsid w:val="00F040DC"/>
    <w:rsid w:val="00F041EE"/>
    <w:rsid w:val="00F043A5"/>
    <w:rsid w:val="00F04487"/>
    <w:rsid w:val="00F0500D"/>
    <w:rsid w:val="00F05025"/>
    <w:rsid w:val="00F0512E"/>
    <w:rsid w:val="00F054E2"/>
    <w:rsid w:val="00F0589E"/>
    <w:rsid w:val="00F05FA9"/>
    <w:rsid w:val="00F06060"/>
    <w:rsid w:val="00F064CA"/>
    <w:rsid w:val="00F069AB"/>
    <w:rsid w:val="00F06B46"/>
    <w:rsid w:val="00F06BBF"/>
    <w:rsid w:val="00F06C84"/>
    <w:rsid w:val="00F06D99"/>
    <w:rsid w:val="00F06E73"/>
    <w:rsid w:val="00F072EF"/>
    <w:rsid w:val="00F07336"/>
    <w:rsid w:val="00F074E8"/>
    <w:rsid w:val="00F07C67"/>
    <w:rsid w:val="00F07F75"/>
    <w:rsid w:val="00F07F7E"/>
    <w:rsid w:val="00F1005F"/>
    <w:rsid w:val="00F1014B"/>
    <w:rsid w:val="00F1018A"/>
    <w:rsid w:val="00F102D2"/>
    <w:rsid w:val="00F102D3"/>
    <w:rsid w:val="00F10341"/>
    <w:rsid w:val="00F1053C"/>
    <w:rsid w:val="00F10B33"/>
    <w:rsid w:val="00F10C8D"/>
    <w:rsid w:val="00F10D82"/>
    <w:rsid w:val="00F10E28"/>
    <w:rsid w:val="00F11059"/>
    <w:rsid w:val="00F11092"/>
    <w:rsid w:val="00F11167"/>
    <w:rsid w:val="00F11688"/>
    <w:rsid w:val="00F11909"/>
    <w:rsid w:val="00F11B0E"/>
    <w:rsid w:val="00F12012"/>
    <w:rsid w:val="00F120C3"/>
    <w:rsid w:val="00F12234"/>
    <w:rsid w:val="00F12361"/>
    <w:rsid w:val="00F125D1"/>
    <w:rsid w:val="00F1299C"/>
    <w:rsid w:val="00F12A5E"/>
    <w:rsid w:val="00F13049"/>
    <w:rsid w:val="00F134D8"/>
    <w:rsid w:val="00F135EE"/>
    <w:rsid w:val="00F13622"/>
    <w:rsid w:val="00F1371D"/>
    <w:rsid w:val="00F13761"/>
    <w:rsid w:val="00F1397B"/>
    <w:rsid w:val="00F13D8A"/>
    <w:rsid w:val="00F13DC8"/>
    <w:rsid w:val="00F13ED4"/>
    <w:rsid w:val="00F13FE5"/>
    <w:rsid w:val="00F140A1"/>
    <w:rsid w:val="00F1438B"/>
    <w:rsid w:val="00F14548"/>
    <w:rsid w:val="00F14832"/>
    <w:rsid w:val="00F14895"/>
    <w:rsid w:val="00F149CB"/>
    <w:rsid w:val="00F149EE"/>
    <w:rsid w:val="00F14F59"/>
    <w:rsid w:val="00F15443"/>
    <w:rsid w:val="00F158AC"/>
    <w:rsid w:val="00F15C65"/>
    <w:rsid w:val="00F15D42"/>
    <w:rsid w:val="00F160AA"/>
    <w:rsid w:val="00F16184"/>
    <w:rsid w:val="00F16359"/>
    <w:rsid w:val="00F166A0"/>
    <w:rsid w:val="00F168F1"/>
    <w:rsid w:val="00F16F42"/>
    <w:rsid w:val="00F17041"/>
    <w:rsid w:val="00F1707C"/>
    <w:rsid w:val="00F17226"/>
    <w:rsid w:val="00F173B8"/>
    <w:rsid w:val="00F17625"/>
    <w:rsid w:val="00F17839"/>
    <w:rsid w:val="00F178FA"/>
    <w:rsid w:val="00F17C05"/>
    <w:rsid w:val="00F17C4E"/>
    <w:rsid w:val="00F17D49"/>
    <w:rsid w:val="00F17E7E"/>
    <w:rsid w:val="00F20064"/>
    <w:rsid w:val="00F206E9"/>
    <w:rsid w:val="00F209AE"/>
    <w:rsid w:val="00F20FC8"/>
    <w:rsid w:val="00F21189"/>
    <w:rsid w:val="00F21293"/>
    <w:rsid w:val="00F2178E"/>
    <w:rsid w:val="00F219E9"/>
    <w:rsid w:val="00F22138"/>
    <w:rsid w:val="00F2218F"/>
    <w:rsid w:val="00F22297"/>
    <w:rsid w:val="00F22571"/>
    <w:rsid w:val="00F225E5"/>
    <w:rsid w:val="00F229B6"/>
    <w:rsid w:val="00F22B02"/>
    <w:rsid w:val="00F22CF8"/>
    <w:rsid w:val="00F22DC7"/>
    <w:rsid w:val="00F23058"/>
    <w:rsid w:val="00F23068"/>
    <w:rsid w:val="00F2314C"/>
    <w:rsid w:val="00F2363F"/>
    <w:rsid w:val="00F238DB"/>
    <w:rsid w:val="00F23B70"/>
    <w:rsid w:val="00F23E87"/>
    <w:rsid w:val="00F23EAB"/>
    <w:rsid w:val="00F24389"/>
    <w:rsid w:val="00F2462C"/>
    <w:rsid w:val="00F24638"/>
    <w:rsid w:val="00F24A4B"/>
    <w:rsid w:val="00F24D06"/>
    <w:rsid w:val="00F24EEE"/>
    <w:rsid w:val="00F25008"/>
    <w:rsid w:val="00F25157"/>
    <w:rsid w:val="00F25310"/>
    <w:rsid w:val="00F25311"/>
    <w:rsid w:val="00F25377"/>
    <w:rsid w:val="00F2567F"/>
    <w:rsid w:val="00F25B2F"/>
    <w:rsid w:val="00F262F2"/>
    <w:rsid w:val="00F26653"/>
    <w:rsid w:val="00F26654"/>
    <w:rsid w:val="00F2667C"/>
    <w:rsid w:val="00F266DA"/>
    <w:rsid w:val="00F26A85"/>
    <w:rsid w:val="00F26ACB"/>
    <w:rsid w:val="00F26B76"/>
    <w:rsid w:val="00F26E58"/>
    <w:rsid w:val="00F26F1A"/>
    <w:rsid w:val="00F27142"/>
    <w:rsid w:val="00F27599"/>
    <w:rsid w:val="00F276DB"/>
    <w:rsid w:val="00F27974"/>
    <w:rsid w:val="00F27AFF"/>
    <w:rsid w:val="00F27CD7"/>
    <w:rsid w:val="00F30288"/>
    <w:rsid w:val="00F3028C"/>
    <w:rsid w:val="00F30BDC"/>
    <w:rsid w:val="00F30EAE"/>
    <w:rsid w:val="00F311EC"/>
    <w:rsid w:val="00F312F1"/>
    <w:rsid w:val="00F316BB"/>
    <w:rsid w:val="00F31BA8"/>
    <w:rsid w:val="00F31C25"/>
    <w:rsid w:val="00F31C66"/>
    <w:rsid w:val="00F31F9B"/>
    <w:rsid w:val="00F320F6"/>
    <w:rsid w:val="00F3232F"/>
    <w:rsid w:val="00F323C3"/>
    <w:rsid w:val="00F326A9"/>
    <w:rsid w:val="00F3279D"/>
    <w:rsid w:val="00F32CA2"/>
    <w:rsid w:val="00F33180"/>
    <w:rsid w:val="00F33275"/>
    <w:rsid w:val="00F33913"/>
    <w:rsid w:val="00F33E13"/>
    <w:rsid w:val="00F33ECA"/>
    <w:rsid w:val="00F3411B"/>
    <w:rsid w:val="00F3416B"/>
    <w:rsid w:val="00F34363"/>
    <w:rsid w:val="00F346D7"/>
    <w:rsid w:val="00F346EC"/>
    <w:rsid w:val="00F34865"/>
    <w:rsid w:val="00F3491B"/>
    <w:rsid w:val="00F34CD1"/>
    <w:rsid w:val="00F34D9B"/>
    <w:rsid w:val="00F354FF"/>
    <w:rsid w:val="00F355B1"/>
    <w:rsid w:val="00F358EE"/>
    <w:rsid w:val="00F358F6"/>
    <w:rsid w:val="00F35F47"/>
    <w:rsid w:val="00F3608A"/>
    <w:rsid w:val="00F36481"/>
    <w:rsid w:val="00F3667E"/>
    <w:rsid w:val="00F366F8"/>
    <w:rsid w:val="00F36ADD"/>
    <w:rsid w:val="00F36AF8"/>
    <w:rsid w:val="00F36BCA"/>
    <w:rsid w:val="00F36CBA"/>
    <w:rsid w:val="00F36E45"/>
    <w:rsid w:val="00F36FC5"/>
    <w:rsid w:val="00F371F3"/>
    <w:rsid w:val="00F373D2"/>
    <w:rsid w:val="00F37441"/>
    <w:rsid w:val="00F37492"/>
    <w:rsid w:val="00F3762D"/>
    <w:rsid w:val="00F40106"/>
    <w:rsid w:val="00F40179"/>
    <w:rsid w:val="00F401C1"/>
    <w:rsid w:val="00F403FC"/>
    <w:rsid w:val="00F4044C"/>
    <w:rsid w:val="00F405FD"/>
    <w:rsid w:val="00F406E4"/>
    <w:rsid w:val="00F4072A"/>
    <w:rsid w:val="00F409C0"/>
    <w:rsid w:val="00F40D78"/>
    <w:rsid w:val="00F40E59"/>
    <w:rsid w:val="00F41061"/>
    <w:rsid w:val="00F41428"/>
    <w:rsid w:val="00F41A31"/>
    <w:rsid w:val="00F41E15"/>
    <w:rsid w:val="00F421D9"/>
    <w:rsid w:val="00F42610"/>
    <w:rsid w:val="00F42AF0"/>
    <w:rsid w:val="00F42BA2"/>
    <w:rsid w:val="00F42BF1"/>
    <w:rsid w:val="00F42CD6"/>
    <w:rsid w:val="00F430CE"/>
    <w:rsid w:val="00F43168"/>
    <w:rsid w:val="00F43398"/>
    <w:rsid w:val="00F439F2"/>
    <w:rsid w:val="00F43D69"/>
    <w:rsid w:val="00F43FD5"/>
    <w:rsid w:val="00F4402E"/>
    <w:rsid w:val="00F44381"/>
    <w:rsid w:val="00F44A09"/>
    <w:rsid w:val="00F44DEA"/>
    <w:rsid w:val="00F45082"/>
    <w:rsid w:val="00F450BB"/>
    <w:rsid w:val="00F450E2"/>
    <w:rsid w:val="00F454AC"/>
    <w:rsid w:val="00F454C3"/>
    <w:rsid w:val="00F455CC"/>
    <w:rsid w:val="00F45704"/>
    <w:rsid w:val="00F458A2"/>
    <w:rsid w:val="00F45ACA"/>
    <w:rsid w:val="00F45C53"/>
    <w:rsid w:val="00F45DF1"/>
    <w:rsid w:val="00F45E06"/>
    <w:rsid w:val="00F45F64"/>
    <w:rsid w:val="00F46103"/>
    <w:rsid w:val="00F46116"/>
    <w:rsid w:val="00F463AE"/>
    <w:rsid w:val="00F46566"/>
    <w:rsid w:val="00F466D4"/>
    <w:rsid w:val="00F467BA"/>
    <w:rsid w:val="00F46F8F"/>
    <w:rsid w:val="00F46FB6"/>
    <w:rsid w:val="00F46FBE"/>
    <w:rsid w:val="00F46FEC"/>
    <w:rsid w:val="00F470F6"/>
    <w:rsid w:val="00F471B9"/>
    <w:rsid w:val="00F473E6"/>
    <w:rsid w:val="00F475FF"/>
    <w:rsid w:val="00F47612"/>
    <w:rsid w:val="00F47668"/>
    <w:rsid w:val="00F47800"/>
    <w:rsid w:val="00F47878"/>
    <w:rsid w:val="00F47B40"/>
    <w:rsid w:val="00F47DC4"/>
    <w:rsid w:val="00F4EFC4"/>
    <w:rsid w:val="00F50088"/>
    <w:rsid w:val="00F503DB"/>
    <w:rsid w:val="00F5059D"/>
    <w:rsid w:val="00F506B2"/>
    <w:rsid w:val="00F50807"/>
    <w:rsid w:val="00F50B09"/>
    <w:rsid w:val="00F50D26"/>
    <w:rsid w:val="00F50E6D"/>
    <w:rsid w:val="00F50F7F"/>
    <w:rsid w:val="00F510E6"/>
    <w:rsid w:val="00F511A8"/>
    <w:rsid w:val="00F5133B"/>
    <w:rsid w:val="00F516EE"/>
    <w:rsid w:val="00F5197D"/>
    <w:rsid w:val="00F5199E"/>
    <w:rsid w:val="00F51C3A"/>
    <w:rsid w:val="00F51E9A"/>
    <w:rsid w:val="00F51F72"/>
    <w:rsid w:val="00F520DD"/>
    <w:rsid w:val="00F52157"/>
    <w:rsid w:val="00F521C3"/>
    <w:rsid w:val="00F52340"/>
    <w:rsid w:val="00F528AB"/>
    <w:rsid w:val="00F5299D"/>
    <w:rsid w:val="00F52A18"/>
    <w:rsid w:val="00F52F1F"/>
    <w:rsid w:val="00F52FA4"/>
    <w:rsid w:val="00F53123"/>
    <w:rsid w:val="00F53224"/>
    <w:rsid w:val="00F5324C"/>
    <w:rsid w:val="00F53288"/>
    <w:rsid w:val="00F53611"/>
    <w:rsid w:val="00F539FF"/>
    <w:rsid w:val="00F53C02"/>
    <w:rsid w:val="00F54001"/>
    <w:rsid w:val="00F54411"/>
    <w:rsid w:val="00F5489F"/>
    <w:rsid w:val="00F548A7"/>
    <w:rsid w:val="00F549C5"/>
    <w:rsid w:val="00F54A24"/>
    <w:rsid w:val="00F54B82"/>
    <w:rsid w:val="00F54C0B"/>
    <w:rsid w:val="00F54DA9"/>
    <w:rsid w:val="00F54EBA"/>
    <w:rsid w:val="00F54F68"/>
    <w:rsid w:val="00F550F0"/>
    <w:rsid w:val="00F5512B"/>
    <w:rsid w:val="00F551B7"/>
    <w:rsid w:val="00F55271"/>
    <w:rsid w:val="00F55680"/>
    <w:rsid w:val="00F55730"/>
    <w:rsid w:val="00F55781"/>
    <w:rsid w:val="00F55A5F"/>
    <w:rsid w:val="00F55EFF"/>
    <w:rsid w:val="00F560C1"/>
    <w:rsid w:val="00F560EE"/>
    <w:rsid w:val="00F5614B"/>
    <w:rsid w:val="00F561B5"/>
    <w:rsid w:val="00F562D8"/>
    <w:rsid w:val="00F5662D"/>
    <w:rsid w:val="00F566E9"/>
    <w:rsid w:val="00F56EDB"/>
    <w:rsid w:val="00F56F09"/>
    <w:rsid w:val="00F5705F"/>
    <w:rsid w:val="00F57097"/>
    <w:rsid w:val="00F5752B"/>
    <w:rsid w:val="00F57B42"/>
    <w:rsid w:val="00F57CCC"/>
    <w:rsid w:val="00F57CFE"/>
    <w:rsid w:val="00F57F91"/>
    <w:rsid w:val="00F60414"/>
    <w:rsid w:val="00F604EC"/>
    <w:rsid w:val="00F60D67"/>
    <w:rsid w:val="00F60DF2"/>
    <w:rsid w:val="00F61112"/>
    <w:rsid w:val="00F6125E"/>
    <w:rsid w:val="00F6138E"/>
    <w:rsid w:val="00F615E2"/>
    <w:rsid w:val="00F616F8"/>
    <w:rsid w:val="00F61723"/>
    <w:rsid w:val="00F618FE"/>
    <w:rsid w:val="00F62092"/>
    <w:rsid w:val="00F62282"/>
    <w:rsid w:val="00F6267F"/>
    <w:rsid w:val="00F6268C"/>
    <w:rsid w:val="00F627BF"/>
    <w:rsid w:val="00F62C93"/>
    <w:rsid w:val="00F62F8B"/>
    <w:rsid w:val="00F63528"/>
    <w:rsid w:val="00F6352B"/>
    <w:rsid w:val="00F6396C"/>
    <w:rsid w:val="00F640FF"/>
    <w:rsid w:val="00F641F9"/>
    <w:rsid w:val="00F643E2"/>
    <w:rsid w:val="00F643F0"/>
    <w:rsid w:val="00F6471B"/>
    <w:rsid w:val="00F64728"/>
    <w:rsid w:val="00F6485F"/>
    <w:rsid w:val="00F649E6"/>
    <w:rsid w:val="00F64B86"/>
    <w:rsid w:val="00F64CF0"/>
    <w:rsid w:val="00F64D00"/>
    <w:rsid w:val="00F64FC7"/>
    <w:rsid w:val="00F64FE7"/>
    <w:rsid w:val="00F6510F"/>
    <w:rsid w:val="00F6581F"/>
    <w:rsid w:val="00F65B54"/>
    <w:rsid w:val="00F65B8F"/>
    <w:rsid w:val="00F65BE9"/>
    <w:rsid w:val="00F65F4D"/>
    <w:rsid w:val="00F66215"/>
    <w:rsid w:val="00F6625B"/>
    <w:rsid w:val="00F66264"/>
    <w:rsid w:val="00F66329"/>
    <w:rsid w:val="00F6636C"/>
    <w:rsid w:val="00F66464"/>
    <w:rsid w:val="00F6680C"/>
    <w:rsid w:val="00F6685C"/>
    <w:rsid w:val="00F669A5"/>
    <w:rsid w:val="00F6724F"/>
    <w:rsid w:val="00F677AB"/>
    <w:rsid w:val="00F6791F"/>
    <w:rsid w:val="00F67C2A"/>
    <w:rsid w:val="00F67CDD"/>
    <w:rsid w:val="00F67D9B"/>
    <w:rsid w:val="00F67DA1"/>
    <w:rsid w:val="00F701AC"/>
    <w:rsid w:val="00F7041A"/>
    <w:rsid w:val="00F70449"/>
    <w:rsid w:val="00F70915"/>
    <w:rsid w:val="00F70A31"/>
    <w:rsid w:val="00F70B5E"/>
    <w:rsid w:val="00F70BE5"/>
    <w:rsid w:val="00F70C86"/>
    <w:rsid w:val="00F70D20"/>
    <w:rsid w:val="00F70EBA"/>
    <w:rsid w:val="00F71173"/>
    <w:rsid w:val="00F71432"/>
    <w:rsid w:val="00F7156D"/>
    <w:rsid w:val="00F71B50"/>
    <w:rsid w:val="00F71F13"/>
    <w:rsid w:val="00F72042"/>
    <w:rsid w:val="00F72312"/>
    <w:rsid w:val="00F7233E"/>
    <w:rsid w:val="00F72430"/>
    <w:rsid w:val="00F725D6"/>
    <w:rsid w:val="00F72667"/>
    <w:rsid w:val="00F72719"/>
    <w:rsid w:val="00F72851"/>
    <w:rsid w:val="00F72A80"/>
    <w:rsid w:val="00F72B35"/>
    <w:rsid w:val="00F72BFF"/>
    <w:rsid w:val="00F72C0E"/>
    <w:rsid w:val="00F72F4F"/>
    <w:rsid w:val="00F7328F"/>
    <w:rsid w:val="00F7338E"/>
    <w:rsid w:val="00F73459"/>
    <w:rsid w:val="00F734D1"/>
    <w:rsid w:val="00F73520"/>
    <w:rsid w:val="00F735E7"/>
    <w:rsid w:val="00F7364C"/>
    <w:rsid w:val="00F7379A"/>
    <w:rsid w:val="00F738DC"/>
    <w:rsid w:val="00F73B9A"/>
    <w:rsid w:val="00F73D87"/>
    <w:rsid w:val="00F73F62"/>
    <w:rsid w:val="00F74058"/>
    <w:rsid w:val="00F741C6"/>
    <w:rsid w:val="00F74331"/>
    <w:rsid w:val="00F743CE"/>
    <w:rsid w:val="00F74413"/>
    <w:rsid w:val="00F745A2"/>
    <w:rsid w:val="00F74C04"/>
    <w:rsid w:val="00F74C18"/>
    <w:rsid w:val="00F74C3C"/>
    <w:rsid w:val="00F74EF5"/>
    <w:rsid w:val="00F753C5"/>
    <w:rsid w:val="00F754BF"/>
    <w:rsid w:val="00F75799"/>
    <w:rsid w:val="00F759FE"/>
    <w:rsid w:val="00F76282"/>
    <w:rsid w:val="00F76496"/>
    <w:rsid w:val="00F76A2B"/>
    <w:rsid w:val="00F76A75"/>
    <w:rsid w:val="00F76CB0"/>
    <w:rsid w:val="00F76CCB"/>
    <w:rsid w:val="00F76D36"/>
    <w:rsid w:val="00F76D47"/>
    <w:rsid w:val="00F76D77"/>
    <w:rsid w:val="00F76FD6"/>
    <w:rsid w:val="00F76FF6"/>
    <w:rsid w:val="00F7712D"/>
    <w:rsid w:val="00F77184"/>
    <w:rsid w:val="00F77274"/>
    <w:rsid w:val="00F77569"/>
    <w:rsid w:val="00F775E2"/>
    <w:rsid w:val="00F777CB"/>
    <w:rsid w:val="00F77C4A"/>
    <w:rsid w:val="00F77C4C"/>
    <w:rsid w:val="00F77C9C"/>
    <w:rsid w:val="00F77E0E"/>
    <w:rsid w:val="00F77E42"/>
    <w:rsid w:val="00F77E67"/>
    <w:rsid w:val="00F77F4C"/>
    <w:rsid w:val="00F800B3"/>
    <w:rsid w:val="00F803DF"/>
    <w:rsid w:val="00F80445"/>
    <w:rsid w:val="00F8045C"/>
    <w:rsid w:val="00F80468"/>
    <w:rsid w:val="00F80502"/>
    <w:rsid w:val="00F80533"/>
    <w:rsid w:val="00F806A4"/>
    <w:rsid w:val="00F807A7"/>
    <w:rsid w:val="00F80879"/>
    <w:rsid w:val="00F8095A"/>
    <w:rsid w:val="00F80F01"/>
    <w:rsid w:val="00F80FD2"/>
    <w:rsid w:val="00F810F0"/>
    <w:rsid w:val="00F814F1"/>
    <w:rsid w:val="00F81B4D"/>
    <w:rsid w:val="00F81F83"/>
    <w:rsid w:val="00F822D8"/>
    <w:rsid w:val="00F826C2"/>
    <w:rsid w:val="00F829FE"/>
    <w:rsid w:val="00F82ADC"/>
    <w:rsid w:val="00F82C60"/>
    <w:rsid w:val="00F82CC1"/>
    <w:rsid w:val="00F82D5E"/>
    <w:rsid w:val="00F82D79"/>
    <w:rsid w:val="00F82F18"/>
    <w:rsid w:val="00F83121"/>
    <w:rsid w:val="00F83161"/>
    <w:rsid w:val="00F8352D"/>
    <w:rsid w:val="00F8388B"/>
    <w:rsid w:val="00F84717"/>
    <w:rsid w:val="00F84A52"/>
    <w:rsid w:val="00F84B0E"/>
    <w:rsid w:val="00F84C66"/>
    <w:rsid w:val="00F85033"/>
    <w:rsid w:val="00F851B9"/>
    <w:rsid w:val="00F85261"/>
    <w:rsid w:val="00F854FB"/>
    <w:rsid w:val="00F8550D"/>
    <w:rsid w:val="00F85557"/>
    <w:rsid w:val="00F858D2"/>
    <w:rsid w:val="00F85B27"/>
    <w:rsid w:val="00F85B9D"/>
    <w:rsid w:val="00F85BFA"/>
    <w:rsid w:val="00F85FAF"/>
    <w:rsid w:val="00F861C9"/>
    <w:rsid w:val="00F86BD4"/>
    <w:rsid w:val="00F86BD5"/>
    <w:rsid w:val="00F86D2B"/>
    <w:rsid w:val="00F86DED"/>
    <w:rsid w:val="00F86F1C"/>
    <w:rsid w:val="00F87089"/>
    <w:rsid w:val="00F87188"/>
    <w:rsid w:val="00F87B65"/>
    <w:rsid w:val="00F90014"/>
    <w:rsid w:val="00F90053"/>
    <w:rsid w:val="00F904D9"/>
    <w:rsid w:val="00F90755"/>
    <w:rsid w:val="00F90A4C"/>
    <w:rsid w:val="00F90E50"/>
    <w:rsid w:val="00F9141E"/>
    <w:rsid w:val="00F91620"/>
    <w:rsid w:val="00F9179A"/>
    <w:rsid w:val="00F917B4"/>
    <w:rsid w:val="00F9195A"/>
    <w:rsid w:val="00F919FA"/>
    <w:rsid w:val="00F91F47"/>
    <w:rsid w:val="00F9200B"/>
    <w:rsid w:val="00F92267"/>
    <w:rsid w:val="00F92645"/>
    <w:rsid w:val="00F926AC"/>
    <w:rsid w:val="00F92A0E"/>
    <w:rsid w:val="00F92ABC"/>
    <w:rsid w:val="00F92EFF"/>
    <w:rsid w:val="00F92FAE"/>
    <w:rsid w:val="00F931E4"/>
    <w:rsid w:val="00F931FF"/>
    <w:rsid w:val="00F9328C"/>
    <w:rsid w:val="00F9377D"/>
    <w:rsid w:val="00F93844"/>
    <w:rsid w:val="00F9388F"/>
    <w:rsid w:val="00F938A7"/>
    <w:rsid w:val="00F93E71"/>
    <w:rsid w:val="00F93F05"/>
    <w:rsid w:val="00F9453E"/>
    <w:rsid w:val="00F94E18"/>
    <w:rsid w:val="00F9513C"/>
    <w:rsid w:val="00F9528C"/>
    <w:rsid w:val="00F952ED"/>
    <w:rsid w:val="00F9543B"/>
    <w:rsid w:val="00F954F8"/>
    <w:rsid w:val="00F95941"/>
    <w:rsid w:val="00F95B5A"/>
    <w:rsid w:val="00F95B78"/>
    <w:rsid w:val="00F95DAE"/>
    <w:rsid w:val="00F9615F"/>
    <w:rsid w:val="00F96203"/>
    <w:rsid w:val="00F9637C"/>
    <w:rsid w:val="00F9657E"/>
    <w:rsid w:val="00F965A9"/>
    <w:rsid w:val="00F9685A"/>
    <w:rsid w:val="00F968EA"/>
    <w:rsid w:val="00F96B35"/>
    <w:rsid w:val="00F97122"/>
    <w:rsid w:val="00F97128"/>
    <w:rsid w:val="00F97137"/>
    <w:rsid w:val="00F9719A"/>
    <w:rsid w:val="00F97456"/>
    <w:rsid w:val="00F9759B"/>
    <w:rsid w:val="00F97733"/>
    <w:rsid w:val="00F977CA"/>
    <w:rsid w:val="00F978BE"/>
    <w:rsid w:val="00F97B25"/>
    <w:rsid w:val="00F97B50"/>
    <w:rsid w:val="00F97BFC"/>
    <w:rsid w:val="00F97C17"/>
    <w:rsid w:val="00F97C4F"/>
    <w:rsid w:val="00F97E1C"/>
    <w:rsid w:val="00F98EC6"/>
    <w:rsid w:val="00FA008F"/>
    <w:rsid w:val="00FA0182"/>
    <w:rsid w:val="00FA019F"/>
    <w:rsid w:val="00FA0AAB"/>
    <w:rsid w:val="00FA0E40"/>
    <w:rsid w:val="00FA10B9"/>
    <w:rsid w:val="00FA1141"/>
    <w:rsid w:val="00FA1A15"/>
    <w:rsid w:val="00FA1D79"/>
    <w:rsid w:val="00FA1E6F"/>
    <w:rsid w:val="00FA1E76"/>
    <w:rsid w:val="00FA1EEA"/>
    <w:rsid w:val="00FA220C"/>
    <w:rsid w:val="00FA221A"/>
    <w:rsid w:val="00FA2330"/>
    <w:rsid w:val="00FA2441"/>
    <w:rsid w:val="00FA2454"/>
    <w:rsid w:val="00FA24C6"/>
    <w:rsid w:val="00FA254E"/>
    <w:rsid w:val="00FA2957"/>
    <w:rsid w:val="00FA2B01"/>
    <w:rsid w:val="00FA2BAF"/>
    <w:rsid w:val="00FA2C6D"/>
    <w:rsid w:val="00FA2EB3"/>
    <w:rsid w:val="00FA2FCF"/>
    <w:rsid w:val="00FA3313"/>
    <w:rsid w:val="00FA3750"/>
    <w:rsid w:val="00FA38F2"/>
    <w:rsid w:val="00FA39E9"/>
    <w:rsid w:val="00FA39F9"/>
    <w:rsid w:val="00FA3D08"/>
    <w:rsid w:val="00FA3EC5"/>
    <w:rsid w:val="00FA4290"/>
    <w:rsid w:val="00FA4336"/>
    <w:rsid w:val="00FA4349"/>
    <w:rsid w:val="00FA43EA"/>
    <w:rsid w:val="00FA448B"/>
    <w:rsid w:val="00FA45EA"/>
    <w:rsid w:val="00FA462F"/>
    <w:rsid w:val="00FA48C3"/>
    <w:rsid w:val="00FA4B1C"/>
    <w:rsid w:val="00FA4D86"/>
    <w:rsid w:val="00FA508E"/>
    <w:rsid w:val="00FA5462"/>
    <w:rsid w:val="00FA54B4"/>
    <w:rsid w:val="00FA55F9"/>
    <w:rsid w:val="00FA5737"/>
    <w:rsid w:val="00FA578E"/>
    <w:rsid w:val="00FA5B36"/>
    <w:rsid w:val="00FA5C1F"/>
    <w:rsid w:val="00FA5C49"/>
    <w:rsid w:val="00FA5FB9"/>
    <w:rsid w:val="00FA6629"/>
    <w:rsid w:val="00FA66F1"/>
    <w:rsid w:val="00FA66F9"/>
    <w:rsid w:val="00FA6BE4"/>
    <w:rsid w:val="00FA6D56"/>
    <w:rsid w:val="00FA7254"/>
    <w:rsid w:val="00FA7852"/>
    <w:rsid w:val="00FA786A"/>
    <w:rsid w:val="00FA7BCE"/>
    <w:rsid w:val="00FA7C25"/>
    <w:rsid w:val="00FA7DEB"/>
    <w:rsid w:val="00FB026B"/>
    <w:rsid w:val="00FB047A"/>
    <w:rsid w:val="00FB05A5"/>
    <w:rsid w:val="00FB07FC"/>
    <w:rsid w:val="00FB0AAA"/>
    <w:rsid w:val="00FB0E04"/>
    <w:rsid w:val="00FB0E6C"/>
    <w:rsid w:val="00FB0EEE"/>
    <w:rsid w:val="00FB0F29"/>
    <w:rsid w:val="00FB110C"/>
    <w:rsid w:val="00FB1278"/>
    <w:rsid w:val="00FB12EA"/>
    <w:rsid w:val="00FB140A"/>
    <w:rsid w:val="00FB1451"/>
    <w:rsid w:val="00FB14A3"/>
    <w:rsid w:val="00FB2276"/>
    <w:rsid w:val="00FB23C9"/>
    <w:rsid w:val="00FB26A1"/>
    <w:rsid w:val="00FB27BF"/>
    <w:rsid w:val="00FB28C4"/>
    <w:rsid w:val="00FB2C2B"/>
    <w:rsid w:val="00FB2D0E"/>
    <w:rsid w:val="00FB2D7E"/>
    <w:rsid w:val="00FB2E4E"/>
    <w:rsid w:val="00FB2E6B"/>
    <w:rsid w:val="00FB3132"/>
    <w:rsid w:val="00FB3484"/>
    <w:rsid w:val="00FB34DC"/>
    <w:rsid w:val="00FB3D27"/>
    <w:rsid w:val="00FB3F83"/>
    <w:rsid w:val="00FB4269"/>
    <w:rsid w:val="00FB43D1"/>
    <w:rsid w:val="00FB465F"/>
    <w:rsid w:val="00FB4B61"/>
    <w:rsid w:val="00FB4BC4"/>
    <w:rsid w:val="00FB4CCD"/>
    <w:rsid w:val="00FB4E6D"/>
    <w:rsid w:val="00FB5020"/>
    <w:rsid w:val="00FB53C3"/>
    <w:rsid w:val="00FB5694"/>
    <w:rsid w:val="00FB57C4"/>
    <w:rsid w:val="00FB58B9"/>
    <w:rsid w:val="00FB5915"/>
    <w:rsid w:val="00FB5B9C"/>
    <w:rsid w:val="00FB5FF3"/>
    <w:rsid w:val="00FB6071"/>
    <w:rsid w:val="00FB6645"/>
    <w:rsid w:val="00FB66D5"/>
    <w:rsid w:val="00FB6740"/>
    <w:rsid w:val="00FB699C"/>
    <w:rsid w:val="00FB69BD"/>
    <w:rsid w:val="00FB6B81"/>
    <w:rsid w:val="00FB6BA4"/>
    <w:rsid w:val="00FB6EF4"/>
    <w:rsid w:val="00FB6FD1"/>
    <w:rsid w:val="00FB72C1"/>
    <w:rsid w:val="00FB7356"/>
    <w:rsid w:val="00FB7429"/>
    <w:rsid w:val="00FB7993"/>
    <w:rsid w:val="00FB7BC2"/>
    <w:rsid w:val="00FB7D32"/>
    <w:rsid w:val="00FB7DDE"/>
    <w:rsid w:val="00FB7E34"/>
    <w:rsid w:val="00FC00A9"/>
    <w:rsid w:val="00FC01A1"/>
    <w:rsid w:val="00FC0369"/>
    <w:rsid w:val="00FC05B7"/>
    <w:rsid w:val="00FC07FC"/>
    <w:rsid w:val="00FC09E2"/>
    <w:rsid w:val="00FC0AD2"/>
    <w:rsid w:val="00FC0BE3"/>
    <w:rsid w:val="00FC0BE6"/>
    <w:rsid w:val="00FC0C34"/>
    <w:rsid w:val="00FC0C62"/>
    <w:rsid w:val="00FC10C7"/>
    <w:rsid w:val="00FC1175"/>
    <w:rsid w:val="00FC1454"/>
    <w:rsid w:val="00FC14DF"/>
    <w:rsid w:val="00FC156D"/>
    <w:rsid w:val="00FC1812"/>
    <w:rsid w:val="00FC1940"/>
    <w:rsid w:val="00FC1B69"/>
    <w:rsid w:val="00FC1C00"/>
    <w:rsid w:val="00FC1C7A"/>
    <w:rsid w:val="00FC1FDA"/>
    <w:rsid w:val="00FC20AA"/>
    <w:rsid w:val="00FC221B"/>
    <w:rsid w:val="00FC2572"/>
    <w:rsid w:val="00FC2612"/>
    <w:rsid w:val="00FC27A8"/>
    <w:rsid w:val="00FC27FE"/>
    <w:rsid w:val="00FC28D0"/>
    <w:rsid w:val="00FC2BAB"/>
    <w:rsid w:val="00FC2C70"/>
    <w:rsid w:val="00FC2EB4"/>
    <w:rsid w:val="00FC30BC"/>
    <w:rsid w:val="00FC3107"/>
    <w:rsid w:val="00FC3712"/>
    <w:rsid w:val="00FC3DB4"/>
    <w:rsid w:val="00FC3E32"/>
    <w:rsid w:val="00FC426D"/>
    <w:rsid w:val="00FC440A"/>
    <w:rsid w:val="00FC46EE"/>
    <w:rsid w:val="00FC47C7"/>
    <w:rsid w:val="00FC4BB1"/>
    <w:rsid w:val="00FC4C0B"/>
    <w:rsid w:val="00FC50C1"/>
    <w:rsid w:val="00FC5203"/>
    <w:rsid w:val="00FC5221"/>
    <w:rsid w:val="00FC530E"/>
    <w:rsid w:val="00FC5352"/>
    <w:rsid w:val="00FC548B"/>
    <w:rsid w:val="00FC5659"/>
    <w:rsid w:val="00FC5757"/>
    <w:rsid w:val="00FC5A53"/>
    <w:rsid w:val="00FC5AD1"/>
    <w:rsid w:val="00FC5E1B"/>
    <w:rsid w:val="00FC5EF4"/>
    <w:rsid w:val="00FC5FE7"/>
    <w:rsid w:val="00FC6030"/>
    <w:rsid w:val="00FC63E9"/>
    <w:rsid w:val="00FC65E2"/>
    <w:rsid w:val="00FC67C4"/>
    <w:rsid w:val="00FC67F7"/>
    <w:rsid w:val="00FC69B5"/>
    <w:rsid w:val="00FC6A3F"/>
    <w:rsid w:val="00FC6B5E"/>
    <w:rsid w:val="00FC6C38"/>
    <w:rsid w:val="00FC6DCD"/>
    <w:rsid w:val="00FC6DFE"/>
    <w:rsid w:val="00FC6EBB"/>
    <w:rsid w:val="00FC6FBB"/>
    <w:rsid w:val="00FC6FEF"/>
    <w:rsid w:val="00FC7226"/>
    <w:rsid w:val="00FC73CE"/>
    <w:rsid w:val="00FC76D9"/>
    <w:rsid w:val="00FC7BA9"/>
    <w:rsid w:val="00FC7CBE"/>
    <w:rsid w:val="00FC7D01"/>
    <w:rsid w:val="00FD053F"/>
    <w:rsid w:val="00FD098E"/>
    <w:rsid w:val="00FD09D8"/>
    <w:rsid w:val="00FD0A86"/>
    <w:rsid w:val="00FD0B1E"/>
    <w:rsid w:val="00FD0F90"/>
    <w:rsid w:val="00FD0FBF"/>
    <w:rsid w:val="00FD1046"/>
    <w:rsid w:val="00FD1066"/>
    <w:rsid w:val="00FD11B4"/>
    <w:rsid w:val="00FD1288"/>
    <w:rsid w:val="00FD13FA"/>
    <w:rsid w:val="00FD1411"/>
    <w:rsid w:val="00FD15AA"/>
    <w:rsid w:val="00FD1748"/>
    <w:rsid w:val="00FD1DC8"/>
    <w:rsid w:val="00FD1E06"/>
    <w:rsid w:val="00FD2506"/>
    <w:rsid w:val="00FD267A"/>
    <w:rsid w:val="00FD2977"/>
    <w:rsid w:val="00FD29CE"/>
    <w:rsid w:val="00FD2A42"/>
    <w:rsid w:val="00FD2A55"/>
    <w:rsid w:val="00FD2ADD"/>
    <w:rsid w:val="00FD2C11"/>
    <w:rsid w:val="00FD2D54"/>
    <w:rsid w:val="00FD2F5D"/>
    <w:rsid w:val="00FD30DC"/>
    <w:rsid w:val="00FD31E1"/>
    <w:rsid w:val="00FD3293"/>
    <w:rsid w:val="00FD337F"/>
    <w:rsid w:val="00FD343E"/>
    <w:rsid w:val="00FD3692"/>
    <w:rsid w:val="00FD3811"/>
    <w:rsid w:val="00FD3813"/>
    <w:rsid w:val="00FD385D"/>
    <w:rsid w:val="00FD3873"/>
    <w:rsid w:val="00FD3B6E"/>
    <w:rsid w:val="00FD3E14"/>
    <w:rsid w:val="00FD3F1D"/>
    <w:rsid w:val="00FD3FA5"/>
    <w:rsid w:val="00FD418E"/>
    <w:rsid w:val="00FD41F6"/>
    <w:rsid w:val="00FD42A4"/>
    <w:rsid w:val="00FD45CC"/>
    <w:rsid w:val="00FD4814"/>
    <w:rsid w:val="00FD4950"/>
    <w:rsid w:val="00FD49B4"/>
    <w:rsid w:val="00FD4AEF"/>
    <w:rsid w:val="00FD4CD1"/>
    <w:rsid w:val="00FD4CFD"/>
    <w:rsid w:val="00FD509A"/>
    <w:rsid w:val="00FD5118"/>
    <w:rsid w:val="00FD5473"/>
    <w:rsid w:val="00FD54B0"/>
    <w:rsid w:val="00FD5C46"/>
    <w:rsid w:val="00FD5F30"/>
    <w:rsid w:val="00FD62EF"/>
    <w:rsid w:val="00FD6349"/>
    <w:rsid w:val="00FD646D"/>
    <w:rsid w:val="00FD6551"/>
    <w:rsid w:val="00FD6602"/>
    <w:rsid w:val="00FD686D"/>
    <w:rsid w:val="00FD68A9"/>
    <w:rsid w:val="00FD68C3"/>
    <w:rsid w:val="00FD68FC"/>
    <w:rsid w:val="00FD6A22"/>
    <w:rsid w:val="00FD7093"/>
    <w:rsid w:val="00FD71A5"/>
    <w:rsid w:val="00FD72AD"/>
    <w:rsid w:val="00FD732A"/>
    <w:rsid w:val="00FD7772"/>
    <w:rsid w:val="00FD7879"/>
    <w:rsid w:val="00FD7A3D"/>
    <w:rsid w:val="00FD7E5A"/>
    <w:rsid w:val="00FD7F0F"/>
    <w:rsid w:val="00FE0009"/>
    <w:rsid w:val="00FE05C3"/>
    <w:rsid w:val="00FE07B3"/>
    <w:rsid w:val="00FE07E7"/>
    <w:rsid w:val="00FE0A4C"/>
    <w:rsid w:val="00FE0B22"/>
    <w:rsid w:val="00FE0D75"/>
    <w:rsid w:val="00FE0F4C"/>
    <w:rsid w:val="00FE1097"/>
    <w:rsid w:val="00FE10F5"/>
    <w:rsid w:val="00FE11C3"/>
    <w:rsid w:val="00FE135B"/>
    <w:rsid w:val="00FE15E3"/>
    <w:rsid w:val="00FE1768"/>
    <w:rsid w:val="00FE18AF"/>
    <w:rsid w:val="00FE18F2"/>
    <w:rsid w:val="00FE18F3"/>
    <w:rsid w:val="00FE1D19"/>
    <w:rsid w:val="00FE2030"/>
    <w:rsid w:val="00FE2A6E"/>
    <w:rsid w:val="00FE2D2E"/>
    <w:rsid w:val="00FE2DA7"/>
    <w:rsid w:val="00FE2DFE"/>
    <w:rsid w:val="00FE2EDA"/>
    <w:rsid w:val="00FE2F29"/>
    <w:rsid w:val="00FE30F4"/>
    <w:rsid w:val="00FE315B"/>
    <w:rsid w:val="00FE324B"/>
    <w:rsid w:val="00FE3473"/>
    <w:rsid w:val="00FE3DC8"/>
    <w:rsid w:val="00FE3ED8"/>
    <w:rsid w:val="00FE4026"/>
    <w:rsid w:val="00FE437D"/>
    <w:rsid w:val="00FE456F"/>
    <w:rsid w:val="00FE4C59"/>
    <w:rsid w:val="00FE4D4A"/>
    <w:rsid w:val="00FE4EBE"/>
    <w:rsid w:val="00FE53A0"/>
    <w:rsid w:val="00FE540E"/>
    <w:rsid w:val="00FE5A29"/>
    <w:rsid w:val="00FE5AA4"/>
    <w:rsid w:val="00FE5F5A"/>
    <w:rsid w:val="00FE611A"/>
    <w:rsid w:val="00FE6A19"/>
    <w:rsid w:val="00FE6B14"/>
    <w:rsid w:val="00FE6CA4"/>
    <w:rsid w:val="00FE6FA3"/>
    <w:rsid w:val="00FE6FA7"/>
    <w:rsid w:val="00FE700E"/>
    <w:rsid w:val="00FE74E4"/>
    <w:rsid w:val="00FE7786"/>
    <w:rsid w:val="00FE7DFD"/>
    <w:rsid w:val="00FE7F17"/>
    <w:rsid w:val="00FE7F27"/>
    <w:rsid w:val="00FF00DA"/>
    <w:rsid w:val="00FF0124"/>
    <w:rsid w:val="00FF0503"/>
    <w:rsid w:val="00FF0737"/>
    <w:rsid w:val="00FF0B17"/>
    <w:rsid w:val="00FF0D5E"/>
    <w:rsid w:val="00FF144F"/>
    <w:rsid w:val="00FF1610"/>
    <w:rsid w:val="00FF16D1"/>
    <w:rsid w:val="00FF18DC"/>
    <w:rsid w:val="00FF1BC3"/>
    <w:rsid w:val="00FF1CD2"/>
    <w:rsid w:val="00FF1D5C"/>
    <w:rsid w:val="00FF1E3E"/>
    <w:rsid w:val="00FF1EB9"/>
    <w:rsid w:val="00FF20BA"/>
    <w:rsid w:val="00FF2219"/>
    <w:rsid w:val="00FF2305"/>
    <w:rsid w:val="00FF2779"/>
    <w:rsid w:val="00FF278F"/>
    <w:rsid w:val="00FF2860"/>
    <w:rsid w:val="00FF289B"/>
    <w:rsid w:val="00FF2AF0"/>
    <w:rsid w:val="00FF2B42"/>
    <w:rsid w:val="00FF2EE0"/>
    <w:rsid w:val="00FF2FCD"/>
    <w:rsid w:val="00FF30EC"/>
    <w:rsid w:val="00FF30F4"/>
    <w:rsid w:val="00FF346A"/>
    <w:rsid w:val="00FF3676"/>
    <w:rsid w:val="00FF3740"/>
    <w:rsid w:val="00FF381C"/>
    <w:rsid w:val="00FF3820"/>
    <w:rsid w:val="00FF3AEC"/>
    <w:rsid w:val="00FF3B69"/>
    <w:rsid w:val="00FF3EBA"/>
    <w:rsid w:val="00FF4060"/>
    <w:rsid w:val="00FF444B"/>
    <w:rsid w:val="00FF45B5"/>
    <w:rsid w:val="00FF46FA"/>
    <w:rsid w:val="00FF473F"/>
    <w:rsid w:val="00FF478E"/>
    <w:rsid w:val="00FF4B3F"/>
    <w:rsid w:val="00FF4CB2"/>
    <w:rsid w:val="00FF4E7B"/>
    <w:rsid w:val="00FF4F0B"/>
    <w:rsid w:val="00FF5173"/>
    <w:rsid w:val="00FF5399"/>
    <w:rsid w:val="00FF5552"/>
    <w:rsid w:val="00FF572A"/>
    <w:rsid w:val="00FF58F7"/>
    <w:rsid w:val="00FF5D17"/>
    <w:rsid w:val="00FF5D59"/>
    <w:rsid w:val="00FF6191"/>
    <w:rsid w:val="00FF61A6"/>
    <w:rsid w:val="00FF6440"/>
    <w:rsid w:val="00FF64FD"/>
    <w:rsid w:val="00FF688F"/>
    <w:rsid w:val="00FF690A"/>
    <w:rsid w:val="00FF6A1F"/>
    <w:rsid w:val="00FF6ADD"/>
    <w:rsid w:val="00FF6D8F"/>
    <w:rsid w:val="00FF6E6A"/>
    <w:rsid w:val="00FF6F17"/>
    <w:rsid w:val="00FF70AA"/>
    <w:rsid w:val="00FF723F"/>
    <w:rsid w:val="00FF72B7"/>
    <w:rsid w:val="00FF74C2"/>
    <w:rsid w:val="00FF762D"/>
    <w:rsid w:val="00FF7CC7"/>
    <w:rsid w:val="00FF7D3E"/>
    <w:rsid w:val="01080ADF"/>
    <w:rsid w:val="01081589"/>
    <w:rsid w:val="010FBB73"/>
    <w:rsid w:val="0112C805"/>
    <w:rsid w:val="01340079"/>
    <w:rsid w:val="01495962"/>
    <w:rsid w:val="0153428B"/>
    <w:rsid w:val="01589F79"/>
    <w:rsid w:val="016E2C22"/>
    <w:rsid w:val="01759434"/>
    <w:rsid w:val="017E6139"/>
    <w:rsid w:val="017EE573"/>
    <w:rsid w:val="01931F55"/>
    <w:rsid w:val="01973A17"/>
    <w:rsid w:val="01A83A89"/>
    <w:rsid w:val="01B25B54"/>
    <w:rsid w:val="01B75383"/>
    <w:rsid w:val="01C51A56"/>
    <w:rsid w:val="01CF4B1B"/>
    <w:rsid w:val="01DEB858"/>
    <w:rsid w:val="01EE9B26"/>
    <w:rsid w:val="01F7F3A1"/>
    <w:rsid w:val="0202C8CF"/>
    <w:rsid w:val="0206702A"/>
    <w:rsid w:val="0210E594"/>
    <w:rsid w:val="021CFB66"/>
    <w:rsid w:val="021DACA1"/>
    <w:rsid w:val="0221F5F0"/>
    <w:rsid w:val="022CBB44"/>
    <w:rsid w:val="022D69DC"/>
    <w:rsid w:val="022EBB62"/>
    <w:rsid w:val="022EC3AC"/>
    <w:rsid w:val="0234F8EC"/>
    <w:rsid w:val="02368D7D"/>
    <w:rsid w:val="023C7C88"/>
    <w:rsid w:val="023F3107"/>
    <w:rsid w:val="02484D95"/>
    <w:rsid w:val="0254D16F"/>
    <w:rsid w:val="0257D8D4"/>
    <w:rsid w:val="025D0697"/>
    <w:rsid w:val="026256B2"/>
    <w:rsid w:val="0276AA0E"/>
    <w:rsid w:val="02838A0B"/>
    <w:rsid w:val="02B5D4C6"/>
    <w:rsid w:val="02BDD122"/>
    <w:rsid w:val="02C06DC6"/>
    <w:rsid w:val="02C7F0D8"/>
    <w:rsid w:val="02CC2943"/>
    <w:rsid w:val="02EC0509"/>
    <w:rsid w:val="02ECF444"/>
    <w:rsid w:val="02EF1454"/>
    <w:rsid w:val="02F0D46D"/>
    <w:rsid w:val="02F286E4"/>
    <w:rsid w:val="030ADF6E"/>
    <w:rsid w:val="0337B6FB"/>
    <w:rsid w:val="03415054"/>
    <w:rsid w:val="0349CD3E"/>
    <w:rsid w:val="038244FC"/>
    <w:rsid w:val="0394E088"/>
    <w:rsid w:val="0396C7B3"/>
    <w:rsid w:val="039EC5C9"/>
    <w:rsid w:val="03CAA7ED"/>
    <w:rsid w:val="03D5123A"/>
    <w:rsid w:val="03EBF024"/>
    <w:rsid w:val="04101095"/>
    <w:rsid w:val="04152EAC"/>
    <w:rsid w:val="04260E49"/>
    <w:rsid w:val="0450E0EE"/>
    <w:rsid w:val="045BFBEB"/>
    <w:rsid w:val="047350B8"/>
    <w:rsid w:val="04AB0667"/>
    <w:rsid w:val="04AC4294"/>
    <w:rsid w:val="04B18D0D"/>
    <w:rsid w:val="04B2347E"/>
    <w:rsid w:val="04B49B82"/>
    <w:rsid w:val="04BFBCF8"/>
    <w:rsid w:val="04CF36E6"/>
    <w:rsid w:val="04D07B98"/>
    <w:rsid w:val="04DE766E"/>
    <w:rsid w:val="04F83876"/>
    <w:rsid w:val="050037F8"/>
    <w:rsid w:val="050996FA"/>
    <w:rsid w:val="0515A087"/>
    <w:rsid w:val="052F1E33"/>
    <w:rsid w:val="053337B8"/>
    <w:rsid w:val="05375A20"/>
    <w:rsid w:val="056C0521"/>
    <w:rsid w:val="057ECDA4"/>
    <w:rsid w:val="0583F8F0"/>
    <w:rsid w:val="0599108C"/>
    <w:rsid w:val="059B7FE1"/>
    <w:rsid w:val="059BDE90"/>
    <w:rsid w:val="05B993A9"/>
    <w:rsid w:val="05BE13C4"/>
    <w:rsid w:val="05C0D58A"/>
    <w:rsid w:val="05C32FC3"/>
    <w:rsid w:val="05D4A025"/>
    <w:rsid w:val="05D773A4"/>
    <w:rsid w:val="05DDED09"/>
    <w:rsid w:val="05E957D2"/>
    <w:rsid w:val="05ED87D9"/>
    <w:rsid w:val="05F4AAA1"/>
    <w:rsid w:val="05F92F23"/>
    <w:rsid w:val="0653B430"/>
    <w:rsid w:val="067072BD"/>
    <w:rsid w:val="0681CE4F"/>
    <w:rsid w:val="0695ABE3"/>
    <w:rsid w:val="06AE8B3B"/>
    <w:rsid w:val="06AF047A"/>
    <w:rsid w:val="06AF6696"/>
    <w:rsid w:val="06CA64E3"/>
    <w:rsid w:val="06E56879"/>
    <w:rsid w:val="06FC4CE6"/>
    <w:rsid w:val="07096D79"/>
    <w:rsid w:val="070CC5E2"/>
    <w:rsid w:val="0728596E"/>
    <w:rsid w:val="072890E1"/>
    <w:rsid w:val="072F8C5D"/>
    <w:rsid w:val="076CD686"/>
    <w:rsid w:val="077BD216"/>
    <w:rsid w:val="07890094"/>
    <w:rsid w:val="078E1162"/>
    <w:rsid w:val="078EC6F3"/>
    <w:rsid w:val="07E49A9E"/>
    <w:rsid w:val="07E9FDC4"/>
    <w:rsid w:val="07E9FF13"/>
    <w:rsid w:val="07F5F56C"/>
    <w:rsid w:val="082528BB"/>
    <w:rsid w:val="083595DC"/>
    <w:rsid w:val="08362C03"/>
    <w:rsid w:val="083AB543"/>
    <w:rsid w:val="083FFDA3"/>
    <w:rsid w:val="0842916E"/>
    <w:rsid w:val="08465D4A"/>
    <w:rsid w:val="085CF393"/>
    <w:rsid w:val="08602E22"/>
    <w:rsid w:val="087364B7"/>
    <w:rsid w:val="08808D94"/>
    <w:rsid w:val="089364DC"/>
    <w:rsid w:val="08983748"/>
    <w:rsid w:val="08A48BA0"/>
    <w:rsid w:val="08C01982"/>
    <w:rsid w:val="08C535F8"/>
    <w:rsid w:val="08C86F23"/>
    <w:rsid w:val="08CC127F"/>
    <w:rsid w:val="08E41883"/>
    <w:rsid w:val="08F535C1"/>
    <w:rsid w:val="090DA995"/>
    <w:rsid w:val="0915B6F1"/>
    <w:rsid w:val="0921DD80"/>
    <w:rsid w:val="09286AEE"/>
    <w:rsid w:val="093582FB"/>
    <w:rsid w:val="0935FA4C"/>
    <w:rsid w:val="09487B3A"/>
    <w:rsid w:val="0956AC82"/>
    <w:rsid w:val="09571637"/>
    <w:rsid w:val="0966A8D6"/>
    <w:rsid w:val="097AD2CD"/>
    <w:rsid w:val="097BD0A4"/>
    <w:rsid w:val="098087A8"/>
    <w:rsid w:val="0980E53A"/>
    <w:rsid w:val="0985BF3A"/>
    <w:rsid w:val="098D13FB"/>
    <w:rsid w:val="0994A5AC"/>
    <w:rsid w:val="0994F87C"/>
    <w:rsid w:val="09AA0682"/>
    <w:rsid w:val="09BD4B7D"/>
    <w:rsid w:val="09E5CE5C"/>
    <w:rsid w:val="09F8B167"/>
    <w:rsid w:val="09F9D798"/>
    <w:rsid w:val="0A0883DA"/>
    <w:rsid w:val="0A0F17EF"/>
    <w:rsid w:val="0A163B53"/>
    <w:rsid w:val="0A201FA2"/>
    <w:rsid w:val="0A25A851"/>
    <w:rsid w:val="0A2B3420"/>
    <w:rsid w:val="0A2C0914"/>
    <w:rsid w:val="0A2E9504"/>
    <w:rsid w:val="0A3E6735"/>
    <w:rsid w:val="0A65A4FC"/>
    <w:rsid w:val="0A664558"/>
    <w:rsid w:val="0A698D9B"/>
    <w:rsid w:val="0A718663"/>
    <w:rsid w:val="0A7D8FAC"/>
    <w:rsid w:val="0AA8D4F3"/>
    <w:rsid w:val="0AA9DCAA"/>
    <w:rsid w:val="0AB3C781"/>
    <w:rsid w:val="0AD13097"/>
    <w:rsid w:val="0AD6C238"/>
    <w:rsid w:val="0AE311D4"/>
    <w:rsid w:val="0AE8F702"/>
    <w:rsid w:val="0AF03719"/>
    <w:rsid w:val="0B0A6389"/>
    <w:rsid w:val="0B0CEFF3"/>
    <w:rsid w:val="0B148240"/>
    <w:rsid w:val="0B1E0C5A"/>
    <w:rsid w:val="0B2B7D17"/>
    <w:rsid w:val="0B31AABE"/>
    <w:rsid w:val="0B4007F5"/>
    <w:rsid w:val="0B48BFFA"/>
    <w:rsid w:val="0B49E0E4"/>
    <w:rsid w:val="0B532458"/>
    <w:rsid w:val="0B569C4E"/>
    <w:rsid w:val="0B7F4689"/>
    <w:rsid w:val="0BAA818B"/>
    <w:rsid w:val="0BBB1AEE"/>
    <w:rsid w:val="0BBE6131"/>
    <w:rsid w:val="0BBF7458"/>
    <w:rsid w:val="0BCCAB89"/>
    <w:rsid w:val="0BCE3FD1"/>
    <w:rsid w:val="0BF06132"/>
    <w:rsid w:val="0BF7586A"/>
    <w:rsid w:val="0C013BB5"/>
    <w:rsid w:val="0C01B1C1"/>
    <w:rsid w:val="0C152113"/>
    <w:rsid w:val="0C1AA97E"/>
    <w:rsid w:val="0C205753"/>
    <w:rsid w:val="0C386EC6"/>
    <w:rsid w:val="0C526932"/>
    <w:rsid w:val="0C549AAD"/>
    <w:rsid w:val="0C66B371"/>
    <w:rsid w:val="0C6F98E5"/>
    <w:rsid w:val="0C956036"/>
    <w:rsid w:val="0C98EE4B"/>
    <w:rsid w:val="0CB1F11B"/>
    <w:rsid w:val="0CBA9B58"/>
    <w:rsid w:val="0CC7552D"/>
    <w:rsid w:val="0CD01A87"/>
    <w:rsid w:val="0CD67774"/>
    <w:rsid w:val="0D051A3F"/>
    <w:rsid w:val="0D081841"/>
    <w:rsid w:val="0D13D617"/>
    <w:rsid w:val="0D35BDC8"/>
    <w:rsid w:val="0D3A89E7"/>
    <w:rsid w:val="0D41D1CF"/>
    <w:rsid w:val="0D47493B"/>
    <w:rsid w:val="0D71D4F3"/>
    <w:rsid w:val="0D844579"/>
    <w:rsid w:val="0D8AB1FF"/>
    <w:rsid w:val="0D8BD81F"/>
    <w:rsid w:val="0D8E5368"/>
    <w:rsid w:val="0DA96E3F"/>
    <w:rsid w:val="0DBD00F5"/>
    <w:rsid w:val="0DC0ABF6"/>
    <w:rsid w:val="0DC7B4B4"/>
    <w:rsid w:val="0DC84A0B"/>
    <w:rsid w:val="0DC985C3"/>
    <w:rsid w:val="0DE8950C"/>
    <w:rsid w:val="0E041F8B"/>
    <w:rsid w:val="0E1BD29A"/>
    <w:rsid w:val="0E2F7D58"/>
    <w:rsid w:val="0E304138"/>
    <w:rsid w:val="0E621766"/>
    <w:rsid w:val="0E8620C7"/>
    <w:rsid w:val="0E9567A6"/>
    <w:rsid w:val="0E97C48B"/>
    <w:rsid w:val="0EA3EF1D"/>
    <w:rsid w:val="0EAA82CA"/>
    <w:rsid w:val="0EACC912"/>
    <w:rsid w:val="0EAEA889"/>
    <w:rsid w:val="0EBC7240"/>
    <w:rsid w:val="0EBD3474"/>
    <w:rsid w:val="0EF1400A"/>
    <w:rsid w:val="0EF76BC6"/>
    <w:rsid w:val="0EFA3E7C"/>
    <w:rsid w:val="0F005301"/>
    <w:rsid w:val="0F0B9FDE"/>
    <w:rsid w:val="0F1383C9"/>
    <w:rsid w:val="0F2B8444"/>
    <w:rsid w:val="0F4164F3"/>
    <w:rsid w:val="0F56EE02"/>
    <w:rsid w:val="0F5E8721"/>
    <w:rsid w:val="0F688E75"/>
    <w:rsid w:val="0F7B9A92"/>
    <w:rsid w:val="0F8FD46E"/>
    <w:rsid w:val="0F93104D"/>
    <w:rsid w:val="0F9FB6C8"/>
    <w:rsid w:val="0FA3451D"/>
    <w:rsid w:val="0FB69DF4"/>
    <w:rsid w:val="0FBE9AAF"/>
    <w:rsid w:val="0FC5BBE1"/>
    <w:rsid w:val="0FD2A504"/>
    <w:rsid w:val="0FDAC29D"/>
    <w:rsid w:val="0FEB73D3"/>
    <w:rsid w:val="0FF9A3AE"/>
    <w:rsid w:val="101A8777"/>
    <w:rsid w:val="101AA85D"/>
    <w:rsid w:val="10296F2D"/>
    <w:rsid w:val="102F4B31"/>
    <w:rsid w:val="104262F7"/>
    <w:rsid w:val="1046BC00"/>
    <w:rsid w:val="1047BB74"/>
    <w:rsid w:val="105744AD"/>
    <w:rsid w:val="1063D865"/>
    <w:rsid w:val="10787864"/>
    <w:rsid w:val="1079CC04"/>
    <w:rsid w:val="10814F14"/>
    <w:rsid w:val="10878A4A"/>
    <w:rsid w:val="1088B800"/>
    <w:rsid w:val="109FA1FE"/>
    <w:rsid w:val="10A4FC46"/>
    <w:rsid w:val="10A62EF1"/>
    <w:rsid w:val="10ACA0C8"/>
    <w:rsid w:val="10CC9C1D"/>
    <w:rsid w:val="10EED91E"/>
    <w:rsid w:val="10F5FFE5"/>
    <w:rsid w:val="110116E3"/>
    <w:rsid w:val="1109E45A"/>
    <w:rsid w:val="111347D0"/>
    <w:rsid w:val="111D1AD7"/>
    <w:rsid w:val="11266F3B"/>
    <w:rsid w:val="112B063A"/>
    <w:rsid w:val="112B5609"/>
    <w:rsid w:val="112BC27B"/>
    <w:rsid w:val="113323FB"/>
    <w:rsid w:val="11368638"/>
    <w:rsid w:val="113E89E2"/>
    <w:rsid w:val="11402213"/>
    <w:rsid w:val="11485FD1"/>
    <w:rsid w:val="117073A1"/>
    <w:rsid w:val="1171966E"/>
    <w:rsid w:val="1173E39C"/>
    <w:rsid w:val="11751D54"/>
    <w:rsid w:val="119E0853"/>
    <w:rsid w:val="11B22D9F"/>
    <w:rsid w:val="11D74FA4"/>
    <w:rsid w:val="11E0E1BA"/>
    <w:rsid w:val="11E6A969"/>
    <w:rsid w:val="11FDFF50"/>
    <w:rsid w:val="12124A0C"/>
    <w:rsid w:val="12254EB8"/>
    <w:rsid w:val="123FBCC7"/>
    <w:rsid w:val="1242B0CA"/>
    <w:rsid w:val="1243E16C"/>
    <w:rsid w:val="1271B215"/>
    <w:rsid w:val="12769B65"/>
    <w:rsid w:val="12888E72"/>
    <w:rsid w:val="12B465FB"/>
    <w:rsid w:val="12CB9C37"/>
    <w:rsid w:val="12D155BB"/>
    <w:rsid w:val="12E1D0BE"/>
    <w:rsid w:val="12EF4E35"/>
    <w:rsid w:val="12F05B8F"/>
    <w:rsid w:val="130F5137"/>
    <w:rsid w:val="1320B7A5"/>
    <w:rsid w:val="132EAD3C"/>
    <w:rsid w:val="1333EFB5"/>
    <w:rsid w:val="1374904E"/>
    <w:rsid w:val="13781FF9"/>
    <w:rsid w:val="13948ACB"/>
    <w:rsid w:val="139AD97E"/>
    <w:rsid w:val="13A29956"/>
    <w:rsid w:val="13CF25B3"/>
    <w:rsid w:val="13D5713F"/>
    <w:rsid w:val="13E80818"/>
    <w:rsid w:val="13F4CBF1"/>
    <w:rsid w:val="13FB0FB5"/>
    <w:rsid w:val="140878C6"/>
    <w:rsid w:val="141A6A9F"/>
    <w:rsid w:val="142299F4"/>
    <w:rsid w:val="1430E8A0"/>
    <w:rsid w:val="143EE86F"/>
    <w:rsid w:val="1458C850"/>
    <w:rsid w:val="14982313"/>
    <w:rsid w:val="149DAA3B"/>
    <w:rsid w:val="14A30B55"/>
    <w:rsid w:val="14B8BF6F"/>
    <w:rsid w:val="14BCDBE2"/>
    <w:rsid w:val="14C744F1"/>
    <w:rsid w:val="14D53350"/>
    <w:rsid w:val="14F26EC4"/>
    <w:rsid w:val="14F4E3AC"/>
    <w:rsid w:val="152E7632"/>
    <w:rsid w:val="152F4236"/>
    <w:rsid w:val="15312F52"/>
    <w:rsid w:val="1541192F"/>
    <w:rsid w:val="15558437"/>
    <w:rsid w:val="1556E14B"/>
    <w:rsid w:val="157B353F"/>
    <w:rsid w:val="1582713C"/>
    <w:rsid w:val="159A5D66"/>
    <w:rsid w:val="15B7E302"/>
    <w:rsid w:val="15B7F37A"/>
    <w:rsid w:val="15BD6B89"/>
    <w:rsid w:val="15CCDE7E"/>
    <w:rsid w:val="15D9EF81"/>
    <w:rsid w:val="15E0C5FB"/>
    <w:rsid w:val="160D48DB"/>
    <w:rsid w:val="160E9DBF"/>
    <w:rsid w:val="161250CD"/>
    <w:rsid w:val="16254279"/>
    <w:rsid w:val="163CE11D"/>
    <w:rsid w:val="163FB00C"/>
    <w:rsid w:val="164B3DD3"/>
    <w:rsid w:val="1655DF2C"/>
    <w:rsid w:val="166D7929"/>
    <w:rsid w:val="167C9A8E"/>
    <w:rsid w:val="16910F02"/>
    <w:rsid w:val="16974400"/>
    <w:rsid w:val="16B24948"/>
    <w:rsid w:val="16C4B294"/>
    <w:rsid w:val="16C663F0"/>
    <w:rsid w:val="16CDA930"/>
    <w:rsid w:val="16D3D929"/>
    <w:rsid w:val="16DC5C7E"/>
    <w:rsid w:val="16EF57F7"/>
    <w:rsid w:val="17105E5A"/>
    <w:rsid w:val="17192C00"/>
    <w:rsid w:val="173298E4"/>
    <w:rsid w:val="1735431F"/>
    <w:rsid w:val="174DB0D0"/>
    <w:rsid w:val="17690D15"/>
    <w:rsid w:val="17702042"/>
    <w:rsid w:val="1777DBC9"/>
    <w:rsid w:val="177FDAE3"/>
    <w:rsid w:val="17945517"/>
    <w:rsid w:val="179F3E76"/>
    <w:rsid w:val="17AB9CBF"/>
    <w:rsid w:val="17B17E80"/>
    <w:rsid w:val="17BC0BB3"/>
    <w:rsid w:val="17C16EB5"/>
    <w:rsid w:val="17C70503"/>
    <w:rsid w:val="17D7B15B"/>
    <w:rsid w:val="17F5045E"/>
    <w:rsid w:val="17FE103B"/>
    <w:rsid w:val="1810AC90"/>
    <w:rsid w:val="1818D43D"/>
    <w:rsid w:val="1827DE85"/>
    <w:rsid w:val="182D5194"/>
    <w:rsid w:val="18304A5B"/>
    <w:rsid w:val="183B67E1"/>
    <w:rsid w:val="1840488A"/>
    <w:rsid w:val="1849616E"/>
    <w:rsid w:val="185510CD"/>
    <w:rsid w:val="185F3F39"/>
    <w:rsid w:val="18614345"/>
    <w:rsid w:val="186C2DC5"/>
    <w:rsid w:val="186F1316"/>
    <w:rsid w:val="1876B96E"/>
    <w:rsid w:val="1888D62F"/>
    <w:rsid w:val="188E643A"/>
    <w:rsid w:val="1892D6E6"/>
    <w:rsid w:val="189C8501"/>
    <w:rsid w:val="18A2200B"/>
    <w:rsid w:val="18B1AC3A"/>
    <w:rsid w:val="18B2C2A0"/>
    <w:rsid w:val="18B3205C"/>
    <w:rsid w:val="18C00391"/>
    <w:rsid w:val="18C2207A"/>
    <w:rsid w:val="18F60D9F"/>
    <w:rsid w:val="18FC36D0"/>
    <w:rsid w:val="191E3E0B"/>
    <w:rsid w:val="191F49DE"/>
    <w:rsid w:val="1927EDE9"/>
    <w:rsid w:val="1928C6C8"/>
    <w:rsid w:val="192BF440"/>
    <w:rsid w:val="1935CD51"/>
    <w:rsid w:val="1942AE36"/>
    <w:rsid w:val="1950AF0C"/>
    <w:rsid w:val="19684565"/>
    <w:rsid w:val="1969F4ED"/>
    <w:rsid w:val="1971A63E"/>
    <w:rsid w:val="197E1BE3"/>
    <w:rsid w:val="1988D04C"/>
    <w:rsid w:val="198F8C8F"/>
    <w:rsid w:val="19B9D493"/>
    <w:rsid w:val="19CC34FA"/>
    <w:rsid w:val="19CC6CD1"/>
    <w:rsid w:val="19E17C3C"/>
    <w:rsid w:val="19EBA727"/>
    <w:rsid w:val="19F703A0"/>
    <w:rsid w:val="1A1BAAE1"/>
    <w:rsid w:val="1A233374"/>
    <w:rsid w:val="1A278B2A"/>
    <w:rsid w:val="1A2B1EAA"/>
    <w:rsid w:val="1A32D347"/>
    <w:rsid w:val="1A3BCCBA"/>
    <w:rsid w:val="1A3C9F56"/>
    <w:rsid w:val="1A46655E"/>
    <w:rsid w:val="1A476FDB"/>
    <w:rsid w:val="1A9461A8"/>
    <w:rsid w:val="1AA2B0DC"/>
    <w:rsid w:val="1AA8A744"/>
    <w:rsid w:val="1ACB99BB"/>
    <w:rsid w:val="1AD5C594"/>
    <w:rsid w:val="1ADB8E57"/>
    <w:rsid w:val="1AE858C1"/>
    <w:rsid w:val="1AEE87EA"/>
    <w:rsid w:val="1AF01C26"/>
    <w:rsid w:val="1AFC7E42"/>
    <w:rsid w:val="1AFDDE1A"/>
    <w:rsid w:val="1AFEB413"/>
    <w:rsid w:val="1AFF768D"/>
    <w:rsid w:val="1B3314B3"/>
    <w:rsid w:val="1B404762"/>
    <w:rsid w:val="1B4ABDB5"/>
    <w:rsid w:val="1B4AEF0A"/>
    <w:rsid w:val="1B4C7473"/>
    <w:rsid w:val="1B4DF971"/>
    <w:rsid w:val="1B4E4718"/>
    <w:rsid w:val="1B4E8EE5"/>
    <w:rsid w:val="1B57D50C"/>
    <w:rsid w:val="1B601452"/>
    <w:rsid w:val="1B611361"/>
    <w:rsid w:val="1B6487F1"/>
    <w:rsid w:val="1B6E383C"/>
    <w:rsid w:val="1B9CB7A7"/>
    <w:rsid w:val="1BA5B17D"/>
    <w:rsid w:val="1BAB5B32"/>
    <w:rsid w:val="1BB22A50"/>
    <w:rsid w:val="1BBED147"/>
    <w:rsid w:val="1BC83964"/>
    <w:rsid w:val="1BC91CA2"/>
    <w:rsid w:val="1BCDACB8"/>
    <w:rsid w:val="1BEB6091"/>
    <w:rsid w:val="1BED52E3"/>
    <w:rsid w:val="1C150CF9"/>
    <w:rsid w:val="1C19AACB"/>
    <w:rsid w:val="1C1DD301"/>
    <w:rsid w:val="1C24BC83"/>
    <w:rsid w:val="1C480982"/>
    <w:rsid w:val="1C4A1FFE"/>
    <w:rsid w:val="1C54A687"/>
    <w:rsid w:val="1C6D3215"/>
    <w:rsid w:val="1C7CCACB"/>
    <w:rsid w:val="1C8CA2AE"/>
    <w:rsid w:val="1C919611"/>
    <w:rsid w:val="1C922B87"/>
    <w:rsid w:val="1C949DA4"/>
    <w:rsid w:val="1CAEB68A"/>
    <w:rsid w:val="1CC23BF1"/>
    <w:rsid w:val="1CD28AD2"/>
    <w:rsid w:val="1CE38373"/>
    <w:rsid w:val="1CE4D04A"/>
    <w:rsid w:val="1CEC6FF7"/>
    <w:rsid w:val="1CFF5929"/>
    <w:rsid w:val="1D02DC76"/>
    <w:rsid w:val="1D093794"/>
    <w:rsid w:val="1D0A07BF"/>
    <w:rsid w:val="1D0D3564"/>
    <w:rsid w:val="1D0DBD5F"/>
    <w:rsid w:val="1D151F5F"/>
    <w:rsid w:val="1D179195"/>
    <w:rsid w:val="1D1E5EA9"/>
    <w:rsid w:val="1D20F77F"/>
    <w:rsid w:val="1D321F2A"/>
    <w:rsid w:val="1D39754F"/>
    <w:rsid w:val="1D3AC516"/>
    <w:rsid w:val="1D529BAC"/>
    <w:rsid w:val="1D71A053"/>
    <w:rsid w:val="1D7E6484"/>
    <w:rsid w:val="1D8D86EB"/>
    <w:rsid w:val="1D94BA5E"/>
    <w:rsid w:val="1D97F477"/>
    <w:rsid w:val="1D9D61BA"/>
    <w:rsid w:val="1D9F478A"/>
    <w:rsid w:val="1DA73C0F"/>
    <w:rsid w:val="1DAED178"/>
    <w:rsid w:val="1DB5857B"/>
    <w:rsid w:val="1DD57269"/>
    <w:rsid w:val="1DDAAB1A"/>
    <w:rsid w:val="1DDE7B2C"/>
    <w:rsid w:val="1E0EFF6B"/>
    <w:rsid w:val="1E2890DF"/>
    <w:rsid w:val="1E2D94E5"/>
    <w:rsid w:val="1E406F77"/>
    <w:rsid w:val="1E4F9D81"/>
    <w:rsid w:val="1E54A11C"/>
    <w:rsid w:val="1E5A5B78"/>
    <w:rsid w:val="1E61FAC7"/>
    <w:rsid w:val="1E673538"/>
    <w:rsid w:val="1E8850FE"/>
    <w:rsid w:val="1E8CC2FF"/>
    <w:rsid w:val="1EA430CB"/>
    <w:rsid w:val="1EAD9F80"/>
    <w:rsid w:val="1EAE0414"/>
    <w:rsid w:val="1EBE7FF6"/>
    <w:rsid w:val="1EC4CBB1"/>
    <w:rsid w:val="1ECA474B"/>
    <w:rsid w:val="1ED7B9D3"/>
    <w:rsid w:val="1EF17A16"/>
    <w:rsid w:val="1F00C8C8"/>
    <w:rsid w:val="1F1308B2"/>
    <w:rsid w:val="1F1474DC"/>
    <w:rsid w:val="1F14ABFA"/>
    <w:rsid w:val="1F156B8D"/>
    <w:rsid w:val="1F216AD1"/>
    <w:rsid w:val="1F399B64"/>
    <w:rsid w:val="1F3CABA1"/>
    <w:rsid w:val="1F46A14C"/>
    <w:rsid w:val="1F5375BD"/>
    <w:rsid w:val="1F5EABF8"/>
    <w:rsid w:val="1F629A16"/>
    <w:rsid w:val="1F63A5F0"/>
    <w:rsid w:val="1F645732"/>
    <w:rsid w:val="1F64A648"/>
    <w:rsid w:val="1F692C04"/>
    <w:rsid w:val="1F70B73C"/>
    <w:rsid w:val="1F7668E6"/>
    <w:rsid w:val="1F80FD33"/>
    <w:rsid w:val="1F84077C"/>
    <w:rsid w:val="1F8BF10E"/>
    <w:rsid w:val="1F8C6916"/>
    <w:rsid w:val="1FAD64D4"/>
    <w:rsid w:val="1FBED527"/>
    <w:rsid w:val="1FC9CE4E"/>
    <w:rsid w:val="1FE1778B"/>
    <w:rsid w:val="2002D5D8"/>
    <w:rsid w:val="2022F5F2"/>
    <w:rsid w:val="20386F1A"/>
    <w:rsid w:val="203CA684"/>
    <w:rsid w:val="204ACC92"/>
    <w:rsid w:val="205BB72E"/>
    <w:rsid w:val="2077C21D"/>
    <w:rsid w:val="20814F21"/>
    <w:rsid w:val="20A0C3DD"/>
    <w:rsid w:val="20A8B100"/>
    <w:rsid w:val="20B33041"/>
    <w:rsid w:val="20B4CBE2"/>
    <w:rsid w:val="20C359A5"/>
    <w:rsid w:val="20D0B36D"/>
    <w:rsid w:val="20D2F349"/>
    <w:rsid w:val="20DE2D77"/>
    <w:rsid w:val="210B3AB5"/>
    <w:rsid w:val="2135B047"/>
    <w:rsid w:val="21408AAC"/>
    <w:rsid w:val="21472358"/>
    <w:rsid w:val="2173D493"/>
    <w:rsid w:val="218DE8B0"/>
    <w:rsid w:val="2196E02A"/>
    <w:rsid w:val="21A285AC"/>
    <w:rsid w:val="21B2ACB8"/>
    <w:rsid w:val="21B6DD80"/>
    <w:rsid w:val="21D5B137"/>
    <w:rsid w:val="21DB387C"/>
    <w:rsid w:val="21EFBD6D"/>
    <w:rsid w:val="223AB0DE"/>
    <w:rsid w:val="224034FA"/>
    <w:rsid w:val="2254A707"/>
    <w:rsid w:val="22600157"/>
    <w:rsid w:val="227381CC"/>
    <w:rsid w:val="227EE313"/>
    <w:rsid w:val="2283BE15"/>
    <w:rsid w:val="22A694FF"/>
    <w:rsid w:val="22B3C736"/>
    <w:rsid w:val="22B7C913"/>
    <w:rsid w:val="22CDCEA8"/>
    <w:rsid w:val="22CFC6D3"/>
    <w:rsid w:val="22D2755A"/>
    <w:rsid w:val="22DADEB3"/>
    <w:rsid w:val="22DC95CF"/>
    <w:rsid w:val="22EE5533"/>
    <w:rsid w:val="2300037A"/>
    <w:rsid w:val="230F91EF"/>
    <w:rsid w:val="232AE1C3"/>
    <w:rsid w:val="232FF548"/>
    <w:rsid w:val="2367734C"/>
    <w:rsid w:val="236D1DFF"/>
    <w:rsid w:val="236E9B76"/>
    <w:rsid w:val="237059C6"/>
    <w:rsid w:val="237BC61E"/>
    <w:rsid w:val="239A6B46"/>
    <w:rsid w:val="239D3412"/>
    <w:rsid w:val="239DA6B8"/>
    <w:rsid w:val="23A93C1D"/>
    <w:rsid w:val="2400E05B"/>
    <w:rsid w:val="2411A9F8"/>
    <w:rsid w:val="241710B2"/>
    <w:rsid w:val="241A592A"/>
    <w:rsid w:val="2427DBFB"/>
    <w:rsid w:val="24349003"/>
    <w:rsid w:val="244E91C8"/>
    <w:rsid w:val="24528CCB"/>
    <w:rsid w:val="2456259C"/>
    <w:rsid w:val="2457203F"/>
    <w:rsid w:val="245C2470"/>
    <w:rsid w:val="24694BFE"/>
    <w:rsid w:val="247F3FEA"/>
    <w:rsid w:val="248033A4"/>
    <w:rsid w:val="248ED734"/>
    <w:rsid w:val="24B5AEAB"/>
    <w:rsid w:val="24B74D17"/>
    <w:rsid w:val="24DD1FAC"/>
    <w:rsid w:val="2502B385"/>
    <w:rsid w:val="2502C4FC"/>
    <w:rsid w:val="250F8422"/>
    <w:rsid w:val="25177D33"/>
    <w:rsid w:val="253B4066"/>
    <w:rsid w:val="254FDF3A"/>
    <w:rsid w:val="2562469D"/>
    <w:rsid w:val="257B2D35"/>
    <w:rsid w:val="25821F2F"/>
    <w:rsid w:val="2584F24D"/>
    <w:rsid w:val="2594D094"/>
    <w:rsid w:val="25A02F6A"/>
    <w:rsid w:val="25BCE840"/>
    <w:rsid w:val="25BF83FE"/>
    <w:rsid w:val="25CE1AE0"/>
    <w:rsid w:val="25D4D02B"/>
    <w:rsid w:val="25DEC2CD"/>
    <w:rsid w:val="25E30CA0"/>
    <w:rsid w:val="2616113F"/>
    <w:rsid w:val="261D5F5E"/>
    <w:rsid w:val="262ED8E3"/>
    <w:rsid w:val="26392ECB"/>
    <w:rsid w:val="263E182F"/>
    <w:rsid w:val="264AAFC9"/>
    <w:rsid w:val="26662BA6"/>
    <w:rsid w:val="2668C332"/>
    <w:rsid w:val="26692D28"/>
    <w:rsid w:val="266D1EDF"/>
    <w:rsid w:val="26787678"/>
    <w:rsid w:val="2685D5C9"/>
    <w:rsid w:val="26AD502B"/>
    <w:rsid w:val="26C3A0E8"/>
    <w:rsid w:val="26C8CAA3"/>
    <w:rsid w:val="26DF25D8"/>
    <w:rsid w:val="26F6EFB1"/>
    <w:rsid w:val="27043F8A"/>
    <w:rsid w:val="271DEF4C"/>
    <w:rsid w:val="27247D41"/>
    <w:rsid w:val="273F4A4B"/>
    <w:rsid w:val="27480460"/>
    <w:rsid w:val="27542907"/>
    <w:rsid w:val="2758E6D9"/>
    <w:rsid w:val="275BE155"/>
    <w:rsid w:val="275F2A45"/>
    <w:rsid w:val="2770D51C"/>
    <w:rsid w:val="27742B6B"/>
    <w:rsid w:val="27B93A08"/>
    <w:rsid w:val="27C1CB77"/>
    <w:rsid w:val="27DD769D"/>
    <w:rsid w:val="27E0693D"/>
    <w:rsid w:val="27E39E2B"/>
    <w:rsid w:val="27EF8B98"/>
    <w:rsid w:val="27F435B8"/>
    <w:rsid w:val="27FDB334"/>
    <w:rsid w:val="280B703E"/>
    <w:rsid w:val="281C107F"/>
    <w:rsid w:val="2828ECAF"/>
    <w:rsid w:val="28290C8C"/>
    <w:rsid w:val="28467935"/>
    <w:rsid w:val="2851F6D9"/>
    <w:rsid w:val="285B16E0"/>
    <w:rsid w:val="286CF3BD"/>
    <w:rsid w:val="287CF6A8"/>
    <w:rsid w:val="287D714F"/>
    <w:rsid w:val="28812532"/>
    <w:rsid w:val="2892D76C"/>
    <w:rsid w:val="2899360F"/>
    <w:rsid w:val="28B8041E"/>
    <w:rsid w:val="28C7DD69"/>
    <w:rsid w:val="28C7FCF6"/>
    <w:rsid w:val="28C955BC"/>
    <w:rsid w:val="28D2B97B"/>
    <w:rsid w:val="28D922DF"/>
    <w:rsid w:val="28DF7C47"/>
    <w:rsid w:val="28E660D2"/>
    <w:rsid w:val="29007FA5"/>
    <w:rsid w:val="2904816A"/>
    <w:rsid w:val="29148CDC"/>
    <w:rsid w:val="29272BE8"/>
    <w:rsid w:val="292ACC2F"/>
    <w:rsid w:val="2950DB57"/>
    <w:rsid w:val="2951A079"/>
    <w:rsid w:val="295BE835"/>
    <w:rsid w:val="29911A52"/>
    <w:rsid w:val="299DC48C"/>
    <w:rsid w:val="29AE909A"/>
    <w:rsid w:val="29B6B1FD"/>
    <w:rsid w:val="29C4CFFE"/>
    <w:rsid w:val="29E4857F"/>
    <w:rsid w:val="29FE7645"/>
    <w:rsid w:val="2A16F1F4"/>
    <w:rsid w:val="2A1F008D"/>
    <w:rsid w:val="2A311E52"/>
    <w:rsid w:val="2A3F39EC"/>
    <w:rsid w:val="2A4FDD1C"/>
    <w:rsid w:val="2A5773B7"/>
    <w:rsid w:val="2A5C3D93"/>
    <w:rsid w:val="2A6F1CCD"/>
    <w:rsid w:val="2A7D2A9F"/>
    <w:rsid w:val="2A9DBA6E"/>
    <w:rsid w:val="2AA33B1E"/>
    <w:rsid w:val="2AAB3ACF"/>
    <w:rsid w:val="2AB0201A"/>
    <w:rsid w:val="2ACE71CB"/>
    <w:rsid w:val="2AD688FA"/>
    <w:rsid w:val="2AE05695"/>
    <w:rsid w:val="2AEB1016"/>
    <w:rsid w:val="2AEFA579"/>
    <w:rsid w:val="2B0F426D"/>
    <w:rsid w:val="2B128C65"/>
    <w:rsid w:val="2B2BD6A3"/>
    <w:rsid w:val="2B2CA8CA"/>
    <w:rsid w:val="2B34E6D3"/>
    <w:rsid w:val="2B4BF562"/>
    <w:rsid w:val="2B4F66AD"/>
    <w:rsid w:val="2B573A30"/>
    <w:rsid w:val="2B73D179"/>
    <w:rsid w:val="2B7FAB11"/>
    <w:rsid w:val="2B883B5A"/>
    <w:rsid w:val="2B98E6C4"/>
    <w:rsid w:val="2B9A0C70"/>
    <w:rsid w:val="2BB94B8E"/>
    <w:rsid w:val="2BB9F5F2"/>
    <w:rsid w:val="2BBB1B68"/>
    <w:rsid w:val="2BC1728C"/>
    <w:rsid w:val="2BD95D33"/>
    <w:rsid w:val="2BFA2638"/>
    <w:rsid w:val="2C12EB49"/>
    <w:rsid w:val="2C1F6420"/>
    <w:rsid w:val="2C24B2FD"/>
    <w:rsid w:val="2C268FAD"/>
    <w:rsid w:val="2C2B8012"/>
    <w:rsid w:val="2C348C59"/>
    <w:rsid w:val="2C3A4BE2"/>
    <w:rsid w:val="2C3C7811"/>
    <w:rsid w:val="2C45AA9F"/>
    <w:rsid w:val="2C4BF51E"/>
    <w:rsid w:val="2C4C7469"/>
    <w:rsid w:val="2C52EF3A"/>
    <w:rsid w:val="2C5CED9B"/>
    <w:rsid w:val="2C8E61C3"/>
    <w:rsid w:val="2C968923"/>
    <w:rsid w:val="2C96FD2F"/>
    <w:rsid w:val="2C9A6961"/>
    <w:rsid w:val="2CAE7ABE"/>
    <w:rsid w:val="2CB14F4E"/>
    <w:rsid w:val="2CB47BAE"/>
    <w:rsid w:val="2CB602CC"/>
    <w:rsid w:val="2CE2F74C"/>
    <w:rsid w:val="2CFF88DD"/>
    <w:rsid w:val="2D16062D"/>
    <w:rsid w:val="2D28249A"/>
    <w:rsid w:val="2D2F0651"/>
    <w:rsid w:val="2D3956B1"/>
    <w:rsid w:val="2D4BCDB1"/>
    <w:rsid w:val="2D61D0DC"/>
    <w:rsid w:val="2D67116D"/>
    <w:rsid w:val="2D8D60B3"/>
    <w:rsid w:val="2DA3755C"/>
    <w:rsid w:val="2DA6A66B"/>
    <w:rsid w:val="2DB0EDF2"/>
    <w:rsid w:val="2DC5044B"/>
    <w:rsid w:val="2DCED398"/>
    <w:rsid w:val="2DD0212E"/>
    <w:rsid w:val="2DD12E57"/>
    <w:rsid w:val="2DD92E59"/>
    <w:rsid w:val="2DDF01D0"/>
    <w:rsid w:val="2DE010DD"/>
    <w:rsid w:val="2DF7158E"/>
    <w:rsid w:val="2DFB8B9E"/>
    <w:rsid w:val="2E1C5961"/>
    <w:rsid w:val="2E21B6A1"/>
    <w:rsid w:val="2E2262A5"/>
    <w:rsid w:val="2E41931C"/>
    <w:rsid w:val="2E53C28E"/>
    <w:rsid w:val="2E691480"/>
    <w:rsid w:val="2E702D02"/>
    <w:rsid w:val="2E885A34"/>
    <w:rsid w:val="2EC1AEB1"/>
    <w:rsid w:val="2EC243E4"/>
    <w:rsid w:val="2EC5B8E5"/>
    <w:rsid w:val="2ED69FD8"/>
    <w:rsid w:val="2EE080FB"/>
    <w:rsid w:val="2EFAD74E"/>
    <w:rsid w:val="2F08BACB"/>
    <w:rsid w:val="2F26C63B"/>
    <w:rsid w:val="2F3E1C28"/>
    <w:rsid w:val="2F4F8936"/>
    <w:rsid w:val="2F7B9DB0"/>
    <w:rsid w:val="2F815545"/>
    <w:rsid w:val="2F895E65"/>
    <w:rsid w:val="2F9B2AA3"/>
    <w:rsid w:val="2FA1F15A"/>
    <w:rsid w:val="2FA5677C"/>
    <w:rsid w:val="2FABBAC6"/>
    <w:rsid w:val="2FAFF21C"/>
    <w:rsid w:val="2FBD8BCA"/>
    <w:rsid w:val="2FC61A62"/>
    <w:rsid w:val="2FDDE809"/>
    <w:rsid w:val="2FDEF71E"/>
    <w:rsid w:val="2FE5706B"/>
    <w:rsid w:val="2FF2B3F8"/>
    <w:rsid w:val="301313C1"/>
    <w:rsid w:val="3038999C"/>
    <w:rsid w:val="303AE85E"/>
    <w:rsid w:val="303C84BF"/>
    <w:rsid w:val="30414437"/>
    <w:rsid w:val="3049EAA9"/>
    <w:rsid w:val="304D93AF"/>
    <w:rsid w:val="3052AE65"/>
    <w:rsid w:val="30575B7B"/>
    <w:rsid w:val="305950D1"/>
    <w:rsid w:val="305CFCF9"/>
    <w:rsid w:val="30649D37"/>
    <w:rsid w:val="30760C40"/>
    <w:rsid w:val="30762F10"/>
    <w:rsid w:val="308F4EA6"/>
    <w:rsid w:val="3090CE77"/>
    <w:rsid w:val="30CB5172"/>
    <w:rsid w:val="30FFB2F4"/>
    <w:rsid w:val="310DBACE"/>
    <w:rsid w:val="3112AC76"/>
    <w:rsid w:val="312318A1"/>
    <w:rsid w:val="312E890C"/>
    <w:rsid w:val="31701E68"/>
    <w:rsid w:val="31735193"/>
    <w:rsid w:val="31A554A3"/>
    <w:rsid w:val="31B6ECCC"/>
    <w:rsid w:val="31D3B0DA"/>
    <w:rsid w:val="320332D1"/>
    <w:rsid w:val="322915EB"/>
    <w:rsid w:val="32294E34"/>
    <w:rsid w:val="322CFC60"/>
    <w:rsid w:val="324353A2"/>
    <w:rsid w:val="3244CC5F"/>
    <w:rsid w:val="32806D0A"/>
    <w:rsid w:val="32907A44"/>
    <w:rsid w:val="3296279E"/>
    <w:rsid w:val="329AC092"/>
    <w:rsid w:val="329F3D52"/>
    <w:rsid w:val="32AE4A13"/>
    <w:rsid w:val="32BA663A"/>
    <w:rsid w:val="32BD0675"/>
    <w:rsid w:val="32D6C827"/>
    <w:rsid w:val="32EE07AA"/>
    <w:rsid w:val="32F46F1C"/>
    <w:rsid w:val="3318555A"/>
    <w:rsid w:val="331D8BB3"/>
    <w:rsid w:val="3339C7CB"/>
    <w:rsid w:val="334A2AF3"/>
    <w:rsid w:val="337D9026"/>
    <w:rsid w:val="33910DF4"/>
    <w:rsid w:val="33A6FB58"/>
    <w:rsid w:val="33D6573A"/>
    <w:rsid w:val="33DAD976"/>
    <w:rsid w:val="33E233E5"/>
    <w:rsid w:val="33EBC5A2"/>
    <w:rsid w:val="33F62E4A"/>
    <w:rsid w:val="33F79C64"/>
    <w:rsid w:val="33F8619A"/>
    <w:rsid w:val="3403CBE5"/>
    <w:rsid w:val="3405C1E0"/>
    <w:rsid w:val="341B2245"/>
    <w:rsid w:val="341D90BE"/>
    <w:rsid w:val="342C14B2"/>
    <w:rsid w:val="34423B15"/>
    <w:rsid w:val="344478D9"/>
    <w:rsid w:val="347AF094"/>
    <w:rsid w:val="34A36DEF"/>
    <w:rsid w:val="34A54F04"/>
    <w:rsid w:val="34E02536"/>
    <w:rsid w:val="350E1BD5"/>
    <w:rsid w:val="35153D5F"/>
    <w:rsid w:val="3524A4D8"/>
    <w:rsid w:val="353DC821"/>
    <w:rsid w:val="353F1093"/>
    <w:rsid w:val="35491F2D"/>
    <w:rsid w:val="357AA909"/>
    <w:rsid w:val="3583BD88"/>
    <w:rsid w:val="35AA01F1"/>
    <w:rsid w:val="35EFB5C3"/>
    <w:rsid w:val="35F75714"/>
    <w:rsid w:val="35FB0144"/>
    <w:rsid w:val="3602AE4B"/>
    <w:rsid w:val="36082058"/>
    <w:rsid w:val="3612BE5D"/>
    <w:rsid w:val="36212780"/>
    <w:rsid w:val="3628BE92"/>
    <w:rsid w:val="362B3654"/>
    <w:rsid w:val="36311CA0"/>
    <w:rsid w:val="36387F74"/>
    <w:rsid w:val="36392A39"/>
    <w:rsid w:val="3646A597"/>
    <w:rsid w:val="3665CB7B"/>
    <w:rsid w:val="36743138"/>
    <w:rsid w:val="36804BF0"/>
    <w:rsid w:val="36F52D47"/>
    <w:rsid w:val="3729E8C1"/>
    <w:rsid w:val="3758BB8B"/>
    <w:rsid w:val="3769633D"/>
    <w:rsid w:val="37932F6B"/>
    <w:rsid w:val="379566E9"/>
    <w:rsid w:val="379B4080"/>
    <w:rsid w:val="37A43BB5"/>
    <w:rsid w:val="37C61DBE"/>
    <w:rsid w:val="37CD2E28"/>
    <w:rsid w:val="37DA1993"/>
    <w:rsid w:val="37DAAFB9"/>
    <w:rsid w:val="37DF1127"/>
    <w:rsid w:val="3815C135"/>
    <w:rsid w:val="3820B2F7"/>
    <w:rsid w:val="38228314"/>
    <w:rsid w:val="382C34DD"/>
    <w:rsid w:val="3831CF94"/>
    <w:rsid w:val="383D60EC"/>
    <w:rsid w:val="3852E4C2"/>
    <w:rsid w:val="3867F7A7"/>
    <w:rsid w:val="3878A508"/>
    <w:rsid w:val="38CDFC16"/>
    <w:rsid w:val="38E841C6"/>
    <w:rsid w:val="38EE0A09"/>
    <w:rsid w:val="39035B85"/>
    <w:rsid w:val="390DD20F"/>
    <w:rsid w:val="39149865"/>
    <w:rsid w:val="392743EC"/>
    <w:rsid w:val="393F5FC2"/>
    <w:rsid w:val="394E6D32"/>
    <w:rsid w:val="39746AB8"/>
    <w:rsid w:val="397AF321"/>
    <w:rsid w:val="397D2123"/>
    <w:rsid w:val="398E80B9"/>
    <w:rsid w:val="399E7A8F"/>
    <w:rsid w:val="39A1192D"/>
    <w:rsid w:val="39BB6D23"/>
    <w:rsid w:val="39C69B76"/>
    <w:rsid w:val="39C84DBD"/>
    <w:rsid w:val="39DB9FDA"/>
    <w:rsid w:val="39DE47E0"/>
    <w:rsid w:val="39EA0093"/>
    <w:rsid w:val="39EB03F0"/>
    <w:rsid w:val="39EED102"/>
    <w:rsid w:val="39FAFBA5"/>
    <w:rsid w:val="39FD0FC6"/>
    <w:rsid w:val="3A24A07F"/>
    <w:rsid w:val="3A3953B0"/>
    <w:rsid w:val="3A4C15A2"/>
    <w:rsid w:val="3A674F67"/>
    <w:rsid w:val="3A6753C3"/>
    <w:rsid w:val="3A6A80B8"/>
    <w:rsid w:val="3A702AE8"/>
    <w:rsid w:val="3A8B61EE"/>
    <w:rsid w:val="3A8DCE49"/>
    <w:rsid w:val="3A9EEE23"/>
    <w:rsid w:val="3AAEE41D"/>
    <w:rsid w:val="3AB3F223"/>
    <w:rsid w:val="3AB69FC8"/>
    <w:rsid w:val="3AB6D9F4"/>
    <w:rsid w:val="3AC2F519"/>
    <w:rsid w:val="3AD68365"/>
    <w:rsid w:val="3AF109CD"/>
    <w:rsid w:val="3AF9E0F1"/>
    <w:rsid w:val="3B0C2B08"/>
    <w:rsid w:val="3B0D5E5B"/>
    <w:rsid w:val="3B28F8F5"/>
    <w:rsid w:val="3B46E214"/>
    <w:rsid w:val="3B594D56"/>
    <w:rsid w:val="3B617059"/>
    <w:rsid w:val="3B8F7912"/>
    <w:rsid w:val="3B8FA1C8"/>
    <w:rsid w:val="3BB446E4"/>
    <w:rsid w:val="3BB622C5"/>
    <w:rsid w:val="3BCF32D6"/>
    <w:rsid w:val="3BD7B6B1"/>
    <w:rsid w:val="3BFAFB66"/>
    <w:rsid w:val="3BFF367F"/>
    <w:rsid w:val="3C0137F6"/>
    <w:rsid w:val="3C3293C6"/>
    <w:rsid w:val="3C472F46"/>
    <w:rsid w:val="3C54F316"/>
    <w:rsid w:val="3C5A923D"/>
    <w:rsid w:val="3C67501D"/>
    <w:rsid w:val="3C7363A0"/>
    <w:rsid w:val="3C74FC54"/>
    <w:rsid w:val="3C8AE925"/>
    <w:rsid w:val="3C988702"/>
    <w:rsid w:val="3C9DF3BD"/>
    <w:rsid w:val="3CA49799"/>
    <w:rsid w:val="3CA88910"/>
    <w:rsid w:val="3CADC87D"/>
    <w:rsid w:val="3CC438A3"/>
    <w:rsid w:val="3CC8439A"/>
    <w:rsid w:val="3CCC4BF6"/>
    <w:rsid w:val="3CD2E657"/>
    <w:rsid w:val="3CD3F1CD"/>
    <w:rsid w:val="3CDB099B"/>
    <w:rsid w:val="3CDF07A0"/>
    <w:rsid w:val="3CF2A199"/>
    <w:rsid w:val="3CFFAD8E"/>
    <w:rsid w:val="3D07D71D"/>
    <w:rsid w:val="3D1D9E92"/>
    <w:rsid w:val="3D2A3FD7"/>
    <w:rsid w:val="3D31D314"/>
    <w:rsid w:val="3D3D5256"/>
    <w:rsid w:val="3D3E998F"/>
    <w:rsid w:val="3D3EB468"/>
    <w:rsid w:val="3D41F6CF"/>
    <w:rsid w:val="3D4EB481"/>
    <w:rsid w:val="3D58BF25"/>
    <w:rsid w:val="3D723110"/>
    <w:rsid w:val="3D79D5CC"/>
    <w:rsid w:val="3D87FBC1"/>
    <w:rsid w:val="3D945CA1"/>
    <w:rsid w:val="3D9D6559"/>
    <w:rsid w:val="3DAEBAAD"/>
    <w:rsid w:val="3DBB9232"/>
    <w:rsid w:val="3DBCC279"/>
    <w:rsid w:val="3DC1CEED"/>
    <w:rsid w:val="3DC2CFBC"/>
    <w:rsid w:val="3DD8AC58"/>
    <w:rsid w:val="3DDE5D08"/>
    <w:rsid w:val="3DDF53CE"/>
    <w:rsid w:val="3DDF6F32"/>
    <w:rsid w:val="3DEA9C09"/>
    <w:rsid w:val="3DF1FBFB"/>
    <w:rsid w:val="3DFFAA11"/>
    <w:rsid w:val="3E1CD4CD"/>
    <w:rsid w:val="3E249A78"/>
    <w:rsid w:val="3E80D58F"/>
    <w:rsid w:val="3E8B2C4F"/>
    <w:rsid w:val="3E97DAF9"/>
    <w:rsid w:val="3E97FB73"/>
    <w:rsid w:val="3E9A89D4"/>
    <w:rsid w:val="3EB024A6"/>
    <w:rsid w:val="3EC6B0F6"/>
    <w:rsid w:val="3ED6B78A"/>
    <w:rsid w:val="3EDB9A80"/>
    <w:rsid w:val="3EE388AF"/>
    <w:rsid w:val="3EFE3418"/>
    <w:rsid w:val="3F0944AF"/>
    <w:rsid w:val="3F0BC746"/>
    <w:rsid w:val="3F18A2A3"/>
    <w:rsid w:val="3F1C2C74"/>
    <w:rsid w:val="3F2B4132"/>
    <w:rsid w:val="3F3A8291"/>
    <w:rsid w:val="3F3C94CE"/>
    <w:rsid w:val="3F3CE8FB"/>
    <w:rsid w:val="3F4916F7"/>
    <w:rsid w:val="3F55E859"/>
    <w:rsid w:val="3F610C1B"/>
    <w:rsid w:val="3F7F37D6"/>
    <w:rsid w:val="3F8686EA"/>
    <w:rsid w:val="3FCF10FB"/>
    <w:rsid w:val="3FD7F2CB"/>
    <w:rsid w:val="3FF8A1D5"/>
    <w:rsid w:val="4003E36A"/>
    <w:rsid w:val="401BC44D"/>
    <w:rsid w:val="40291FD6"/>
    <w:rsid w:val="404EA9FE"/>
    <w:rsid w:val="405A03A0"/>
    <w:rsid w:val="405DA926"/>
    <w:rsid w:val="407835C4"/>
    <w:rsid w:val="40787105"/>
    <w:rsid w:val="4079B711"/>
    <w:rsid w:val="408D61BD"/>
    <w:rsid w:val="409DDD4C"/>
    <w:rsid w:val="40A3F956"/>
    <w:rsid w:val="40B91F37"/>
    <w:rsid w:val="40CD7977"/>
    <w:rsid w:val="40D0F416"/>
    <w:rsid w:val="40DDB097"/>
    <w:rsid w:val="40F65C0E"/>
    <w:rsid w:val="40F88003"/>
    <w:rsid w:val="4100B7DA"/>
    <w:rsid w:val="4113F073"/>
    <w:rsid w:val="411D13CA"/>
    <w:rsid w:val="4120490D"/>
    <w:rsid w:val="4130A83B"/>
    <w:rsid w:val="4132D3CA"/>
    <w:rsid w:val="4137C4AE"/>
    <w:rsid w:val="413B7D8F"/>
    <w:rsid w:val="417079A8"/>
    <w:rsid w:val="41744964"/>
    <w:rsid w:val="4196785F"/>
    <w:rsid w:val="41A0BC5B"/>
    <w:rsid w:val="41A5324A"/>
    <w:rsid w:val="41AD28AB"/>
    <w:rsid w:val="41B13368"/>
    <w:rsid w:val="41DA4844"/>
    <w:rsid w:val="41DA6AA4"/>
    <w:rsid w:val="41E688BF"/>
    <w:rsid w:val="41FE69F9"/>
    <w:rsid w:val="42056626"/>
    <w:rsid w:val="42179DB8"/>
    <w:rsid w:val="4231CBEF"/>
    <w:rsid w:val="4246F572"/>
    <w:rsid w:val="425F43FB"/>
    <w:rsid w:val="4280E8AD"/>
    <w:rsid w:val="4287AEEB"/>
    <w:rsid w:val="42952681"/>
    <w:rsid w:val="42C81E01"/>
    <w:rsid w:val="42DD2CE9"/>
    <w:rsid w:val="431F33EB"/>
    <w:rsid w:val="431F99B8"/>
    <w:rsid w:val="435DF3D3"/>
    <w:rsid w:val="43606E42"/>
    <w:rsid w:val="436BB40B"/>
    <w:rsid w:val="436D9BE6"/>
    <w:rsid w:val="43842564"/>
    <w:rsid w:val="4397E619"/>
    <w:rsid w:val="43BB9D21"/>
    <w:rsid w:val="43C2A067"/>
    <w:rsid w:val="43E69242"/>
    <w:rsid w:val="43FFAC8D"/>
    <w:rsid w:val="440D5A3D"/>
    <w:rsid w:val="442B019C"/>
    <w:rsid w:val="443BF7C6"/>
    <w:rsid w:val="4445B79A"/>
    <w:rsid w:val="445D9785"/>
    <w:rsid w:val="4496FAC3"/>
    <w:rsid w:val="44B06785"/>
    <w:rsid w:val="44D39089"/>
    <w:rsid w:val="44EC54EA"/>
    <w:rsid w:val="44F49C20"/>
    <w:rsid w:val="44F4FEC8"/>
    <w:rsid w:val="44FECB7D"/>
    <w:rsid w:val="44FFAB02"/>
    <w:rsid w:val="452514A2"/>
    <w:rsid w:val="45285351"/>
    <w:rsid w:val="452C910A"/>
    <w:rsid w:val="459CC409"/>
    <w:rsid w:val="45ADA98C"/>
    <w:rsid w:val="45BC55FC"/>
    <w:rsid w:val="45D7F590"/>
    <w:rsid w:val="45D98934"/>
    <w:rsid w:val="45DC8F44"/>
    <w:rsid w:val="45DD10A6"/>
    <w:rsid w:val="4608662D"/>
    <w:rsid w:val="4608CB90"/>
    <w:rsid w:val="460A3660"/>
    <w:rsid w:val="460BB68B"/>
    <w:rsid w:val="460BB69C"/>
    <w:rsid w:val="460D74E0"/>
    <w:rsid w:val="46115E55"/>
    <w:rsid w:val="4611E2F4"/>
    <w:rsid w:val="461634CA"/>
    <w:rsid w:val="461AE7C2"/>
    <w:rsid w:val="461DA10A"/>
    <w:rsid w:val="461FEB6A"/>
    <w:rsid w:val="462507B7"/>
    <w:rsid w:val="46254286"/>
    <w:rsid w:val="463253D7"/>
    <w:rsid w:val="463520C5"/>
    <w:rsid w:val="463AE09D"/>
    <w:rsid w:val="4658F5AD"/>
    <w:rsid w:val="465AEF26"/>
    <w:rsid w:val="4661A83B"/>
    <w:rsid w:val="46671A13"/>
    <w:rsid w:val="46757BAC"/>
    <w:rsid w:val="467A1931"/>
    <w:rsid w:val="46C497F1"/>
    <w:rsid w:val="46C89F9A"/>
    <w:rsid w:val="46C8B0D3"/>
    <w:rsid w:val="46CD3236"/>
    <w:rsid w:val="46D4975C"/>
    <w:rsid w:val="46E002C9"/>
    <w:rsid w:val="46EE4A88"/>
    <w:rsid w:val="46F5690B"/>
    <w:rsid w:val="4711408D"/>
    <w:rsid w:val="472CDB31"/>
    <w:rsid w:val="4734D889"/>
    <w:rsid w:val="47439306"/>
    <w:rsid w:val="4744616C"/>
    <w:rsid w:val="4748462B"/>
    <w:rsid w:val="475A212F"/>
    <w:rsid w:val="4787B977"/>
    <w:rsid w:val="478E4FEA"/>
    <w:rsid w:val="47904C74"/>
    <w:rsid w:val="47951298"/>
    <w:rsid w:val="4798C474"/>
    <w:rsid w:val="47B33404"/>
    <w:rsid w:val="47BB2637"/>
    <w:rsid w:val="47CABF8D"/>
    <w:rsid w:val="47E834D7"/>
    <w:rsid w:val="47FDAB5C"/>
    <w:rsid w:val="4809D33D"/>
    <w:rsid w:val="482BC379"/>
    <w:rsid w:val="482FE698"/>
    <w:rsid w:val="48336936"/>
    <w:rsid w:val="483B4C56"/>
    <w:rsid w:val="4849AB20"/>
    <w:rsid w:val="485AD592"/>
    <w:rsid w:val="485ED27B"/>
    <w:rsid w:val="486B910C"/>
    <w:rsid w:val="48704E60"/>
    <w:rsid w:val="487F5770"/>
    <w:rsid w:val="4883E107"/>
    <w:rsid w:val="4895DDEF"/>
    <w:rsid w:val="48A2F67F"/>
    <w:rsid w:val="48ABF584"/>
    <w:rsid w:val="48B511FA"/>
    <w:rsid w:val="48B9EA4D"/>
    <w:rsid w:val="48C2BCB2"/>
    <w:rsid w:val="48C4E506"/>
    <w:rsid w:val="4929537A"/>
    <w:rsid w:val="492F2F4F"/>
    <w:rsid w:val="4932472E"/>
    <w:rsid w:val="4933965E"/>
    <w:rsid w:val="4935D8CE"/>
    <w:rsid w:val="49463080"/>
    <w:rsid w:val="49470920"/>
    <w:rsid w:val="494A1571"/>
    <w:rsid w:val="495017D5"/>
    <w:rsid w:val="497163E4"/>
    <w:rsid w:val="4975606D"/>
    <w:rsid w:val="49773A6A"/>
    <w:rsid w:val="49894B54"/>
    <w:rsid w:val="498E9873"/>
    <w:rsid w:val="49926679"/>
    <w:rsid w:val="4992F11A"/>
    <w:rsid w:val="49957505"/>
    <w:rsid w:val="4999F721"/>
    <w:rsid w:val="49AD9F60"/>
    <w:rsid w:val="49DC980F"/>
    <w:rsid w:val="49E54B11"/>
    <w:rsid w:val="49E7FC31"/>
    <w:rsid w:val="49EF209B"/>
    <w:rsid w:val="49F28338"/>
    <w:rsid w:val="49F566F9"/>
    <w:rsid w:val="49F6D169"/>
    <w:rsid w:val="49FAD6BF"/>
    <w:rsid w:val="49FE735A"/>
    <w:rsid w:val="49FFFDED"/>
    <w:rsid w:val="4A14952B"/>
    <w:rsid w:val="4A1F6834"/>
    <w:rsid w:val="4A2133C0"/>
    <w:rsid w:val="4A323F51"/>
    <w:rsid w:val="4A38E033"/>
    <w:rsid w:val="4A43DD10"/>
    <w:rsid w:val="4A48ED75"/>
    <w:rsid w:val="4A66D8A8"/>
    <w:rsid w:val="4A6FC9A3"/>
    <w:rsid w:val="4A7486DB"/>
    <w:rsid w:val="4A777208"/>
    <w:rsid w:val="4A96111B"/>
    <w:rsid w:val="4A97CEFE"/>
    <w:rsid w:val="4A9E7784"/>
    <w:rsid w:val="4AA639CE"/>
    <w:rsid w:val="4AA6A2D4"/>
    <w:rsid w:val="4AB0E82D"/>
    <w:rsid w:val="4AB8BADD"/>
    <w:rsid w:val="4AC47C51"/>
    <w:rsid w:val="4AC8C2B8"/>
    <w:rsid w:val="4AD2CC1C"/>
    <w:rsid w:val="4AF8007A"/>
    <w:rsid w:val="4B1B9363"/>
    <w:rsid w:val="4B28F416"/>
    <w:rsid w:val="4B2958EA"/>
    <w:rsid w:val="4B34A916"/>
    <w:rsid w:val="4B48ADDA"/>
    <w:rsid w:val="4B4BED3C"/>
    <w:rsid w:val="4B5CDBF9"/>
    <w:rsid w:val="4B6B69FD"/>
    <w:rsid w:val="4B72D285"/>
    <w:rsid w:val="4B742AB3"/>
    <w:rsid w:val="4B765278"/>
    <w:rsid w:val="4B773AB5"/>
    <w:rsid w:val="4B9836E6"/>
    <w:rsid w:val="4B99C078"/>
    <w:rsid w:val="4B9E0C8B"/>
    <w:rsid w:val="4BEC56EC"/>
    <w:rsid w:val="4BFCA215"/>
    <w:rsid w:val="4C1A5F62"/>
    <w:rsid w:val="4C3385D3"/>
    <w:rsid w:val="4C348238"/>
    <w:rsid w:val="4C3628F3"/>
    <w:rsid w:val="4C49192C"/>
    <w:rsid w:val="4C4CE80F"/>
    <w:rsid w:val="4C67825F"/>
    <w:rsid w:val="4C68A780"/>
    <w:rsid w:val="4C773FDA"/>
    <w:rsid w:val="4C7EBFE8"/>
    <w:rsid w:val="4C876206"/>
    <w:rsid w:val="4C8D4D39"/>
    <w:rsid w:val="4C90CC18"/>
    <w:rsid w:val="4C98E06C"/>
    <w:rsid w:val="4CA5160E"/>
    <w:rsid w:val="4CABB66D"/>
    <w:rsid w:val="4CAD062E"/>
    <w:rsid w:val="4CC079F8"/>
    <w:rsid w:val="4CE27A98"/>
    <w:rsid w:val="4CE486A9"/>
    <w:rsid w:val="4CE6CA3B"/>
    <w:rsid w:val="4CEAB6BF"/>
    <w:rsid w:val="4CF1040E"/>
    <w:rsid w:val="4CF5EE31"/>
    <w:rsid w:val="4CF6CE5C"/>
    <w:rsid w:val="4CFE60C2"/>
    <w:rsid w:val="4CFF9BFF"/>
    <w:rsid w:val="4D025B1C"/>
    <w:rsid w:val="4D157063"/>
    <w:rsid w:val="4D1ED604"/>
    <w:rsid w:val="4D230089"/>
    <w:rsid w:val="4D29A360"/>
    <w:rsid w:val="4D3D7507"/>
    <w:rsid w:val="4D5390D4"/>
    <w:rsid w:val="4D757D13"/>
    <w:rsid w:val="4D795319"/>
    <w:rsid w:val="4D7CC409"/>
    <w:rsid w:val="4D7E72D4"/>
    <w:rsid w:val="4D88B2B2"/>
    <w:rsid w:val="4D8A8118"/>
    <w:rsid w:val="4DA4A9BA"/>
    <w:rsid w:val="4DB1D62F"/>
    <w:rsid w:val="4DB219F1"/>
    <w:rsid w:val="4DC70C83"/>
    <w:rsid w:val="4DC83148"/>
    <w:rsid w:val="4DD384CD"/>
    <w:rsid w:val="4DD39E8A"/>
    <w:rsid w:val="4DDDB564"/>
    <w:rsid w:val="4DE3723E"/>
    <w:rsid w:val="4DF5E408"/>
    <w:rsid w:val="4E0B644D"/>
    <w:rsid w:val="4E0C20C9"/>
    <w:rsid w:val="4E11AB16"/>
    <w:rsid w:val="4E166EF8"/>
    <w:rsid w:val="4E35FD16"/>
    <w:rsid w:val="4E533ED4"/>
    <w:rsid w:val="4E6775D7"/>
    <w:rsid w:val="4E726FCA"/>
    <w:rsid w:val="4E796D15"/>
    <w:rsid w:val="4E7E170F"/>
    <w:rsid w:val="4E96283A"/>
    <w:rsid w:val="4E9FFF1F"/>
    <w:rsid w:val="4EB661DB"/>
    <w:rsid w:val="4ED1C7DE"/>
    <w:rsid w:val="4ED303D1"/>
    <w:rsid w:val="4EF051AE"/>
    <w:rsid w:val="4F1B9DA4"/>
    <w:rsid w:val="4F2D6906"/>
    <w:rsid w:val="4F33A902"/>
    <w:rsid w:val="4F69B1E3"/>
    <w:rsid w:val="4F725BD1"/>
    <w:rsid w:val="4F791E68"/>
    <w:rsid w:val="4F7933FC"/>
    <w:rsid w:val="4F9E943C"/>
    <w:rsid w:val="4FA2CE10"/>
    <w:rsid w:val="4FA5A466"/>
    <w:rsid w:val="4FAB0CBC"/>
    <w:rsid w:val="4FAC6338"/>
    <w:rsid w:val="4FB15B52"/>
    <w:rsid w:val="4FD40F47"/>
    <w:rsid w:val="4FE13507"/>
    <w:rsid w:val="4FE8AEFF"/>
    <w:rsid w:val="4FF398E3"/>
    <w:rsid w:val="4FF88FB6"/>
    <w:rsid w:val="4FFB23FB"/>
    <w:rsid w:val="50033B2E"/>
    <w:rsid w:val="50110206"/>
    <w:rsid w:val="501995EC"/>
    <w:rsid w:val="502B2181"/>
    <w:rsid w:val="502D6A43"/>
    <w:rsid w:val="5060402A"/>
    <w:rsid w:val="506E0F3D"/>
    <w:rsid w:val="506F6035"/>
    <w:rsid w:val="5089CA34"/>
    <w:rsid w:val="50986565"/>
    <w:rsid w:val="50AAF03D"/>
    <w:rsid w:val="50B31840"/>
    <w:rsid w:val="50B3F481"/>
    <w:rsid w:val="50C2C77E"/>
    <w:rsid w:val="50C4F5BC"/>
    <w:rsid w:val="50CA84BC"/>
    <w:rsid w:val="50E490F3"/>
    <w:rsid w:val="50EB86EC"/>
    <w:rsid w:val="50F1D79B"/>
    <w:rsid w:val="50FB9A8B"/>
    <w:rsid w:val="50FEA25B"/>
    <w:rsid w:val="51018F62"/>
    <w:rsid w:val="510DFB1D"/>
    <w:rsid w:val="511D4D5C"/>
    <w:rsid w:val="511E9E76"/>
    <w:rsid w:val="511F9245"/>
    <w:rsid w:val="51220FD0"/>
    <w:rsid w:val="513B9323"/>
    <w:rsid w:val="515AF806"/>
    <w:rsid w:val="51A1E841"/>
    <w:rsid w:val="51A9F0F4"/>
    <w:rsid w:val="51AC8C82"/>
    <w:rsid w:val="51B78EF5"/>
    <w:rsid w:val="51BE4188"/>
    <w:rsid w:val="51C8AD82"/>
    <w:rsid w:val="51CB5C52"/>
    <w:rsid w:val="51D5C7ED"/>
    <w:rsid w:val="51E8ED19"/>
    <w:rsid w:val="51EE3AC4"/>
    <w:rsid w:val="51F37385"/>
    <w:rsid w:val="51FBF70F"/>
    <w:rsid w:val="520AA646"/>
    <w:rsid w:val="521DEF6F"/>
    <w:rsid w:val="521FCAFB"/>
    <w:rsid w:val="52213D55"/>
    <w:rsid w:val="523E2FA2"/>
    <w:rsid w:val="524718FF"/>
    <w:rsid w:val="52563048"/>
    <w:rsid w:val="525970F2"/>
    <w:rsid w:val="52885E10"/>
    <w:rsid w:val="5288F8E1"/>
    <w:rsid w:val="528CBF3A"/>
    <w:rsid w:val="529A2994"/>
    <w:rsid w:val="52A14105"/>
    <w:rsid w:val="52A2BE55"/>
    <w:rsid w:val="52AA3367"/>
    <w:rsid w:val="52AC4BA9"/>
    <w:rsid w:val="52CDC0EE"/>
    <w:rsid w:val="52F2231A"/>
    <w:rsid w:val="52FDD015"/>
    <w:rsid w:val="530670E8"/>
    <w:rsid w:val="530D1DF0"/>
    <w:rsid w:val="5335A4D6"/>
    <w:rsid w:val="5345AB3B"/>
    <w:rsid w:val="5357FB89"/>
    <w:rsid w:val="5358C9FA"/>
    <w:rsid w:val="5362D74A"/>
    <w:rsid w:val="536CEC1A"/>
    <w:rsid w:val="53902582"/>
    <w:rsid w:val="5394C16B"/>
    <w:rsid w:val="539A6CF1"/>
    <w:rsid w:val="53BA93C7"/>
    <w:rsid w:val="53D2B02B"/>
    <w:rsid w:val="54182B04"/>
    <w:rsid w:val="54200E5E"/>
    <w:rsid w:val="542F3FD6"/>
    <w:rsid w:val="5437DE77"/>
    <w:rsid w:val="5446C9CF"/>
    <w:rsid w:val="544BCA82"/>
    <w:rsid w:val="5457C604"/>
    <w:rsid w:val="546CA415"/>
    <w:rsid w:val="5472790F"/>
    <w:rsid w:val="54829B36"/>
    <w:rsid w:val="5496F335"/>
    <w:rsid w:val="549DAA82"/>
    <w:rsid w:val="54A9664C"/>
    <w:rsid w:val="54B29746"/>
    <w:rsid w:val="54BF8F0E"/>
    <w:rsid w:val="54D1E113"/>
    <w:rsid w:val="54FE6CF5"/>
    <w:rsid w:val="5503BE61"/>
    <w:rsid w:val="55043EE6"/>
    <w:rsid w:val="550F51B5"/>
    <w:rsid w:val="551A88DC"/>
    <w:rsid w:val="55224B0E"/>
    <w:rsid w:val="5529FCA6"/>
    <w:rsid w:val="552B0BDC"/>
    <w:rsid w:val="552C3F05"/>
    <w:rsid w:val="552D291C"/>
    <w:rsid w:val="5546E0CB"/>
    <w:rsid w:val="554B6E29"/>
    <w:rsid w:val="555D7B66"/>
    <w:rsid w:val="5566CEDF"/>
    <w:rsid w:val="5567B314"/>
    <w:rsid w:val="559D541A"/>
    <w:rsid w:val="55A176AA"/>
    <w:rsid w:val="55C5A923"/>
    <w:rsid w:val="55EB557A"/>
    <w:rsid w:val="55F898C2"/>
    <w:rsid w:val="5601109A"/>
    <w:rsid w:val="560B4BB8"/>
    <w:rsid w:val="561FDCF3"/>
    <w:rsid w:val="565550A0"/>
    <w:rsid w:val="56648C40"/>
    <w:rsid w:val="566727EA"/>
    <w:rsid w:val="567AE2B7"/>
    <w:rsid w:val="56888236"/>
    <w:rsid w:val="568B9FB6"/>
    <w:rsid w:val="569BCAA1"/>
    <w:rsid w:val="56A35C2A"/>
    <w:rsid w:val="56A3B897"/>
    <w:rsid w:val="56AF77E8"/>
    <w:rsid w:val="56B3481A"/>
    <w:rsid w:val="56B583F9"/>
    <w:rsid w:val="56D6D19D"/>
    <w:rsid w:val="56E22631"/>
    <w:rsid w:val="56E2D828"/>
    <w:rsid w:val="56E645CA"/>
    <w:rsid w:val="56F6F073"/>
    <w:rsid w:val="570F0EED"/>
    <w:rsid w:val="573C58BC"/>
    <w:rsid w:val="574ECEBA"/>
    <w:rsid w:val="575D3D8B"/>
    <w:rsid w:val="57647A30"/>
    <w:rsid w:val="577BA5C1"/>
    <w:rsid w:val="57A04E09"/>
    <w:rsid w:val="57AB3741"/>
    <w:rsid w:val="57EF3A59"/>
    <w:rsid w:val="5804DFD9"/>
    <w:rsid w:val="5806BB70"/>
    <w:rsid w:val="5806F916"/>
    <w:rsid w:val="580DA7C5"/>
    <w:rsid w:val="58185916"/>
    <w:rsid w:val="5832BE58"/>
    <w:rsid w:val="5849DFDB"/>
    <w:rsid w:val="585D29B1"/>
    <w:rsid w:val="58763556"/>
    <w:rsid w:val="5883CA48"/>
    <w:rsid w:val="58A06AAC"/>
    <w:rsid w:val="58BE8CFE"/>
    <w:rsid w:val="58C3A5EC"/>
    <w:rsid w:val="58DEF4FD"/>
    <w:rsid w:val="58F037D7"/>
    <w:rsid w:val="58FDD094"/>
    <w:rsid w:val="58FE7B6E"/>
    <w:rsid w:val="59085896"/>
    <w:rsid w:val="5928791C"/>
    <w:rsid w:val="594EABEE"/>
    <w:rsid w:val="5991D524"/>
    <w:rsid w:val="599F592C"/>
    <w:rsid w:val="59AABF0C"/>
    <w:rsid w:val="59C453F2"/>
    <w:rsid w:val="59D0EACA"/>
    <w:rsid w:val="59D578A5"/>
    <w:rsid w:val="5A05F6E0"/>
    <w:rsid w:val="5A123787"/>
    <w:rsid w:val="5A1FF29F"/>
    <w:rsid w:val="5A2A2D17"/>
    <w:rsid w:val="5A2A538F"/>
    <w:rsid w:val="5A420FBD"/>
    <w:rsid w:val="5A4D8CE6"/>
    <w:rsid w:val="5A657F04"/>
    <w:rsid w:val="5A7184C8"/>
    <w:rsid w:val="5A781F47"/>
    <w:rsid w:val="5A79D1C9"/>
    <w:rsid w:val="5A7CB07B"/>
    <w:rsid w:val="5A83FDCB"/>
    <w:rsid w:val="5A8B2E59"/>
    <w:rsid w:val="5A8E1131"/>
    <w:rsid w:val="5A90383C"/>
    <w:rsid w:val="5A9044F0"/>
    <w:rsid w:val="5A95A21D"/>
    <w:rsid w:val="5AABEFC5"/>
    <w:rsid w:val="5ACA74F1"/>
    <w:rsid w:val="5AFBAD29"/>
    <w:rsid w:val="5B05B370"/>
    <w:rsid w:val="5B15F173"/>
    <w:rsid w:val="5B169B42"/>
    <w:rsid w:val="5B22CFF3"/>
    <w:rsid w:val="5B25F0B5"/>
    <w:rsid w:val="5B34132F"/>
    <w:rsid w:val="5B4D461B"/>
    <w:rsid w:val="5B77D43F"/>
    <w:rsid w:val="5B8EF8D3"/>
    <w:rsid w:val="5BB8EABE"/>
    <w:rsid w:val="5BBAC50F"/>
    <w:rsid w:val="5BC40839"/>
    <w:rsid w:val="5BD1483E"/>
    <w:rsid w:val="5BE867C5"/>
    <w:rsid w:val="5BE8DEA7"/>
    <w:rsid w:val="5C0166BA"/>
    <w:rsid w:val="5C0235F1"/>
    <w:rsid w:val="5C037995"/>
    <w:rsid w:val="5C0382BA"/>
    <w:rsid w:val="5C1D350D"/>
    <w:rsid w:val="5C1F6B5C"/>
    <w:rsid w:val="5C445866"/>
    <w:rsid w:val="5C69FE9D"/>
    <w:rsid w:val="5C7A60CB"/>
    <w:rsid w:val="5C82AB04"/>
    <w:rsid w:val="5C8D9FD4"/>
    <w:rsid w:val="5CA2D03F"/>
    <w:rsid w:val="5CC81BB3"/>
    <w:rsid w:val="5CD9347D"/>
    <w:rsid w:val="5D09A644"/>
    <w:rsid w:val="5D138E0A"/>
    <w:rsid w:val="5D4A0F06"/>
    <w:rsid w:val="5D568493"/>
    <w:rsid w:val="5D5FC761"/>
    <w:rsid w:val="5D6090E7"/>
    <w:rsid w:val="5D6357F4"/>
    <w:rsid w:val="5D6D62B8"/>
    <w:rsid w:val="5D6FC066"/>
    <w:rsid w:val="5D710BF9"/>
    <w:rsid w:val="5D759274"/>
    <w:rsid w:val="5D7E35C4"/>
    <w:rsid w:val="5D8243C2"/>
    <w:rsid w:val="5D9CE0C3"/>
    <w:rsid w:val="5DA8A6E4"/>
    <w:rsid w:val="5DBAA259"/>
    <w:rsid w:val="5DC055E9"/>
    <w:rsid w:val="5DE72592"/>
    <w:rsid w:val="5DEA930B"/>
    <w:rsid w:val="5DED2928"/>
    <w:rsid w:val="5E115D1D"/>
    <w:rsid w:val="5E120A10"/>
    <w:rsid w:val="5E19A0A0"/>
    <w:rsid w:val="5E268445"/>
    <w:rsid w:val="5E380638"/>
    <w:rsid w:val="5E4408FE"/>
    <w:rsid w:val="5E589AB5"/>
    <w:rsid w:val="5E5E93E3"/>
    <w:rsid w:val="5E633546"/>
    <w:rsid w:val="5E647234"/>
    <w:rsid w:val="5E6B07D3"/>
    <w:rsid w:val="5E7D9266"/>
    <w:rsid w:val="5E80DAEF"/>
    <w:rsid w:val="5E814812"/>
    <w:rsid w:val="5E824318"/>
    <w:rsid w:val="5E8A5C92"/>
    <w:rsid w:val="5E9C9778"/>
    <w:rsid w:val="5EA3341F"/>
    <w:rsid w:val="5EE94426"/>
    <w:rsid w:val="5EF07B0A"/>
    <w:rsid w:val="5EFD29D0"/>
    <w:rsid w:val="5EFD303E"/>
    <w:rsid w:val="5F05951D"/>
    <w:rsid w:val="5F09DEF0"/>
    <w:rsid w:val="5F24306B"/>
    <w:rsid w:val="5F29DFBE"/>
    <w:rsid w:val="5F4459C7"/>
    <w:rsid w:val="5F51810F"/>
    <w:rsid w:val="5F57EFD0"/>
    <w:rsid w:val="5F5FEB36"/>
    <w:rsid w:val="5F64F4D3"/>
    <w:rsid w:val="5F76FA41"/>
    <w:rsid w:val="5F7FDDD7"/>
    <w:rsid w:val="5F8447A8"/>
    <w:rsid w:val="5F887A1C"/>
    <w:rsid w:val="5FACC3B1"/>
    <w:rsid w:val="5FC24D03"/>
    <w:rsid w:val="5FCAB5AA"/>
    <w:rsid w:val="5FCF825B"/>
    <w:rsid w:val="5FD0B9B2"/>
    <w:rsid w:val="5FD27F4E"/>
    <w:rsid w:val="5FD29BA8"/>
    <w:rsid w:val="5FD39FEA"/>
    <w:rsid w:val="5FDCF7C5"/>
    <w:rsid w:val="5FDEBA00"/>
    <w:rsid w:val="5FE8C6E8"/>
    <w:rsid w:val="5FF6C5BD"/>
    <w:rsid w:val="5FFF14D2"/>
    <w:rsid w:val="60111F4B"/>
    <w:rsid w:val="601A61B8"/>
    <w:rsid w:val="601AE436"/>
    <w:rsid w:val="602595B4"/>
    <w:rsid w:val="6031A141"/>
    <w:rsid w:val="60441CBD"/>
    <w:rsid w:val="6053E2DB"/>
    <w:rsid w:val="6053FF95"/>
    <w:rsid w:val="609BBEC8"/>
    <w:rsid w:val="60A2252F"/>
    <w:rsid w:val="60A8ADCA"/>
    <w:rsid w:val="60B01744"/>
    <w:rsid w:val="60B736D9"/>
    <w:rsid w:val="60C5CE68"/>
    <w:rsid w:val="610153EF"/>
    <w:rsid w:val="61099A27"/>
    <w:rsid w:val="6135BDBE"/>
    <w:rsid w:val="613CC0BE"/>
    <w:rsid w:val="6179CEB9"/>
    <w:rsid w:val="61901938"/>
    <w:rsid w:val="619FAC0F"/>
    <w:rsid w:val="61A1110E"/>
    <w:rsid w:val="61A27283"/>
    <w:rsid w:val="61B10144"/>
    <w:rsid w:val="61B5EB34"/>
    <w:rsid w:val="61BEFF0A"/>
    <w:rsid w:val="61D34FEE"/>
    <w:rsid w:val="61F9D74F"/>
    <w:rsid w:val="61FCA5AF"/>
    <w:rsid w:val="62013C93"/>
    <w:rsid w:val="62108E3C"/>
    <w:rsid w:val="622C6FE5"/>
    <w:rsid w:val="62378E0E"/>
    <w:rsid w:val="62596AC6"/>
    <w:rsid w:val="626A0044"/>
    <w:rsid w:val="626D40EC"/>
    <w:rsid w:val="626F3257"/>
    <w:rsid w:val="629AAFBC"/>
    <w:rsid w:val="62AD1997"/>
    <w:rsid w:val="62B8CD93"/>
    <w:rsid w:val="62CB0587"/>
    <w:rsid w:val="62EA3138"/>
    <w:rsid w:val="6310B888"/>
    <w:rsid w:val="6310C8FE"/>
    <w:rsid w:val="6323A0BE"/>
    <w:rsid w:val="6333BBDC"/>
    <w:rsid w:val="6334D9DB"/>
    <w:rsid w:val="633B5909"/>
    <w:rsid w:val="6341F97D"/>
    <w:rsid w:val="635813B5"/>
    <w:rsid w:val="635B9D00"/>
    <w:rsid w:val="635D6A10"/>
    <w:rsid w:val="636BF315"/>
    <w:rsid w:val="63A96E14"/>
    <w:rsid w:val="63C4DC78"/>
    <w:rsid w:val="63C7F01C"/>
    <w:rsid w:val="63C8C4BA"/>
    <w:rsid w:val="63C942D4"/>
    <w:rsid w:val="63ECC14C"/>
    <w:rsid w:val="63F95CCD"/>
    <w:rsid w:val="63FB1D4C"/>
    <w:rsid w:val="641A7264"/>
    <w:rsid w:val="64298072"/>
    <w:rsid w:val="643C0F6D"/>
    <w:rsid w:val="64512342"/>
    <w:rsid w:val="645DEA3F"/>
    <w:rsid w:val="64963237"/>
    <w:rsid w:val="649C80E4"/>
    <w:rsid w:val="64A8F6E6"/>
    <w:rsid w:val="64AD2161"/>
    <w:rsid w:val="64BBA8A4"/>
    <w:rsid w:val="64C9E2BD"/>
    <w:rsid w:val="64D08BF6"/>
    <w:rsid w:val="64D93981"/>
    <w:rsid w:val="64ECF592"/>
    <w:rsid w:val="64FCFBC7"/>
    <w:rsid w:val="65016154"/>
    <w:rsid w:val="6501D637"/>
    <w:rsid w:val="650D81FD"/>
    <w:rsid w:val="651E0A27"/>
    <w:rsid w:val="651F9A16"/>
    <w:rsid w:val="6525DDCC"/>
    <w:rsid w:val="65263954"/>
    <w:rsid w:val="65292150"/>
    <w:rsid w:val="652B9EDF"/>
    <w:rsid w:val="653A9B9D"/>
    <w:rsid w:val="65473E26"/>
    <w:rsid w:val="656536C0"/>
    <w:rsid w:val="65858E19"/>
    <w:rsid w:val="658F6D16"/>
    <w:rsid w:val="6591B2B0"/>
    <w:rsid w:val="6596E35E"/>
    <w:rsid w:val="659A2A6D"/>
    <w:rsid w:val="65A8029E"/>
    <w:rsid w:val="65B08FB1"/>
    <w:rsid w:val="65BD9400"/>
    <w:rsid w:val="65C9D0B4"/>
    <w:rsid w:val="65CE3851"/>
    <w:rsid w:val="65DACB1D"/>
    <w:rsid w:val="65DDE023"/>
    <w:rsid w:val="65E467AD"/>
    <w:rsid w:val="65FBEBEC"/>
    <w:rsid w:val="6600DF31"/>
    <w:rsid w:val="660C47C7"/>
    <w:rsid w:val="6614E53B"/>
    <w:rsid w:val="66197643"/>
    <w:rsid w:val="661E9547"/>
    <w:rsid w:val="66265EB1"/>
    <w:rsid w:val="6636893E"/>
    <w:rsid w:val="66487B11"/>
    <w:rsid w:val="66487F68"/>
    <w:rsid w:val="665E6A14"/>
    <w:rsid w:val="66619CE2"/>
    <w:rsid w:val="667C2D65"/>
    <w:rsid w:val="668577E6"/>
    <w:rsid w:val="668A2CE8"/>
    <w:rsid w:val="6690814E"/>
    <w:rsid w:val="66912C88"/>
    <w:rsid w:val="6691650C"/>
    <w:rsid w:val="66A2C4E9"/>
    <w:rsid w:val="66ABFA77"/>
    <w:rsid w:val="66BA469F"/>
    <w:rsid w:val="66CD9E87"/>
    <w:rsid w:val="66D5C1D8"/>
    <w:rsid w:val="66DCE0FF"/>
    <w:rsid w:val="66DFD8BE"/>
    <w:rsid w:val="66E51BBD"/>
    <w:rsid w:val="66EAD84E"/>
    <w:rsid w:val="66ED6BB3"/>
    <w:rsid w:val="66FFDA3B"/>
    <w:rsid w:val="6717BC7D"/>
    <w:rsid w:val="6723D999"/>
    <w:rsid w:val="672A2D05"/>
    <w:rsid w:val="6734A16C"/>
    <w:rsid w:val="674CD08C"/>
    <w:rsid w:val="6763D7FB"/>
    <w:rsid w:val="677551C1"/>
    <w:rsid w:val="6787028F"/>
    <w:rsid w:val="679592E0"/>
    <w:rsid w:val="679B8AF9"/>
    <w:rsid w:val="67AE14FE"/>
    <w:rsid w:val="67C50890"/>
    <w:rsid w:val="67C6D550"/>
    <w:rsid w:val="67D589BB"/>
    <w:rsid w:val="6806280F"/>
    <w:rsid w:val="680C69B3"/>
    <w:rsid w:val="68179EBF"/>
    <w:rsid w:val="681E1E37"/>
    <w:rsid w:val="681EB504"/>
    <w:rsid w:val="6822A36B"/>
    <w:rsid w:val="683F2451"/>
    <w:rsid w:val="685C7DB4"/>
    <w:rsid w:val="685CC819"/>
    <w:rsid w:val="6864E5BB"/>
    <w:rsid w:val="68775056"/>
    <w:rsid w:val="689D5170"/>
    <w:rsid w:val="689F9ED4"/>
    <w:rsid w:val="68B58508"/>
    <w:rsid w:val="68B8B4BE"/>
    <w:rsid w:val="68C27217"/>
    <w:rsid w:val="68C9C70D"/>
    <w:rsid w:val="68CA2997"/>
    <w:rsid w:val="68CF4C6F"/>
    <w:rsid w:val="68D6FFA6"/>
    <w:rsid w:val="68D8CDB3"/>
    <w:rsid w:val="68DFF47B"/>
    <w:rsid w:val="68E41A13"/>
    <w:rsid w:val="68E9E5BB"/>
    <w:rsid w:val="68FE9886"/>
    <w:rsid w:val="691407AA"/>
    <w:rsid w:val="691B289F"/>
    <w:rsid w:val="69252828"/>
    <w:rsid w:val="695175BB"/>
    <w:rsid w:val="695ECB43"/>
    <w:rsid w:val="6968D77B"/>
    <w:rsid w:val="697BB0FE"/>
    <w:rsid w:val="6983FFA7"/>
    <w:rsid w:val="698E906D"/>
    <w:rsid w:val="699180FD"/>
    <w:rsid w:val="6992DD0D"/>
    <w:rsid w:val="69A5158A"/>
    <w:rsid w:val="69AFBC5A"/>
    <w:rsid w:val="69BF8FF0"/>
    <w:rsid w:val="69C0455D"/>
    <w:rsid w:val="69D5E66F"/>
    <w:rsid w:val="69DA2152"/>
    <w:rsid w:val="69DF85DB"/>
    <w:rsid w:val="69E42870"/>
    <w:rsid w:val="69E5875D"/>
    <w:rsid w:val="69EA3A49"/>
    <w:rsid w:val="69F5BE87"/>
    <w:rsid w:val="6A0A6031"/>
    <w:rsid w:val="6A269BA4"/>
    <w:rsid w:val="6A30E13A"/>
    <w:rsid w:val="6A5BF9F7"/>
    <w:rsid w:val="6A676F35"/>
    <w:rsid w:val="6A820B2D"/>
    <w:rsid w:val="6A97816F"/>
    <w:rsid w:val="6A9C982C"/>
    <w:rsid w:val="6AB15004"/>
    <w:rsid w:val="6ADB9AE5"/>
    <w:rsid w:val="6ADC1072"/>
    <w:rsid w:val="6ADF1724"/>
    <w:rsid w:val="6AE32B15"/>
    <w:rsid w:val="6B07C9E5"/>
    <w:rsid w:val="6B11D243"/>
    <w:rsid w:val="6B129329"/>
    <w:rsid w:val="6B12960D"/>
    <w:rsid w:val="6B255CCF"/>
    <w:rsid w:val="6B36D7C2"/>
    <w:rsid w:val="6B3DDA1C"/>
    <w:rsid w:val="6B435892"/>
    <w:rsid w:val="6B47DB7D"/>
    <w:rsid w:val="6B49284C"/>
    <w:rsid w:val="6B51C34E"/>
    <w:rsid w:val="6B706563"/>
    <w:rsid w:val="6B82D745"/>
    <w:rsid w:val="6B8550D5"/>
    <w:rsid w:val="6B85FCC3"/>
    <w:rsid w:val="6B866A94"/>
    <w:rsid w:val="6B87DBD6"/>
    <w:rsid w:val="6B889644"/>
    <w:rsid w:val="6BA09BA4"/>
    <w:rsid w:val="6BA91691"/>
    <w:rsid w:val="6BBEAB0C"/>
    <w:rsid w:val="6BC4997C"/>
    <w:rsid w:val="6BC791D2"/>
    <w:rsid w:val="6BCF60A9"/>
    <w:rsid w:val="6BD33433"/>
    <w:rsid w:val="6BD65BC9"/>
    <w:rsid w:val="6BD66BF3"/>
    <w:rsid w:val="6BDEF69F"/>
    <w:rsid w:val="6C103AEA"/>
    <w:rsid w:val="6C13AADD"/>
    <w:rsid w:val="6C18630B"/>
    <w:rsid w:val="6C195D9C"/>
    <w:rsid w:val="6C1DA14C"/>
    <w:rsid w:val="6C1DD7A6"/>
    <w:rsid w:val="6C43892E"/>
    <w:rsid w:val="6C5B2EBC"/>
    <w:rsid w:val="6C5BAA70"/>
    <w:rsid w:val="6C5D0C60"/>
    <w:rsid w:val="6C63208C"/>
    <w:rsid w:val="6C6AF232"/>
    <w:rsid w:val="6C6FB903"/>
    <w:rsid w:val="6C75FA04"/>
    <w:rsid w:val="6C784AFF"/>
    <w:rsid w:val="6C7F0DB1"/>
    <w:rsid w:val="6C812C38"/>
    <w:rsid w:val="6CDF4C7E"/>
    <w:rsid w:val="6CE4258B"/>
    <w:rsid w:val="6D2A2160"/>
    <w:rsid w:val="6D312A93"/>
    <w:rsid w:val="6D3770A2"/>
    <w:rsid w:val="6D3972AC"/>
    <w:rsid w:val="6D51FE1B"/>
    <w:rsid w:val="6D5699D4"/>
    <w:rsid w:val="6D57274B"/>
    <w:rsid w:val="6D606BAE"/>
    <w:rsid w:val="6D7086FF"/>
    <w:rsid w:val="6D71F48E"/>
    <w:rsid w:val="6D738BB2"/>
    <w:rsid w:val="6D84B4F8"/>
    <w:rsid w:val="6DBF1BD0"/>
    <w:rsid w:val="6DCAC609"/>
    <w:rsid w:val="6DDF6AE4"/>
    <w:rsid w:val="6DEF7D6E"/>
    <w:rsid w:val="6DF9B337"/>
    <w:rsid w:val="6E06A9EA"/>
    <w:rsid w:val="6E11DE92"/>
    <w:rsid w:val="6E143A3F"/>
    <w:rsid w:val="6E15DCB0"/>
    <w:rsid w:val="6E1742C6"/>
    <w:rsid w:val="6E42A81C"/>
    <w:rsid w:val="6E4AF46E"/>
    <w:rsid w:val="6E5EF6E6"/>
    <w:rsid w:val="6E70BB0B"/>
    <w:rsid w:val="6E938451"/>
    <w:rsid w:val="6E982A54"/>
    <w:rsid w:val="6EA06C90"/>
    <w:rsid w:val="6EA52795"/>
    <w:rsid w:val="6EB14ADD"/>
    <w:rsid w:val="6EB3A5E3"/>
    <w:rsid w:val="6EB6365F"/>
    <w:rsid w:val="6EC24E84"/>
    <w:rsid w:val="6EDE29A2"/>
    <w:rsid w:val="6EE4FB9F"/>
    <w:rsid w:val="6EF72807"/>
    <w:rsid w:val="6EF792BB"/>
    <w:rsid w:val="6EF93EA3"/>
    <w:rsid w:val="6EFF403B"/>
    <w:rsid w:val="6F05C3A7"/>
    <w:rsid w:val="6F4FCBE4"/>
    <w:rsid w:val="6F522BD8"/>
    <w:rsid w:val="6F5A9C15"/>
    <w:rsid w:val="6F6A9082"/>
    <w:rsid w:val="6F7EE584"/>
    <w:rsid w:val="6F8118B0"/>
    <w:rsid w:val="6F862070"/>
    <w:rsid w:val="6F89DB57"/>
    <w:rsid w:val="6F9B9AC6"/>
    <w:rsid w:val="6FB2DA3E"/>
    <w:rsid w:val="6FB38B63"/>
    <w:rsid w:val="6FB875FA"/>
    <w:rsid w:val="6FD437B4"/>
    <w:rsid w:val="6FD6BF70"/>
    <w:rsid w:val="6FD90BBE"/>
    <w:rsid w:val="6FF066B8"/>
    <w:rsid w:val="702AE077"/>
    <w:rsid w:val="702C87C6"/>
    <w:rsid w:val="704E65EF"/>
    <w:rsid w:val="7064CE13"/>
    <w:rsid w:val="7069CB02"/>
    <w:rsid w:val="707992E5"/>
    <w:rsid w:val="707E50B1"/>
    <w:rsid w:val="709AB70D"/>
    <w:rsid w:val="70B08CA4"/>
    <w:rsid w:val="70D20FC9"/>
    <w:rsid w:val="70D5B6CB"/>
    <w:rsid w:val="70DCD3C4"/>
    <w:rsid w:val="70EC29E1"/>
    <w:rsid w:val="70F1E293"/>
    <w:rsid w:val="710060F6"/>
    <w:rsid w:val="7102AA77"/>
    <w:rsid w:val="7103D966"/>
    <w:rsid w:val="7109BACC"/>
    <w:rsid w:val="711ED816"/>
    <w:rsid w:val="71207A4B"/>
    <w:rsid w:val="7122E52B"/>
    <w:rsid w:val="712B750D"/>
    <w:rsid w:val="7132E1D4"/>
    <w:rsid w:val="7167BED7"/>
    <w:rsid w:val="717F895C"/>
    <w:rsid w:val="71850E5E"/>
    <w:rsid w:val="719B0923"/>
    <w:rsid w:val="71B18765"/>
    <w:rsid w:val="71B74B7E"/>
    <w:rsid w:val="71B87916"/>
    <w:rsid w:val="71C9CF43"/>
    <w:rsid w:val="71D5FC65"/>
    <w:rsid w:val="71D7FA23"/>
    <w:rsid w:val="71E27E86"/>
    <w:rsid w:val="71EA9140"/>
    <w:rsid w:val="71FBF3C5"/>
    <w:rsid w:val="72091F61"/>
    <w:rsid w:val="72188D3D"/>
    <w:rsid w:val="72243E3E"/>
    <w:rsid w:val="7228BA7C"/>
    <w:rsid w:val="72409804"/>
    <w:rsid w:val="725E94CA"/>
    <w:rsid w:val="72764CBF"/>
    <w:rsid w:val="72962AB0"/>
    <w:rsid w:val="72964503"/>
    <w:rsid w:val="72A94EA2"/>
    <w:rsid w:val="72BD7493"/>
    <w:rsid w:val="72BDFFBB"/>
    <w:rsid w:val="72BF64A2"/>
    <w:rsid w:val="72CD1B0C"/>
    <w:rsid w:val="72D20E39"/>
    <w:rsid w:val="72D6DE55"/>
    <w:rsid w:val="72E72480"/>
    <w:rsid w:val="72FE34A7"/>
    <w:rsid w:val="730146D0"/>
    <w:rsid w:val="730776B4"/>
    <w:rsid w:val="73090E0C"/>
    <w:rsid w:val="73466ED8"/>
    <w:rsid w:val="735D331E"/>
    <w:rsid w:val="73605029"/>
    <w:rsid w:val="73620570"/>
    <w:rsid w:val="73636FE8"/>
    <w:rsid w:val="736B3AAC"/>
    <w:rsid w:val="73935EE0"/>
    <w:rsid w:val="739AC7AD"/>
    <w:rsid w:val="73AD8F13"/>
    <w:rsid w:val="73CE4809"/>
    <w:rsid w:val="73CF5122"/>
    <w:rsid w:val="73D5A49C"/>
    <w:rsid w:val="73F0543F"/>
    <w:rsid w:val="740BBC6A"/>
    <w:rsid w:val="740D11F3"/>
    <w:rsid w:val="742390F7"/>
    <w:rsid w:val="74331900"/>
    <w:rsid w:val="7474B53D"/>
    <w:rsid w:val="7492C900"/>
    <w:rsid w:val="74964B43"/>
    <w:rsid w:val="74ADED84"/>
    <w:rsid w:val="74B0EC7F"/>
    <w:rsid w:val="74B5EAC7"/>
    <w:rsid w:val="74DBC16A"/>
    <w:rsid w:val="74F34CD2"/>
    <w:rsid w:val="74F417A6"/>
    <w:rsid w:val="74F56175"/>
    <w:rsid w:val="75077252"/>
    <w:rsid w:val="750A1696"/>
    <w:rsid w:val="7527CD42"/>
    <w:rsid w:val="75368301"/>
    <w:rsid w:val="7536D440"/>
    <w:rsid w:val="7551AFA5"/>
    <w:rsid w:val="7569648F"/>
    <w:rsid w:val="756AA9D3"/>
    <w:rsid w:val="7575D7E0"/>
    <w:rsid w:val="757655D0"/>
    <w:rsid w:val="757E70AE"/>
    <w:rsid w:val="758027AC"/>
    <w:rsid w:val="75834F66"/>
    <w:rsid w:val="7593F7A9"/>
    <w:rsid w:val="759B06C6"/>
    <w:rsid w:val="75AB5943"/>
    <w:rsid w:val="75AD5044"/>
    <w:rsid w:val="75AFADA5"/>
    <w:rsid w:val="75B5DF2F"/>
    <w:rsid w:val="75B6369D"/>
    <w:rsid w:val="75B6B51D"/>
    <w:rsid w:val="75E18157"/>
    <w:rsid w:val="75E76D97"/>
    <w:rsid w:val="760636AD"/>
    <w:rsid w:val="760E0DF3"/>
    <w:rsid w:val="7620B4E9"/>
    <w:rsid w:val="7634BD43"/>
    <w:rsid w:val="76418263"/>
    <w:rsid w:val="76594877"/>
    <w:rsid w:val="765C371A"/>
    <w:rsid w:val="766D900C"/>
    <w:rsid w:val="767F2B58"/>
    <w:rsid w:val="7682A5B8"/>
    <w:rsid w:val="7684074B"/>
    <w:rsid w:val="76A4C3D8"/>
    <w:rsid w:val="76A679E1"/>
    <w:rsid w:val="76C7A9D2"/>
    <w:rsid w:val="76D301BC"/>
    <w:rsid w:val="76E9FAAE"/>
    <w:rsid w:val="76EB3639"/>
    <w:rsid w:val="7701B32D"/>
    <w:rsid w:val="77111DE9"/>
    <w:rsid w:val="7730B5B3"/>
    <w:rsid w:val="773E3567"/>
    <w:rsid w:val="7745CCD5"/>
    <w:rsid w:val="774C99D7"/>
    <w:rsid w:val="774DB0F0"/>
    <w:rsid w:val="7752DF46"/>
    <w:rsid w:val="7757183E"/>
    <w:rsid w:val="775C90DA"/>
    <w:rsid w:val="7769C504"/>
    <w:rsid w:val="776AAC82"/>
    <w:rsid w:val="777AC098"/>
    <w:rsid w:val="77858026"/>
    <w:rsid w:val="778BBC6B"/>
    <w:rsid w:val="77B9CF98"/>
    <w:rsid w:val="77D35F0B"/>
    <w:rsid w:val="77D5D3F2"/>
    <w:rsid w:val="780006E2"/>
    <w:rsid w:val="78060D43"/>
    <w:rsid w:val="7806E999"/>
    <w:rsid w:val="780E2589"/>
    <w:rsid w:val="780EB978"/>
    <w:rsid w:val="7811ED9F"/>
    <w:rsid w:val="781CC60E"/>
    <w:rsid w:val="782030C2"/>
    <w:rsid w:val="78316E3F"/>
    <w:rsid w:val="7831BC03"/>
    <w:rsid w:val="78356507"/>
    <w:rsid w:val="785F8686"/>
    <w:rsid w:val="78631CD3"/>
    <w:rsid w:val="786B7462"/>
    <w:rsid w:val="78754ADC"/>
    <w:rsid w:val="789ACA70"/>
    <w:rsid w:val="789CACCC"/>
    <w:rsid w:val="78B6BDCA"/>
    <w:rsid w:val="78B747BD"/>
    <w:rsid w:val="78C5BC3F"/>
    <w:rsid w:val="78D081CD"/>
    <w:rsid w:val="78D37F08"/>
    <w:rsid w:val="78D96B5B"/>
    <w:rsid w:val="78DCD997"/>
    <w:rsid w:val="78E0DE3A"/>
    <w:rsid w:val="78EC0893"/>
    <w:rsid w:val="78F51AAB"/>
    <w:rsid w:val="78F89AFD"/>
    <w:rsid w:val="790851F7"/>
    <w:rsid w:val="79085C22"/>
    <w:rsid w:val="790BE5B3"/>
    <w:rsid w:val="7933C0C9"/>
    <w:rsid w:val="794189E6"/>
    <w:rsid w:val="794F41C3"/>
    <w:rsid w:val="796603A8"/>
    <w:rsid w:val="7972E789"/>
    <w:rsid w:val="7974CC51"/>
    <w:rsid w:val="797747E0"/>
    <w:rsid w:val="797D7E23"/>
    <w:rsid w:val="79860AA3"/>
    <w:rsid w:val="798BB4DC"/>
    <w:rsid w:val="799AB4F1"/>
    <w:rsid w:val="79C56EE8"/>
    <w:rsid w:val="79E0E5B3"/>
    <w:rsid w:val="79ED581A"/>
    <w:rsid w:val="7A0B0B71"/>
    <w:rsid w:val="7A15F735"/>
    <w:rsid w:val="7A3DB192"/>
    <w:rsid w:val="7A3DDD66"/>
    <w:rsid w:val="7A423473"/>
    <w:rsid w:val="7A6D25AC"/>
    <w:rsid w:val="7A7519B0"/>
    <w:rsid w:val="7A75BC11"/>
    <w:rsid w:val="7A786E38"/>
    <w:rsid w:val="7A7E98F2"/>
    <w:rsid w:val="7A900D96"/>
    <w:rsid w:val="7A9137DB"/>
    <w:rsid w:val="7A95FF1F"/>
    <w:rsid w:val="7A99CCD3"/>
    <w:rsid w:val="7AAD869D"/>
    <w:rsid w:val="7AB00872"/>
    <w:rsid w:val="7ABBC607"/>
    <w:rsid w:val="7AC27672"/>
    <w:rsid w:val="7AC5F286"/>
    <w:rsid w:val="7ADA743E"/>
    <w:rsid w:val="7AE7B184"/>
    <w:rsid w:val="7AEB9DC9"/>
    <w:rsid w:val="7B08B091"/>
    <w:rsid w:val="7B152518"/>
    <w:rsid w:val="7B15CC94"/>
    <w:rsid w:val="7B16BCCC"/>
    <w:rsid w:val="7B1A9986"/>
    <w:rsid w:val="7B45F33A"/>
    <w:rsid w:val="7B54B9E9"/>
    <w:rsid w:val="7B55B998"/>
    <w:rsid w:val="7B5DC965"/>
    <w:rsid w:val="7B692C60"/>
    <w:rsid w:val="7B8DAD07"/>
    <w:rsid w:val="7B937A97"/>
    <w:rsid w:val="7B98C010"/>
    <w:rsid w:val="7BAC6155"/>
    <w:rsid w:val="7BB4954A"/>
    <w:rsid w:val="7BC2F50C"/>
    <w:rsid w:val="7BEBF614"/>
    <w:rsid w:val="7BEC2DA0"/>
    <w:rsid w:val="7BF1D7E5"/>
    <w:rsid w:val="7BF22013"/>
    <w:rsid w:val="7BF7AB59"/>
    <w:rsid w:val="7C04327A"/>
    <w:rsid w:val="7C0D1391"/>
    <w:rsid w:val="7C30D7F6"/>
    <w:rsid w:val="7C41FDDA"/>
    <w:rsid w:val="7C5BF633"/>
    <w:rsid w:val="7C74B09B"/>
    <w:rsid w:val="7C825ADE"/>
    <w:rsid w:val="7C85FB9F"/>
    <w:rsid w:val="7CA0A355"/>
    <w:rsid w:val="7CB1A9D9"/>
    <w:rsid w:val="7CC4DE6D"/>
    <w:rsid w:val="7CC5E283"/>
    <w:rsid w:val="7CD99A38"/>
    <w:rsid w:val="7CDC9DC0"/>
    <w:rsid w:val="7CFF84D0"/>
    <w:rsid w:val="7D12ED1E"/>
    <w:rsid w:val="7D13171C"/>
    <w:rsid w:val="7D145306"/>
    <w:rsid w:val="7D2CB578"/>
    <w:rsid w:val="7D3C2E5E"/>
    <w:rsid w:val="7D3DAB01"/>
    <w:rsid w:val="7D4EF1B4"/>
    <w:rsid w:val="7D55FC22"/>
    <w:rsid w:val="7D59F555"/>
    <w:rsid w:val="7D6744AF"/>
    <w:rsid w:val="7D9E8508"/>
    <w:rsid w:val="7D9EA196"/>
    <w:rsid w:val="7DABB275"/>
    <w:rsid w:val="7DB7886A"/>
    <w:rsid w:val="7DCA1C6C"/>
    <w:rsid w:val="7DD3D4B7"/>
    <w:rsid w:val="7DE3F58D"/>
    <w:rsid w:val="7E00A90A"/>
    <w:rsid w:val="7E02F986"/>
    <w:rsid w:val="7E25D274"/>
    <w:rsid w:val="7E2620E1"/>
    <w:rsid w:val="7E29EA04"/>
    <w:rsid w:val="7E2DD11C"/>
    <w:rsid w:val="7E3FF100"/>
    <w:rsid w:val="7E4554FB"/>
    <w:rsid w:val="7E56EE53"/>
    <w:rsid w:val="7E6CDA2A"/>
    <w:rsid w:val="7E821CAB"/>
    <w:rsid w:val="7E82B99B"/>
    <w:rsid w:val="7E8E1600"/>
    <w:rsid w:val="7E9EC7F5"/>
    <w:rsid w:val="7EADAF6F"/>
    <w:rsid w:val="7EBD86E2"/>
    <w:rsid w:val="7EC3B7A2"/>
    <w:rsid w:val="7EC6019C"/>
    <w:rsid w:val="7EC7C73B"/>
    <w:rsid w:val="7EE04AD0"/>
    <w:rsid w:val="7EE4C277"/>
    <w:rsid w:val="7EF8A819"/>
    <w:rsid w:val="7EFA9B2B"/>
    <w:rsid w:val="7EFC1E49"/>
    <w:rsid w:val="7F08E20A"/>
    <w:rsid w:val="7F0F91BE"/>
    <w:rsid w:val="7F153627"/>
    <w:rsid w:val="7F188F95"/>
    <w:rsid w:val="7F31A106"/>
    <w:rsid w:val="7F40D58A"/>
    <w:rsid w:val="7F4E4A1C"/>
    <w:rsid w:val="7F50F0E0"/>
    <w:rsid w:val="7F65A243"/>
    <w:rsid w:val="7F782770"/>
    <w:rsid w:val="7F7D9B25"/>
    <w:rsid w:val="7F82EF75"/>
    <w:rsid w:val="7FC02F35"/>
    <w:rsid w:val="7FC7EC9C"/>
    <w:rsid w:val="7FDFF47F"/>
    <w:rsid w:val="7FE1FE03"/>
    <w:rsid w:val="7FE26494"/>
    <w:rsid w:val="7FE63D2D"/>
    <w:rsid w:val="7FEDFBBC"/>
    <w:rsid w:val="7FF1DE65"/>
    <w:rsid w:val="7FFA6E71"/>
    <w:rsid w:val="7FFE7F1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6256EE"/>
  <w15:docId w15:val="{3FC18028-9F72-43A7-9ADB-EC507D85CF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0009"/>
    <w:pPr>
      <w:spacing w:after="0" w:line="240" w:lineRule="auto"/>
    </w:pPr>
    <w:rPr>
      <w:rFonts w:ascii="Times New Roman" w:eastAsia="Times New Roman" w:hAnsi="Times New Roman" w:cs="Times New Roman"/>
      <w:sz w:val="20"/>
      <w:szCs w:val="20"/>
    </w:rPr>
  </w:style>
  <w:style w:type="paragraph" w:styleId="Heading1">
    <w:name w:val="heading 1"/>
    <w:basedOn w:val="Normal"/>
    <w:next w:val="BodyText"/>
    <w:link w:val="Heading1Char"/>
    <w:qFormat/>
    <w:rsid w:val="009E63D8"/>
    <w:pPr>
      <w:keepNext/>
      <w:numPr>
        <w:numId w:val="9"/>
      </w:numPr>
      <w:tabs>
        <w:tab w:val="left" w:pos="284"/>
      </w:tabs>
      <w:spacing w:after="720"/>
      <w:outlineLvl w:val="0"/>
    </w:pPr>
    <w:rPr>
      <w:rFonts w:ascii="Arial" w:hAnsi="Arial"/>
      <w:caps/>
      <w:color w:val="00426F"/>
      <w:kern w:val="28"/>
      <w:sz w:val="40"/>
      <w:szCs w:val="36"/>
    </w:rPr>
  </w:style>
  <w:style w:type="paragraph" w:styleId="Heading2">
    <w:name w:val="heading 2"/>
    <w:basedOn w:val="Normal"/>
    <w:next w:val="BodyText"/>
    <w:link w:val="Heading2Char"/>
    <w:qFormat/>
    <w:rsid w:val="009F0C9A"/>
    <w:pPr>
      <w:keepNext/>
      <w:widowControl w:val="0"/>
      <w:numPr>
        <w:numId w:val="10"/>
      </w:numPr>
      <w:pBdr>
        <w:bottom w:val="single" w:sz="4" w:space="4" w:color="53C8E9"/>
      </w:pBdr>
      <w:tabs>
        <w:tab w:val="left" w:pos="624"/>
      </w:tabs>
      <w:spacing w:before="240" w:after="100"/>
      <w:ind w:left="624" w:hanging="624"/>
      <w:outlineLvl w:val="1"/>
    </w:pPr>
    <w:rPr>
      <w:rFonts w:ascii="Arial Bold" w:hAnsi="Arial Bold"/>
      <w:b/>
      <w:color w:val="53C8E9"/>
      <w:kern w:val="28"/>
      <w:sz w:val="28"/>
      <w:szCs w:val="36"/>
    </w:rPr>
  </w:style>
  <w:style w:type="paragraph" w:styleId="Heading3">
    <w:name w:val="heading 3"/>
    <w:basedOn w:val="Heading2"/>
    <w:next w:val="BodyText"/>
    <w:link w:val="Heading3Char"/>
    <w:qFormat/>
    <w:rsid w:val="00E2606A"/>
    <w:pPr>
      <w:numPr>
        <w:ilvl w:val="2"/>
      </w:numPr>
      <w:pBdr>
        <w:bottom w:val="none" w:sz="0" w:space="0" w:color="auto"/>
      </w:pBdr>
      <w:spacing w:before="320" w:after="120" w:line="240" w:lineRule="atLeast"/>
      <w:outlineLvl w:val="2"/>
    </w:pPr>
    <w:rPr>
      <w:color w:val="auto"/>
      <w:sz w:val="26"/>
    </w:rPr>
  </w:style>
  <w:style w:type="paragraph" w:styleId="Heading4">
    <w:name w:val="heading 4"/>
    <w:basedOn w:val="Heading3"/>
    <w:next w:val="Normal"/>
    <w:link w:val="Heading4Char"/>
    <w:qFormat/>
    <w:rsid w:val="00E47A4C"/>
    <w:pPr>
      <w:numPr>
        <w:ilvl w:val="0"/>
      </w:numPr>
      <w:outlineLvl w:val="3"/>
    </w:pPr>
    <w:rPr>
      <w:sz w:val="25"/>
    </w:rPr>
  </w:style>
  <w:style w:type="paragraph" w:styleId="Heading5">
    <w:name w:val="heading 5"/>
    <w:basedOn w:val="Heading4"/>
    <w:next w:val="BodyText"/>
    <w:link w:val="Heading5Char"/>
    <w:qFormat/>
    <w:rsid w:val="00257D1B"/>
    <w:pPr>
      <w:spacing w:after="60" w:line="320" w:lineRule="exact"/>
      <w:outlineLvl w:val="4"/>
    </w:pPr>
    <w:rPr>
      <w:i/>
      <w:sz w:val="24"/>
    </w:rPr>
  </w:style>
  <w:style w:type="paragraph" w:styleId="Heading6">
    <w:name w:val="heading 6"/>
    <w:basedOn w:val="Heading1"/>
    <w:next w:val="Normal"/>
    <w:link w:val="Heading6Char"/>
    <w:qFormat/>
    <w:rsid w:val="00034310"/>
    <w:pPr>
      <w:numPr>
        <w:ilvl w:val="5"/>
      </w:numPr>
      <w:spacing w:before="120"/>
      <w:outlineLvl w:val="5"/>
    </w:pPr>
    <w:rPr>
      <w:rFonts w:ascii="Times New Roman" w:hAnsi="Times New Roman"/>
      <w:b/>
      <w:i/>
      <w:caps w:val="0"/>
      <w:kern w:val="0"/>
      <w:sz w:val="24"/>
    </w:rPr>
  </w:style>
  <w:style w:type="paragraph" w:styleId="Heading7">
    <w:name w:val="heading 7"/>
    <w:basedOn w:val="Heading5"/>
    <w:next w:val="Normal"/>
    <w:link w:val="Heading7Char"/>
    <w:qFormat/>
    <w:rsid w:val="00034310"/>
    <w:pPr>
      <w:spacing w:before="120"/>
      <w:jc w:val="both"/>
      <w:outlineLvl w:val="6"/>
    </w:pPr>
    <w:rPr>
      <w:i w:val="0"/>
      <w:sz w:val="23"/>
    </w:rPr>
  </w:style>
  <w:style w:type="paragraph" w:styleId="Heading8">
    <w:name w:val="heading 8"/>
    <w:basedOn w:val="Heading7"/>
    <w:next w:val="Normal"/>
    <w:link w:val="Heading8Char"/>
    <w:qFormat/>
    <w:rsid w:val="00034310"/>
    <w:pPr>
      <w:outlineLvl w:val="7"/>
    </w:pPr>
    <w:rPr>
      <w:i/>
    </w:rPr>
  </w:style>
  <w:style w:type="paragraph" w:styleId="Heading9">
    <w:name w:val="heading 9"/>
    <w:basedOn w:val="Heading8"/>
    <w:next w:val="Normal"/>
    <w:link w:val="Heading9Char"/>
    <w:qFormat/>
    <w:rsid w:val="00034310"/>
    <w:pPr>
      <w:outlineLvl w:val="8"/>
    </w:pPr>
    <w:rPr>
      <w:i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E63D8"/>
    <w:rPr>
      <w:rFonts w:ascii="Arial" w:eastAsia="Times New Roman" w:hAnsi="Arial" w:cs="Times New Roman"/>
      <w:caps/>
      <w:color w:val="00426F"/>
      <w:kern w:val="28"/>
      <w:sz w:val="40"/>
      <w:szCs w:val="36"/>
    </w:rPr>
  </w:style>
  <w:style w:type="paragraph" w:styleId="BalloonText">
    <w:name w:val="Balloon Text"/>
    <w:basedOn w:val="Normal"/>
    <w:link w:val="BalloonTextChar"/>
    <w:rsid w:val="00034310"/>
    <w:rPr>
      <w:rFonts w:ascii="Tahoma" w:hAnsi="Tahoma" w:cs="Tahoma"/>
      <w:sz w:val="16"/>
      <w:szCs w:val="16"/>
    </w:rPr>
  </w:style>
  <w:style w:type="character" w:customStyle="1" w:styleId="BalloonTextChar">
    <w:name w:val="Balloon Text Char"/>
    <w:link w:val="BalloonText"/>
    <w:rsid w:val="00034310"/>
    <w:rPr>
      <w:rFonts w:ascii="Tahoma" w:eastAsia="Times New Roman" w:hAnsi="Tahoma" w:cs="Tahoma"/>
      <w:sz w:val="16"/>
      <w:szCs w:val="16"/>
      <w:lang w:val="en-US"/>
    </w:rPr>
  </w:style>
  <w:style w:type="paragraph" w:styleId="BodyText">
    <w:name w:val="Body Text"/>
    <w:link w:val="BodyTextChar"/>
    <w:autoRedefine/>
    <w:rsid w:val="00DC5EFC"/>
    <w:pPr>
      <w:tabs>
        <w:tab w:val="left" w:pos="1387"/>
      </w:tabs>
      <w:spacing w:before="160" w:after="100" w:line="240" w:lineRule="auto"/>
    </w:pPr>
    <w:rPr>
      <w:rFonts w:ascii="Arial" w:hAnsi="Arial" w:cs="Arial"/>
      <w:bCs/>
      <w:sz w:val="23"/>
      <w:szCs w:val="20"/>
    </w:rPr>
  </w:style>
  <w:style w:type="character" w:customStyle="1" w:styleId="BodyTextChar">
    <w:name w:val="Body Text Char"/>
    <w:basedOn w:val="DefaultParagraphFont"/>
    <w:link w:val="BodyText"/>
    <w:rsid w:val="00DC5EFC"/>
    <w:rPr>
      <w:rFonts w:ascii="Arial" w:hAnsi="Arial" w:cs="Arial"/>
      <w:bCs/>
      <w:sz w:val="23"/>
      <w:szCs w:val="20"/>
    </w:rPr>
  </w:style>
  <w:style w:type="paragraph" w:customStyle="1" w:styleId="BodyText-Box">
    <w:name w:val="Body Text - Box"/>
    <w:basedOn w:val="BodyText"/>
    <w:autoRedefine/>
    <w:rsid w:val="00034310"/>
    <w:pPr>
      <w:tabs>
        <w:tab w:val="left" w:pos="567"/>
      </w:tabs>
      <w:spacing w:before="120" w:after="120"/>
      <w:ind w:right="-143"/>
    </w:pPr>
    <w:rPr>
      <w:rFonts w:ascii="Times New Roman" w:hAnsi="Times New Roman"/>
      <w:sz w:val="21"/>
      <w:szCs w:val="21"/>
      <w:lang w:eastAsia="en-AU"/>
    </w:rPr>
  </w:style>
  <w:style w:type="paragraph" w:customStyle="1" w:styleId="BodyTextBox">
    <w:name w:val="Body Text Box"/>
    <w:basedOn w:val="Normal"/>
    <w:link w:val="BodyTextBoxChar"/>
    <w:autoRedefine/>
    <w:rsid w:val="00820C69"/>
    <w:pPr>
      <w:spacing w:before="120" w:after="80" w:line="240" w:lineRule="atLeast"/>
    </w:pPr>
    <w:rPr>
      <w:rFonts w:ascii="Arial" w:hAnsi="Arial" w:cs="Arial"/>
      <w:color w:val="008EBA"/>
      <w:sz w:val="23"/>
      <w:szCs w:val="23"/>
    </w:rPr>
  </w:style>
  <w:style w:type="paragraph" w:customStyle="1" w:styleId="ObjectHeading">
    <w:name w:val="Object Heading"/>
    <w:basedOn w:val="Heading3"/>
    <w:next w:val="Normal"/>
    <w:rsid w:val="00034310"/>
    <w:pPr>
      <w:numPr>
        <w:ilvl w:val="0"/>
      </w:numPr>
      <w:tabs>
        <w:tab w:val="left" w:pos="1418"/>
      </w:tabs>
      <w:ind w:left="1418" w:hanging="1418"/>
    </w:pPr>
    <w:rPr>
      <w:kern w:val="0"/>
    </w:rPr>
  </w:style>
  <w:style w:type="paragraph" w:customStyle="1" w:styleId="Box51BoxHeading">
    <w:name w:val="Box 5.1 Box Heading"/>
    <w:basedOn w:val="ObjectHeading"/>
    <w:autoRedefine/>
    <w:rsid w:val="009375D4"/>
    <w:pPr>
      <w:keepNext w:val="0"/>
      <w:numPr>
        <w:numId w:val="0"/>
      </w:numPr>
      <w:tabs>
        <w:tab w:val="clear" w:pos="1418"/>
        <w:tab w:val="left" w:pos="1163"/>
      </w:tabs>
      <w:spacing w:before="80" w:after="60"/>
      <w:ind w:left="1191" w:hanging="1191"/>
    </w:pPr>
    <w:rPr>
      <w:rFonts w:cs="Arial"/>
      <w:sz w:val="23"/>
      <w:szCs w:val="20"/>
    </w:rPr>
  </w:style>
  <w:style w:type="paragraph" w:customStyle="1" w:styleId="Bullet1">
    <w:name w:val="Bullet 1"/>
    <w:basedOn w:val="BodyText"/>
    <w:link w:val="Bullet1Char"/>
    <w:autoRedefine/>
    <w:qFormat/>
    <w:rsid w:val="009E3984"/>
    <w:pPr>
      <w:numPr>
        <w:numId w:val="16"/>
      </w:numPr>
      <w:spacing w:before="120" w:after="80"/>
      <w:ind w:left="357" w:hanging="357"/>
    </w:pPr>
    <w:rPr>
      <w:rFonts w:eastAsia="Times New Roman"/>
    </w:rPr>
  </w:style>
  <w:style w:type="character" w:customStyle="1" w:styleId="Heading2Char">
    <w:name w:val="Heading 2 Char"/>
    <w:link w:val="Heading2"/>
    <w:rsid w:val="009F0C9A"/>
    <w:rPr>
      <w:rFonts w:ascii="Arial Bold" w:eastAsia="Times New Roman" w:hAnsi="Arial Bold" w:cs="Times New Roman"/>
      <w:b/>
      <w:color w:val="53C8E9"/>
      <w:kern w:val="28"/>
      <w:sz w:val="28"/>
      <w:szCs w:val="36"/>
    </w:rPr>
  </w:style>
  <w:style w:type="character" w:customStyle="1" w:styleId="Bullet1Char">
    <w:name w:val="Bullet 1 Char"/>
    <w:link w:val="Bullet1"/>
    <w:rsid w:val="009E3984"/>
    <w:rPr>
      <w:rFonts w:ascii="Arial" w:eastAsia="Times New Roman" w:hAnsi="Arial" w:cs="Arial"/>
      <w:bCs/>
      <w:sz w:val="23"/>
      <w:szCs w:val="20"/>
    </w:rPr>
  </w:style>
  <w:style w:type="paragraph" w:customStyle="1" w:styleId="Bullet1inabox">
    <w:name w:val="Bullet 1 in a box"/>
    <w:basedOn w:val="Bullet1"/>
    <w:autoRedefine/>
    <w:rsid w:val="00DF2D3D"/>
    <w:pPr>
      <w:numPr>
        <w:numId w:val="14"/>
      </w:numPr>
      <w:ind w:left="357" w:hanging="357"/>
    </w:pPr>
    <w:rPr>
      <w:rFonts w:eastAsia="Calibri" w:cs="Times New Roman"/>
      <w:noProof/>
      <w:color w:val="008EBA"/>
      <w:szCs w:val="22"/>
    </w:rPr>
  </w:style>
  <w:style w:type="paragraph" w:customStyle="1" w:styleId="Bullet1Paragraph">
    <w:name w:val="Bullet 1 Paragraph"/>
    <w:basedOn w:val="Normal"/>
    <w:rsid w:val="00034310"/>
    <w:pPr>
      <w:ind w:left="425"/>
    </w:pPr>
  </w:style>
  <w:style w:type="paragraph" w:customStyle="1" w:styleId="Bullet2">
    <w:name w:val="Bullet 2"/>
    <w:basedOn w:val="Bullet1"/>
    <w:rsid w:val="00E1354A"/>
    <w:pPr>
      <w:numPr>
        <w:numId w:val="1"/>
      </w:numPr>
      <w:tabs>
        <w:tab w:val="left" w:pos="851"/>
      </w:tabs>
    </w:pPr>
    <w:rPr>
      <w:color w:val="008EBA"/>
    </w:rPr>
  </w:style>
  <w:style w:type="paragraph" w:customStyle="1" w:styleId="Bullet2innumberedlist">
    <w:name w:val="Bullet 2 in numbered list"/>
    <w:basedOn w:val="Bullet2"/>
    <w:rsid w:val="00034310"/>
    <w:pPr>
      <w:numPr>
        <w:numId w:val="0"/>
      </w:numPr>
      <w:tabs>
        <w:tab w:val="num" w:pos="851"/>
      </w:tabs>
      <w:spacing w:after="0"/>
      <w:ind w:left="851" w:hanging="426"/>
    </w:pPr>
  </w:style>
  <w:style w:type="paragraph" w:customStyle="1" w:styleId="Bullet2Paragraph">
    <w:name w:val="Bullet 2 Paragraph"/>
    <w:basedOn w:val="Bullet1Paragraph"/>
    <w:rsid w:val="00034310"/>
    <w:pPr>
      <w:ind w:left="851"/>
    </w:pPr>
  </w:style>
  <w:style w:type="paragraph" w:customStyle="1" w:styleId="Bullet3">
    <w:name w:val="Bullet 3"/>
    <w:basedOn w:val="Bullet2"/>
    <w:rsid w:val="00034310"/>
    <w:pPr>
      <w:numPr>
        <w:numId w:val="2"/>
      </w:numPr>
    </w:pPr>
  </w:style>
  <w:style w:type="character" w:customStyle="1" w:styleId="Heading3Char">
    <w:name w:val="Heading 3 Char"/>
    <w:link w:val="Heading3"/>
    <w:rsid w:val="00E2606A"/>
    <w:rPr>
      <w:rFonts w:ascii="Arial Bold" w:eastAsia="Times New Roman" w:hAnsi="Arial Bold" w:cs="Times New Roman"/>
      <w:b/>
      <w:kern w:val="28"/>
      <w:sz w:val="26"/>
      <w:szCs w:val="36"/>
    </w:rPr>
  </w:style>
  <w:style w:type="character" w:customStyle="1" w:styleId="Heading4Char">
    <w:name w:val="Heading 4 Char"/>
    <w:link w:val="Heading4"/>
    <w:rsid w:val="00034310"/>
    <w:rPr>
      <w:rFonts w:ascii="Arial Bold" w:eastAsia="Times New Roman" w:hAnsi="Arial Bold" w:cs="Times New Roman"/>
      <w:b/>
      <w:kern w:val="28"/>
      <w:sz w:val="25"/>
      <w:szCs w:val="36"/>
    </w:rPr>
  </w:style>
  <w:style w:type="paragraph" w:customStyle="1" w:styleId="Bullet3Paragraph">
    <w:name w:val="Bullet 3 Paragraph"/>
    <w:basedOn w:val="Bullet2Paragraph"/>
    <w:rsid w:val="00034310"/>
    <w:pPr>
      <w:ind w:left="1276"/>
    </w:pPr>
  </w:style>
  <w:style w:type="paragraph" w:customStyle="1" w:styleId="Bullet4">
    <w:name w:val="Bullet 4"/>
    <w:basedOn w:val="Bullet3"/>
    <w:rsid w:val="00034310"/>
    <w:pPr>
      <w:numPr>
        <w:numId w:val="3"/>
      </w:numPr>
    </w:pPr>
  </w:style>
  <w:style w:type="paragraph" w:customStyle="1" w:styleId="Bullet4Paragraph">
    <w:name w:val="Bullet 4 Paragraph"/>
    <w:basedOn w:val="Bullet3Paragraph"/>
    <w:rsid w:val="00034310"/>
    <w:pPr>
      <w:ind w:left="1701"/>
    </w:pPr>
  </w:style>
  <w:style w:type="paragraph" w:customStyle="1" w:styleId="ChapterHeadingStyle">
    <w:name w:val="Chapter Heading Style"/>
    <w:basedOn w:val="Normal"/>
    <w:rsid w:val="00034310"/>
    <w:pPr>
      <w:keepNext/>
      <w:keepLines/>
      <w:pBdr>
        <w:bottom w:val="threeDEmboss" w:sz="24" w:space="1" w:color="000000"/>
      </w:pBdr>
      <w:tabs>
        <w:tab w:val="left" w:pos="1134"/>
        <w:tab w:val="left" w:pos="2268"/>
      </w:tabs>
      <w:spacing w:after="120"/>
      <w:ind w:left="2268" w:hanging="2268"/>
      <w:outlineLvl w:val="0"/>
    </w:pPr>
    <w:rPr>
      <w:rFonts w:ascii="Tahoma" w:hAnsi="Tahoma"/>
      <w:b/>
      <w:caps/>
      <w:color w:val="000000"/>
      <w:kern w:val="28"/>
      <w:sz w:val="32"/>
    </w:rPr>
  </w:style>
  <w:style w:type="paragraph" w:customStyle="1" w:styleId="ChartHeading">
    <w:name w:val="Chart Heading"/>
    <w:basedOn w:val="Normal"/>
    <w:autoRedefine/>
    <w:rsid w:val="00034310"/>
    <w:pPr>
      <w:keepNext/>
      <w:widowControl w:val="0"/>
      <w:spacing w:before="240" w:after="120"/>
    </w:pPr>
    <w:rPr>
      <w:rFonts w:ascii="Arial" w:hAnsi="Arial"/>
      <w:b/>
      <w:sz w:val="24"/>
    </w:rPr>
  </w:style>
  <w:style w:type="character" w:styleId="EndnoteReference">
    <w:name w:val="endnote reference"/>
    <w:semiHidden/>
    <w:rsid w:val="00034310"/>
    <w:rPr>
      <w:i/>
      <w:sz w:val="16"/>
      <w:vertAlign w:val="superscript"/>
    </w:rPr>
  </w:style>
  <w:style w:type="paragraph" w:styleId="Footer">
    <w:name w:val="footer"/>
    <w:basedOn w:val="Normal"/>
    <w:link w:val="FooterChar"/>
    <w:rsid w:val="00034310"/>
    <w:pPr>
      <w:pBdr>
        <w:top w:val="single" w:sz="4" w:space="1" w:color="auto"/>
      </w:pBdr>
      <w:tabs>
        <w:tab w:val="right" w:pos="7655"/>
      </w:tabs>
    </w:pPr>
    <w:rPr>
      <w:rFonts w:ascii="Arial" w:hAnsi="Arial"/>
      <w:sz w:val="18"/>
    </w:rPr>
  </w:style>
  <w:style w:type="character" w:customStyle="1" w:styleId="FooterChar">
    <w:name w:val="Footer Char"/>
    <w:basedOn w:val="DefaultParagraphFont"/>
    <w:link w:val="Footer"/>
    <w:rsid w:val="00034310"/>
    <w:rPr>
      <w:rFonts w:ascii="Arial" w:eastAsia="Times New Roman" w:hAnsi="Arial" w:cs="Times New Roman"/>
      <w:sz w:val="18"/>
      <w:szCs w:val="20"/>
      <w:lang w:val="en-US"/>
    </w:rPr>
  </w:style>
  <w:style w:type="character" w:styleId="FootnoteReference">
    <w:name w:val="footnote reference"/>
    <w:semiHidden/>
    <w:rsid w:val="00034310"/>
    <w:rPr>
      <w:vertAlign w:val="superscript"/>
    </w:rPr>
  </w:style>
  <w:style w:type="paragraph" w:styleId="FootnoteText">
    <w:name w:val="footnote text"/>
    <w:basedOn w:val="Normal"/>
    <w:link w:val="FootnoteTextChar"/>
    <w:semiHidden/>
    <w:rsid w:val="00034310"/>
    <w:pPr>
      <w:spacing w:before="80" w:after="80"/>
      <w:ind w:left="709" w:hanging="142"/>
    </w:pPr>
    <w:rPr>
      <w:i/>
      <w:sz w:val="16"/>
    </w:rPr>
  </w:style>
  <w:style w:type="character" w:customStyle="1" w:styleId="FootnoteTextChar">
    <w:name w:val="Footnote Text Char"/>
    <w:basedOn w:val="DefaultParagraphFont"/>
    <w:link w:val="FootnoteText"/>
    <w:semiHidden/>
    <w:rsid w:val="00034310"/>
    <w:rPr>
      <w:rFonts w:ascii="Times New Roman" w:eastAsia="Times New Roman" w:hAnsi="Times New Roman" w:cs="Times New Roman"/>
      <w:i/>
      <w:sz w:val="16"/>
      <w:szCs w:val="20"/>
      <w:lang w:val="en-US"/>
    </w:rPr>
  </w:style>
  <w:style w:type="paragraph" w:styleId="Header">
    <w:name w:val="header"/>
    <w:basedOn w:val="Normal"/>
    <w:link w:val="HeaderChar"/>
    <w:uiPriority w:val="99"/>
    <w:rsid w:val="00034310"/>
    <w:pPr>
      <w:tabs>
        <w:tab w:val="center" w:pos="4153"/>
        <w:tab w:val="right" w:pos="8306"/>
      </w:tabs>
    </w:pPr>
  </w:style>
  <w:style w:type="character" w:customStyle="1" w:styleId="HeaderChar">
    <w:name w:val="Header Char"/>
    <w:basedOn w:val="DefaultParagraphFont"/>
    <w:link w:val="Header"/>
    <w:uiPriority w:val="99"/>
    <w:rsid w:val="00034310"/>
    <w:rPr>
      <w:rFonts w:ascii="Times New Roman" w:eastAsia="Times New Roman" w:hAnsi="Times New Roman" w:cs="Times New Roman"/>
      <w:sz w:val="20"/>
      <w:szCs w:val="20"/>
      <w:lang w:val="en-US"/>
    </w:rPr>
  </w:style>
  <w:style w:type="paragraph" w:customStyle="1" w:styleId="Heading1BP2">
    <w:name w:val="Heading 1 BP2"/>
    <w:rsid w:val="00034310"/>
    <w:pPr>
      <w:keepNext/>
      <w:tabs>
        <w:tab w:val="left" w:pos="284"/>
      </w:tabs>
      <w:spacing w:before="400" w:after="240" w:line="240" w:lineRule="auto"/>
    </w:pPr>
    <w:rPr>
      <w:rFonts w:ascii="Lucida Sans" w:eastAsia="Times New Roman" w:hAnsi="Lucida Sans" w:cs="Times New Roman"/>
      <w:kern w:val="28"/>
      <w:sz w:val="36"/>
      <w:szCs w:val="36"/>
    </w:rPr>
  </w:style>
  <w:style w:type="paragraph" w:customStyle="1" w:styleId="ListBullet1">
    <w:name w:val="List Bullet1"/>
    <w:basedOn w:val="Normal"/>
    <w:autoRedefine/>
    <w:rsid w:val="00034310"/>
    <w:pPr>
      <w:numPr>
        <w:numId w:val="4"/>
      </w:numPr>
      <w:spacing w:line="360" w:lineRule="auto"/>
    </w:pPr>
    <w:rPr>
      <w:rFonts w:ascii="Arial" w:hAnsi="Arial"/>
      <w:sz w:val="28"/>
    </w:rPr>
  </w:style>
  <w:style w:type="paragraph" w:styleId="NoSpacing">
    <w:name w:val="No Spacing"/>
    <w:basedOn w:val="Normal"/>
    <w:link w:val="NoSpacingChar"/>
    <w:qFormat/>
    <w:rsid w:val="00034310"/>
  </w:style>
  <w:style w:type="character" w:customStyle="1" w:styleId="NoSpacingChar">
    <w:name w:val="No Spacing Char"/>
    <w:link w:val="NoSpacing"/>
    <w:rsid w:val="00034310"/>
    <w:rPr>
      <w:rFonts w:ascii="Times New Roman" w:eastAsia="Times New Roman" w:hAnsi="Times New Roman" w:cs="Times New Roman"/>
      <w:sz w:val="20"/>
      <w:szCs w:val="20"/>
      <w:lang w:val="en-US"/>
    </w:rPr>
  </w:style>
  <w:style w:type="paragraph" w:customStyle="1" w:styleId="Object">
    <w:name w:val="Object"/>
    <w:basedOn w:val="Normal"/>
    <w:next w:val="Normal"/>
    <w:rsid w:val="00034310"/>
    <w:pPr>
      <w:jc w:val="center"/>
    </w:pPr>
  </w:style>
  <w:style w:type="paragraph" w:customStyle="1" w:styleId="ObjectFootnote">
    <w:name w:val="Object Footnote"/>
    <w:basedOn w:val="Object"/>
    <w:next w:val="Normal"/>
    <w:rsid w:val="00034310"/>
    <w:pPr>
      <w:spacing w:after="60"/>
    </w:pPr>
    <w:rPr>
      <w:i/>
      <w:sz w:val="14"/>
    </w:rPr>
  </w:style>
  <w:style w:type="character" w:customStyle="1" w:styleId="Heading5Char">
    <w:name w:val="Heading 5 Char"/>
    <w:link w:val="Heading5"/>
    <w:rsid w:val="00257D1B"/>
    <w:rPr>
      <w:rFonts w:ascii="Arial Bold" w:eastAsia="Times New Roman" w:hAnsi="Arial Bold" w:cs="Times New Roman"/>
      <w:b/>
      <w:i/>
      <w:kern w:val="28"/>
      <w:sz w:val="24"/>
      <w:szCs w:val="36"/>
    </w:rPr>
  </w:style>
  <w:style w:type="character" w:customStyle="1" w:styleId="Heading6Char">
    <w:name w:val="Heading 6 Char"/>
    <w:link w:val="Heading6"/>
    <w:rsid w:val="00034310"/>
    <w:rPr>
      <w:rFonts w:ascii="Times New Roman" w:eastAsia="Times New Roman" w:hAnsi="Times New Roman" w:cs="Times New Roman"/>
      <w:b/>
      <w:i/>
      <w:color w:val="00426F"/>
      <w:sz w:val="24"/>
      <w:szCs w:val="36"/>
    </w:rPr>
  </w:style>
  <w:style w:type="character" w:customStyle="1" w:styleId="Heading7Char">
    <w:name w:val="Heading 7 Char"/>
    <w:link w:val="Heading7"/>
    <w:rsid w:val="00034310"/>
    <w:rPr>
      <w:rFonts w:ascii="Arial Bold" w:eastAsia="Times New Roman" w:hAnsi="Arial Bold" w:cs="Times New Roman"/>
      <w:b/>
      <w:kern w:val="28"/>
      <w:sz w:val="23"/>
      <w:szCs w:val="36"/>
    </w:rPr>
  </w:style>
  <w:style w:type="character" w:customStyle="1" w:styleId="Heading8Char">
    <w:name w:val="Heading 8 Char"/>
    <w:link w:val="Heading8"/>
    <w:rsid w:val="00034310"/>
    <w:rPr>
      <w:rFonts w:ascii="Arial Bold" w:eastAsia="Times New Roman" w:hAnsi="Arial Bold" w:cs="Times New Roman"/>
      <w:b/>
      <w:i/>
      <w:kern w:val="28"/>
      <w:sz w:val="23"/>
      <w:szCs w:val="36"/>
    </w:rPr>
  </w:style>
  <w:style w:type="character" w:customStyle="1" w:styleId="Heading9Char">
    <w:name w:val="Heading 9 Char"/>
    <w:link w:val="Heading9"/>
    <w:rsid w:val="00034310"/>
    <w:rPr>
      <w:rFonts w:ascii="Arial Bold" w:eastAsia="Times New Roman" w:hAnsi="Arial Bold" w:cs="Times New Roman"/>
      <w:b/>
      <w:kern w:val="28"/>
      <w:sz w:val="23"/>
      <w:szCs w:val="36"/>
    </w:rPr>
  </w:style>
  <w:style w:type="paragraph" w:customStyle="1" w:styleId="ObjectFootnotelettered">
    <w:name w:val="Object Footnote lettered"/>
    <w:basedOn w:val="ObjectFootnote"/>
    <w:rsid w:val="00034310"/>
    <w:pPr>
      <w:tabs>
        <w:tab w:val="left" w:pos="709"/>
      </w:tabs>
      <w:ind w:left="426"/>
      <w:jc w:val="left"/>
    </w:pPr>
  </w:style>
  <w:style w:type="paragraph" w:customStyle="1" w:styleId="ObjectFootnoteleft">
    <w:name w:val="Object Footnote left"/>
    <w:basedOn w:val="ObjectFootnotelettered"/>
    <w:rsid w:val="00034310"/>
    <w:pPr>
      <w:ind w:left="709" w:hanging="283"/>
    </w:pPr>
  </w:style>
  <w:style w:type="character" w:styleId="PageNumber">
    <w:name w:val="page number"/>
    <w:basedOn w:val="DefaultParagraphFont"/>
    <w:rsid w:val="00034310"/>
  </w:style>
  <w:style w:type="paragraph" w:customStyle="1" w:styleId="Style211HeadingBold">
    <w:name w:val="Style 2.1.1 Heading + Bold"/>
    <w:basedOn w:val="Normal"/>
    <w:rsid w:val="00034310"/>
    <w:rPr>
      <w:b/>
      <w:bCs/>
      <w:i/>
      <w:iCs/>
    </w:rPr>
  </w:style>
  <w:style w:type="paragraph" w:customStyle="1" w:styleId="StyleBoxHeadingLeft0Firstline0">
    <w:name w:val="Style Box Heading + Left:  0&quot; First line:  0&quot;"/>
    <w:basedOn w:val="Box51BoxHeading"/>
    <w:autoRedefine/>
    <w:rsid w:val="00034310"/>
    <w:pPr>
      <w:keepLines/>
      <w:framePr w:wrap="around" w:hAnchor="text"/>
      <w:widowControl/>
      <w:tabs>
        <w:tab w:val="left" w:pos="567"/>
        <w:tab w:val="num" w:pos="1276"/>
      </w:tabs>
      <w:spacing w:before="120" w:after="120"/>
      <w:outlineLvl w:val="9"/>
    </w:pPr>
    <w:rPr>
      <w:bCs/>
      <w:color w:val="000000"/>
      <w:lang w:eastAsia="en-AU"/>
    </w:rPr>
  </w:style>
  <w:style w:type="paragraph" w:customStyle="1" w:styleId="StyleName">
    <w:name w:val="Style Name"/>
    <w:basedOn w:val="Normal"/>
    <w:rsid w:val="00034310"/>
    <w:pPr>
      <w:ind w:left="851" w:hanging="851"/>
      <w:jc w:val="center"/>
    </w:pPr>
    <w:rPr>
      <w:rFonts w:ascii="Arial" w:hAnsi="Arial"/>
      <w:b/>
      <w:i/>
      <w:color w:val="000000"/>
      <w:sz w:val="24"/>
      <w:lang w:val="en-GB" w:eastAsia="en-AU"/>
    </w:rPr>
  </w:style>
  <w:style w:type="paragraph" w:customStyle="1" w:styleId="TableFootnote">
    <w:name w:val="Table Footnote"/>
    <w:basedOn w:val="Normal"/>
    <w:rsid w:val="00034310"/>
    <w:pPr>
      <w:spacing w:before="60" w:after="60"/>
      <w:ind w:left="284"/>
    </w:pPr>
    <w:rPr>
      <w:rFonts w:ascii="Arial" w:hAnsi="Arial"/>
      <w:i/>
      <w:sz w:val="14"/>
    </w:rPr>
  </w:style>
  <w:style w:type="table" w:styleId="TableGrid">
    <w:name w:val="Table Grid"/>
    <w:basedOn w:val="TableNormal"/>
    <w:rsid w:val="00034310"/>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563DF"/>
    <w:pPr>
      <w:spacing w:after="0" w:line="240" w:lineRule="auto"/>
    </w:pPr>
    <w:rPr>
      <w:rFonts w:ascii="Times New Roman" w:eastAsia="Times New Roman" w:hAnsi="Times New Roman" w:cs="Times New Roman"/>
      <w:sz w:val="20"/>
      <w:szCs w:val="20"/>
      <w:lang w:val="en-US"/>
    </w:rPr>
  </w:style>
  <w:style w:type="character" w:styleId="CommentReference">
    <w:name w:val="annotation reference"/>
    <w:basedOn w:val="DefaultParagraphFont"/>
    <w:uiPriority w:val="99"/>
    <w:unhideWhenUsed/>
    <w:rsid w:val="00A7174A"/>
    <w:rPr>
      <w:sz w:val="16"/>
      <w:szCs w:val="16"/>
    </w:rPr>
  </w:style>
  <w:style w:type="paragraph" w:styleId="CommentText">
    <w:name w:val="annotation text"/>
    <w:basedOn w:val="Normal"/>
    <w:link w:val="CommentTextChar"/>
    <w:uiPriority w:val="99"/>
    <w:unhideWhenUsed/>
    <w:rsid w:val="00A7174A"/>
  </w:style>
  <w:style w:type="character" w:customStyle="1" w:styleId="CommentTextChar">
    <w:name w:val="Comment Text Char"/>
    <w:basedOn w:val="DefaultParagraphFont"/>
    <w:link w:val="CommentText"/>
    <w:uiPriority w:val="99"/>
    <w:rsid w:val="00A7174A"/>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A7174A"/>
    <w:rPr>
      <w:b/>
      <w:bCs/>
    </w:rPr>
  </w:style>
  <w:style w:type="character" w:customStyle="1" w:styleId="CommentSubjectChar">
    <w:name w:val="Comment Subject Char"/>
    <w:basedOn w:val="CommentTextChar"/>
    <w:link w:val="CommentSubject"/>
    <w:uiPriority w:val="99"/>
    <w:semiHidden/>
    <w:rsid w:val="00A7174A"/>
    <w:rPr>
      <w:rFonts w:ascii="Times New Roman" w:eastAsia="Times New Roman" w:hAnsi="Times New Roman" w:cs="Times New Roman"/>
      <w:b/>
      <w:bCs/>
      <w:sz w:val="20"/>
      <w:szCs w:val="20"/>
      <w:lang w:val="en-US"/>
    </w:rPr>
  </w:style>
  <w:style w:type="paragraph" w:customStyle="1" w:styleId="Bulletrecommendtext">
    <w:name w:val="Bullet recommend text"/>
    <w:basedOn w:val="Normal"/>
    <w:qFormat/>
    <w:rsid w:val="00641DC1"/>
    <w:pPr>
      <w:numPr>
        <w:numId w:val="5"/>
      </w:numPr>
      <w:spacing w:before="80" w:line="280" w:lineRule="exact"/>
    </w:pPr>
    <w:rPr>
      <w:rFonts w:ascii="Garamond" w:hAnsi="Garamond"/>
      <w:sz w:val="24"/>
      <w:lang w:eastAsia="x-none"/>
    </w:rPr>
  </w:style>
  <w:style w:type="paragraph" w:customStyle="1" w:styleId="Default">
    <w:name w:val="Default"/>
    <w:basedOn w:val="Normal"/>
    <w:rsid w:val="00AB54D3"/>
    <w:pPr>
      <w:autoSpaceDE w:val="0"/>
      <w:autoSpaceDN w:val="0"/>
    </w:pPr>
    <w:rPr>
      <w:rFonts w:ascii="Arial" w:eastAsiaTheme="minorHAnsi" w:hAnsi="Arial" w:cs="Arial"/>
      <w:color w:val="000000"/>
      <w:sz w:val="24"/>
      <w:szCs w:val="24"/>
    </w:rPr>
  </w:style>
  <w:style w:type="character" w:customStyle="1" w:styleId="BodyTextBoxChar">
    <w:name w:val="Body Text Box Char"/>
    <w:link w:val="BodyTextBox"/>
    <w:rsid w:val="00820C69"/>
    <w:rPr>
      <w:rFonts w:ascii="Arial" w:eastAsia="Times New Roman" w:hAnsi="Arial" w:cs="Arial"/>
      <w:color w:val="008EBA"/>
      <w:sz w:val="23"/>
      <w:szCs w:val="23"/>
    </w:rPr>
  </w:style>
  <w:style w:type="paragraph" w:styleId="ListParagraph">
    <w:name w:val="List Paragraph"/>
    <w:basedOn w:val="Normal"/>
    <w:uiPriority w:val="34"/>
    <w:qFormat/>
    <w:rsid w:val="00411AC2"/>
    <w:pPr>
      <w:ind w:left="720"/>
      <w:contextualSpacing/>
    </w:pPr>
  </w:style>
  <w:style w:type="paragraph" w:customStyle="1" w:styleId="paragraph">
    <w:name w:val="paragraph"/>
    <w:basedOn w:val="Normal"/>
    <w:rsid w:val="003F0163"/>
    <w:pPr>
      <w:spacing w:before="100" w:beforeAutospacing="1" w:after="100" w:afterAutospacing="1"/>
    </w:pPr>
    <w:rPr>
      <w:sz w:val="24"/>
      <w:szCs w:val="24"/>
      <w:lang w:eastAsia="en-AU"/>
    </w:rPr>
  </w:style>
  <w:style w:type="character" w:customStyle="1" w:styleId="normaltextrun">
    <w:name w:val="normaltextrun"/>
    <w:basedOn w:val="DefaultParagraphFont"/>
    <w:rsid w:val="003F0163"/>
  </w:style>
  <w:style w:type="character" w:customStyle="1" w:styleId="eop">
    <w:name w:val="eop"/>
    <w:basedOn w:val="DefaultParagraphFont"/>
    <w:rsid w:val="003F0163"/>
  </w:style>
  <w:style w:type="paragraph" w:customStyle="1" w:styleId="Source">
    <w:name w:val="Source"/>
    <w:basedOn w:val="Normal"/>
    <w:qFormat/>
    <w:rsid w:val="000C0534"/>
    <w:pPr>
      <w:widowControl w:val="0"/>
      <w:spacing w:before="120"/>
    </w:pPr>
    <w:rPr>
      <w:rFonts w:ascii="Arial" w:hAnsi="Arial" w:cs="Arial"/>
      <w:i/>
      <w:noProof/>
      <w:color w:val="4F4F4F"/>
      <w:sz w:val="17"/>
      <w:szCs w:val="17"/>
      <w:lang w:eastAsia="en-AU"/>
    </w:rPr>
  </w:style>
  <w:style w:type="paragraph" w:customStyle="1" w:styleId="Chart41">
    <w:name w:val="Chart 4.1"/>
    <w:basedOn w:val="Normal"/>
    <w:next w:val="Normal"/>
    <w:rsid w:val="003461EE"/>
    <w:pPr>
      <w:keepLines/>
      <w:numPr>
        <w:numId w:val="7"/>
      </w:numPr>
      <w:tabs>
        <w:tab w:val="left" w:pos="1304"/>
      </w:tabs>
      <w:spacing w:before="240" w:after="120"/>
    </w:pPr>
    <w:rPr>
      <w:rFonts w:ascii="Arial" w:hAnsi="Arial"/>
      <w:i/>
      <w:color w:val="4F4F4F"/>
      <w:sz w:val="22"/>
    </w:rPr>
  </w:style>
  <w:style w:type="paragraph" w:customStyle="1" w:styleId="Table4X">
    <w:name w:val="Table 4.X"/>
    <w:basedOn w:val="Normal"/>
    <w:rsid w:val="007E5DEC"/>
    <w:pPr>
      <w:widowControl w:val="0"/>
      <w:numPr>
        <w:numId w:val="6"/>
      </w:numPr>
      <w:tabs>
        <w:tab w:val="left" w:pos="1134"/>
      </w:tabs>
      <w:spacing w:before="240" w:after="120"/>
    </w:pPr>
    <w:rPr>
      <w:rFonts w:ascii="Arial" w:hAnsi="Arial"/>
      <w:bCs/>
      <w:i/>
      <w:color w:val="4F4F4F"/>
      <w:kern w:val="28"/>
      <w:sz w:val="22"/>
      <w:szCs w:val="22"/>
    </w:rPr>
  </w:style>
  <w:style w:type="character" w:styleId="Hyperlink">
    <w:name w:val="Hyperlink"/>
    <w:basedOn w:val="DefaultParagraphFont"/>
    <w:uiPriority w:val="99"/>
    <w:unhideWhenUsed/>
    <w:rsid w:val="008216E8"/>
    <w:rPr>
      <w:color w:val="0000FF" w:themeColor="hyperlink"/>
      <w:u w:val="single"/>
    </w:rPr>
  </w:style>
  <w:style w:type="paragraph" w:styleId="NormalWeb">
    <w:name w:val="Normal (Web)"/>
    <w:basedOn w:val="Normal"/>
    <w:uiPriority w:val="99"/>
    <w:semiHidden/>
    <w:unhideWhenUsed/>
    <w:rsid w:val="005F7407"/>
    <w:pPr>
      <w:spacing w:before="100" w:beforeAutospacing="1" w:after="100" w:afterAutospacing="1"/>
    </w:pPr>
    <w:rPr>
      <w:sz w:val="24"/>
      <w:szCs w:val="24"/>
      <w:lang w:eastAsia="en-AU"/>
    </w:rPr>
  </w:style>
  <w:style w:type="paragraph" w:customStyle="1" w:styleId="xmsonormal">
    <w:name w:val="x_msonormal"/>
    <w:basedOn w:val="Normal"/>
    <w:rsid w:val="00D47EF8"/>
    <w:rPr>
      <w:rFonts w:ascii="Calibri" w:eastAsiaTheme="minorHAnsi" w:hAnsi="Calibri" w:cs="Calibri"/>
      <w:sz w:val="22"/>
      <w:szCs w:val="22"/>
      <w:lang w:eastAsia="en-AU"/>
    </w:rPr>
  </w:style>
  <w:style w:type="paragraph" w:customStyle="1" w:styleId="BoxHeading">
    <w:name w:val="Box Heading"/>
    <w:basedOn w:val="ObjectHeading"/>
    <w:autoRedefine/>
    <w:rsid w:val="00B623C0"/>
    <w:pPr>
      <w:numPr>
        <w:numId w:val="12"/>
      </w:numPr>
      <w:tabs>
        <w:tab w:val="clear" w:pos="1418"/>
        <w:tab w:val="left" w:pos="1100"/>
      </w:tabs>
      <w:spacing w:before="80" w:after="60"/>
    </w:pPr>
    <w:rPr>
      <w:rFonts w:cs="Arial"/>
      <w:sz w:val="23"/>
      <w:szCs w:val="20"/>
      <w:lang w:val="en-US"/>
    </w:rPr>
  </w:style>
  <w:style w:type="paragraph" w:customStyle="1" w:styleId="Bullet2inabox">
    <w:name w:val="Bullet 2 in a box"/>
    <w:basedOn w:val="Normal"/>
    <w:qFormat/>
    <w:rsid w:val="00E1354A"/>
    <w:pPr>
      <w:numPr>
        <w:numId w:val="13"/>
      </w:numPr>
      <w:spacing w:before="100" w:after="60" w:line="240" w:lineRule="atLeast"/>
      <w:ind w:left="714" w:hanging="357"/>
    </w:pPr>
    <w:rPr>
      <w:rFonts w:ascii="Arial" w:hAnsi="Arial"/>
      <w:color w:val="008EBA"/>
      <w:sz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835899">
      <w:bodyDiv w:val="1"/>
      <w:marLeft w:val="0"/>
      <w:marRight w:val="0"/>
      <w:marTop w:val="0"/>
      <w:marBottom w:val="0"/>
      <w:divBdr>
        <w:top w:val="none" w:sz="0" w:space="0" w:color="auto"/>
        <w:left w:val="none" w:sz="0" w:space="0" w:color="auto"/>
        <w:bottom w:val="none" w:sz="0" w:space="0" w:color="auto"/>
        <w:right w:val="none" w:sz="0" w:space="0" w:color="auto"/>
      </w:divBdr>
    </w:div>
    <w:div w:id="61687163">
      <w:bodyDiv w:val="1"/>
      <w:marLeft w:val="0"/>
      <w:marRight w:val="0"/>
      <w:marTop w:val="0"/>
      <w:marBottom w:val="0"/>
      <w:divBdr>
        <w:top w:val="none" w:sz="0" w:space="0" w:color="auto"/>
        <w:left w:val="none" w:sz="0" w:space="0" w:color="auto"/>
        <w:bottom w:val="none" w:sz="0" w:space="0" w:color="auto"/>
        <w:right w:val="none" w:sz="0" w:space="0" w:color="auto"/>
      </w:divBdr>
    </w:div>
    <w:div w:id="115873593">
      <w:bodyDiv w:val="1"/>
      <w:marLeft w:val="0"/>
      <w:marRight w:val="0"/>
      <w:marTop w:val="0"/>
      <w:marBottom w:val="0"/>
      <w:divBdr>
        <w:top w:val="none" w:sz="0" w:space="0" w:color="auto"/>
        <w:left w:val="none" w:sz="0" w:space="0" w:color="auto"/>
        <w:bottom w:val="none" w:sz="0" w:space="0" w:color="auto"/>
        <w:right w:val="none" w:sz="0" w:space="0" w:color="auto"/>
      </w:divBdr>
    </w:div>
    <w:div w:id="188839221">
      <w:bodyDiv w:val="1"/>
      <w:marLeft w:val="0"/>
      <w:marRight w:val="0"/>
      <w:marTop w:val="0"/>
      <w:marBottom w:val="0"/>
      <w:divBdr>
        <w:top w:val="none" w:sz="0" w:space="0" w:color="auto"/>
        <w:left w:val="none" w:sz="0" w:space="0" w:color="auto"/>
        <w:bottom w:val="none" w:sz="0" w:space="0" w:color="auto"/>
        <w:right w:val="none" w:sz="0" w:space="0" w:color="auto"/>
      </w:divBdr>
    </w:div>
    <w:div w:id="196311442">
      <w:bodyDiv w:val="1"/>
      <w:marLeft w:val="0"/>
      <w:marRight w:val="0"/>
      <w:marTop w:val="0"/>
      <w:marBottom w:val="0"/>
      <w:divBdr>
        <w:top w:val="none" w:sz="0" w:space="0" w:color="auto"/>
        <w:left w:val="none" w:sz="0" w:space="0" w:color="auto"/>
        <w:bottom w:val="none" w:sz="0" w:space="0" w:color="auto"/>
        <w:right w:val="none" w:sz="0" w:space="0" w:color="auto"/>
      </w:divBdr>
    </w:div>
    <w:div w:id="208304552">
      <w:bodyDiv w:val="1"/>
      <w:marLeft w:val="0"/>
      <w:marRight w:val="0"/>
      <w:marTop w:val="0"/>
      <w:marBottom w:val="0"/>
      <w:divBdr>
        <w:top w:val="none" w:sz="0" w:space="0" w:color="auto"/>
        <w:left w:val="none" w:sz="0" w:space="0" w:color="auto"/>
        <w:bottom w:val="none" w:sz="0" w:space="0" w:color="auto"/>
        <w:right w:val="none" w:sz="0" w:space="0" w:color="auto"/>
      </w:divBdr>
    </w:div>
    <w:div w:id="219903919">
      <w:bodyDiv w:val="1"/>
      <w:marLeft w:val="0"/>
      <w:marRight w:val="0"/>
      <w:marTop w:val="0"/>
      <w:marBottom w:val="0"/>
      <w:divBdr>
        <w:top w:val="none" w:sz="0" w:space="0" w:color="auto"/>
        <w:left w:val="none" w:sz="0" w:space="0" w:color="auto"/>
        <w:bottom w:val="none" w:sz="0" w:space="0" w:color="auto"/>
        <w:right w:val="none" w:sz="0" w:space="0" w:color="auto"/>
      </w:divBdr>
    </w:div>
    <w:div w:id="226302613">
      <w:bodyDiv w:val="1"/>
      <w:marLeft w:val="0"/>
      <w:marRight w:val="0"/>
      <w:marTop w:val="0"/>
      <w:marBottom w:val="0"/>
      <w:divBdr>
        <w:top w:val="none" w:sz="0" w:space="0" w:color="auto"/>
        <w:left w:val="none" w:sz="0" w:space="0" w:color="auto"/>
        <w:bottom w:val="none" w:sz="0" w:space="0" w:color="auto"/>
        <w:right w:val="none" w:sz="0" w:space="0" w:color="auto"/>
      </w:divBdr>
    </w:div>
    <w:div w:id="337385828">
      <w:bodyDiv w:val="1"/>
      <w:marLeft w:val="0"/>
      <w:marRight w:val="0"/>
      <w:marTop w:val="0"/>
      <w:marBottom w:val="0"/>
      <w:divBdr>
        <w:top w:val="none" w:sz="0" w:space="0" w:color="auto"/>
        <w:left w:val="none" w:sz="0" w:space="0" w:color="auto"/>
        <w:bottom w:val="none" w:sz="0" w:space="0" w:color="auto"/>
        <w:right w:val="none" w:sz="0" w:space="0" w:color="auto"/>
      </w:divBdr>
    </w:div>
    <w:div w:id="348487263">
      <w:bodyDiv w:val="1"/>
      <w:marLeft w:val="0"/>
      <w:marRight w:val="0"/>
      <w:marTop w:val="0"/>
      <w:marBottom w:val="0"/>
      <w:divBdr>
        <w:top w:val="none" w:sz="0" w:space="0" w:color="auto"/>
        <w:left w:val="none" w:sz="0" w:space="0" w:color="auto"/>
        <w:bottom w:val="none" w:sz="0" w:space="0" w:color="auto"/>
        <w:right w:val="none" w:sz="0" w:space="0" w:color="auto"/>
      </w:divBdr>
    </w:div>
    <w:div w:id="359014862">
      <w:bodyDiv w:val="1"/>
      <w:marLeft w:val="0"/>
      <w:marRight w:val="0"/>
      <w:marTop w:val="0"/>
      <w:marBottom w:val="0"/>
      <w:divBdr>
        <w:top w:val="none" w:sz="0" w:space="0" w:color="auto"/>
        <w:left w:val="none" w:sz="0" w:space="0" w:color="auto"/>
        <w:bottom w:val="none" w:sz="0" w:space="0" w:color="auto"/>
        <w:right w:val="none" w:sz="0" w:space="0" w:color="auto"/>
      </w:divBdr>
    </w:div>
    <w:div w:id="372314993">
      <w:bodyDiv w:val="1"/>
      <w:marLeft w:val="0"/>
      <w:marRight w:val="0"/>
      <w:marTop w:val="0"/>
      <w:marBottom w:val="0"/>
      <w:divBdr>
        <w:top w:val="none" w:sz="0" w:space="0" w:color="auto"/>
        <w:left w:val="none" w:sz="0" w:space="0" w:color="auto"/>
        <w:bottom w:val="none" w:sz="0" w:space="0" w:color="auto"/>
        <w:right w:val="none" w:sz="0" w:space="0" w:color="auto"/>
      </w:divBdr>
    </w:div>
    <w:div w:id="424495675">
      <w:bodyDiv w:val="1"/>
      <w:marLeft w:val="0"/>
      <w:marRight w:val="0"/>
      <w:marTop w:val="0"/>
      <w:marBottom w:val="0"/>
      <w:divBdr>
        <w:top w:val="none" w:sz="0" w:space="0" w:color="auto"/>
        <w:left w:val="none" w:sz="0" w:space="0" w:color="auto"/>
        <w:bottom w:val="none" w:sz="0" w:space="0" w:color="auto"/>
        <w:right w:val="none" w:sz="0" w:space="0" w:color="auto"/>
      </w:divBdr>
    </w:div>
    <w:div w:id="447165594">
      <w:bodyDiv w:val="1"/>
      <w:marLeft w:val="0"/>
      <w:marRight w:val="0"/>
      <w:marTop w:val="0"/>
      <w:marBottom w:val="0"/>
      <w:divBdr>
        <w:top w:val="none" w:sz="0" w:space="0" w:color="auto"/>
        <w:left w:val="none" w:sz="0" w:space="0" w:color="auto"/>
        <w:bottom w:val="none" w:sz="0" w:space="0" w:color="auto"/>
        <w:right w:val="none" w:sz="0" w:space="0" w:color="auto"/>
      </w:divBdr>
    </w:div>
    <w:div w:id="455417392">
      <w:bodyDiv w:val="1"/>
      <w:marLeft w:val="0"/>
      <w:marRight w:val="0"/>
      <w:marTop w:val="0"/>
      <w:marBottom w:val="0"/>
      <w:divBdr>
        <w:top w:val="none" w:sz="0" w:space="0" w:color="auto"/>
        <w:left w:val="none" w:sz="0" w:space="0" w:color="auto"/>
        <w:bottom w:val="none" w:sz="0" w:space="0" w:color="auto"/>
        <w:right w:val="none" w:sz="0" w:space="0" w:color="auto"/>
      </w:divBdr>
      <w:divsChild>
        <w:div w:id="1138302270">
          <w:marLeft w:val="0"/>
          <w:marRight w:val="0"/>
          <w:marTop w:val="0"/>
          <w:marBottom w:val="0"/>
          <w:divBdr>
            <w:top w:val="none" w:sz="0" w:space="0" w:color="auto"/>
            <w:left w:val="none" w:sz="0" w:space="0" w:color="auto"/>
            <w:bottom w:val="none" w:sz="0" w:space="0" w:color="auto"/>
            <w:right w:val="none" w:sz="0" w:space="0" w:color="auto"/>
          </w:divBdr>
        </w:div>
        <w:div w:id="1773547197">
          <w:marLeft w:val="0"/>
          <w:marRight w:val="0"/>
          <w:marTop w:val="0"/>
          <w:marBottom w:val="0"/>
          <w:divBdr>
            <w:top w:val="none" w:sz="0" w:space="0" w:color="auto"/>
            <w:left w:val="none" w:sz="0" w:space="0" w:color="auto"/>
            <w:bottom w:val="none" w:sz="0" w:space="0" w:color="auto"/>
            <w:right w:val="none" w:sz="0" w:space="0" w:color="auto"/>
          </w:divBdr>
        </w:div>
      </w:divsChild>
    </w:div>
    <w:div w:id="457916200">
      <w:bodyDiv w:val="1"/>
      <w:marLeft w:val="0"/>
      <w:marRight w:val="0"/>
      <w:marTop w:val="0"/>
      <w:marBottom w:val="0"/>
      <w:divBdr>
        <w:top w:val="none" w:sz="0" w:space="0" w:color="auto"/>
        <w:left w:val="none" w:sz="0" w:space="0" w:color="auto"/>
        <w:bottom w:val="none" w:sz="0" w:space="0" w:color="auto"/>
        <w:right w:val="none" w:sz="0" w:space="0" w:color="auto"/>
      </w:divBdr>
    </w:div>
    <w:div w:id="515920144">
      <w:bodyDiv w:val="1"/>
      <w:marLeft w:val="0"/>
      <w:marRight w:val="0"/>
      <w:marTop w:val="0"/>
      <w:marBottom w:val="0"/>
      <w:divBdr>
        <w:top w:val="none" w:sz="0" w:space="0" w:color="auto"/>
        <w:left w:val="none" w:sz="0" w:space="0" w:color="auto"/>
        <w:bottom w:val="none" w:sz="0" w:space="0" w:color="auto"/>
        <w:right w:val="none" w:sz="0" w:space="0" w:color="auto"/>
      </w:divBdr>
      <w:divsChild>
        <w:div w:id="157579970">
          <w:marLeft w:val="0"/>
          <w:marRight w:val="0"/>
          <w:marTop w:val="0"/>
          <w:marBottom w:val="0"/>
          <w:divBdr>
            <w:top w:val="none" w:sz="0" w:space="0" w:color="auto"/>
            <w:left w:val="none" w:sz="0" w:space="0" w:color="auto"/>
            <w:bottom w:val="none" w:sz="0" w:space="0" w:color="auto"/>
            <w:right w:val="none" w:sz="0" w:space="0" w:color="auto"/>
          </w:divBdr>
        </w:div>
        <w:div w:id="1841235748">
          <w:marLeft w:val="0"/>
          <w:marRight w:val="0"/>
          <w:marTop w:val="0"/>
          <w:marBottom w:val="0"/>
          <w:divBdr>
            <w:top w:val="none" w:sz="0" w:space="0" w:color="auto"/>
            <w:left w:val="none" w:sz="0" w:space="0" w:color="auto"/>
            <w:bottom w:val="none" w:sz="0" w:space="0" w:color="auto"/>
            <w:right w:val="none" w:sz="0" w:space="0" w:color="auto"/>
          </w:divBdr>
        </w:div>
      </w:divsChild>
    </w:div>
    <w:div w:id="604456765">
      <w:bodyDiv w:val="1"/>
      <w:marLeft w:val="0"/>
      <w:marRight w:val="0"/>
      <w:marTop w:val="0"/>
      <w:marBottom w:val="0"/>
      <w:divBdr>
        <w:top w:val="none" w:sz="0" w:space="0" w:color="auto"/>
        <w:left w:val="none" w:sz="0" w:space="0" w:color="auto"/>
        <w:bottom w:val="none" w:sz="0" w:space="0" w:color="auto"/>
        <w:right w:val="none" w:sz="0" w:space="0" w:color="auto"/>
      </w:divBdr>
    </w:div>
    <w:div w:id="625501537">
      <w:bodyDiv w:val="1"/>
      <w:marLeft w:val="0"/>
      <w:marRight w:val="0"/>
      <w:marTop w:val="0"/>
      <w:marBottom w:val="0"/>
      <w:divBdr>
        <w:top w:val="none" w:sz="0" w:space="0" w:color="auto"/>
        <w:left w:val="none" w:sz="0" w:space="0" w:color="auto"/>
        <w:bottom w:val="none" w:sz="0" w:space="0" w:color="auto"/>
        <w:right w:val="none" w:sz="0" w:space="0" w:color="auto"/>
      </w:divBdr>
    </w:div>
    <w:div w:id="646277460">
      <w:bodyDiv w:val="1"/>
      <w:marLeft w:val="0"/>
      <w:marRight w:val="0"/>
      <w:marTop w:val="0"/>
      <w:marBottom w:val="0"/>
      <w:divBdr>
        <w:top w:val="none" w:sz="0" w:space="0" w:color="auto"/>
        <w:left w:val="none" w:sz="0" w:space="0" w:color="auto"/>
        <w:bottom w:val="none" w:sz="0" w:space="0" w:color="auto"/>
        <w:right w:val="none" w:sz="0" w:space="0" w:color="auto"/>
      </w:divBdr>
      <w:divsChild>
        <w:div w:id="32926415">
          <w:marLeft w:val="0"/>
          <w:marRight w:val="0"/>
          <w:marTop w:val="0"/>
          <w:marBottom w:val="0"/>
          <w:divBdr>
            <w:top w:val="none" w:sz="0" w:space="0" w:color="auto"/>
            <w:left w:val="none" w:sz="0" w:space="0" w:color="auto"/>
            <w:bottom w:val="none" w:sz="0" w:space="0" w:color="auto"/>
            <w:right w:val="none" w:sz="0" w:space="0" w:color="auto"/>
          </w:divBdr>
        </w:div>
        <w:div w:id="34668742">
          <w:marLeft w:val="0"/>
          <w:marRight w:val="0"/>
          <w:marTop w:val="0"/>
          <w:marBottom w:val="0"/>
          <w:divBdr>
            <w:top w:val="none" w:sz="0" w:space="0" w:color="auto"/>
            <w:left w:val="none" w:sz="0" w:space="0" w:color="auto"/>
            <w:bottom w:val="none" w:sz="0" w:space="0" w:color="auto"/>
            <w:right w:val="none" w:sz="0" w:space="0" w:color="auto"/>
          </w:divBdr>
        </w:div>
        <w:div w:id="91439188">
          <w:marLeft w:val="0"/>
          <w:marRight w:val="0"/>
          <w:marTop w:val="0"/>
          <w:marBottom w:val="0"/>
          <w:divBdr>
            <w:top w:val="none" w:sz="0" w:space="0" w:color="auto"/>
            <w:left w:val="none" w:sz="0" w:space="0" w:color="auto"/>
            <w:bottom w:val="none" w:sz="0" w:space="0" w:color="auto"/>
            <w:right w:val="none" w:sz="0" w:space="0" w:color="auto"/>
          </w:divBdr>
        </w:div>
        <w:div w:id="187108851">
          <w:marLeft w:val="0"/>
          <w:marRight w:val="0"/>
          <w:marTop w:val="0"/>
          <w:marBottom w:val="0"/>
          <w:divBdr>
            <w:top w:val="none" w:sz="0" w:space="0" w:color="auto"/>
            <w:left w:val="none" w:sz="0" w:space="0" w:color="auto"/>
            <w:bottom w:val="none" w:sz="0" w:space="0" w:color="auto"/>
            <w:right w:val="none" w:sz="0" w:space="0" w:color="auto"/>
          </w:divBdr>
        </w:div>
        <w:div w:id="582572295">
          <w:marLeft w:val="0"/>
          <w:marRight w:val="0"/>
          <w:marTop w:val="0"/>
          <w:marBottom w:val="0"/>
          <w:divBdr>
            <w:top w:val="none" w:sz="0" w:space="0" w:color="auto"/>
            <w:left w:val="none" w:sz="0" w:space="0" w:color="auto"/>
            <w:bottom w:val="none" w:sz="0" w:space="0" w:color="auto"/>
            <w:right w:val="none" w:sz="0" w:space="0" w:color="auto"/>
          </w:divBdr>
          <w:divsChild>
            <w:div w:id="1656832055">
              <w:marLeft w:val="0"/>
              <w:marRight w:val="0"/>
              <w:marTop w:val="30"/>
              <w:marBottom w:val="30"/>
              <w:divBdr>
                <w:top w:val="none" w:sz="0" w:space="0" w:color="auto"/>
                <w:left w:val="none" w:sz="0" w:space="0" w:color="auto"/>
                <w:bottom w:val="none" w:sz="0" w:space="0" w:color="auto"/>
                <w:right w:val="none" w:sz="0" w:space="0" w:color="auto"/>
              </w:divBdr>
              <w:divsChild>
                <w:div w:id="4673642">
                  <w:marLeft w:val="0"/>
                  <w:marRight w:val="0"/>
                  <w:marTop w:val="0"/>
                  <w:marBottom w:val="0"/>
                  <w:divBdr>
                    <w:top w:val="none" w:sz="0" w:space="0" w:color="auto"/>
                    <w:left w:val="none" w:sz="0" w:space="0" w:color="auto"/>
                    <w:bottom w:val="none" w:sz="0" w:space="0" w:color="auto"/>
                    <w:right w:val="none" w:sz="0" w:space="0" w:color="auto"/>
                  </w:divBdr>
                  <w:divsChild>
                    <w:div w:id="997267551">
                      <w:marLeft w:val="0"/>
                      <w:marRight w:val="0"/>
                      <w:marTop w:val="0"/>
                      <w:marBottom w:val="0"/>
                      <w:divBdr>
                        <w:top w:val="none" w:sz="0" w:space="0" w:color="auto"/>
                        <w:left w:val="none" w:sz="0" w:space="0" w:color="auto"/>
                        <w:bottom w:val="none" w:sz="0" w:space="0" w:color="auto"/>
                        <w:right w:val="none" w:sz="0" w:space="0" w:color="auto"/>
                      </w:divBdr>
                    </w:div>
                  </w:divsChild>
                </w:div>
                <w:div w:id="28267257">
                  <w:marLeft w:val="0"/>
                  <w:marRight w:val="0"/>
                  <w:marTop w:val="0"/>
                  <w:marBottom w:val="0"/>
                  <w:divBdr>
                    <w:top w:val="none" w:sz="0" w:space="0" w:color="auto"/>
                    <w:left w:val="none" w:sz="0" w:space="0" w:color="auto"/>
                    <w:bottom w:val="none" w:sz="0" w:space="0" w:color="auto"/>
                    <w:right w:val="none" w:sz="0" w:space="0" w:color="auto"/>
                  </w:divBdr>
                  <w:divsChild>
                    <w:div w:id="1831482505">
                      <w:marLeft w:val="0"/>
                      <w:marRight w:val="0"/>
                      <w:marTop w:val="0"/>
                      <w:marBottom w:val="0"/>
                      <w:divBdr>
                        <w:top w:val="none" w:sz="0" w:space="0" w:color="auto"/>
                        <w:left w:val="none" w:sz="0" w:space="0" w:color="auto"/>
                        <w:bottom w:val="none" w:sz="0" w:space="0" w:color="auto"/>
                        <w:right w:val="none" w:sz="0" w:space="0" w:color="auto"/>
                      </w:divBdr>
                    </w:div>
                  </w:divsChild>
                </w:div>
                <w:div w:id="60830880">
                  <w:marLeft w:val="0"/>
                  <w:marRight w:val="0"/>
                  <w:marTop w:val="0"/>
                  <w:marBottom w:val="0"/>
                  <w:divBdr>
                    <w:top w:val="none" w:sz="0" w:space="0" w:color="auto"/>
                    <w:left w:val="none" w:sz="0" w:space="0" w:color="auto"/>
                    <w:bottom w:val="none" w:sz="0" w:space="0" w:color="auto"/>
                    <w:right w:val="none" w:sz="0" w:space="0" w:color="auto"/>
                  </w:divBdr>
                  <w:divsChild>
                    <w:div w:id="2022927167">
                      <w:marLeft w:val="0"/>
                      <w:marRight w:val="0"/>
                      <w:marTop w:val="0"/>
                      <w:marBottom w:val="0"/>
                      <w:divBdr>
                        <w:top w:val="none" w:sz="0" w:space="0" w:color="auto"/>
                        <w:left w:val="none" w:sz="0" w:space="0" w:color="auto"/>
                        <w:bottom w:val="none" w:sz="0" w:space="0" w:color="auto"/>
                        <w:right w:val="none" w:sz="0" w:space="0" w:color="auto"/>
                      </w:divBdr>
                    </w:div>
                  </w:divsChild>
                </w:div>
                <w:div w:id="101152781">
                  <w:marLeft w:val="0"/>
                  <w:marRight w:val="0"/>
                  <w:marTop w:val="0"/>
                  <w:marBottom w:val="0"/>
                  <w:divBdr>
                    <w:top w:val="none" w:sz="0" w:space="0" w:color="auto"/>
                    <w:left w:val="none" w:sz="0" w:space="0" w:color="auto"/>
                    <w:bottom w:val="none" w:sz="0" w:space="0" w:color="auto"/>
                    <w:right w:val="none" w:sz="0" w:space="0" w:color="auto"/>
                  </w:divBdr>
                  <w:divsChild>
                    <w:div w:id="1303658771">
                      <w:marLeft w:val="0"/>
                      <w:marRight w:val="0"/>
                      <w:marTop w:val="0"/>
                      <w:marBottom w:val="0"/>
                      <w:divBdr>
                        <w:top w:val="none" w:sz="0" w:space="0" w:color="auto"/>
                        <w:left w:val="none" w:sz="0" w:space="0" w:color="auto"/>
                        <w:bottom w:val="none" w:sz="0" w:space="0" w:color="auto"/>
                        <w:right w:val="none" w:sz="0" w:space="0" w:color="auto"/>
                      </w:divBdr>
                    </w:div>
                  </w:divsChild>
                </w:div>
                <w:div w:id="113838210">
                  <w:marLeft w:val="0"/>
                  <w:marRight w:val="0"/>
                  <w:marTop w:val="0"/>
                  <w:marBottom w:val="0"/>
                  <w:divBdr>
                    <w:top w:val="none" w:sz="0" w:space="0" w:color="auto"/>
                    <w:left w:val="none" w:sz="0" w:space="0" w:color="auto"/>
                    <w:bottom w:val="none" w:sz="0" w:space="0" w:color="auto"/>
                    <w:right w:val="none" w:sz="0" w:space="0" w:color="auto"/>
                  </w:divBdr>
                  <w:divsChild>
                    <w:div w:id="1157300514">
                      <w:marLeft w:val="0"/>
                      <w:marRight w:val="0"/>
                      <w:marTop w:val="0"/>
                      <w:marBottom w:val="0"/>
                      <w:divBdr>
                        <w:top w:val="none" w:sz="0" w:space="0" w:color="auto"/>
                        <w:left w:val="none" w:sz="0" w:space="0" w:color="auto"/>
                        <w:bottom w:val="none" w:sz="0" w:space="0" w:color="auto"/>
                        <w:right w:val="none" w:sz="0" w:space="0" w:color="auto"/>
                      </w:divBdr>
                    </w:div>
                  </w:divsChild>
                </w:div>
                <w:div w:id="172380115">
                  <w:marLeft w:val="0"/>
                  <w:marRight w:val="0"/>
                  <w:marTop w:val="0"/>
                  <w:marBottom w:val="0"/>
                  <w:divBdr>
                    <w:top w:val="none" w:sz="0" w:space="0" w:color="auto"/>
                    <w:left w:val="none" w:sz="0" w:space="0" w:color="auto"/>
                    <w:bottom w:val="none" w:sz="0" w:space="0" w:color="auto"/>
                    <w:right w:val="none" w:sz="0" w:space="0" w:color="auto"/>
                  </w:divBdr>
                  <w:divsChild>
                    <w:div w:id="1093167048">
                      <w:marLeft w:val="0"/>
                      <w:marRight w:val="0"/>
                      <w:marTop w:val="0"/>
                      <w:marBottom w:val="0"/>
                      <w:divBdr>
                        <w:top w:val="none" w:sz="0" w:space="0" w:color="auto"/>
                        <w:left w:val="none" w:sz="0" w:space="0" w:color="auto"/>
                        <w:bottom w:val="none" w:sz="0" w:space="0" w:color="auto"/>
                        <w:right w:val="none" w:sz="0" w:space="0" w:color="auto"/>
                      </w:divBdr>
                    </w:div>
                  </w:divsChild>
                </w:div>
                <w:div w:id="176505698">
                  <w:marLeft w:val="0"/>
                  <w:marRight w:val="0"/>
                  <w:marTop w:val="0"/>
                  <w:marBottom w:val="0"/>
                  <w:divBdr>
                    <w:top w:val="none" w:sz="0" w:space="0" w:color="auto"/>
                    <w:left w:val="none" w:sz="0" w:space="0" w:color="auto"/>
                    <w:bottom w:val="none" w:sz="0" w:space="0" w:color="auto"/>
                    <w:right w:val="none" w:sz="0" w:space="0" w:color="auto"/>
                  </w:divBdr>
                  <w:divsChild>
                    <w:div w:id="1853717610">
                      <w:marLeft w:val="0"/>
                      <w:marRight w:val="0"/>
                      <w:marTop w:val="0"/>
                      <w:marBottom w:val="0"/>
                      <w:divBdr>
                        <w:top w:val="none" w:sz="0" w:space="0" w:color="auto"/>
                        <w:left w:val="none" w:sz="0" w:space="0" w:color="auto"/>
                        <w:bottom w:val="none" w:sz="0" w:space="0" w:color="auto"/>
                        <w:right w:val="none" w:sz="0" w:space="0" w:color="auto"/>
                      </w:divBdr>
                    </w:div>
                  </w:divsChild>
                </w:div>
                <w:div w:id="191115721">
                  <w:marLeft w:val="0"/>
                  <w:marRight w:val="0"/>
                  <w:marTop w:val="0"/>
                  <w:marBottom w:val="0"/>
                  <w:divBdr>
                    <w:top w:val="none" w:sz="0" w:space="0" w:color="auto"/>
                    <w:left w:val="none" w:sz="0" w:space="0" w:color="auto"/>
                    <w:bottom w:val="none" w:sz="0" w:space="0" w:color="auto"/>
                    <w:right w:val="none" w:sz="0" w:space="0" w:color="auto"/>
                  </w:divBdr>
                  <w:divsChild>
                    <w:div w:id="1847551310">
                      <w:marLeft w:val="0"/>
                      <w:marRight w:val="0"/>
                      <w:marTop w:val="0"/>
                      <w:marBottom w:val="0"/>
                      <w:divBdr>
                        <w:top w:val="none" w:sz="0" w:space="0" w:color="auto"/>
                        <w:left w:val="none" w:sz="0" w:space="0" w:color="auto"/>
                        <w:bottom w:val="none" w:sz="0" w:space="0" w:color="auto"/>
                        <w:right w:val="none" w:sz="0" w:space="0" w:color="auto"/>
                      </w:divBdr>
                    </w:div>
                  </w:divsChild>
                </w:div>
                <w:div w:id="196432545">
                  <w:marLeft w:val="0"/>
                  <w:marRight w:val="0"/>
                  <w:marTop w:val="0"/>
                  <w:marBottom w:val="0"/>
                  <w:divBdr>
                    <w:top w:val="none" w:sz="0" w:space="0" w:color="auto"/>
                    <w:left w:val="none" w:sz="0" w:space="0" w:color="auto"/>
                    <w:bottom w:val="none" w:sz="0" w:space="0" w:color="auto"/>
                    <w:right w:val="none" w:sz="0" w:space="0" w:color="auto"/>
                  </w:divBdr>
                  <w:divsChild>
                    <w:div w:id="824513527">
                      <w:marLeft w:val="0"/>
                      <w:marRight w:val="0"/>
                      <w:marTop w:val="0"/>
                      <w:marBottom w:val="0"/>
                      <w:divBdr>
                        <w:top w:val="none" w:sz="0" w:space="0" w:color="auto"/>
                        <w:left w:val="none" w:sz="0" w:space="0" w:color="auto"/>
                        <w:bottom w:val="none" w:sz="0" w:space="0" w:color="auto"/>
                        <w:right w:val="none" w:sz="0" w:space="0" w:color="auto"/>
                      </w:divBdr>
                    </w:div>
                  </w:divsChild>
                </w:div>
                <w:div w:id="223104569">
                  <w:marLeft w:val="0"/>
                  <w:marRight w:val="0"/>
                  <w:marTop w:val="0"/>
                  <w:marBottom w:val="0"/>
                  <w:divBdr>
                    <w:top w:val="none" w:sz="0" w:space="0" w:color="auto"/>
                    <w:left w:val="none" w:sz="0" w:space="0" w:color="auto"/>
                    <w:bottom w:val="none" w:sz="0" w:space="0" w:color="auto"/>
                    <w:right w:val="none" w:sz="0" w:space="0" w:color="auto"/>
                  </w:divBdr>
                  <w:divsChild>
                    <w:div w:id="1188182864">
                      <w:marLeft w:val="0"/>
                      <w:marRight w:val="0"/>
                      <w:marTop w:val="0"/>
                      <w:marBottom w:val="0"/>
                      <w:divBdr>
                        <w:top w:val="none" w:sz="0" w:space="0" w:color="auto"/>
                        <w:left w:val="none" w:sz="0" w:space="0" w:color="auto"/>
                        <w:bottom w:val="none" w:sz="0" w:space="0" w:color="auto"/>
                        <w:right w:val="none" w:sz="0" w:space="0" w:color="auto"/>
                      </w:divBdr>
                    </w:div>
                  </w:divsChild>
                </w:div>
                <w:div w:id="359356617">
                  <w:marLeft w:val="0"/>
                  <w:marRight w:val="0"/>
                  <w:marTop w:val="0"/>
                  <w:marBottom w:val="0"/>
                  <w:divBdr>
                    <w:top w:val="none" w:sz="0" w:space="0" w:color="auto"/>
                    <w:left w:val="none" w:sz="0" w:space="0" w:color="auto"/>
                    <w:bottom w:val="none" w:sz="0" w:space="0" w:color="auto"/>
                    <w:right w:val="none" w:sz="0" w:space="0" w:color="auto"/>
                  </w:divBdr>
                  <w:divsChild>
                    <w:div w:id="253173169">
                      <w:marLeft w:val="0"/>
                      <w:marRight w:val="0"/>
                      <w:marTop w:val="0"/>
                      <w:marBottom w:val="0"/>
                      <w:divBdr>
                        <w:top w:val="none" w:sz="0" w:space="0" w:color="auto"/>
                        <w:left w:val="none" w:sz="0" w:space="0" w:color="auto"/>
                        <w:bottom w:val="none" w:sz="0" w:space="0" w:color="auto"/>
                        <w:right w:val="none" w:sz="0" w:space="0" w:color="auto"/>
                      </w:divBdr>
                    </w:div>
                  </w:divsChild>
                </w:div>
                <w:div w:id="476726570">
                  <w:marLeft w:val="0"/>
                  <w:marRight w:val="0"/>
                  <w:marTop w:val="0"/>
                  <w:marBottom w:val="0"/>
                  <w:divBdr>
                    <w:top w:val="none" w:sz="0" w:space="0" w:color="auto"/>
                    <w:left w:val="none" w:sz="0" w:space="0" w:color="auto"/>
                    <w:bottom w:val="none" w:sz="0" w:space="0" w:color="auto"/>
                    <w:right w:val="none" w:sz="0" w:space="0" w:color="auto"/>
                  </w:divBdr>
                  <w:divsChild>
                    <w:div w:id="763644470">
                      <w:marLeft w:val="0"/>
                      <w:marRight w:val="0"/>
                      <w:marTop w:val="0"/>
                      <w:marBottom w:val="0"/>
                      <w:divBdr>
                        <w:top w:val="none" w:sz="0" w:space="0" w:color="auto"/>
                        <w:left w:val="none" w:sz="0" w:space="0" w:color="auto"/>
                        <w:bottom w:val="none" w:sz="0" w:space="0" w:color="auto"/>
                        <w:right w:val="none" w:sz="0" w:space="0" w:color="auto"/>
                      </w:divBdr>
                    </w:div>
                  </w:divsChild>
                </w:div>
                <w:div w:id="482502245">
                  <w:marLeft w:val="0"/>
                  <w:marRight w:val="0"/>
                  <w:marTop w:val="0"/>
                  <w:marBottom w:val="0"/>
                  <w:divBdr>
                    <w:top w:val="none" w:sz="0" w:space="0" w:color="auto"/>
                    <w:left w:val="none" w:sz="0" w:space="0" w:color="auto"/>
                    <w:bottom w:val="none" w:sz="0" w:space="0" w:color="auto"/>
                    <w:right w:val="none" w:sz="0" w:space="0" w:color="auto"/>
                  </w:divBdr>
                  <w:divsChild>
                    <w:div w:id="1995991915">
                      <w:marLeft w:val="0"/>
                      <w:marRight w:val="0"/>
                      <w:marTop w:val="0"/>
                      <w:marBottom w:val="0"/>
                      <w:divBdr>
                        <w:top w:val="none" w:sz="0" w:space="0" w:color="auto"/>
                        <w:left w:val="none" w:sz="0" w:space="0" w:color="auto"/>
                        <w:bottom w:val="none" w:sz="0" w:space="0" w:color="auto"/>
                        <w:right w:val="none" w:sz="0" w:space="0" w:color="auto"/>
                      </w:divBdr>
                    </w:div>
                  </w:divsChild>
                </w:div>
                <w:div w:id="542910679">
                  <w:marLeft w:val="0"/>
                  <w:marRight w:val="0"/>
                  <w:marTop w:val="0"/>
                  <w:marBottom w:val="0"/>
                  <w:divBdr>
                    <w:top w:val="none" w:sz="0" w:space="0" w:color="auto"/>
                    <w:left w:val="none" w:sz="0" w:space="0" w:color="auto"/>
                    <w:bottom w:val="none" w:sz="0" w:space="0" w:color="auto"/>
                    <w:right w:val="none" w:sz="0" w:space="0" w:color="auto"/>
                  </w:divBdr>
                  <w:divsChild>
                    <w:div w:id="831945644">
                      <w:marLeft w:val="0"/>
                      <w:marRight w:val="0"/>
                      <w:marTop w:val="0"/>
                      <w:marBottom w:val="0"/>
                      <w:divBdr>
                        <w:top w:val="none" w:sz="0" w:space="0" w:color="auto"/>
                        <w:left w:val="none" w:sz="0" w:space="0" w:color="auto"/>
                        <w:bottom w:val="none" w:sz="0" w:space="0" w:color="auto"/>
                        <w:right w:val="none" w:sz="0" w:space="0" w:color="auto"/>
                      </w:divBdr>
                    </w:div>
                  </w:divsChild>
                </w:div>
                <w:div w:id="549263393">
                  <w:marLeft w:val="0"/>
                  <w:marRight w:val="0"/>
                  <w:marTop w:val="0"/>
                  <w:marBottom w:val="0"/>
                  <w:divBdr>
                    <w:top w:val="none" w:sz="0" w:space="0" w:color="auto"/>
                    <w:left w:val="none" w:sz="0" w:space="0" w:color="auto"/>
                    <w:bottom w:val="none" w:sz="0" w:space="0" w:color="auto"/>
                    <w:right w:val="none" w:sz="0" w:space="0" w:color="auto"/>
                  </w:divBdr>
                  <w:divsChild>
                    <w:div w:id="2080865119">
                      <w:marLeft w:val="0"/>
                      <w:marRight w:val="0"/>
                      <w:marTop w:val="0"/>
                      <w:marBottom w:val="0"/>
                      <w:divBdr>
                        <w:top w:val="none" w:sz="0" w:space="0" w:color="auto"/>
                        <w:left w:val="none" w:sz="0" w:space="0" w:color="auto"/>
                        <w:bottom w:val="none" w:sz="0" w:space="0" w:color="auto"/>
                        <w:right w:val="none" w:sz="0" w:space="0" w:color="auto"/>
                      </w:divBdr>
                    </w:div>
                  </w:divsChild>
                </w:div>
                <w:div w:id="560748210">
                  <w:marLeft w:val="0"/>
                  <w:marRight w:val="0"/>
                  <w:marTop w:val="0"/>
                  <w:marBottom w:val="0"/>
                  <w:divBdr>
                    <w:top w:val="none" w:sz="0" w:space="0" w:color="auto"/>
                    <w:left w:val="none" w:sz="0" w:space="0" w:color="auto"/>
                    <w:bottom w:val="none" w:sz="0" w:space="0" w:color="auto"/>
                    <w:right w:val="none" w:sz="0" w:space="0" w:color="auto"/>
                  </w:divBdr>
                  <w:divsChild>
                    <w:div w:id="1964337490">
                      <w:marLeft w:val="0"/>
                      <w:marRight w:val="0"/>
                      <w:marTop w:val="0"/>
                      <w:marBottom w:val="0"/>
                      <w:divBdr>
                        <w:top w:val="none" w:sz="0" w:space="0" w:color="auto"/>
                        <w:left w:val="none" w:sz="0" w:space="0" w:color="auto"/>
                        <w:bottom w:val="none" w:sz="0" w:space="0" w:color="auto"/>
                        <w:right w:val="none" w:sz="0" w:space="0" w:color="auto"/>
                      </w:divBdr>
                    </w:div>
                  </w:divsChild>
                </w:div>
                <w:div w:id="616522587">
                  <w:marLeft w:val="0"/>
                  <w:marRight w:val="0"/>
                  <w:marTop w:val="0"/>
                  <w:marBottom w:val="0"/>
                  <w:divBdr>
                    <w:top w:val="none" w:sz="0" w:space="0" w:color="auto"/>
                    <w:left w:val="none" w:sz="0" w:space="0" w:color="auto"/>
                    <w:bottom w:val="none" w:sz="0" w:space="0" w:color="auto"/>
                    <w:right w:val="none" w:sz="0" w:space="0" w:color="auto"/>
                  </w:divBdr>
                  <w:divsChild>
                    <w:div w:id="2056158524">
                      <w:marLeft w:val="0"/>
                      <w:marRight w:val="0"/>
                      <w:marTop w:val="0"/>
                      <w:marBottom w:val="0"/>
                      <w:divBdr>
                        <w:top w:val="none" w:sz="0" w:space="0" w:color="auto"/>
                        <w:left w:val="none" w:sz="0" w:space="0" w:color="auto"/>
                        <w:bottom w:val="none" w:sz="0" w:space="0" w:color="auto"/>
                        <w:right w:val="none" w:sz="0" w:space="0" w:color="auto"/>
                      </w:divBdr>
                    </w:div>
                  </w:divsChild>
                </w:div>
                <w:div w:id="634989506">
                  <w:marLeft w:val="0"/>
                  <w:marRight w:val="0"/>
                  <w:marTop w:val="0"/>
                  <w:marBottom w:val="0"/>
                  <w:divBdr>
                    <w:top w:val="none" w:sz="0" w:space="0" w:color="auto"/>
                    <w:left w:val="none" w:sz="0" w:space="0" w:color="auto"/>
                    <w:bottom w:val="none" w:sz="0" w:space="0" w:color="auto"/>
                    <w:right w:val="none" w:sz="0" w:space="0" w:color="auto"/>
                  </w:divBdr>
                  <w:divsChild>
                    <w:div w:id="2137673561">
                      <w:marLeft w:val="0"/>
                      <w:marRight w:val="0"/>
                      <w:marTop w:val="0"/>
                      <w:marBottom w:val="0"/>
                      <w:divBdr>
                        <w:top w:val="none" w:sz="0" w:space="0" w:color="auto"/>
                        <w:left w:val="none" w:sz="0" w:space="0" w:color="auto"/>
                        <w:bottom w:val="none" w:sz="0" w:space="0" w:color="auto"/>
                        <w:right w:val="none" w:sz="0" w:space="0" w:color="auto"/>
                      </w:divBdr>
                    </w:div>
                  </w:divsChild>
                </w:div>
                <w:div w:id="710346833">
                  <w:marLeft w:val="0"/>
                  <w:marRight w:val="0"/>
                  <w:marTop w:val="0"/>
                  <w:marBottom w:val="0"/>
                  <w:divBdr>
                    <w:top w:val="none" w:sz="0" w:space="0" w:color="auto"/>
                    <w:left w:val="none" w:sz="0" w:space="0" w:color="auto"/>
                    <w:bottom w:val="none" w:sz="0" w:space="0" w:color="auto"/>
                    <w:right w:val="none" w:sz="0" w:space="0" w:color="auto"/>
                  </w:divBdr>
                  <w:divsChild>
                    <w:div w:id="1623223565">
                      <w:marLeft w:val="0"/>
                      <w:marRight w:val="0"/>
                      <w:marTop w:val="0"/>
                      <w:marBottom w:val="0"/>
                      <w:divBdr>
                        <w:top w:val="none" w:sz="0" w:space="0" w:color="auto"/>
                        <w:left w:val="none" w:sz="0" w:space="0" w:color="auto"/>
                        <w:bottom w:val="none" w:sz="0" w:space="0" w:color="auto"/>
                        <w:right w:val="none" w:sz="0" w:space="0" w:color="auto"/>
                      </w:divBdr>
                    </w:div>
                  </w:divsChild>
                </w:div>
                <w:div w:id="743526598">
                  <w:marLeft w:val="0"/>
                  <w:marRight w:val="0"/>
                  <w:marTop w:val="0"/>
                  <w:marBottom w:val="0"/>
                  <w:divBdr>
                    <w:top w:val="none" w:sz="0" w:space="0" w:color="auto"/>
                    <w:left w:val="none" w:sz="0" w:space="0" w:color="auto"/>
                    <w:bottom w:val="none" w:sz="0" w:space="0" w:color="auto"/>
                    <w:right w:val="none" w:sz="0" w:space="0" w:color="auto"/>
                  </w:divBdr>
                  <w:divsChild>
                    <w:div w:id="1754743557">
                      <w:marLeft w:val="0"/>
                      <w:marRight w:val="0"/>
                      <w:marTop w:val="0"/>
                      <w:marBottom w:val="0"/>
                      <w:divBdr>
                        <w:top w:val="none" w:sz="0" w:space="0" w:color="auto"/>
                        <w:left w:val="none" w:sz="0" w:space="0" w:color="auto"/>
                        <w:bottom w:val="none" w:sz="0" w:space="0" w:color="auto"/>
                        <w:right w:val="none" w:sz="0" w:space="0" w:color="auto"/>
                      </w:divBdr>
                    </w:div>
                  </w:divsChild>
                </w:div>
                <w:div w:id="754977748">
                  <w:marLeft w:val="0"/>
                  <w:marRight w:val="0"/>
                  <w:marTop w:val="0"/>
                  <w:marBottom w:val="0"/>
                  <w:divBdr>
                    <w:top w:val="none" w:sz="0" w:space="0" w:color="auto"/>
                    <w:left w:val="none" w:sz="0" w:space="0" w:color="auto"/>
                    <w:bottom w:val="none" w:sz="0" w:space="0" w:color="auto"/>
                    <w:right w:val="none" w:sz="0" w:space="0" w:color="auto"/>
                  </w:divBdr>
                  <w:divsChild>
                    <w:div w:id="10382515">
                      <w:marLeft w:val="0"/>
                      <w:marRight w:val="0"/>
                      <w:marTop w:val="0"/>
                      <w:marBottom w:val="0"/>
                      <w:divBdr>
                        <w:top w:val="none" w:sz="0" w:space="0" w:color="auto"/>
                        <w:left w:val="none" w:sz="0" w:space="0" w:color="auto"/>
                        <w:bottom w:val="none" w:sz="0" w:space="0" w:color="auto"/>
                        <w:right w:val="none" w:sz="0" w:space="0" w:color="auto"/>
                      </w:divBdr>
                    </w:div>
                  </w:divsChild>
                </w:div>
                <w:div w:id="804665672">
                  <w:marLeft w:val="0"/>
                  <w:marRight w:val="0"/>
                  <w:marTop w:val="0"/>
                  <w:marBottom w:val="0"/>
                  <w:divBdr>
                    <w:top w:val="none" w:sz="0" w:space="0" w:color="auto"/>
                    <w:left w:val="none" w:sz="0" w:space="0" w:color="auto"/>
                    <w:bottom w:val="none" w:sz="0" w:space="0" w:color="auto"/>
                    <w:right w:val="none" w:sz="0" w:space="0" w:color="auto"/>
                  </w:divBdr>
                  <w:divsChild>
                    <w:div w:id="1359622432">
                      <w:marLeft w:val="0"/>
                      <w:marRight w:val="0"/>
                      <w:marTop w:val="0"/>
                      <w:marBottom w:val="0"/>
                      <w:divBdr>
                        <w:top w:val="none" w:sz="0" w:space="0" w:color="auto"/>
                        <w:left w:val="none" w:sz="0" w:space="0" w:color="auto"/>
                        <w:bottom w:val="none" w:sz="0" w:space="0" w:color="auto"/>
                        <w:right w:val="none" w:sz="0" w:space="0" w:color="auto"/>
                      </w:divBdr>
                    </w:div>
                  </w:divsChild>
                </w:div>
                <w:div w:id="807892856">
                  <w:marLeft w:val="0"/>
                  <w:marRight w:val="0"/>
                  <w:marTop w:val="0"/>
                  <w:marBottom w:val="0"/>
                  <w:divBdr>
                    <w:top w:val="none" w:sz="0" w:space="0" w:color="auto"/>
                    <w:left w:val="none" w:sz="0" w:space="0" w:color="auto"/>
                    <w:bottom w:val="none" w:sz="0" w:space="0" w:color="auto"/>
                    <w:right w:val="none" w:sz="0" w:space="0" w:color="auto"/>
                  </w:divBdr>
                  <w:divsChild>
                    <w:div w:id="648945737">
                      <w:marLeft w:val="0"/>
                      <w:marRight w:val="0"/>
                      <w:marTop w:val="0"/>
                      <w:marBottom w:val="0"/>
                      <w:divBdr>
                        <w:top w:val="none" w:sz="0" w:space="0" w:color="auto"/>
                        <w:left w:val="none" w:sz="0" w:space="0" w:color="auto"/>
                        <w:bottom w:val="none" w:sz="0" w:space="0" w:color="auto"/>
                        <w:right w:val="none" w:sz="0" w:space="0" w:color="auto"/>
                      </w:divBdr>
                    </w:div>
                  </w:divsChild>
                </w:div>
                <w:div w:id="1109736238">
                  <w:marLeft w:val="0"/>
                  <w:marRight w:val="0"/>
                  <w:marTop w:val="0"/>
                  <w:marBottom w:val="0"/>
                  <w:divBdr>
                    <w:top w:val="none" w:sz="0" w:space="0" w:color="auto"/>
                    <w:left w:val="none" w:sz="0" w:space="0" w:color="auto"/>
                    <w:bottom w:val="none" w:sz="0" w:space="0" w:color="auto"/>
                    <w:right w:val="none" w:sz="0" w:space="0" w:color="auto"/>
                  </w:divBdr>
                  <w:divsChild>
                    <w:div w:id="2132891929">
                      <w:marLeft w:val="0"/>
                      <w:marRight w:val="0"/>
                      <w:marTop w:val="0"/>
                      <w:marBottom w:val="0"/>
                      <w:divBdr>
                        <w:top w:val="none" w:sz="0" w:space="0" w:color="auto"/>
                        <w:left w:val="none" w:sz="0" w:space="0" w:color="auto"/>
                        <w:bottom w:val="none" w:sz="0" w:space="0" w:color="auto"/>
                        <w:right w:val="none" w:sz="0" w:space="0" w:color="auto"/>
                      </w:divBdr>
                    </w:div>
                  </w:divsChild>
                </w:div>
                <w:div w:id="1138645757">
                  <w:marLeft w:val="0"/>
                  <w:marRight w:val="0"/>
                  <w:marTop w:val="0"/>
                  <w:marBottom w:val="0"/>
                  <w:divBdr>
                    <w:top w:val="none" w:sz="0" w:space="0" w:color="auto"/>
                    <w:left w:val="none" w:sz="0" w:space="0" w:color="auto"/>
                    <w:bottom w:val="none" w:sz="0" w:space="0" w:color="auto"/>
                    <w:right w:val="none" w:sz="0" w:space="0" w:color="auto"/>
                  </w:divBdr>
                  <w:divsChild>
                    <w:div w:id="117723060">
                      <w:marLeft w:val="0"/>
                      <w:marRight w:val="0"/>
                      <w:marTop w:val="0"/>
                      <w:marBottom w:val="0"/>
                      <w:divBdr>
                        <w:top w:val="none" w:sz="0" w:space="0" w:color="auto"/>
                        <w:left w:val="none" w:sz="0" w:space="0" w:color="auto"/>
                        <w:bottom w:val="none" w:sz="0" w:space="0" w:color="auto"/>
                        <w:right w:val="none" w:sz="0" w:space="0" w:color="auto"/>
                      </w:divBdr>
                    </w:div>
                  </w:divsChild>
                </w:div>
                <w:div w:id="1299190468">
                  <w:marLeft w:val="0"/>
                  <w:marRight w:val="0"/>
                  <w:marTop w:val="0"/>
                  <w:marBottom w:val="0"/>
                  <w:divBdr>
                    <w:top w:val="none" w:sz="0" w:space="0" w:color="auto"/>
                    <w:left w:val="none" w:sz="0" w:space="0" w:color="auto"/>
                    <w:bottom w:val="none" w:sz="0" w:space="0" w:color="auto"/>
                    <w:right w:val="none" w:sz="0" w:space="0" w:color="auto"/>
                  </w:divBdr>
                  <w:divsChild>
                    <w:div w:id="2124811370">
                      <w:marLeft w:val="0"/>
                      <w:marRight w:val="0"/>
                      <w:marTop w:val="0"/>
                      <w:marBottom w:val="0"/>
                      <w:divBdr>
                        <w:top w:val="none" w:sz="0" w:space="0" w:color="auto"/>
                        <w:left w:val="none" w:sz="0" w:space="0" w:color="auto"/>
                        <w:bottom w:val="none" w:sz="0" w:space="0" w:color="auto"/>
                        <w:right w:val="none" w:sz="0" w:space="0" w:color="auto"/>
                      </w:divBdr>
                    </w:div>
                  </w:divsChild>
                </w:div>
                <w:div w:id="1313438761">
                  <w:marLeft w:val="0"/>
                  <w:marRight w:val="0"/>
                  <w:marTop w:val="0"/>
                  <w:marBottom w:val="0"/>
                  <w:divBdr>
                    <w:top w:val="none" w:sz="0" w:space="0" w:color="auto"/>
                    <w:left w:val="none" w:sz="0" w:space="0" w:color="auto"/>
                    <w:bottom w:val="none" w:sz="0" w:space="0" w:color="auto"/>
                    <w:right w:val="none" w:sz="0" w:space="0" w:color="auto"/>
                  </w:divBdr>
                  <w:divsChild>
                    <w:div w:id="1296332653">
                      <w:marLeft w:val="0"/>
                      <w:marRight w:val="0"/>
                      <w:marTop w:val="0"/>
                      <w:marBottom w:val="0"/>
                      <w:divBdr>
                        <w:top w:val="none" w:sz="0" w:space="0" w:color="auto"/>
                        <w:left w:val="none" w:sz="0" w:space="0" w:color="auto"/>
                        <w:bottom w:val="none" w:sz="0" w:space="0" w:color="auto"/>
                        <w:right w:val="none" w:sz="0" w:space="0" w:color="auto"/>
                      </w:divBdr>
                    </w:div>
                  </w:divsChild>
                </w:div>
                <w:div w:id="1323778389">
                  <w:marLeft w:val="0"/>
                  <w:marRight w:val="0"/>
                  <w:marTop w:val="0"/>
                  <w:marBottom w:val="0"/>
                  <w:divBdr>
                    <w:top w:val="none" w:sz="0" w:space="0" w:color="auto"/>
                    <w:left w:val="none" w:sz="0" w:space="0" w:color="auto"/>
                    <w:bottom w:val="none" w:sz="0" w:space="0" w:color="auto"/>
                    <w:right w:val="none" w:sz="0" w:space="0" w:color="auto"/>
                  </w:divBdr>
                  <w:divsChild>
                    <w:div w:id="1288315862">
                      <w:marLeft w:val="0"/>
                      <w:marRight w:val="0"/>
                      <w:marTop w:val="0"/>
                      <w:marBottom w:val="0"/>
                      <w:divBdr>
                        <w:top w:val="none" w:sz="0" w:space="0" w:color="auto"/>
                        <w:left w:val="none" w:sz="0" w:space="0" w:color="auto"/>
                        <w:bottom w:val="none" w:sz="0" w:space="0" w:color="auto"/>
                        <w:right w:val="none" w:sz="0" w:space="0" w:color="auto"/>
                      </w:divBdr>
                    </w:div>
                  </w:divsChild>
                </w:div>
                <w:div w:id="1362709194">
                  <w:marLeft w:val="0"/>
                  <w:marRight w:val="0"/>
                  <w:marTop w:val="0"/>
                  <w:marBottom w:val="0"/>
                  <w:divBdr>
                    <w:top w:val="none" w:sz="0" w:space="0" w:color="auto"/>
                    <w:left w:val="none" w:sz="0" w:space="0" w:color="auto"/>
                    <w:bottom w:val="none" w:sz="0" w:space="0" w:color="auto"/>
                    <w:right w:val="none" w:sz="0" w:space="0" w:color="auto"/>
                  </w:divBdr>
                  <w:divsChild>
                    <w:div w:id="1383943038">
                      <w:marLeft w:val="0"/>
                      <w:marRight w:val="0"/>
                      <w:marTop w:val="0"/>
                      <w:marBottom w:val="0"/>
                      <w:divBdr>
                        <w:top w:val="none" w:sz="0" w:space="0" w:color="auto"/>
                        <w:left w:val="none" w:sz="0" w:space="0" w:color="auto"/>
                        <w:bottom w:val="none" w:sz="0" w:space="0" w:color="auto"/>
                        <w:right w:val="none" w:sz="0" w:space="0" w:color="auto"/>
                      </w:divBdr>
                    </w:div>
                  </w:divsChild>
                </w:div>
                <w:div w:id="1488132420">
                  <w:marLeft w:val="0"/>
                  <w:marRight w:val="0"/>
                  <w:marTop w:val="0"/>
                  <w:marBottom w:val="0"/>
                  <w:divBdr>
                    <w:top w:val="none" w:sz="0" w:space="0" w:color="auto"/>
                    <w:left w:val="none" w:sz="0" w:space="0" w:color="auto"/>
                    <w:bottom w:val="none" w:sz="0" w:space="0" w:color="auto"/>
                    <w:right w:val="none" w:sz="0" w:space="0" w:color="auto"/>
                  </w:divBdr>
                  <w:divsChild>
                    <w:div w:id="1526481673">
                      <w:marLeft w:val="0"/>
                      <w:marRight w:val="0"/>
                      <w:marTop w:val="0"/>
                      <w:marBottom w:val="0"/>
                      <w:divBdr>
                        <w:top w:val="none" w:sz="0" w:space="0" w:color="auto"/>
                        <w:left w:val="none" w:sz="0" w:space="0" w:color="auto"/>
                        <w:bottom w:val="none" w:sz="0" w:space="0" w:color="auto"/>
                        <w:right w:val="none" w:sz="0" w:space="0" w:color="auto"/>
                      </w:divBdr>
                    </w:div>
                  </w:divsChild>
                </w:div>
                <w:div w:id="1495687825">
                  <w:marLeft w:val="0"/>
                  <w:marRight w:val="0"/>
                  <w:marTop w:val="0"/>
                  <w:marBottom w:val="0"/>
                  <w:divBdr>
                    <w:top w:val="none" w:sz="0" w:space="0" w:color="auto"/>
                    <w:left w:val="none" w:sz="0" w:space="0" w:color="auto"/>
                    <w:bottom w:val="none" w:sz="0" w:space="0" w:color="auto"/>
                    <w:right w:val="none" w:sz="0" w:space="0" w:color="auto"/>
                  </w:divBdr>
                  <w:divsChild>
                    <w:div w:id="1249270486">
                      <w:marLeft w:val="0"/>
                      <w:marRight w:val="0"/>
                      <w:marTop w:val="0"/>
                      <w:marBottom w:val="0"/>
                      <w:divBdr>
                        <w:top w:val="none" w:sz="0" w:space="0" w:color="auto"/>
                        <w:left w:val="none" w:sz="0" w:space="0" w:color="auto"/>
                        <w:bottom w:val="none" w:sz="0" w:space="0" w:color="auto"/>
                        <w:right w:val="none" w:sz="0" w:space="0" w:color="auto"/>
                      </w:divBdr>
                    </w:div>
                  </w:divsChild>
                </w:div>
                <w:div w:id="1612474703">
                  <w:marLeft w:val="0"/>
                  <w:marRight w:val="0"/>
                  <w:marTop w:val="0"/>
                  <w:marBottom w:val="0"/>
                  <w:divBdr>
                    <w:top w:val="none" w:sz="0" w:space="0" w:color="auto"/>
                    <w:left w:val="none" w:sz="0" w:space="0" w:color="auto"/>
                    <w:bottom w:val="none" w:sz="0" w:space="0" w:color="auto"/>
                    <w:right w:val="none" w:sz="0" w:space="0" w:color="auto"/>
                  </w:divBdr>
                  <w:divsChild>
                    <w:div w:id="1458642248">
                      <w:marLeft w:val="0"/>
                      <w:marRight w:val="0"/>
                      <w:marTop w:val="0"/>
                      <w:marBottom w:val="0"/>
                      <w:divBdr>
                        <w:top w:val="none" w:sz="0" w:space="0" w:color="auto"/>
                        <w:left w:val="none" w:sz="0" w:space="0" w:color="auto"/>
                        <w:bottom w:val="none" w:sz="0" w:space="0" w:color="auto"/>
                        <w:right w:val="none" w:sz="0" w:space="0" w:color="auto"/>
                      </w:divBdr>
                    </w:div>
                  </w:divsChild>
                </w:div>
                <w:div w:id="1636255876">
                  <w:marLeft w:val="0"/>
                  <w:marRight w:val="0"/>
                  <w:marTop w:val="0"/>
                  <w:marBottom w:val="0"/>
                  <w:divBdr>
                    <w:top w:val="none" w:sz="0" w:space="0" w:color="auto"/>
                    <w:left w:val="none" w:sz="0" w:space="0" w:color="auto"/>
                    <w:bottom w:val="none" w:sz="0" w:space="0" w:color="auto"/>
                    <w:right w:val="none" w:sz="0" w:space="0" w:color="auto"/>
                  </w:divBdr>
                  <w:divsChild>
                    <w:div w:id="846359365">
                      <w:marLeft w:val="0"/>
                      <w:marRight w:val="0"/>
                      <w:marTop w:val="0"/>
                      <w:marBottom w:val="0"/>
                      <w:divBdr>
                        <w:top w:val="none" w:sz="0" w:space="0" w:color="auto"/>
                        <w:left w:val="none" w:sz="0" w:space="0" w:color="auto"/>
                        <w:bottom w:val="none" w:sz="0" w:space="0" w:color="auto"/>
                        <w:right w:val="none" w:sz="0" w:space="0" w:color="auto"/>
                      </w:divBdr>
                    </w:div>
                  </w:divsChild>
                </w:div>
                <w:div w:id="1716998564">
                  <w:marLeft w:val="0"/>
                  <w:marRight w:val="0"/>
                  <w:marTop w:val="0"/>
                  <w:marBottom w:val="0"/>
                  <w:divBdr>
                    <w:top w:val="none" w:sz="0" w:space="0" w:color="auto"/>
                    <w:left w:val="none" w:sz="0" w:space="0" w:color="auto"/>
                    <w:bottom w:val="none" w:sz="0" w:space="0" w:color="auto"/>
                    <w:right w:val="none" w:sz="0" w:space="0" w:color="auto"/>
                  </w:divBdr>
                  <w:divsChild>
                    <w:div w:id="850487516">
                      <w:marLeft w:val="0"/>
                      <w:marRight w:val="0"/>
                      <w:marTop w:val="0"/>
                      <w:marBottom w:val="0"/>
                      <w:divBdr>
                        <w:top w:val="none" w:sz="0" w:space="0" w:color="auto"/>
                        <w:left w:val="none" w:sz="0" w:space="0" w:color="auto"/>
                        <w:bottom w:val="none" w:sz="0" w:space="0" w:color="auto"/>
                        <w:right w:val="none" w:sz="0" w:space="0" w:color="auto"/>
                      </w:divBdr>
                    </w:div>
                  </w:divsChild>
                </w:div>
                <w:div w:id="1899586487">
                  <w:marLeft w:val="0"/>
                  <w:marRight w:val="0"/>
                  <w:marTop w:val="0"/>
                  <w:marBottom w:val="0"/>
                  <w:divBdr>
                    <w:top w:val="none" w:sz="0" w:space="0" w:color="auto"/>
                    <w:left w:val="none" w:sz="0" w:space="0" w:color="auto"/>
                    <w:bottom w:val="none" w:sz="0" w:space="0" w:color="auto"/>
                    <w:right w:val="none" w:sz="0" w:space="0" w:color="auto"/>
                  </w:divBdr>
                  <w:divsChild>
                    <w:div w:id="238444036">
                      <w:marLeft w:val="0"/>
                      <w:marRight w:val="0"/>
                      <w:marTop w:val="0"/>
                      <w:marBottom w:val="0"/>
                      <w:divBdr>
                        <w:top w:val="none" w:sz="0" w:space="0" w:color="auto"/>
                        <w:left w:val="none" w:sz="0" w:space="0" w:color="auto"/>
                        <w:bottom w:val="none" w:sz="0" w:space="0" w:color="auto"/>
                        <w:right w:val="none" w:sz="0" w:space="0" w:color="auto"/>
                      </w:divBdr>
                    </w:div>
                  </w:divsChild>
                </w:div>
                <w:div w:id="1937787691">
                  <w:marLeft w:val="0"/>
                  <w:marRight w:val="0"/>
                  <w:marTop w:val="0"/>
                  <w:marBottom w:val="0"/>
                  <w:divBdr>
                    <w:top w:val="none" w:sz="0" w:space="0" w:color="auto"/>
                    <w:left w:val="none" w:sz="0" w:space="0" w:color="auto"/>
                    <w:bottom w:val="none" w:sz="0" w:space="0" w:color="auto"/>
                    <w:right w:val="none" w:sz="0" w:space="0" w:color="auto"/>
                  </w:divBdr>
                  <w:divsChild>
                    <w:div w:id="277030477">
                      <w:marLeft w:val="0"/>
                      <w:marRight w:val="0"/>
                      <w:marTop w:val="0"/>
                      <w:marBottom w:val="0"/>
                      <w:divBdr>
                        <w:top w:val="none" w:sz="0" w:space="0" w:color="auto"/>
                        <w:left w:val="none" w:sz="0" w:space="0" w:color="auto"/>
                        <w:bottom w:val="none" w:sz="0" w:space="0" w:color="auto"/>
                        <w:right w:val="none" w:sz="0" w:space="0" w:color="auto"/>
                      </w:divBdr>
                    </w:div>
                  </w:divsChild>
                </w:div>
                <w:div w:id="1974868700">
                  <w:marLeft w:val="0"/>
                  <w:marRight w:val="0"/>
                  <w:marTop w:val="0"/>
                  <w:marBottom w:val="0"/>
                  <w:divBdr>
                    <w:top w:val="none" w:sz="0" w:space="0" w:color="auto"/>
                    <w:left w:val="none" w:sz="0" w:space="0" w:color="auto"/>
                    <w:bottom w:val="none" w:sz="0" w:space="0" w:color="auto"/>
                    <w:right w:val="none" w:sz="0" w:space="0" w:color="auto"/>
                  </w:divBdr>
                  <w:divsChild>
                    <w:div w:id="1942369684">
                      <w:marLeft w:val="0"/>
                      <w:marRight w:val="0"/>
                      <w:marTop w:val="0"/>
                      <w:marBottom w:val="0"/>
                      <w:divBdr>
                        <w:top w:val="none" w:sz="0" w:space="0" w:color="auto"/>
                        <w:left w:val="none" w:sz="0" w:space="0" w:color="auto"/>
                        <w:bottom w:val="none" w:sz="0" w:space="0" w:color="auto"/>
                        <w:right w:val="none" w:sz="0" w:space="0" w:color="auto"/>
                      </w:divBdr>
                    </w:div>
                  </w:divsChild>
                </w:div>
                <w:div w:id="2114350708">
                  <w:marLeft w:val="0"/>
                  <w:marRight w:val="0"/>
                  <w:marTop w:val="0"/>
                  <w:marBottom w:val="0"/>
                  <w:divBdr>
                    <w:top w:val="none" w:sz="0" w:space="0" w:color="auto"/>
                    <w:left w:val="none" w:sz="0" w:space="0" w:color="auto"/>
                    <w:bottom w:val="none" w:sz="0" w:space="0" w:color="auto"/>
                    <w:right w:val="none" w:sz="0" w:space="0" w:color="auto"/>
                  </w:divBdr>
                  <w:divsChild>
                    <w:div w:id="1897469653">
                      <w:marLeft w:val="0"/>
                      <w:marRight w:val="0"/>
                      <w:marTop w:val="0"/>
                      <w:marBottom w:val="0"/>
                      <w:divBdr>
                        <w:top w:val="none" w:sz="0" w:space="0" w:color="auto"/>
                        <w:left w:val="none" w:sz="0" w:space="0" w:color="auto"/>
                        <w:bottom w:val="none" w:sz="0" w:space="0" w:color="auto"/>
                        <w:right w:val="none" w:sz="0" w:space="0" w:color="auto"/>
                      </w:divBdr>
                    </w:div>
                  </w:divsChild>
                </w:div>
                <w:div w:id="2132630090">
                  <w:marLeft w:val="0"/>
                  <w:marRight w:val="0"/>
                  <w:marTop w:val="0"/>
                  <w:marBottom w:val="0"/>
                  <w:divBdr>
                    <w:top w:val="none" w:sz="0" w:space="0" w:color="auto"/>
                    <w:left w:val="none" w:sz="0" w:space="0" w:color="auto"/>
                    <w:bottom w:val="none" w:sz="0" w:space="0" w:color="auto"/>
                    <w:right w:val="none" w:sz="0" w:space="0" w:color="auto"/>
                  </w:divBdr>
                  <w:divsChild>
                    <w:div w:id="559709763">
                      <w:marLeft w:val="0"/>
                      <w:marRight w:val="0"/>
                      <w:marTop w:val="0"/>
                      <w:marBottom w:val="0"/>
                      <w:divBdr>
                        <w:top w:val="none" w:sz="0" w:space="0" w:color="auto"/>
                        <w:left w:val="none" w:sz="0" w:space="0" w:color="auto"/>
                        <w:bottom w:val="none" w:sz="0" w:space="0" w:color="auto"/>
                        <w:right w:val="none" w:sz="0" w:space="0" w:color="auto"/>
                      </w:divBdr>
                    </w:div>
                  </w:divsChild>
                </w:div>
                <w:div w:id="2134520711">
                  <w:marLeft w:val="0"/>
                  <w:marRight w:val="0"/>
                  <w:marTop w:val="0"/>
                  <w:marBottom w:val="0"/>
                  <w:divBdr>
                    <w:top w:val="none" w:sz="0" w:space="0" w:color="auto"/>
                    <w:left w:val="none" w:sz="0" w:space="0" w:color="auto"/>
                    <w:bottom w:val="none" w:sz="0" w:space="0" w:color="auto"/>
                    <w:right w:val="none" w:sz="0" w:space="0" w:color="auto"/>
                  </w:divBdr>
                  <w:divsChild>
                    <w:div w:id="501434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899063">
          <w:marLeft w:val="0"/>
          <w:marRight w:val="0"/>
          <w:marTop w:val="0"/>
          <w:marBottom w:val="0"/>
          <w:divBdr>
            <w:top w:val="none" w:sz="0" w:space="0" w:color="auto"/>
            <w:left w:val="none" w:sz="0" w:space="0" w:color="auto"/>
            <w:bottom w:val="none" w:sz="0" w:space="0" w:color="auto"/>
            <w:right w:val="none" w:sz="0" w:space="0" w:color="auto"/>
          </w:divBdr>
        </w:div>
        <w:div w:id="636689790">
          <w:marLeft w:val="0"/>
          <w:marRight w:val="0"/>
          <w:marTop w:val="0"/>
          <w:marBottom w:val="0"/>
          <w:divBdr>
            <w:top w:val="none" w:sz="0" w:space="0" w:color="auto"/>
            <w:left w:val="none" w:sz="0" w:space="0" w:color="auto"/>
            <w:bottom w:val="none" w:sz="0" w:space="0" w:color="auto"/>
            <w:right w:val="none" w:sz="0" w:space="0" w:color="auto"/>
          </w:divBdr>
        </w:div>
        <w:div w:id="1818692509">
          <w:marLeft w:val="0"/>
          <w:marRight w:val="0"/>
          <w:marTop w:val="0"/>
          <w:marBottom w:val="0"/>
          <w:divBdr>
            <w:top w:val="none" w:sz="0" w:space="0" w:color="auto"/>
            <w:left w:val="none" w:sz="0" w:space="0" w:color="auto"/>
            <w:bottom w:val="none" w:sz="0" w:space="0" w:color="auto"/>
            <w:right w:val="none" w:sz="0" w:space="0" w:color="auto"/>
          </w:divBdr>
        </w:div>
      </w:divsChild>
    </w:div>
    <w:div w:id="648897839">
      <w:bodyDiv w:val="1"/>
      <w:marLeft w:val="0"/>
      <w:marRight w:val="0"/>
      <w:marTop w:val="0"/>
      <w:marBottom w:val="0"/>
      <w:divBdr>
        <w:top w:val="none" w:sz="0" w:space="0" w:color="auto"/>
        <w:left w:val="none" w:sz="0" w:space="0" w:color="auto"/>
        <w:bottom w:val="none" w:sz="0" w:space="0" w:color="auto"/>
        <w:right w:val="none" w:sz="0" w:space="0" w:color="auto"/>
      </w:divBdr>
    </w:div>
    <w:div w:id="650334087">
      <w:bodyDiv w:val="1"/>
      <w:marLeft w:val="0"/>
      <w:marRight w:val="0"/>
      <w:marTop w:val="0"/>
      <w:marBottom w:val="0"/>
      <w:divBdr>
        <w:top w:val="none" w:sz="0" w:space="0" w:color="auto"/>
        <w:left w:val="none" w:sz="0" w:space="0" w:color="auto"/>
        <w:bottom w:val="none" w:sz="0" w:space="0" w:color="auto"/>
        <w:right w:val="none" w:sz="0" w:space="0" w:color="auto"/>
      </w:divBdr>
    </w:div>
    <w:div w:id="655719264">
      <w:bodyDiv w:val="1"/>
      <w:marLeft w:val="0"/>
      <w:marRight w:val="0"/>
      <w:marTop w:val="0"/>
      <w:marBottom w:val="0"/>
      <w:divBdr>
        <w:top w:val="none" w:sz="0" w:space="0" w:color="auto"/>
        <w:left w:val="none" w:sz="0" w:space="0" w:color="auto"/>
        <w:bottom w:val="none" w:sz="0" w:space="0" w:color="auto"/>
        <w:right w:val="none" w:sz="0" w:space="0" w:color="auto"/>
      </w:divBdr>
    </w:div>
    <w:div w:id="743378871">
      <w:bodyDiv w:val="1"/>
      <w:marLeft w:val="0"/>
      <w:marRight w:val="0"/>
      <w:marTop w:val="0"/>
      <w:marBottom w:val="0"/>
      <w:divBdr>
        <w:top w:val="none" w:sz="0" w:space="0" w:color="auto"/>
        <w:left w:val="none" w:sz="0" w:space="0" w:color="auto"/>
        <w:bottom w:val="none" w:sz="0" w:space="0" w:color="auto"/>
        <w:right w:val="none" w:sz="0" w:space="0" w:color="auto"/>
      </w:divBdr>
    </w:div>
    <w:div w:id="766997071">
      <w:bodyDiv w:val="1"/>
      <w:marLeft w:val="0"/>
      <w:marRight w:val="0"/>
      <w:marTop w:val="0"/>
      <w:marBottom w:val="0"/>
      <w:divBdr>
        <w:top w:val="none" w:sz="0" w:space="0" w:color="auto"/>
        <w:left w:val="none" w:sz="0" w:space="0" w:color="auto"/>
        <w:bottom w:val="none" w:sz="0" w:space="0" w:color="auto"/>
        <w:right w:val="none" w:sz="0" w:space="0" w:color="auto"/>
      </w:divBdr>
    </w:div>
    <w:div w:id="806167223">
      <w:bodyDiv w:val="1"/>
      <w:marLeft w:val="0"/>
      <w:marRight w:val="0"/>
      <w:marTop w:val="0"/>
      <w:marBottom w:val="0"/>
      <w:divBdr>
        <w:top w:val="none" w:sz="0" w:space="0" w:color="auto"/>
        <w:left w:val="none" w:sz="0" w:space="0" w:color="auto"/>
        <w:bottom w:val="none" w:sz="0" w:space="0" w:color="auto"/>
        <w:right w:val="none" w:sz="0" w:space="0" w:color="auto"/>
      </w:divBdr>
    </w:div>
    <w:div w:id="816268510">
      <w:bodyDiv w:val="1"/>
      <w:marLeft w:val="0"/>
      <w:marRight w:val="0"/>
      <w:marTop w:val="0"/>
      <w:marBottom w:val="0"/>
      <w:divBdr>
        <w:top w:val="none" w:sz="0" w:space="0" w:color="auto"/>
        <w:left w:val="none" w:sz="0" w:space="0" w:color="auto"/>
        <w:bottom w:val="none" w:sz="0" w:space="0" w:color="auto"/>
        <w:right w:val="none" w:sz="0" w:space="0" w:color="auto"/>
      </w:divBdr>
    </w:div>
    <w:div w:id="820004482">
      <w:bodyDiv w:val="1"/>
      <w:marLeft w:val="0"/>
      <w:marRight w:val="0"/>
      <w:marTop w:val="0"/>
      <w:marBottom w:val="0"/>
      <w:divBdr>
        <w:top w:val="none" w:sz="0" w:space="0" w:color="auto"/>
        <w:left w:val="none" w:sz="0" w:space="0" w:color="auto"/>
        <w:bottom w:val="none" w:sz="0" w:space="0" w:color="auto"/>
        <w:right w:val="none" w:sz="0" w:space="0" w:color="auto"/>
      </w:divBdr>
    </w:div>
    <w:div w:id="829370602">
      <w:bodyDiv w:val="1"/>
      <w:marLeft w:val="0"/>
      <w:marRight w:val="0"/>
      <w:marTop w:val="0"/>
      <w:marBottom w:val="0"/>
      <w:divBdr>
        <w:top w:val="none" w:sz="0" w:space="0" w:color="auto"/>
        <w:left w:val="none" w:sz="0" w:space="0" w:color="auto"/>
        <w:bottom w:val="none" w:sz="0" w:space="0" w:color="auto"/>
        <w:right w:val="none" w:sz="0" w:space="0" w:color="auto"/>
      </w:divBdr>
    </w:div>
    <w:div w:id="831142461">
      <w:bodyDiv w:val="1"/>
      <w:marLeft w:val="0"/>
      <w:marRight w:val="0"/>
      <w:marTop w:val="0"/>
      <w:marBottom w:val="0"/>
      <w:divBdr>
        <w:top w:val="none" w:sz="0" w:space="0" w:color="auto"/>
        <w:left w:val="none" w:sz="0" w:space="0" w:color="auto"/>
        <w:bottom w:val="none" w:sz="0" w:space="0" w:color="auto"/>
        <w:right w:val="none" w:sz="0" w:space="0" w:color="auto"/>
      </w:divBdr>
    </w:div>
    <w:div w:id="832258707">
      <w:bodyDiv w:val="1"/>
      <w:marLeft w:val="0"/>
      <w:marRight w:val="0"/>
      <w:marTop w:val="0"/>
      <w:marBottom w:val="0"/>
      <w:divBdr>
        <w:top w:val="none" w:sz="0" w:space="0" w:color="auto"/>
        <w:left w:val="none" w:sz="0" w:space="0" w:color="auto"/>
        <w:bottom w:val="none" w:sz="0" w:space="0" w:color="auto"/>
        <w:right w:val="none" w:sz="0" w:space="0" w:color="auto"/>
      </w:divBdr>
    </w:div>
    <w:div w:id="877818660">
      <w:bodyDiv w:val="1"/>
      <w:marLeft w:val="0"/>
      <w:marRight w:val="0"/>
      <w:marTop w:val="0"/>
      <w:marBottom w:val="0"/>
      <w:divBdr>
        <w:top w:val="none" w:sz="0" w:space="0" w:color="auto"/>
        <w:left w:val="none" w:sz="0" w:space="0" w:color="auto"/>
        <w:bottom w:val="none" w:sz="0" w:space="0" w:color="auto"/>
        <w:right w:val="none" w:sz="0" w:space="0" w:color="auto"/>
      </w:divBdr>
    </w:div>
    <w:div w:id="933785297">
      <w:bodyDiv w:val="1"/>
      <w:marLeft w:val="0"/>
      <w:marRight w:val="0"/>
      <w:marTop w:val="0"/>
      <w:marBottom w:val="0"/>
      <w:divBdr>
        <w:top w:val="none" w:sz="0" w:space="0" w:color="auto"/>
        <w:left w:val="none" w:sz="0" w:space="0" w:color="auto"/>
        <w:bottom w:val="none" w:sz="0" w:space="0" w:color="auto"/>
        <w:right w:val="none" w:sz="0" w:space="0" w:color="auto"/>
      </w:divBdr>
    </w:div>
    <w:div w:id="934365829">
      <w:bodyDiv w:val="1"/>
      <w:marLeft w:val="0"/>
      <w:marRight w:val="0"/>
      <w:marTop w:val="0"/>
      <w:marBottom w:val="0"/>
      <w:divBdr>
        <w:top w:val="none" w:sz="0" w:space="0" w:color="auto"/>
        <w:left w:val="none" w:sz="0" w:space="0" w:color="auto"/>
        <w:bottom w:val="none" w:sz="0" w:space="0" w:color="auto"/>
        <w:right w:val="none" w:sz="0" w:space="0" w:color="auto"/>
      </w:divBdr>
    </w:div>
    <w:div w:id="961957586">
      <w:bodyDiv w:val="1"/>
      <w:marLeft w:val="0"/>
      <w:marRight w:val="0"/>
      <w:marTop w:val="0"/>
      <w:marBottom w:val="0"/>
      <w:divBdr>
        <w:top w:val="none" w:sz="0" w:space="0" w:color="auto"/>
        <w:left w:val="none" w:sz="0" w:space="0" w:color="auto"/>
        <w:bottom w:val="none" w:sz="0" w:space="0" w:color="auto"/>
        <w:right w:val="none" w:sz="0" w:space="0" w:color="auto"/>
      </w:divBdr>
    </w:div>
    <w:div w:id="1010720597">
      <w:bodyDiv w:val="1"/>
      <w:marLeft w:val="0"/>
      <w:marRight w:val="0"/>
      <w:marTop w:val="0"/>
      <w:marBottom w:val="0"/>
      <w:divBdr>
        <w:top w:val="none" w:sz="0" w:space="0" w:color="auto"/>
        <w:left w:val="none" w:sz="0" w:space="0" w:color="auto"/>
        <w:bottom w:val="none" w:sz="0" w:space="0" w:color="auto"/>
        <w:right w:val="none" w:sz="0" w:space="0" w:color="auto"/>
      </w:divBdr>
    </w:div>
    <w:div w:id="1013799651">
      <w:bodyDiv w:val="1"/>
      <w:marLeft w:val="0"/>
      <w:marRight w:val="0"/>
      <w:marTop w:val="0"/>
      <w:marBottom w:val="0"/>
      <w:divBdr>
        <w:top w:val="none" w:sz="0" w:space="0" w:color="auto"/>
        <w:left w:val="none" w:sz="0" w:space="0" w:color="auto"/>
        <w:bottom w:val="none" w:sz="0" w:space="0" w:color="auto"/>
        <w:right w:val="none" w:sz="0" w:space="0" w:color="auto"/>
      </w:divBdr>
    </w:div>
    <w:div w:id="1024014112">
      <w:bodyDiv w:val="1"/>
      <w:marLeft w:val="0"/>
      <w:marRight w:val="0"/>
      <w:marTop w:val="0"/>
      <w:marBottom w:val="0"/>
      <w:divBdr>
        <w:top w:val="none" w:sz="0" w:space="0" w:color="auto"/>
        <w:left w:val="none" w:sz="0" w:space="0" w:color="auto"/>
        <w:bottom w:val="none" w:sz="0" w:space="0" w:color="auto"/>
        <w:right w:val="none" w:sz="0" w:space="0" w:color="auto"/>
      </w:divBdr>
    </w:div>
    <w:div w:id="1047682729">
      <w:bodyDiv w:val="1"/>
      <w:marLeft w:val="0"/>
      <w:marRight w:val="0"/>
      <w:marTop w:val="0"/>
      <w:marBottom w:val="0"/>
      <w:divBdr>
        <w:top w:val="none" w:sz="0" w:space="0" w:color="auto"/>
        <w:left w:val="none" w:sz="0" w:space="0" w:color="auto"/>
        <w:bottom w:val="none" w:sz="0" w:space="0" w:color="auto"/>
        <w:right w:val="none" w:sz="0" w:space="0" w:color="auto"/>
      </w:divBdr>
    </w:div>
    <w:div w:id="1094520987">
      <w:bodyDiv w:val="1"/>
      <w:marLeft w:val="0"/>
      <w:marRight w:val="0"/>
      <w:marTop w:val="0"/>
      <w:marBottom w:val="0"/>
      <w:divBdr>
        <w:top w:val="none" w:sz="0" w:space="0" w:color="auto"/>
        <w:left w:val="none" w:sz="0" w:space="0" w:color="auto"/>
        <w:bottom w:val="none" w:sz="0" w:space="0" w:color="auto"/>
        <w:right w:val="none" w:sz="0" w:space="0" w:color="auto"/>
      </w:divBdr>
    </w:div>
    <w:div w:id="1155994105">
      <w:bodyDiv w:val="1"/>
      <w:marLeft w:val="0"/>
      <w:marRight w:val="0"/>
      <w:marTop w:val="0"/>
      <w:marBottom w:val="0"/>
      <w:divBdr>
        <w:top w:val="none" w:sz="0" w:space="0" w:color="auto"/>
        <w:left w:val="none" w:sz="0" w:space="0" w:color="auto"/>
        <w:bottom w:val="none" w:sz="0" w:space="0" w:color="auto"/>
        <w:right w:val="none" w:sz="0" w:space="0" w:color="auto"/>
      </w:divBdr>
    </w:div>
    <w:div w:id="1156848223">
      <w:bodyDiv w:val="1"/>
      <w:marLeft w:val="0"/>
      <w:marRight w:val="0"/>
      <w:marTop w:val="0"/>
      <w:marBottom w:val="0"/>
      <w:divBdr>
        <w:top w:val="none" w:sz="0" w:space="0" w:color="auto"/>
        <w:left w:val="none" w:sz="0" w:space="0" w:color="auto"/>
        <w:bottom w:val="none" w:sz="0" w:space="0" w:color="auto"/>
        <w:right w:val="none" w:sz="0" w:space="0" w:color="auto"/>
      </w:divBdr>
    </w:div>
    <w:div w:id="1165701826">
      <w:bodyDiv w:val="1"/>
      <w:marLeft w:val="0"/>
      <w:marRight w:val="0"/>
      <w:marTop w:val="0"/>
      <w:marBottom w:val="0"/>
      <w:divBdr>
        <w:top w:val="none" w:sz="0" w:space="0" w:color="auto"/>
        <w:left w:val="none" w:sz="0" w:space="0" w:color="auto"/>
        <w:bottom w:val="none" w:sz="0" w:space="0" w:color="auto"/>
        <w:right w:val="none" w:sz="0" w:space="0" w:color="auto"/>
      </w:divBdr>
    </w:div>
    <w:div w:id="1208881776">
      <w:bodyDiv w:val="1"/>
      <w:marLeft w:val="0"/>
      <w:marRight w:val="0"/>
      <w:marTop w:val="0"/>
      <w:marBottom w:val="0"/>
      <w:divBdr>
        <w:top w:val="none" w:sz="0" w:space="0" w:color="auto"/>
        <w:left w:val="none" w:sz="0" w:space="0" w:color="auto"/>
        <w:bottom w:val="none" w:sz="0" w:space="0" w:color="auto"/>
        <w:right w:val="none" w:sz="0" w:space="0" w:color="auto"/>
      </w:divBdr>
    </w:div>
    <w:div w:id="1213543573">
      <w:bodyDiv w:val="1"/>
      <w:marLeft w:val="0"/>
      <w:marRight w:val="0"/>
      <w:marTop w:val="0"/>
      <w:marBottom w:val="0"/>
      <w:divBdr>
        <w:top w:val="none" w:sz="0" w:space="0" w:color="auto"/>
        <w:left w:val="none" w:sz="0" w:space="0" w:color="auto"/>
        <w:bottom w:val="none" w:sz="0" w:space="0" w:color="auto"/>
        <w:right w:val="none" w:sz="0" w:space="0" w:color="auto"/>
      </w:divBdr>
    </w:div>
    <w:div w:id="1247303382">
      <w:bodyDiv w:val="1"/>
      <w:marLeft w:val="0"/>
      <w:marRight w:val="0"/>
      <w:marTop w:val="0"/>
      <w:marBottom w:val="0"/>
      <w:divBdr>
        <w:top w:val="none" w:sz="0" w:space="0" w:color="auto"/>
        <w:left w:val="none" w:sz="0" w:space="0" w:color="auto"/>
        <w:bottom w:val="none" w:sz="0" w:space="0" w:color="auto"/>
        <w:right w:val="none" w:sz="0" w:space="0" w:color="auto"/>
      </w:divBdr>
    </w:div>
    <w:div w:id="1279994225">
      <w:bodyDiv w:val="1"/>
      <w:marLeft w:val="0"/>
      <w:marRight w:val="0"/>
      <w:marTop w:val="0"/>
      <w:marBottom w:val="0"/>
      <w:divBdr>
        <w:top w:val="none" w:sz="0" w:space="0" w:color="auto"/>
        <w:left w:val="none" w:sz="0" w:space="0" w:color="auto"/>
        <w:bottom w:val="none" w:sz="0" w:space="0" w:color="auto"/>
        <w:right w:val="none" w:sz="0" w:space="0" w:color="auto"/>
      </w:divBdr>
    </w:div>
    <w:div w:id="1285115212">
      <w:bodyDiv w:val="1"/>
      <w:marLeft w:val="0"/>
      <w:marRight w:val="0"/>
      <w:marTop w:val="0"/>
      <w:marBottom w:val="0"/>
      <w:divBdr>
        <w:top w:val="none" w:sz="0" w:space="0" w:color="auto"/>
        <w:left w:val="none" w:sz="0" w:space="0" w:color="auto"/>
        <w:bottom w:val="none" w:sz="0" w:space="0" w:color="auto"/>
        <w:right w:val="none" w:sz="0" w:space="0" w:color="auto"/>
      </w:divBdr>
    </w:div>
    <w:div w:id="1312640062">
      <w:bodyDiv w:val="1"/>
      <w:marLeft w:val="0"/>
      <w:marRight w:val="0"/>
      <w:marTop w:val="0"/>
      <w:marBottom w:val="0"/>
      <w:divBdr>
        <w:top w:val="none" w:sz="0" w:space="0" w:color="auto"/>
        <w:left w:val="none" w:sz="0" w:space="0" w:color="auto"/>
        <w:bottom w:val="none" w:sz="0" w:space="0" w:color="auto"/>
        <w:right w:val="none" w:sz="0" w:space="0" w:color="auto"/>
      </w:divBdr>
    </w:div>
    <w:div w:id="1322388445">
      <w:bodyDiv w:val="1"/>
      <w:marLeft w:val="0"/>
      <w:marRight w:val="0"/>
      <w:marTop w:val="0"/>
      <w:marBottom w:val="0"/>
      <w:divBdr>
        <w:top w:val="none" w:sz="0" w:space="0" w:color="auto"/>
        <w:left w:val="none" w:sz="0" w:space="0" w:color="auto"/>
        <w:bottom w:val="none" w:sz="0" w:space="0" w:color="auto"/>
        <w:right w:val="none" w:sz="0" w:space="0" w:color="auto"/>
      </w:divBdr>
    </w:div>
    <w:div w:id="1323653869">
      <w:bodyDiv w:val="1"/>
      <w:marLeft w:val="0"/>
      <w:marRight w:val="0"/>
      <w:marTop w:val="0"/>
      <w:marBottom w:val="0"/>
      <w:divBdr>
        <w:top w:val="none" w:sz="0" w:space="0" w:color="auto"/>
        <w:left w:val="none" w:sz="0" w:space="0" w:color="auto"/>
        <w:bottom w:val="none" w:sz="0" w:space="0" w:color="auto"/>
        <w:right w:val="none" w:sz="0" w:space="0" w:color="auto"/>
      </w:divBdr>
    </w:div>
    <w:div w:id="1333097640">
      <w:bodyDiv w:val="1"/>
      <w:marLeft w:val="0"/>
      <w:marRight w:val="0"/>
      <w:marTop w:val="0"/>
      <w:marBottom w:val="0"/>
      <w:divBdr>
        <w:top w:val="none" w:sz="0" w:space="0" w:color="auto"/>
        <w:left w:val="none" w:sz="0" w:space="0" w:color="auto"/>
        <w:bottom w:val="none" w:sz="0" w:space="0" w:color="auto"/>
        <w:right w:val="none" w:sz="0" w:space="0" w:color="auto"/>
      </w:divBdr>
    </w:div>
    <w:div w:id="1352417631">
      <w:bodyDiv w:val="1"/>
      <w:marLeft w:val="0"/>
      <w:marRight w:val="0"/>
      <w:marTop w:val="0"/>
      <w:marBottom w:val="0"/>
      <w:divBdr>
        <w:top w:val="none" w:sz="0" w:space="0" w:color="auto"/>
        <w:left w:val="none" w:sz="0" w:space="0" w:color="auto"/>
        <w:bottom w:val="none" w:sz="0" w:space="0" w:color="auto"/>
        <w:right w:val="none" w:sz="0" w:space="0" w:color="auto"/>
      </w:divBdr>
    </w:div>
    <w:div w:id="1370837157">
      <w:bodyDiv w:val="1"/>
      <w:marLeft w:val="0"/>
      <w:marRight w:val="0"/>
      <w:marTop w:val="0"/>
      <w:marBottom w:val="0"/>
      <w:divBdr>
        <w:top w:val="none" w:sz="0" w:space="0" w:color="auto"/>
        <w:left w:val="none" w:sz="0" w:space="0" w:color="auto"/>
        <w:bottom w:val="none" w:sz="0" w:space="0" w:color="auto"/>
        <w:right w:val="none" w:sz="0" w:space="0" w:color="auto"/>
      </w:divBdr>
    </w:div>
    <w:div w:id="1403527597">
      <w:bodyDiv w:val="1"/>
      <w:marLeft w:val="0"/>
      <w:marRight w:val="0"/>
      <w:marTop w:val="0"/>
      <w:marBottom w:val="0"/>
      <w:divBdr>
        <w:top w:val="none" w:sz="0" w:space="0" w:color="auto"/>
        <w:left w:val="none" w:sz="0" w:space="0" w:color="auto"/>
        <w:bottom w:val="none" w:sz="0" w:space="0" w:color="auto"/>
        <w:right w:val="none" w:sz="0" w:space="0" w:color="auto"/>
      </w:divBdr>
    </w:div>
    <w:div w:id="1408726400">
      <w:bodyDiv w:val="1"/>
      <w:marLeft w:val="0"/>
      <w:marRight w:val="0"/>
      <w:marTop w:val="0"/>
      <w:marBottom w:val="0"/>
      <w:divBdr>
        <w:top w:val="none" w:sz="0" w:space="0" w:color="auto"/>
        <w:left w:val="none" w:sz="0" w:space="0" w:color="auto"/>
        <w:bottom w:val="none" w:sz="0" w:space="0" w:color="auto"/>
        <w:right w:val="none" w:sz="0" w:space="0" w:color="auto"/>
      </w:divBdr>
    </w:div>
    <w:div w:id="1452628734">
      <w:bodyDiv w:val="1"/>
      <w:marLeft w:val="0"/>
      <w:marRight w:val="0"/>
      <w:marTop w:val="0"/>
      <w:marBottom w:val="0"/>
      <w:divBdr>
        <w:top w:val="none" w:sz="0" w:space="0" w:color="auto"/>
        <w:left w:val="none" w:sz="0" w:space="0" w:color="auto"/>
        <w:bottom w:val="none" w:sz="0" w:space="0" w:color="auto"/>
        <w:right w:val="none" w:sz="0" w:space="0" w:color="auto"/>
      </w:divBdr>
    </w:div>
    <w:div w:id="1457215890">
      <w:bodyDiv w:val="1"/>
      <w:marLeft w:val="0"/>
      <w:marRight w:val="0"/>
      <w:marTop w:val="0"/>
      <w:marBottom w:val="0"/>
      <w:divBdr>
        <w:top w:val="none" w:sz="0" w:space="0" w:color="auto"/>
        <w:left w:val="none" w:sz="0" w:space="0" w:color="auto"/>
        <w:bottom w:val="none" w:sz="0" w:space="0" w:color="auto"/>
        <w:right w:val="none" w:sz="0" w:space="0" w:color="auto"/>
      </w:divBdr>
    </w:div>
    <w:div w:id="1460487111">
      <w:bodyDiv w:val="1"/>
      <w:marLeft w:val="0"/>
      <w:marRight w:val="0"/>
      <w:marTop w:val="0"/>
      <w:marBottom w:val="0"/>
      <w:divBdr>
        <w:top w:val="none" w:sz="0" w:space="0" w:color="auto"/>
        <w:left w:val="none" w:sz="0" w:space="0" w:color="auto"/>
        <w:bottom w:val="none" w:sz="0" w:space="0" w:color="auto"/>
        <w:right w:val="none" w:sz="0" w:space="0" w:color="auto"/>
      </w:divBdr>
    </w:div>
    <w:div w:id="1479684776">
      <w:bodyDiv w:val="1"/>
      <w:marLeft w:val="0"/>
      <w:marRight w:val="0"/>
      <w:marTop w:val="0"/>
      <w:marBottom w:val="0"/>
      <w:divBdr>
        <w:top w:val="none" w:sz="0" w:space="0" w:color="auto"/>
        <w:left w:val="none" w:sz="0" w:space="0" w:color="auto"/>
        <w:bottom w:val="none" w:sz="0" w:space="0" w:color="auto"/>
        <w:right w:val="none" w:sz="0" w:space="0" w:color="auto"/>
      </w:divBdr>
    </w:div>
    <w:div w:id="1488863695">
      <w:bodyDiv w:val="1"/>
      <w:marLeft w:val="0"/>
      <w:marRight w:val="0"/>
      <w:marTop w:val="0"/>
      <w:marBottom w:val="0"/>
      <w:divBdr>
        <w:top w:val="none" w:sz="0" w:space="0" w:color="auto"/>
        <w:left w:val="none" w:sz="0" w:space="0" w:color="auto"/>
        <w:bottom w:val="none" w:sz="0" w:space="0" w:color="auto"/>
        <w:right w:val="none" w:sz="0" w:space="0" w:color="auto"/>
      </w:divBdr>
    </w:div>
    <w:div w:id="1515534555">
      <w:bodyDiv w:val="1"/>
      <w:marLeft w:val="0"/>
      <w:marRight w:val="0"/>
      <w:marTop w:val="0"/>
      <w:marBottom w:val="0"/>
      <w:divBdr>
        <w:top w:val="none" w:sz="0" w:space="0" w:color="auto"/>
        <w:left w:val="none" w:sz="0" w:space="0" w:color="auto"/>
        <w:bottom w:val="none" w:sz="0" w:space="0" w:color="auto"/>
        <w:right w:val="none" w:sz="0" w:space="0" w:color="auto"/>
      </w:divBdr>
      <w:divsChild>
        <w:div w:id="492337242">
          <w:marLeft w:val="0"/>
          <w:marRight w:val="0"/>
          <w:marTop w:val="0"/>
          <w:marBottom w:val="0"/>
          <w:divBdr>
            <w:top w:val="none" w:sz="0" w:space="0" w:color="auto"/>
            <w:left w:val="none" w:sz="0" w:space="0" w:color="auto"/>
            <w:bottom w:val="none" w:sz="0" w:space="0" w:color="auto"/>
            <w:right w:val="none" w:sz="0" w:space="0" w:color="auto"/>
          </w:divBdr>
        </w:div>
        <w:div w:id="1052461994">
          <w:marLeft w:val="0"/>
          <w:marRight w:val="0"/>
          <w:marTop w:val="0"/>
          <w:marBottom w:val="0"/>
          <w:divBdr>
            <w:top w:val="none" w:sz="0" w:space="0" w:color="auto"/>
            <w:left w:val="none" w:sz="0" w:space="0" w:color="auto"/>
            <w:bottom w:val="none" w:sz="0" w:space="0" w:color="auto"/>
            <w:right w:val="none" w:sz="0" w:space="0" w:color="auto"/>
          </w:divBdr>
        </w:div>
      </w:divsChild>
    </w:div>
    <w:div w:id="1516653445">
      <w:bodyDiv w:val="1"/>
      <w:marLeft w:val="0"/>
      <w:marRight w:val="0"/>
      <w:marTop w:val="0"/>
      <w:marBottom w:val="0"/>
      <w:divBdr>
        <w:top w:val="none" w:sz="0" w:space="0" w:color="auto"/>
        <w:left w:val="none" w:sz="0" w:space="0" w:color="auto"/>
        <w:bottom w:val="none" w:sz="0" w:space="0" w:color="auto"/>
        <w:right w:val="none" w:sz="0" w:space="0" w:color="auto"/>
      </w:divBdr>
    </w:div>
    <w:div w:id="1528906625">
      <w:bodyDiv w:val="1"/>
      <w:marLeft w:val="0"/>
      <w:marRight w:val="0"/>
      <w:marTop w:val="0"/>
      <w:marBottom w:val="0"/>
      <w:divBdr>
        <w:top w:val="none" w:sz="0" w:space="0" w:color="auto"/>
        <w:left w:val="none" w:sz="0" w:space="0" w:color="auto"/>
        <w:bottom w:val="none" w:sz="0" w:space="0" w:color="auto"/>
        <w:right w:val="none" w:sz="0" w:space="0" w:color="auto"/>
      </w:divBdr>
    </w:div>
    <w:div w:id="1540514017">
      <w:bodyDiv w:val="1"/>
      <w:marLeft w:val="0"/>
      <w:marRight w:val="0"/>
      <w:marTop w:val="0"/>
      <w:marBottom w:val="0"/>
      <w:divBdr>
        <w:top w:val="none" w:sz="0" w:space="0" w:color="auto"/>
        <w:left w:val="none" w:sz="0" w:space="0" w:color="auto"/>
        <w:bottom w:val="none" w:sz="0" w:space="0" w:color="auto"/>
        <w:right w:val="none" w:sz="0" w:space="0" w:color="auto"/>
      </w:divBdr>
    </w:div>
    <w:div w:id="1541281351">
      <w:bodyDiv w:val="1"/>
      <w:marLeft w:val="0"/>
      <w:marRight w:val="0"/>
      <w:marTop w:val="0"/>
      <w:marBottom w:val="0"/>
      <w:divBdr>
        <w:top w:val="none" w:sz="0" w:space="0" w:color="auto"/>
        <w:left w:val="none" w:sz="0" w:space="0" w:color="auto"/>
        <w:bottom w:val="none" w:sz="0" w:space="0" w:color="auto"/>
        <w:right w:val="none" w:sz="0" w:space="0" w:color="auto"/>
      </w:divBdr>
    </w:div>
    <w:div w:id="1570847374">
      <w:bodyDiv w:val="1"/>
      <w:marLeft w:val="0"/>
      <w:marRight w:val="0"/>
      <w:marTop w:val="0"/>
      <w:marBottom w:val="0"/>
      <w:divBdr>
        <w:top w:val="none" w:sz="0" w:space="0" w:color="auto"/>
        <w:left w:val="none" w:sz="0" w:space="0" w:color="auto"/>
        <w:bottom w:val="none" w:sz="0" w:space="0" w:color="auto"/>
        <w:right w:val="none" w:sz="0" w:space="0" w:color="auto"/>
      </w:divBdr>
    </w:div>
    <w:div w:id="1613197718">
      <w:bodyDiv w:val="1"/>
      <w:marLeft w:val="0"/>
      <w:marRight w:val="0"/>
      <w:marTop w:val="0"/>
      <w:marBottom w:val="0"/>
      <w:divBdr>
        <w:top w:val="none" w:sz="0" w:space="0" w:color="auto"/>
        <w:left w:val="none" w:sz="0" w:space="0" w:color="auto"/>
        <w:bottom w:val="none" w:sz="0" w:space="0" w:color="auto"/>
        <w:right w:val="none" w:sz="0" w:space="0" w:color="auto"/>
      </w:divBdr>
    </w:div>
    <w:div w:id="1625576405">
      <w:bodyDiv w:val="1"/>
      <w:marLeft w:val="0"/>
      <w:marRight w:val="0"/>
      <w:marTop w:val="0"/>
      <w:marBottom w:val="0"/>
      <w:divBdr>
        <w:top w:val="none" w:sz="0" w:space="0" w:color="auto"/>
        <w:left w:val="none" w:sz="0" w:space="0" w:color="auto"/>
        <w:bottom w:val="none" w:sz="0" w:space="0" w:color="auto"/>
        <w:right w:val="none" w:sz="0" w:space="0" w:color="auto"/>
      </w:divBdr>
    </w:div>
    <w:div w:id="1631783030">
      <w:bodyDiv w:val="1"/>
      <w:marLeft w:val="0"/>
      <w:marRight w:val="0"/>
      <w:marTop w:val="0"/>
      <w:marBottom w:val="0"/>
      <w:divBdr>
        <w:top w:val="none" w:sz="0" w:space="0" w:color="auto"/>
        <w:left w:val="none" w:sz="0" w:space="0" w:color="auto"/>
        <w:bottom w:val="none" w:sz="0" w:space="0" w:color="auto"/>
        <w:right w:val="none" w:sz="0" w:space="0" w:color="auto"/>
      </w:divBdr>
    </w:div>
    <w:div w:id="1652057023">
      <w:bodyDiv w:val="1"/>
      <w:marLeft w:val="0"/>
      <w:marRight w:val="0"/>
      <w:marTop w:val="0"/>
      <w:marBottom w:val="0"/>
      <w:divBdr>
        <w:top w:val="none" w:sz="0" w:space="0" w:color="auto"/>
        <w:left w:val="none" w:sz="0" w:space="0" w:color="auto"/>
        <w:bottom w:val="none" w:sz="0" w:space="0" w:color="auto"/>
        <w:right w:val="none" w:sz="0" w:space="0" w:color="auto"/>
      </w:divBdr>
    </w:div>
    <w:div w:id="1673028464">
      <w:bodyDiv w:val="1"/>
      <w:marLeft w:val="0"/>
      <w:marRight w:val="0"/>
      <w:marTop w:val="0"/>
      <w:marBottom w:val="0"/>
      <w:divBdr>
        <w:top w:val="none" w:sz="0" w:space="0" w:color="auto"/>
        <w:left w:val="none" w:sz="0" w:space="0" w:color="auto"/>
        <w:bottom w:val="none" w:sz="0" w:space="0" w:color="auto"/>
        <w:right w:val="none" w:sz="0" w:space="0" w:color="auto"/>
      </w:divBdr>
    </w:div>
    <w:div w:id="1687823171">
      <w:bodyDiv w:val="1"/>
      <w:marLeft w:val="0"/>
      <w:marRight w:val="0"/>
      <w:marTop w:val="0"/>
      <w:marBottom w:val="0"/>
      <w:divBdr>
        <w:top w:val="none" w:sz="0" w:space="0" w:color="auto"/>
        <w:left w:val="none" w:sz="0" w:space="0" w:color="auto"/>
        <w:bottom w:val="none" w:sz="0" w:space="0" w:color="auto"/>
        <w:right w:val="none" w:sz="0" w:space="0" w:color="auto"/>
      </w:divBdr>
    </w:div>
    <w:div w:id="1704480697">
      <w:bodyDiv w:val="1"/>
      <w:marLeft w:val="0"/>
      <w:marRight w:val="0"/>
      <w:marTop w:val="0"/>
      <w:marBottom w:val="0"/>
      <w:divBdr>
        <w:top w:val="none" w:sz="0" w:space="0" w:color="auto"/>
        <w:left w:val="none" w:sz="0" w:space="0" w:color="auto"/>
        <w:bottom w:val="none" w:sz="0" w:space="0" w:color="auto"/>
        <w:right w:val="none" w:sz="0" w:space="0" w:color="auto"/>
      </w:divBdr>
    </w:div>
    <w:div w:id="1717464353">
      <w:bodyDiv w:val="1"/>
      <w:marLeft w:val="0"/>
      <w:marRight w:val="0"/>
      <w:marTop w:val="0"/>
      <w:marBottom w:val="0"/>
      <w:divBdr>
        <w:top w:val="none" w:sz="0" w:space="0" w:color="auto"/>
        <w:left w:val="none" w:sz="0" w:space="0" w:color="auto"/>
        <w:bottom w:val="none" w:sz="0" w:space="0" w:color="auto"/>
        <w:right w:val="none" w:sz="0" w:space="0" w:color="auto"/>
      </w:divBdr>
    </w:div>
    <w:div w:id="1733235271">
      <w:bodyDiv w:val="1"/>
      <w:marLeft w:val="0"/>
      <w:marRight w:val="0"/>
      <w:marTop w:val="0"/>
      <w:marBottom w:val="0"/>
      <w:divBdr>
        <w:top w:val="none" w:sz="0" w:space="0" w:color="auto"/>
        <w:left w:val="none" w:sz="0" w:space="0" w:color="auto"/>
        <w:bottom w:val="none" w:sz="0" w:space="0" w:color="auto"/>
        <w:right w:val="none" w:sz="0" w:space="0" w:color="auto"/>
      </w:divBdr>
    </w:div>
    <w:div w:id="1736052479">
      <w:bodyDiv w:val="1"/>
      <w:marLeft w:val="0"/>
      <w:marRight w:val="0"/>
      <w:marTop w:val="0"/>
      <w:marBottom w:val="0"/>
      <w:divBdr>
        <w:top w:val="none" w:sz="0" w:space="0" w:color="auto"/>
        <w:left w:val="none" w:sz="0" w:space="0" w:color="auto"/>
        <w:bottom w:val="none" w:sz="0" w:space="0" w:color="auto"/>
        <w:right w:val="none" w:sz="0" w:space="0" w:color="auto"/>
      </w:divBdr>
    </w:div>
    <w:div w:id="1740327386">
      <w:bodyDiv w:val="1"/>
      <w:marLeft w:val="0"/>
      <w:marRight w:val="0"/>
      <w:marTop w:val="0"/>
      <w:marBottom w:val="0"/>
      <w:divBdr>
        <w:top w:val="none" w:sz="0" w:space="0" w:color="auto"/>
        <w:left w:val="none" w:sz="0" w:space="0" w:color="auto"/>
        <w:bottom w:val="none" w:sz="0" w:space="0" w:color="auto"/>
        <w:right w:val="none" w:sz="0" w:space="0" w:color="auto"/>
      </w:divBdr>
      <w:divsChild>
        <w:div w:id="142623820">
          <w:marLeft w:val="0"/>
          <w:marRight w:val="0"/>
          <w:marTop w:val="0"/>
          <w:marBottom w:val="0"/>
          <w:divBdr>
            <w:top w:val="none" w:sz="0" w:space="0" w:color="auto"/>
            <w:left w:val="none" w:sz="0" w:space="0" w:color="auto"/>
            <w:bottom w:val="none" w:sz="0" w:space="0" w:color="auto"/>
            <w:right w:val="none" w:sz="0" w:space="0" w:color="auto"/>
          </w:divBdr>
          <w:divsChild>
            <w:div w:id="631523587">
              <w:marLeft w:val="210"/>
              <w:marRight w:val="0"/>
              <w:marTop w:val="120"/>
              <w:marBottom w:val="0"/>
              <w:divBdr>
                <w:top w:val="none" w:sz="0" w:space="0" w:color="auto"/>
                <w:left w:val="none" w:sz="0" w:space="0" w:color="auto"/>
                <w:bottom w:val="none" w:sz="0" w:space="0" w:color="auto"/>
                <w:right w:val="none" w:sz="0" w:space="0" w:color="auto"/>
              </w:divBdr>
              <w:divsChild>
                <w:div w:id="251201584">
                  <w:marLeft w:val="0"/>
                  <w:marRight w:val="0"/>
                  <w:marTop w:val="0"/>
                  <w:marBottom w:val="0"/>
                  <w:divBdr>
                    <w:top w:val="none" w:sz="0" w:space="0" w:color="auto"/>
                    <w:left w:val="none" w:sz="0" w:space="0" w:color="auto"/>
                    <w:bottom w:val="none" w:sz="0" w:space="0" w:color="auto"/>
                    <w:right w:val="none" w:sz="0" w:space="0" w:color="auto"/>
                  </w:divBdr>
                  <w:divsChild>
                    <w:div w:id="693386782">
                      <w:marLeft w:val="45"/>
                      <w:marRight w:val="0"/>
                      <w:marTop w:val="0"/>
                      <w:marBottom w:val="15"/>
                      <w:divBdr>
                        <w:top w:val="none" w:sz="0" w:space="0" w:color="auto"/>
                        <w:left w:val="none" w:sz="0" w:space="0" w:color="auto"/>
                        <w:bottom w:val="none" w:sz="0" w:space="0" w:color="auto"/>
                        <w:right w:val="none" w:sz="0" w:space="0" w:color="auto"/>
                      </w:divBdr>
                    </w:div>
                  </w:divsChild>
                </w:div>
              </w:divsChild>
            </w:div>
            <w:div w:id="676885502">
              <w:marLeft w:val="0"/>
              <w:marRight w:val="0"/>
              <w:marTop w:val="0"/>
              <w:marBottom w:val="0"/>
              <w:divBdr>
                <w:top w:val="none" w:sz="0" w:space="0" w:color="auto"/>
                <w:left w:val="none" w:sz="0" w:space="0" w:color="auto"/>
                <w:bottom w:val="none" w:sz="0" w:space="0" w:color="auto"/>
                <w:right w:val="none" w:sz="0" w:space="0" w:color="auto"/>
              </w:divBdr>
              <w:divsChild>
                <w:div w:id="1167670277">
                  <w:marLeft w:val="75"/>
                  <w:marRight w:val="0"/>
                  <w:marTop w:val="0"/>
                  <w:marBottom w:val="0"/>
                  <w:divBdr>
                    <w:top w:val="none" w:sz="0" w:space="0" w:color="auto"/>
                    <w:left w:val="none" w:sz="0" w:space="0" w:color="auto"/>
                    <w:bottom w:val="none" w:sz="0" w:space="0" w:color="auto"/>
                    <w:right w:val="none" w:sz="0" w:space="0" w:color="auto"/>
                  </w:divBdr>
                  <w:divsChild>
                    <w:div w:id="260846060">
                      <w:marLeft w:val="0"/>
                      <w:marRight w:val="0"/>
                      <w:marTop w:val="0"/>
                      <w:marBottom w:val="0"/>
                      <w:divBdr>
                        <w:top w:val="none" w:sz="0" w:space="0" w:color="auto"/>
                        <w:left w:val="none" w:sz="0" w:space="0" w:color="auto"/>
                        <w:bottom w:val="none" w:sz="0" w:space="0" w:color="auto"/>
                        <w:right w:val="none" w:sz="0" w:space="0" w:color="auto"/>
                      </w:divBdr>
                      <w:divsChild>
                        <w:div w:id="407466266">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781874">
          <w:marLeft w:val="0"/>
          <w:marRight w:val="0"/>
          <w:marTop w:val="0"/>
          <w:marBottom w:val="0"/>
          <w:divBdr>
            <w:top w:val="none" w:sz="0" w:space="0" w:color="auto"/>
            <w:left w:val="none" w:sz="0" w:space="0" w:color="auto"/>
            <w:bottom w:val="none" w:sz="0" w:space="0" w:color="auto"/>
            <w:right w:val="none" w:sz="0" w:space="0" w:color="auto"/>
          </w:divBdr>
          <w:divsChild>
            <w:div w:id="1041829792">
              <w:marLeft w:val="0"/>
              <w:marRight w:val="0"/>
              <w:marTop w:val="0"/>
              <w:marBottom w:val="0"/>
              <w:divBdr>
                <w:top w:val="none" w:sz="0" w:space="0" w:color="auto"/>
                <w:left w:val="none" w:sz="0" w:space="0" w:color="auto"/>
                <w:bottom w:val="none" w:sz="0" w:space="0" w:color="auto"/>
                <w:right w:val="none" w:sz="0" w:space="0" w:color="auto"/>
              </w:divBdr>
              <w:divsChild>
                <w:div w:id="693073052">
                  <w:marLeft w:val="0"/>
                  <w:marRight w:val="0"/>
                  <w:marTop w:val="0"/>
                  <w:marBottom w:val="0"/>
                  <w:divBdr>
                    <w:top w:val="none" w:sz="0" w:space="0" w:color="auto"/>
                    <w:left w:val="none" w:sz="0" w:space="0" w:color="auto"/>
                    <w:bottom w:val="none" w:sz="0" w:space="0" w:color="auto"/>
                    <w:right w:val="none" w:sz="0" w:space="0" w:color="auto"/>
                  </w:divBdr>
                  <w:divsChild>
                    <w:div w:id="1290631061">
                      <w:marLeft w:val="0"/>
                      <w:marRight w:val="0"/>
                      <w:marTop w:val="0"/>
                      <w:marBottom w:val="0"/>
                      <w:divBdr>
                        <w:top w:val="none" w:sz="0" w:space="0" w:color="auto"/>
                        <w:left w:val="none" w:sz="0" w:space="0" w:color="auto"/>
                        <w:bottom w:val="none" w:sz="0" w:space="0" w:color="auto"/>
                        <w:right w:val="none" w:sz="0" w:space="0" w:color="auto"/>
                      </w:divBdr>
                      <w:divsChild>
                        <w:div w:id="888106390">
                          <w:marLeft w:val="210"/>
                          <w:marRight w:val="210"/>
                          <w:marTop w:val="0"/>
                          <w:marBottom w:val="0"/>
                          <w:divBdr>
                            <w:top w:val="none" w:sz="0" w:space="0" w:color="auto"/>
                            <w:left w:val="none" w:sz="0" w:space="0" w:color="auto"/>
                            <w:bottom w:val="none" w:sz="0" w:space="0" w:color="auto"/>
                            <w:right w:val="none" w:sz="0" w:space="0" w:color="auto"/>
                          </w:divBdr>
                          <w:divsChild>
                            <w:div w:id="879048102">
                              <w:marLeft w:val="0"/>
                              <w:marRight w:val="30"/>
                              <w:marTop w:val="0"/>
                              <w:marBottom w:val="0"/>
                              <w:divBdr>
                                <w:top w:val="none" w:sz="0" w:space="0" w:color="auto"/>
                                <w:left w:val="none" w:sz="0" w:space="0" w:color="auto"/>
                                <w:bottom w:val="none" w:sz="0" w:space="0" w:color="auto"/>
                                <w:right w:val="none" w:sz="0" w:space="0" w:color="auto"/>
                              </w:divBdr>
                              <w:divsChild>
                                <w:div w:id="1270115353">
                                  <w:marLeft w:val="0"/>
                                  <w:marRight w:val="0"/>
                                  <w:marTop w:val="0"/>
                                  <w:marBottom w:val="0"/>
                                  <w:divBdr>
                                    <w:top w:val="none" w:sz="0" w:space="0" w:color="auto"/>
                                    <w:left w:val="none" w:sz="0" w:space="0" w:color="auto"/>
                                    <w:bottom w:val="none" w:sz="0" w:space="0" w:color="auto"/>
                                    <w:right w:val="none" w:sz="0" w:space="0" w:color="auto"/>
                                  </w:divBdr>
                                  <w:divsChild>
                                    <w:div w:id="1430128172">
                                      <w:marLeft w:val="0"/>
                                      <w:marRight w:val="0"/>
                                      <w:marTop w:val="0"/>
                                      <w:marBottom w:val="0"/>
                                      <w:divBdr>
                                        <w:top w:val="none" w:sz="0" w:space="0" w:color="auto"/>
                                        <w:left w:val="none" w:sz="0" w:space="0" w:color="auto"/>
                                        <w:bottom w:val="none" w:sz="0" w:space="0" w:color="auto"/>
                                        <w:right w:val="none" w:sz="0" w:space="0" w:color="auto"/>
                                      </w:divBdr>
                                      <w:divsChild>
                                        <w:div w:id="79818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86920629">
      <w:bodyDiv w:val="1"/>
      <w:marLeft w:val="0"/>
      <w:marRight w:val="0"/>
      <w:marTop w:val="0"/>
      <w:marBottom w:val="0"/>
      <w:divBdr>
        <w:top w:val="none" w:sz="0" w:space="0" w:color="auto"/>
        <w:left w:val="none" w:sz="0" w:space="0" w:color="auto"/>
        <w:bottom w:val="none" w:sz="0" w:space="0" w:color="auto"/>
        <w:right w:val="none" w:sz="0" w:space="0" w:color="auto"/>
      </w:divBdr>
    </w:div>
    <w:div w:id="1787197211">
      <w:bodyDiv w:val="1"/>
      <w:marLeft w:val="0"/>
      <w:marRight w:val="0"/>
      <w:marTop w:val="0"/>
      <w:marBottom w:val="0"/>
      <w:divBdr>
        <w:top w:val="none" w:sz="0" w:space="0" w:color="auto"/>
        <w:left w:val="none" w:sz="0" w:space="0" w:color="auto"/>
        <w:bottom w:val="none" w:sz="0" w:space="0" w:color="auto"/>
        <w:right w:val="none" w:sz="0" w:space="0" w:color="auto"/>
      </w:divBdr>
    </w:div>
    <w:div w:id="1823034460">
      <w:bodyDiv w:val="1"/>
      <w:marLeft w:val="0"/>
      <w:marRight w:val="0"/>
      <w:marTop w:val="0"/>
      <w:marBottom w:val="0"/>
      <w:divBdr>
        <w:top w:val="none" w:sz="0" w:space="0" w:color="auto"/>
        <w:left w:val="none" w:sz="0" w:space="0" w:color="auto"/>
        <w:bottom w:val="none" w:sz="0" w:space="0" w:color="auto"/>
        <w:right w:val="none" w:sz="0" w:space="0" w:color="auto"/>
      </w:divBdr>
    </w:div>
    <w:div w:id="1848015027">
      <w:bodyDiv w:val="1"/>
      <w:marLeft w:val="0"/>
      <w:marRight w:val="0"/>
      <w:marTop w:val="0"/>
      <w:marBottom w:val="0"/>
      <w:divBdr>
        <w:top w:val="none" w:sz="0" w:space="0" w:color="auto"/>
        <w:left w:val="none" w:sz="0" w:space="0" w:color="auto"/>
        <w:bottom w:val="none" w:sz="0" w:space="0" w:color="auto"/>
        <w:right w:val="none" w:sz="0" w:space="0" w:color="auto"/>
      </w:divBdr>
    </w:div>
    <w:div w:id="1881739686">
      <w:bodyDiv w:val="1"/>
      <w:marLeft w:val="0"/>
      <w:marRight w:val="0"/>
      <w:marTop w:val="0"/>
      <w:marBottom w:val="0"/>
      <w:divBdr>
        <w:top w:val="none" w:sz="0" w:space="0" w:color="auto"/>
        <w:left w:val="none" w:sz="0" w:space="0" w:color="auto"/>
        <w:bottom w:val="none" w:sz="0" w:space="0" w:color="auto"/>
        <w:right w:val="none" w:sz="0" w:space="0" w:color="auto"/>
      </w:divBdr>
    </w:div>
    <w:div w:id="1901134036">
      <w:bodyDiv w:val="1"/>
      <w:marLeft w:val="0"/>
      <w:marRight w:val="0"/>
      <w:marTop w:val="0"/>
      <w:marBottom w:val="0"/>
      <w:divBdr>
        <w:top w:val="none" w:sz="0" w:space="0" w:color="auto"/>
        <w:left w:val="none" w:sz="0" w:space="0" w:color="auto"/>
        <w:bottom w:val="none" w:sz="0" w:space="0" w:color="auto"/>
        <w:right w:val="none" w:sz="0" w:space="0" w:color="auto"/>
      </w:divBdr>
    </w:div>
    <w:div w:id="1919097524">
      <w:bodyDiv w:val="1"/>
      <w:marLeft w:val="0"/>
      <w:marRight w:val="0"/>
      <w:marTop w:val="0"/>
      <w:marBottom w:val="0"/>
      <w:divBdr>
        <w:top w:val="none" w:sz="0" w:space="0" w:color="auto"/>
        <w:left w:val="none" w:sz="0" w:space="0" w:color="auto"/>
        <w:bottom w:val="none" w:sz="0" w:space="0" w:color="auto"/>
        <w:right w:val="none" w:sz="0" w:space="0" w:color="auto"/>
      </w:divBdr>
      <w:divsChild>
        <w:div w:id="225992363">
          <w:marLeft w:val="0"/>
          <w:marRight w:val="0"/>
          <w:marTop w:val="0"/>
          <w:marBottom w:val="0"/>
          <w:divBdr>
            <w:top w:val="none" w:sz="0" w:space="0" w:color="auto"/>
            <w:left w:val="none" w:sz="0" w:space="0" w:color="auto"/>
            <w:bottom w:val="none" w:sz="0" w:space="0" w:color="auto"/>
            <w:right w:val="none" w:sz="0" w:space="0" w:color="auto"/>
          </w:divBdr>
          <w:divsChild>
            <w:div w:id="557133220">
              <w:marLeft w:val="0"/>
              <w:marRight w:val="0"/>
              <w:marTop w:val="0"/>
              <w:marBottom w:val="0"/>
              <w:divBdr>
                <w:top w:val="none" w:sz="0" w:space="0" w:color="auto"/>
                <w:left w:val="none" w:sz="0" w:space="0" w:color="auto"/>
                <w:bottom w:val="none" w:sz="0" w:space="0" w:color="auto"/>
                <w:right w:val="none" w:sz="0" w:space="0" w:color="auto"/>
              </w:divBdr>
              <w:divsChild>
                <w:div w:id="1372849503">
                  <w:marLeft w:val="0"/>
                  <w:marRight w:val="0"/>
                  <w:marTop w:val="0"/>
                  <w:marBottom w:val="0"/>
                  <w:divBdr>
                    <w:top w:val="none" w:sz="0" w:space="0" w:color="auto"/>
                    <w:left w:val="none" w:sz="0" w:space="0" w:color="auto"/>
                    <w:bottom w:val="none" w:sz="0" w:space="0" w:color="auto"/>
                    <w:right w:val="none" w:sz="0" w:space="0" w:color="auto"/>
                  </w:divBdr>
                  <w:divsChild>
                    <w:div w:id="1726564032">
                      <w:marLeft w:val="0"/>
                      <w:marRight w:val="0"/>
                      <w:marTop w:val="0"/>
                      <w:marBottom w:val="0"/>
                      <w:divBdr>
                        <w:top w:val="none" w:sz="0" w:space="0" w:color="auto"/>
                        <w:left w:val="none" w:sz="0" w:space="0" w:color="auto"/>
                        <w:bottom w:val="none" w:sz="0" w:space="0" w:color="auto"/>
                        <w:right w:val="none" w:sz="0" w:space="0" w:color="auto"/>
                      </w:divBdr>
                      <w:divsChild>
                        <w:div w:id="1470635433">
                          <w:marLeft w:val="210"/>
                          <w:marRight w:val="210"/>
                          <w:marTop w:val="0"/>
                          <w:marBottom w:val="0"/>
                          <w:divBdr>
                            <w:top w:val="none" w:sz="0" w:space="0" w:color="auto"/>
                            <w:left w:val="none" w:sz="0" w:space="0" w:color="auto"/>
                            <w:bottom w:val="none" w:sz="0" w:space="0" w:color="auto"/>
                            <w:right w:val="none" w:sz="0" w:space="0" w:color="auto"/>
                          </w:divBdr>
                          <w:divsChild>
                            <w:div w:id="230235017">
                              <w:marLeft w:val="0"/>
                              <w:marRight w:val="30"/>
                              <w:marTop w:val="0"/>
                              <w:marBottom w:val="0"/>
                              <w:divBdr>
                                <w:top w:val="none" w:sz="0" w:space="0" w:color="auto"/>
                                <w:left w:val="none" w:sz="0" w:space="0" w:color="auto"/>
                                <w:bottom w:val="none" w:sz="0" w:space="0" w:color="auto"/>
                                <w:right w:val="none" w:sz="0" w:space="0" w:color="auto"/>
                              </w:divBdr>
                              <w:divsChild>
                                <w:div w:id="1403525519">
                                  <w:marLeft w:val="0"/>
                                  <w:marRight w:val="0"/>
                                  <w:marTop w:val="0"/>
                                  <w:marBottom w:val="0"/>
                                  <w:divBdr>
                                    <w:top w:val="none" w:sz="0" w:space="0" w:color="auto"/>
                                    <w:left w:val="none" w:sz="0" w:space="0" w:color="auto"/>
                                    <w:bottom w:val="none" w:sz="0" w:space="0" w:color="auto"/>
                                    <w:right w:val="none" w:sz="0" w:space="0" w:color="auto"/>
                                  </w:divBdr>
                                  <w:divsChild>
                                    <w:div w:id="730882958">
                                      <w:marLeft w:val="0"/>
                                      <w:marRight w:val="0"/>
                                      <w:marTop w:val="0"/>
                                      <w:marBottom w:val="0"/>
                                      <w:divBdr>
                                        <w:top w:val="none" w:sz="0" w:space="0" w:color="auto"/>
                                        <w:left w:val="none" w:sz="0" w:space="0" w:color="auto"/>
                                        <w:bottom w:val="none" w:sz="0" w:space="0" w:color="auto"/>
                                        <w:right w:val="none" w:sz="0" w:space="0" w:color="auto"/>
                                      </w:divBdr>
                                      <w:divsChild>
                                        <w:div w:id="119094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5516140">
          <w:marLeft w:val="0"/>
          <w:marRight w:val="0"/>
          <w:marTop w:val="0"/>
          <w:marBottom w:val="0"/>
          <w:divBdr>
            <w:top w:val="none" w:sz="0" w:space="0" w:color="auto"/>
            <w:left w:val="none" w:sz="0" w:space="0" w:color="auto"/>
            <w:bottom w:val="none" w:sz="0" w:space="0" w:color="auto"/>
            <w:right w:val="none" w:sz="0" w:space="0" w:color="auto"/>
          </w:divBdr>
          <w:divsChild>
            <w:div w:id="670446325">
              <w:marLeft w:val="210"/>
              <w:marRight w:val="0"/>
              <w:marTop w:val="120"/>
              <w:marBottom w:val="0"/>
              <w:divBdr>
                <w:top w:val="none" w:sz="0" w:space="0" w:color="auto"/>
                <w:left w:val="none" w:sz="0" w:space="0" w:color="auto"/>
                <w:bottom w:val="none" w:sz="0" w:space="0" w:color="auto"/>
                <w:right w:val="none" w:sz="0" w:space="0" w:color="auto"/>
              </w:divBdr>
              <w:divsChild>
                <w:div w:id="646711137">
                  <w:marLeft w:val="0"/>
                  <w:marRight w:val="0"/>
                  <w:marTop w:val="0"/>
                  <w:marBottom w:val="0"/>
                  <w:divBdr>
                    <w:top w:val="none" w:sz="0" w:space="0" w:color="auto"/>
                    <w:left w:val="none" w:sz="0" w:space="0" w:color="auto"/>
                    <w:bottom w:val="none" w:sz="0" w:space="0" w:color="auto"/>
                    <w:right w:val="none" w:sz="0" w:space="0" w:color="auto"/>
                  </w:divBdr>
                  <w:divsChild>
                    <w:div w:id="231895736">
                      <w:marLeft w:val="45"/>
                      <w:marRight w:val="0"/>
                      <w:marTop w:val="0"/>
                      <w:marBottom w:val="15"/>
                      <w:divBdr>
                        <w:top w:val="none" w:sz="0" w:space="0" w:color="auto"/>
                        <w:left w:val="none" w:sz="0" w:space="0" w:color="auto"/>
                        <w:bottom w:val="none" w:sz="0" w:space="0" w:color="auto"/>
                        <w:right w:val="none" w:sz="0" w:space="0" w:color="auto"/>
                      </w:divBdr>
                    </w:div>
                  </w:divsChild>
                </w:div>
              </w:divsChild>
            </w:div>
            <w:div w:id="1305043139">
              <w:marLeft w:val="0"/>
              <w:marRight w:val="0"/>
              <w:marTop w:val="0"/>
              <w:marBottom w:val="0"/>
              <w:divBdr>
                <w:top w:val="none" w:sz="0" w:space="0" w:color="auto"/>
                <w:left w:val="none" w:sz="0" w:space="0" w:color="auto"/>
                <w:bottom w:val="none" w:sz="0" w:space="0" w:color="auto"/>
                <w:right w:val="none" w:sz="0" w:space="0" w:color="auto"/>
              </w:divBdr>
              <w:divsChild>
                <w:div w:id="1172984993">
                  <w:marLeft w:val="75"/>
                  <w:marRight w:val="0"/>
                  <w:marTop w:val="0"/>
                  <w:marBottom w:val="0"/>
                  <w:divBdr>
                    <w:top w:val="none" w:sz="0" w:space="0" w:color="auto"/>
                    <w:left w:val="none" w:sz="0" w:space="0" w:color="auto"/>
                    <w:bottom w:val="none" w:sz="0" w:space="0" w:color="auto"/>
                    <w:right w:val="none" w:sz="0" w:space="0" w:color="auto"/>
                  </w:divBdr>
                  <w:divsChild>
                    <w:div w:id="213932687">
                      <w:marLeft w:val="0"/>
                      <w:marRight w:val="0"/>
                      <w:marTop w:val="0"/>
                      <w:marBottom w:val="0"/>
                      <w:divBdr>
                        <w:top w:val="none" w:sz="0" w:space="0" w:color="auto"/>
                        <w:left w:val="none" w:sz="0" w:space="0" w:color="auto"/>
                        <w:bottom w:val="none" w:sz="0" w:space="0" w:color="auto"/>
                        <w:right w:val="none" w:sz="0" w:space="0" w:color="auto"/>
                      </w:divBdr>
                      <w:divsChild>
                        <w:div w:id="2085032334">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3121625">
      <w:bodyDiv w:val="1"/>
      <w:marLeft w:val="0"/>
      <w:marRight w:val="0"/>
      <w:marTop w:val="0"/>
      <w:marBottom w:val="0"/>
      <w:divBdr>
        <w:top w:val="none" w:sz="0" w:space="0" w:color="auto"/>
        <w:left w:val="none" w:sz="0" w:space="0" w:color="auto"/>
        <w:bottom w:val="none" w:sz="0" w:space="0" w:color="auto"/>
        <w:right w:val="none" w:sz="0" w:space="0" w:color="auto"/>
      </w:divBdr>
    </w:div>
    <w:div w:id="1970698239">
      <w:bodyDiv w:val="1"/>
      <w:marLeft w:val="0"/>
      <w:marRight w:val="0"/>
      <w:marTop w:val="0"/>
      <w:marBottom w:val="0"/>
      <w:divBdr>
        <w:top w:val="none" w:sz="0" w:space="0" w:color="auto"/>
        <w:left w:val="none" w:sz="0" w:space="0" w:color="auto"/>
        <w:bottom w:val="none" w:sz="0" w:space="0" w:color="auto"/>
        <w:right w:val="none" w:sz="0" w:space="0" w:color="auto"/>
      </w:divBdr>
    </w:div>
    <w:div w:id="2060980118">
      <w:bodyDiv w:val="1"/>
      <w:marLeft w:val="0"/>
      <w:marRight w:val="0"/>
      <w:marTop w:val="0"/>
      <w:marBottom w:val="0"/>
      <w:divBdr>
        <w:top w:val="none" w:sz="0" w:space="0" w:color="auto"/>
        <w:left w:val="none" w:sz="0" w:space="0" w:color="auto"/>
        <w:bottom w:val="none" w:sz="0" w:space="0" w:color="auto"/>
        <w:right w:val="none" w:sz="0" w:space="0" w:color="auto"/>
      </w:divBdr>
    </w:div>
    <w:div w:id="2067415606">
      <w:bodyDiv w:val="1"/>
      <w:marLeft w:val="0"/>
      <w:marRight w:val="0"/>
      <w:marTop w:val="0"/>
      <w:marBottom w:val="0"/>
      <w:divBdr>
        <w:top w:val="none" w:sz="0" w:space="0" w:color="auto"/>
        <w:left w:val="none" w:sz="0" w:space="0" w:color="auto"/>
        <w:bottom w:val="none" w:sz="0" w:space="0" w:color="auto"/>
        <w:right w:val="none" w:sz="0" w:space="0" w:color="auto"/>
      </w:divBdr>
    </w:div>
    <w:div w:id="2095318403">
      <w:bodyDiv w:val="1"/>
      <w:marLeft w:val="0"/>
      <w:marRight w:val="0"/>
      <w:marTop w:val="0"/>
      <w:marBottom w:val="0"/>
      <w:divBdr>
        <w:top w:val="none" w:sz="0" w:space="0" w:color="auto"/>
        <w:left w:val="none" w:sz="0" w:space="0" w:color="auto"/>
        <w:bottom w:val="none" w:sz="0" w:space="0" w:color="auto"/>
        <w:right w:val="none" w:sz="0" w:space="0" w:color="auto"/>
      </w:divBdr>
      <w:divsChild>
        <w:div w:id="125782322">
          <w:marLeft w:val="0"/>
          <w:marRight w:val="0"/>
          <w:marTop w:val="0"/>
          <w:marBottom w:val="0"/>
          <w:divBdr>
            <w:top w:val="none" w:sz="0" w:space="0" w:color="auto"/>
            <w:left w:val="none" w:sz="0" w:space="0" w:color="auto"/>
            <w:bottom w:val="none" w:sz="0" w:space="0" w:color="auto"/>
            <w:right w:val="none" w:sz="0" w:space="0" w:color="auto"/>
          </w:divBdr>
        </w:div>
        <w:div w:id="666789501">
          <w:marLeft w:val="0"/>
          <w:marRight w:val="0"/>
          <w:marTop w:val="0"/>
          <w:marBottom w:val="0"/>
          <w:divBdr>
            <w:top w:val="none" w:sz="0" w:space="0" w:color="auto"/>
            <w:left w:val="none" w:sz="0" w:space="0" w:color="auto"/>
            <w:bottom w:val="none" w:sz="0" w:space="0" w:color="auto"/>
            <w:right w:val="none" w:sz="0" w:space="0" w:color="auto"/>
          </w:divBdr>
        </w:div>
      </w:divsChild>
    </w:div>
    <w:div w:id="2104104218">
      <w:bodyDiv w:val="1"/>
      <w:marLeft w:val="0"/>
      <w:marRight w:val="0"/>
      <w:marTop w:val="0"/>
      <w:marBottom w:val="0"/>
      <w:divBdr>
        <w:top w:val="none" w:sz="0" w:space="0" w:color="auto"/>
        <w:left w:val="none" w:sz="0" w:space="0" w:color="auto"/>
        <w:bottom w:val="none" w:sz="0" w:space="0" w:color="auto"/>
        <w:right w:val="none" w:sz="0" w:space="0" w:color="auto"/>
      </w:divBdr>
      <w:divsChild>
        <w:div w:id="262081281">
          <w:marLeft w:val="0"/>
          <w:marRight w:val="0"/>
          <w:marTop w:val="0"/>
          <w:marBottom w:val="0"/>
          <w:divBdr>
            <w:top w:val="none" w:sz="0" w:space="0" w:color="auto"/>
            <w:left w:val="none" w:sz="0" w:space="0" w:color="auto"/>
            <w:bottom w:val="none" w:sz="0" w:space="0" w:color="auto"/>
            <w:right w:val="none" w:sz="0" w:space="0" w:color="auto"/>
          </w:divBdr>
        </w:div>
        <w:div w:id="556428746">
          <w:marLeft w:val="0"/>
          <w:marRight w:val="0"/>
          <w:marTop w:val="0"/>
          <w:marBottom w:val="0"/>
          <w:divBdr>
            <w:top w:val="none" w:sz="0" w:space="0" w:color="auto"/>
            <w:left w:val="none" w:sz="0" w:space="0" w:color="auto"/>
            <w:bottom w:val="none" w:sz="0" w:space="0" w:color="auto"/>
            <w:right w:val="none" w:sz="0" w:space="0" w:color="auto"/>
          </w:divBdr>
        </w:div>
      </w:divsChild>
    </w:div>
    <w:div w:id="2141335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chart" Target="charts/chart4.xml"/><Relationship Id="rId2" Type="http://schemas.openxmlformats.org/officeDocument/2006/relationships/customXml" Target="../customXml/item2.xml"/><Relationship Id="rId16" Type="http://schemas.openxmlformats.org/officeDocument/2006/relationships/chart" Target="charts/chart3.xm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hart" Target="charts/chart1.xm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chart" Target="charts/chart2.xm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oter" Target="footer3.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861730518979246E-2"/>
          <c:y val="3.1527921078830665E-2"/>
          <c:w val="0.90485633740226912"/>
          <c:h val="0.72114435695538059"/>
        </c:manualLayout>
      </c:layout>
      <c:barChart>
        <c:barDir val="col"/>
        <c:grouping val="stacked"/>
        <c:varyColors val="0"/>
        <c:ser>
          <c:idx val="1"/>
          <c:order val="0"/>
          <c:spPr>
            <a:noFill/>
            <a:ln>
              <a:noFill/>
            </a:ln>
            <a:effectLst/>
          </c:spPr>
          <c:invertIfNegative val="0"/>
          <c:dPt>
            <c:idx val="0"/>
            <c:invertIfNegative val="0"/>
            <c:bubble3D val="0"/>
            <c:spPr>
              <a:solidFill>
                <a:srgbClr val="00426F"/>
              </a:solidFill>
              <a:ln>
                <a:noFill/>
              </a:ln>
              <a:effectLst/>
            </c:spPr>
            <c:extLst>
              <c:ext xmlns:c16="http://schemas.microsoft.com/office/drawing/2014/chart" uri="{C3380CC4-5D6E-409C-BE32-E72D297353CC}">
                <c16:uniqueId val="{00000001-D36C-4D06-A020-023DAD048D65}"/>
              </c:ext>
            </c:extLst>
          </c:dPt>
          <c:dPt>
            <c:idx val="9"/>
            <c:invertIfNegative val="0"/>
            <c:bubble3D val="0"/>
            <c:spPr>
              <a:solidFill>
                <a:srgbClr val="00426F"/>
              </a:solidFill>
              <a:ln>
                <a:noFill/>
              </a:ln>
              <a:effectLst/>
            </c:spPr>
            <c:extLst>
              <c:ext xmlns:c16="http://schemas.microsoft.com/office/drawing/2014/chart" uri="{C3380CC4-5D6E-409C-BE32-E72D297353CC}">
                <c16:uniqueId val="{00000003-D36C-4D06-A020-023DAD048D65}"/>
              </c:ext>
            </c:extLst>
          </c:dPt>
          <c:cat>
            <c:strRef>
              <c:f>'Chart 4.1 waterfall'!$B$39:$B$48</c:f>
              <c:strCache>
                <c:ptCount val="10"/>
                <c:pt idx="0">
                  <c:v>2019-20 Half Year Review Estimate</c:v>
                </c:pt>
                <c:pt idx="1">
                  <c:v>Grant revenue (including GST)</c:v>
                </c:pt>
                <c:pt idx="2">
                  <c:v>Other dividends and distributions</c:v>
                </c:pt>
                <c:pt idx="3">
                  <c:v>Interest income</c:v>
                </c:pt>
                <c:pt idx="4">
                  <c:v>Royalties </c:v>
                </c:pt>
                <c:pt idx="5">
                  <c:v>Dividends and income tax equivalents from other sectors</c:v>
                </c:pt>
                <c:pt idx="6">
                  <c:v>Fines, regulatory fees and other revenues </c:v>
                </c:pt>
                <c:pt idx="7">
                  <c:v>Sale of goods and services</c:v>
                </c:pt>
                <c:pt idx="8">
                  <c:v>Taxation</c:v>
                </c:pt>
                <c:pt idx="9">
                  <c:v>2020-21 Budget Actual</c:v>
                </c:pt>
              </c:strCache>
            </c:strRef>
          </c:cat>
          <c:val>
            <c:numRef>
              <c:f>'Chart 4.1 waterfall'!$H$39:$H$48</c:f>
              <c:numCache>
                <c:formatCode>0</c:formatCode>
                <c:ptCount val="10"/>
                <c:pt idx="0">
                  <c:v>84157.368245345628</c:v>
                </c:pt>
                <c:pt idx="1">
                  <c:v>84157.368245345628</c:v>
                </c:pt>
                <c:pt idx="2">
                  <c:v>85797.605851529734</c:v>
                </c:pt>
                <c:pt idx="3">
                  <c:v>86196.58840768761</c:v>
                </c:pt>
                <c:pt idx="4">
                  <c:v>86076.883437687604</c:v>
                </c:pt>
                <c:pt idx="5">
                  <c:v>85560.772312238871</c:v>
                </c:pt>
                <c:pt idx="6">
                  <c:v>84815.062733738203</c:v>
                </c:pt>
                <c:pt idx="7">
                  <c:v>83528.775406889166</c:v>
                </c:pt>
                <c:pt idx="8">
                  <c:v>81366.763345518862</c:v>
                </c:pt>
                <c:pt idx="9">
                  <c:v>81366.763345518862</c:v>
                </c:pt>
              </c:numCache>
            </c:numRef>
          </c:val>
          <c:extLst>
            <c:ext xmlns:c16="http://schemas.microsoft.com/office/drawing/2014/chart" uri="{C3380CC4-5D6E-409C-BE32-E72D297353CC}">
              <c16:uniqueId val="{00000004-D36C-4D06-A020-023DAD048D65}"/>
            </c:ext>
          </c:extLst>
        </c:ser>
        <c:ser>
          <c:idx val="0"/>
          <c:order val="1"/>
          <c:spPr>
            <a:solidFill>
              <a:srgbClr val="C00000"/>
            </a:solidFill>
            <a:ln>
              <a:noFill/>
            </a:ln>
            <a:effectLst/>
          </c:spPr>
          <c:invertIfNegative val="0"/>
          <c:dPt>
            <c:idx val="1"/>
            <c:invertIfNegative val="0"/>
            <c:bubble3D val="0"/>
            <c:spPr>
              <a:solidFill>
                <a:srgbClr val="9ACA3C"/>
              </a:solidFill>
              <a:ln>
                <a:noFill/>
              </a:ln>
              <a:effectLst/>
            </c:spPr>
            <c:extLst>
              <c:ext xmlns:c16="http://schemas.microsoft.com/office/drawing/2014/chart" uri="{C3380CC4-5D6E-409C-BE32-E72D297353CC}">
                <c16:uniqueId val="{00000006-D36C-4D06-A020-023DAD048D65}"/>
              </c:ext>
            </c:extLst>
          </c:dPt>
          <c:dPt>
            <c:idx val="2"/>
            <c:invertIfNegative val="0"/>
            <c:bubble3D val="0"/>
            <c:spPr>
              <a:solidFill>
                <a:srgbClr val="9ACA3C"/>
              </a:solidFill>
              <a:ln>
                <a:noFill/>
              </a:ln>
              <a:effectLst/>
            </c:spPr>
            <c:extLst>
              <c:ext xmlns:c16="http://schemas.microsoft.com/office/drawing/2014/chart" uri="{C3380CC4-5D6E-409C-BE32-E72D297353CC}">
                <c16:uniqueId val="{00000008-D36C-4D06-A020-023DAD048D65}"/>
              </c:ext>
            </c:extLst>
          </c:dPt>
          <c:dPt>
            <c:idx val="3"/>
            <c:invertIfNegative val="0"/>
            <c:bubble3D val="0"/>
            <c:spPr>
              <a:solidFill>
                <a:srgbClr val="A50776"/>
              </a:solidFill>
              <a:ln>
                <a:noFill/>
              </a:ln>
              <a:effectLst/>
            </c:spPr>
            <c:extLst>
              <c:ext xmlns:c16="http://schemas.microsoft.com/office/drawing/2014/chart" uri="{C3380CC4-5D6E-409C-BE32-E72D297353CC}">
                <c16:uniqueId val="{0000000A-D36C-4D06-A020-023DAD048D65}"/>
              </c:ext>
            </c:extLst>
          </c:dPt>
          <c:dPt>
            <c:idx val="4"/>
            <c:invertIfNegative val="0"/>
            <c:bubble3D val="0"/>
            <c:spPr>
              <a:solidFill>
                <a:srgbClr val="A50776"/>
              </a:solidFill>
              <a:ln>
                <a:noFill/>
              </a:ln>
              <a:effectLst/>
            </c:spPr>
            <c:extLst>
              <c:ext xmlns:c16="http://schemas.microsoft.com/office/drawing/2014/chart" uri="{C3380CC4-5D6E-409C-BE32-E72D297353CC}">
                <c16:uniqueId val="{0000000C-D36C-4D06-A020-023DAD048D65}"/>
              </c:ext>
            </c:extLst>
          </c:dPt>
          <c:dPt>
            <c:idx val="5"/>
            <c:invertIfNegative val="0"/>
            <c:bubble3D val="0"/>
            <c:spPr>
              <a:solidFill>
                <a:srgbClr val="A50776"/>
              </a:solidFill>
              <a:ln>
                <a:noFill/>
              </a:ln>
              <a:effectLst/>
            </c:spPr>
            <c:extLst>
              <c:ext xmlns:c16="http://schemas.microsoft.com/office/drawing/2014/chart" uri="{C3380CC4-5D6E-409C-BE32-E72D297353CC}">
                <c16:uniqueId val="{0000000E-D36C-4D06-A020-023DAD048D65}"/>
              </c:ext>
            </c:extLst>
          </c:dPt>
          <c:dPt>
            <c:idx val="6"/>
            <c:invertIfNegative val="0"/>
            <c:bubble3D val="0"/>
            <c:spPr>
              <a:solidFill>
                <a:srgbClr val="A50776"/>
              </a:solidFill>
              <a:ln>
                <a:noFill/>
              </a:ln>
              <a:effectLst/>
            </c:spPr>
            <c:extLst>
              <c:ext xmlns:c16="http://schemas.microsoft.com/office/drawing/2014/chart" uri="{C3380CC4-5D6E-409C-BE32-E72D297353CC}">
                <c16:uniqueId val="{00000010-D36C-4D06-A020-023DAD048D65}"/>
              </c:ext>
            </c:extLst>
          </c:dPt>
          <c:dPt>
            <c:idx val="7"/>
            <c:invertIfNegative val="0"/>
            <c:bubble3D val="0"/>
            <c:spPr>
              <a:solidFill>
                <a:srgbClr val="A50776"/>
              </a:solidFill>
              <a:ln>
                <a:noFill/>
              </a:ln>
              <a:effectLst/>
            </c:spPr>
            <c:extLst>
              <c:ext xmlns:c16="http://schemas.microsoft.com/office/drawing/2014/chart" uri="{C3380CC4-5D6E-409C-BE32-E72D297353CC}">
                <c16:uniqueId val="{00000012-D36C-4D06-A020-023DAD048D65}"/>
              </c:ext>
            </c:extLst>
          </c:dPt>
          <c:dPt>
            <c:idx val="8"/>
            <c:invertIfNegative val="0"/>
            <c:bubble3D val="0"/>
            <c:spPr>
              <a:solidFill>
                <a:srgbClr val="A50776"/>
              </a:solidFill>
              <a:ln>
                <a:noFill/>
              </a:ln>
              <a:effectLst/>
            </c:spPr>
            <c:extLst>
              <c:ext xmlns:c16="http://schemas.microsoft.com/office/drawing/2014/chart" uri="{C3380CC4-5D6E-409C-BE32-E72D297353CC}">
                <c16:uniqueId val="{00000014-D36C-4D06-A020-023DAD048D65}"/>
              </c:ext>
            </c:extLst>
          </c:dPt>
          <c:cat>
            <c:strRef>
              <c:f>'Chart 4.1 waterfall'!$B$39:$B$48</c:f>
              <c:strCache>
                <c:ptCount val="10"/>
                <c:pt idx="0">
                  <c:v>2019-20 Half Year Review Estimate</c:v>
                </c:pt>
                <c:pt idx="1">
                  <c:v>Grant revenue (including GST)</c:v>
                </c:pt>
                <c:pt idx="2">
                  <c:v>Other dividends and distributions</c:v>
                </c:pt>
                <c:pt idx="3">
                  <c:v>Interest income</c:v>
                </c:pt>
                <c:pt idx="4">
                  <c:v>Royalties </c:v>
                </c:pt>
                <c:pt idx="5">
                  <c:v>Dividends and income tax equivalents from other sectors</c:v>
                </c:pt>
                <c:pt idx="6">
                  <c:v>Fines, regulatory fees and other revenues </c:v>
                </c:pt>
                <c:pt idx="7">
                  <c:v>Sale of goods and services</c:v>
                </c:pt>
                <c:pt idx="8">
                  <c:v>Taxation</c:v>
                </c:pt>
                <c:pt idx="9">
                  <c:v>2020-21 Budget Actual</c:v>
                </c:pt>
              </c:strCache>
            </c:strRef>
          </c:cat>
          <c:val>
            <c:numRef>
              <c:f>'Chart 4.1 waterfall'!$G$39:$G$48</c:f>
              <c:numCache>
                <c:formatCode>0</c:formatCode>
                <c:ptCount val="10"/>
                <c:pt idx="0">
                  <c:v>0</c:v>
                </c:pt>
                <c:pt idx="1">
                  <c:v>1640.237606184106</c:v>
                </c:pt>
                <c:pt idx="2">
                  <c:v>402.20356009999978</c:v>
                </c:pt>
                <c:pt idx="3">
                  <c:v>3.2210039421260035</c:v>
                </c:pt>
                <c:pt idx="4">
                  <c:v>119.70497</c:v>
                </c:pt>
                <c:pt idx="5">
                  <c:v>516.11112544873004</c:v>
                </c:pt>
                <c:pt idx="6">
                  <c:v>745.70957850066134</c:v>
                </c:pt>
                <c:pt idx="7">
                  <c:v>1286.2873268490421</c:v>
                </c:pt>
                <c:pt idx="8">
                  <c:v>2162.0120613703002</c:v>
                </c:pt>
                <c:pt idx="9">
                  <c:v>0</c:v>
                </c:pt>
              </c:numCache>
            </c:numRef>
          </c:val>
          <c:extLst>
            <c:ext xmlns:c16="http://schemas.microsoft.com/office/drawing/2014/chart" uri="{C3380CC4-5D6E-409C-BE32-E72D297353CC}">
              <c16:uniqueId val="{00000015-D36C-4D06-A020-023DAD048D65}"/>
            </c:ext>
          </c:extLst>
        </c:ser>
        <c:dLbls>
          <c:showLegendKey val="0"/>
          <c:showVal val="0"/>
          <c:showCatName val="0"/>
          <c:showSerName val="0"/>
          <c:showPercent val="0"/>
          <c:showBubbleSize val="0"/>
        </c:dLbls>
        <c:gapWidth val="90"/>
        <c:overlap val="100"/>
        <c:axId val="698501048"/>
        <c:axId val="698501376"/>
      </c:barChart>
      <c:catAx>
        <c:axId val="698501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rgbClr val="4F4F4F"/>
                </a:solidFill>
                <a:latin typeface="Arial" panose="020B0604020202020204" pitchFamily="34" charset="0"/>
                <a:ea typeface="+mn-ea"/>
                <a:cs typeface="Arial" panose="020B0604020202020204" pitchFamily="34" charset="0"/>
              </a:defRPr>
            </a:pPr>
            <a:endParaRPr lang="en-US"/>
          </a:p>
        </c:txPr>
        <c:crossAx val="698501376"/>
        <c:crosses val="autoZero"/>
        <c:auto val="1"/>
        <c:lblAlgn val="ctr"/>
        <c:lblOffset val="100"/>
        <c:noMultiLvlLbl val="0"/>
      </c:catAx>
      <c:valAx>
        <c:axId val="698501376"/>
        <c:scaling>
          <c:orientation val="minMax"/>
          <c:min val="806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rgbClr val="4F4F4F"/>
                    </a:solidFill>
                    <a:latin typeface="Arial" panose="020B0604020202020204" pitchFamily="34" charset="0"/>
                    <a:ea typeface="+mn-ea"/>
                    <a:cs typeface="Arial" panose="020B0604020202020204" pitchFamily="34" charset="0"/>
                  </a:defRPr>
                </a:pPr>
                <a:r>
                  <a:rPr lang="en-AU">
                    <a:solidFill>
                      <a:srgbClr val="4F4F4F"/>
                    </a:solidFill>
                  </a:rPr>
                  <a:t>$ billion</a:t>
                </a:r>
              </a:p>
            </c:rich>
          </c:tx>
          <c:layout>
            <c:manualLayout>
              <c:xMode val="edge"/>
              <c:yMode val="edge"/>
              <c:x val="4.8858271800992191E-3"/>
              <c:y val="0.16176594845796366"/>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rgbClr val="4F4F4F"/>
                  </a:solidFill>
                  <a:latin typeface="Arial" panose="020B0604020202020204" pitchFamily="34" charset="0"/>
                  <a:ea typeface="+mn-ea"/>
                  <a:cs typeface="Arial" panose="020B0604020202020204" pitchFamily="34" charset="0"/>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rgbClr val="4F4F4F"/>
                </a:solidFill>
                <a:latin typeface="Arial" panose="020B0604020202020204" pitchFamily="34" charset="0"/>
                <a:ea typeface="+mn-ea"/>
                <a:cs typeface="Arial" panose="020B0604020202020204" pitchFamily="34" charset="0"/>
              </a:defRPr>
            </a:pPr>
            <a:endParaRPr lang="en-US"/>
          </a:p>
        </c:txPr>
        <c:crossAx val="6985010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747712945413235E-2"/>
          <c:y val="3.2665181885671864E-2"/>
          <c:w val="0.91093833126525414"/>
          <c:h val="0.7685065988688653"/>
        </c:manualLayout>
      </c:layout>
      <c:barChart>
        <c:barDir val="col"/>
        <c:grouping val="percentStacked"/>
        <c:varyColors val="0"/>
        <c:ser>
          <c:idx val="5"/>
          <c:order val="0"/>
          <c:tx>
            <c:strRef>
              <c:f>'Chart 4.3 - Tax rev hist column'!$A$36</c:f>
              <c:strCache>
                <c:ptCount val="1"/>
                <c:pt idx="0">
                  <c:v>Transfer duty</c:v>
                </c:pt>
              </c:strCache>
            </c:strRef>
          </c:tx>
          <c:spPr>
            <a:solidFill>
              <a:srgbClr val="00426F"/>
            </a:solidFill>
            <a:ln>
              <a:noFill/>
            </a:ln>
            <a:effectLst/>
          </c:spPr>
          <c:invertIfNegative val="0"/>
          <c:cat>
            <c:strRef>
              <c:f>'Chart 4.3 - Tax rev hist column'!$B$30:$O$30</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 4.3 - Tax rev hist column'!$B$36:$O$36</c:f>
              <c:numCache>
                <c:formatCode>0.0%</c:formatCode>
                <c:ptCount val="14"/>
                <c:pt idx="0">
                  <c:v>0.198332924736455</c:v>
                </c:pt>
                <c:pt idx="1">
                  <c:v>0.18218780251694094</c:v>
                </c:pt>
                <c:pt idx="2">
                  <c:v>0.20780638704394505</c:v>
                </c:pt>
                <c:pt idx="3">
                  <c:v>0.24880638788277906</c:v>
                </c:pt>
                <c:pt idx="4">
                  <c:v>0.28343435893501112</c:v>
                </c:pt>
                <c:pt idx="5">
                  <c:v>0.30270214521452143</c:v>
                </c:pt>
                <c:pt idx="6">
                  <c:v>0.31430056188898631</c:v>
                </c:pt>
                <c:pt idx="7">
                  <c:v>0.28020828639717499</c:v>
                </c:pt>
                <c:pt idx="8">
                  <c:v>0.23947104597297153</c:v>
                </c:pt>
                <c:pt idx="9">
                  <c:v>0.23227667234071089</c:v>
                </c:pt>
                <c:pt idx="10">
                  <c:v>0.24993635577308079</c:v>
                </c:pt>
                <c:pt idx="11">
                  <c:v>0.26548963025576666</c:v>
                </c:pt>
                <c:pt idx="12">
                  <c:v>0.27432088321447157</c:v>
                </c:pt>
                <c:pt idx="13">
                  <c:v>0.28579918155241785</c:v>
                </c:pt>
              </c:numCache>
            </c:numRef>
          </c:val>
          <c:extLst>
            <c:ext xmlns:c16="http://schemas.microsoft.com/office/drawing/2014/chart" uri="{C3380CC4-5D6E-409C-BE32-E72D297353CC}">
              <c16:uniqueId val="{00000000-76E1-4EAB-B2D0-D9AC3BA66380}"/>
            </c:ext>
          </c:extLst>
        </c:ser>
        <c:ser>
          <c:idx val="0"/>
          <c:order val="1"/>
          <c:tx>
            <c:strRef>
              <c:f>'Chart 4.3 - Tax rev hist column'!$A$31</c:f>
              <c:strCache>
                <c:ptCount val="1"/>
                <c:pt idx="0">
                  <c:v>Payroll tax</c:v>
                </c:pt>
              </c:strCache>
            </c:strRef>
          </c:tx>
          <c:spPr>
            <a:solidFill>
              <a:srgbClr val="008EBA"/>
            </a:solidFill>
            <a:ln>
              <a:noFill/>
            </a:ln>
            <a:effectLst/>
          </c:spPr>
          <c:invertIfNegative val="0"/>
          <c:cat>
            <c:strRef>
              <c:f>'Chart 4.3 - Tax rev hist column'!$B$30:$O$30</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 4.3 - Tax rev hist column'!$B$31:$O$31</c:f>
              <c:numCache>
                <c:formatCode>0.0%</c:formatCode>
                <c:ptCount val="14"/>
                <c:pt idx="0">
                  <c:v>0.31321402304486395</c:v>
                </c:pt>
                <c:pt idx="1">
                  <c:v>0.32531461761858665</c:v>
                </c:pt>
                <c:pt idx="2">
                  <c:v>0.31598580656901099</c:v>
                </c:pt>
                <c:pt idx="3">
                  <c:v>0.29152946987158379</c:v>
                </c:pt>
                <c:pt idx="4">
                  <c:v>0.28623494207012967</c:v>
                </c:pt>
                <c:pt idx="5">
                  <c:v>0.27265539053905391</c:v>
                </c:pt>
                <c:pt idx="6">
                  <c:v>0.26528955146318489</c:v>
                </c:pt>
                <c:pt idx="7">
                  <c:v>0.28567918634797174</c:v>
                </c:pt>
                <c:pt idx="8">
                  <c:v>0.30159611173139039</c:v>
                </c:pt>
                <c:pt idx="9">
                  <c:v>0.28415259695874701</c:v>
                </c:pt>
                <c:pt idx="10">
                  <c:v>0.26886381445507979</c:v>
                </c:pt>
                <c:pt idx="11">
                  <c:v>0.26355082791108425</c:v>
                </c:pt>
                <c:pt idx="12">
                  <c:v>0.27804316305602528</c:v>
                </c:pt>
                <c:pt idx="13">
                  <c:v>0.27414836863502429</c:v>
                </c:pt>
              </c:numCache>
            </c:numRef>
          </c:val>
          <c:extLst>
            <c:ext xmlns:c16="http://schemas.microsoft.com/office/drawing/2014/chart" uri="{C3380CC4-5D6E-409C-BE32-E72D297353CC}">
              <c16:uniqueId val="{00000001-76E1-4EAB-B2D0-D9AC3BA66380}"/>
            </c:ext>
          </c:extLst>
        </c:ser>
        <c:ser>
          <c:idx val="1"/>
          <c:order val="2"/>
          <c:tx>
            <c:strRef>
              <c:f>'Chart 4.3 - Tax rev hist column'!$A$32</c:f>
              <c:strCache>
                <c:ptCount val="1"/>
                <c:pt idx="0">
                  <c:v>Land tax</c:v>
                </c:pt>
              </c:strCache>
            </c:strRef>
          </c:tx>
          <c:spPr>
            <a:solidFill>
              <a:srgbClr val="53C8E9"/>
            </a:solidFill>
            <a:ln>
              <a:noFill/>
            </a:ln>
            <a:effectLst/>
          </c:spPr>
          <c:invertIfNegative val="0"/>
          <c:cat>
            <c:strRef>
              <c:f>'Chart 4.3 - Tax rev hist column'!$B$30:$O$30</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 4.3 - Tax rev hist column'!$B$32:$O$32</c:f>
              <c:numCache>
                <c:formatCode>0.0%</c:formatCode>
                <c:ptCount val="14"/>
                <c:pt idx="0">
                  <c:v>0.11223339053689629</c:v>
                </c:pt>
                <c:pt idx="1">
                  <c:v>0.11374636979670862</c:v>
                </c:pt>
                <c:pt idx="2">
                  <c:v>0.10613229005549996</c:v>
                </c:pt>
                <c:pt idx="3">
                  <c:v>9.6106354955548243E-2</c:v>
                </c:pt>
                <c:pt idx="4">
                  <c:v>9.4644364305992476E-2</c:v>
                </c:pt>
                <c:pt idx="5">
                  <c:v>9.4437568756875687E-2</c:v>
                </c:pt>
                <c:pt idx="6">
                  <c:v>0.10299132807171392</c:v>
                </c:pt>
                <c:pt idx="7">
                  <c:v>0.12078809921185356</c:v>
                </c:pt>
                <c:pt idx="8">
                  <c:v>0.13587907287848869</c:v>
                </c:pt>
                <c:pt idx="9">
                  <c:v>0.14952136620004924</c:v>
                </c:pt>
                <c:pt idx="10">
                  <c:v>0.14629621292373055</c:v>
                </c:pt>
                <c:pt idx="11">
                  <c:v>0.13968966824860221</c:v>
                </c:pt>
                <c:pt idx="12">
                  <c:v>0.12990077504515288</c:v>
                </c:pt>
                <c:pt idx="13">
                  <c:v>0.12595786828096597</c:v>
                </c:pt>
              </c:numCache>
            </c:numRef>
          </c:val>
          <c:extLst>
            <c:ext xmlns:c16="http://schemas.microsoft.com/office/drawing/2014/chart" uri="{C3380CC4-5D6E-409C-BE32-E72D297353CC}">
              <c16:uniqueId val="{00000002-76E1-4EAB-B2D0-D9AC3BA66380}"/>
            </c:ext>
          </c:extLst>
        </c:ser>
        <c:ser>
          <c:idx val="2"/>
          <c:order val="3"/>
          <c:tx>
            <c:strRef>
              <c:f>'Chart 4.3 - Tax rev hist column'!$A$33</c:f>
              <c:strCache>
                <c:ptCount val="1"/>
                <c:pt idx="0">
                  <c:v>Motor vehicle taxes</c:v>
                </c:pt>
              </c:strCache>
            </c:strRef>
          </c:tx>
          <c:spPr>
            <a:solidFill>
              <a:srgbClr val="9ACA3C"/>
            </a:solidFill>
            <a:ln>
              <a:noFill/>
            </a:ln>
            <a:effectLst/>
          </c:spPr>
          <c:invertIfNegative val="0"/>
          <c:cat>
            <c:strRef>
              <c:f>'Chart 4.3 - Tax rev hist column'!$B$30:$O$30</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 4.3 - Tax rev hist column'!$B$33:$O$33</c:f>
              <c:numCache>
                <c:formatCode>0.0%</c:formatCode>
                <c:ptCount val="14"/>
                <c:pt idx="0">
                  <c:v>8.9776906104437365E-2</c:v>
                </c:pt>
                <c:pt idx="1">
                  <c:v>9.3514036786060017E-2</c:v>
                </c:pt>
                <c:pt idx="2">
                  <c:v>9.3895005004094256E-2</c:v>
                </c:pt>
                <c:pt idx="3">
                  <c:v>8.9273954560421462E-2</c:v>
                </c:pt>
                <c:pt idx="4">
                  <c:v>8.8160822527430363E-2</c:v>
                </c:pt>
                <c:pt idx="5">
                  <c:v>8.3677117711771179E-2</c:v>
                </c:pt>
                <c:pt idx="6">
                  <c:v>8.2529474812433015E-2</c:v>
                </c:pt>
                <c:pt idx="7">
                  <c:v>7.5542769385543426E-2</c:v>
                </c:pt>
                <c:pt idx="8">
                  <c:v>7.418430220294818E-2</c:v>
                </c:pt>
                <c:pt idx="9">
                  <c:v>7.8279987914903482E-2</c:v>
                </c:pt>
                <c:pt idx="10">
                  <c:v>7.5085593985544E-2</c:v>
                </c:pt>
                <c:pt idx="11">
                  <c:v>7.4529155814617248E-2</c:v>
                </c:pt>
                <c:pt idx="12">
                  <c:v>7.1253325178064944E-2</c:v>
                </c:pt>
                <c:pt idx="13">
                  <c:v>7.0435093559771109E-2</c:v>
                </c:pt>
              </c:numCache>
            </c:numRef>
          </c:val>
          <c:extLst>
            <c:ext xmlns:c16="http://schemas.microsoft.com/office/drawing/2014/chart" uri="{C3380CC4-5D6E-409C-BE32-E72D297353CC}">
              <c16:uniqueId val="{00000003-76E1-4EAB-B2D0-D9AC3BA66380}"/>
            </c:ext>
          </c:extLst>
        </c:ser>
        <c:ser>
          <c:idx val="3"/>
          <c:order val="4"/>
          <c:tx>
            <c:strRef>
              <c:f>'Chart 4.3 - Tax rev hist column'!$A$34</c:f>
              <c:strCache>
                <c:ptCount val="1"/>
                <c:pt idx="0">
                  <c:v>Gambling and betting taxes</c:v>
                </c:pt>
              </c:strCache>
            </c:strRef>
          </c:tx>
          <c:spPr>
            <a:solidFill>
              <a:srgbClr val="009484"/>
            </a:solidFill>
            <a:ln>
              <a:noFill/>
            </a:ln>
            <a:effectLst/>
          </c:spPr>
          <c:invertIfNegative val="0"/>
          <c:cat>
            <c:strRef>
              <c:f>'Chart 4.3 - Tax rev hist column'!$B$30:$O$30</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 4.3 - Tax rev hist column'!$B$34:$O$34</c:f>
              <c:numCache>
                <c:formatCode>0.0%</c:formatCode>
                <c:ptCount val="14"/>
                <c:pt idx="0">
                  <c:v>8.6148565824957099E-2</c:v>
                </c:pt>
                <c:pt idx="1">
                  <c:v>8.7850919651500478E-2</c:v>
                </c:pt>
                <c:pt idx="2">
                  <c:v>8.5206077699936308E-2</c:v>
                </c:pt>
                <c:pt idx="3">
                  <c:v>7.8613763582482718E-2</c:v>
                </c:pt>
                <c:pt idx="4">
                  <c:v>7.929870329164429E-2</c:v>
                </c:pt>
                <c:pt idx="5">
                  <c:v>7.7385863586358641E-2</c:v>
                </c:pt>
                <c:pt idx="6">
                  <c:v>7.3760109129884052E-2</c:v>
                </c:pt>
                <c:pt idx="7">
                  <c:v>7.5979013536916412E-2</c:v>
                </c:pt>
                <c:pt idx="8">
                  <c:v>8.4904528816720684E-2</c:v>
                </c:pt>
                <c:pt idx="9">
                  <c:v>7.3704799738873214E-2</c:v>
                </c:pt>
                <c:pt idx="10">
                  <c:v>8.7335682894012431E-2</c:v>
                </c:pt>
                <c:pt idx="11">
                  <c:v>8.566684027906199E-2</c:v>
                </c:pt>
                <c:pt idx="12">
                  <c:v>8.3713238576540602E-2</c:v>
                </c:pt>
                <c:pt idx="13">
                  <c:v>8.333880976373087E-2</c:v>
                </c:pt>
              </c:numCache>
            </c:numRef>
          </c:val>
          <c:extLst>
            <c:ext xmlns:c16="http://schemas.microsoft.com/office/drawing/2014/chart" uri="{C3380CC4-5D6E-409C-BE32-E72D297353CC}">
              <c16:uniqueId val="{00000004-76E1-4EAB-B2D0-D9AC3BA66380}"/>
            </c:ext>
          </c:extLst>
        </c:ser>
        <c:ser>
          <c:idx val="4"/>
          <c:order val="5"/>
          <c:tx>
            <c:strRef>
              <c:f>'Chart 4.3 - Tax rev hist column'!$A$35</c:f>
              <c:strCache>
                <c:ptCount val="1"/>
                <c:pt idx="0">
                  <c:v>Other tax revenue</c:v>
                </c:pt>
              </c:strCache>
            </c:strRef>
          </c:tx>
          <c:spPr>
            <a:solidFill>
              <a:srgbClr val="A50776"/>
            </a:solidFill>
            <a:ln>
              <a:noFill/>
            </a:ln>
            <a:effectLst/>
          </c:spPr>
          <c:invertIfNegative val="0"/>
          <c:cat>
            <c:strRef>
              <c:f>'Chart 4.3 - Tax rev hist column'!$B$30:$O$30</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 4.3 - Tax rev hist column'!$B$35:$O$35</c:f>
              <c:numCache>
                <c:formatCode>0.0%</c:formatCode>
                <c:ptCount val="14"/>
                <c:pt idx="0">
                  <c:v>0.12708997303260602</c:v>
                </c:pt>
                <c:pt idx="1">
                  <c:v>0.12120038722168441</c:v>
                </c:pt>
                <c:pt idx="2">
                  <c:v>0.1148212173596579</c:v>
                </c:pt>
                <c:pt idx="3">
                  <c:v>0.12125452749423773</c:v>
                </c:pt>
                <c:pt idx="4">
                  <c:v>9.7176398373359937E-2</c:v>
                </c:pt>
                <c:pt idx="5">
                  <c:v>9.9319306930693074E-2</c:v>
                </c:pt>
                <c:pt idx="6">
                  <c:v>0.10250414108935009</c:v>
                </c:pt>
                <c:pt idx="7">
                  <c:v>0.10307241226603822</c:v>
                </c:pt>
                <c:pt idx="8">
                  <c:v>0.10545724465456113</c:v>
                </c:pt>
                <c:pt idx="9">
                  <c:v>0.11991739382340416</c:v>
                </c:pt>
                <c:pt idx="10">
                  <c:v>0.11005910441243634</c:v>
                </c:pt>
                <c:pt idx="11">
                  <c:v>0.10817550002736703</c:v>
                </c:pt>
                <c:pt idx="12">
                  <c:v>0.10209134254244612</c:v>
                </c:pt>
                <c:pt idx="13">
                  <c:v>9.9927640542449056E-2</c:v>
                </c:pt>
              </c:numCache>
            </c:numRef>
          </c:val>
          <c:extLst>
            <c:ext xmlns:c16="http://schemas.microsoft.com/office/drawing/2014/chart" uri="{C3380CC4-5D6E-409C-BE32-E72D297353CC}">
              <c16:uniqueId val="{00000005-76E1-4EAB-B2D0-D9AC3BA66380}"/>
            </c:ext>
          </c:extLst>
        </c:ser>
        <c:ser>
          <c:idx val="6"/>
          <c:order val="6"/>
          <c:tx>
            <c:strRef>
              <c:f>'Chart 4.3 - Tax rev hist column'!$A$37</c:f>
              <c:strCache>
                <c:ptCount val="1"/>
                <c:pt idx="0">
                  <c:v>Other stamp duties </c:v>
                </c:pt>
              </c:strCache>
            </c:strRef>
          </c:tx>
          <c:spPr>
            <a:solidFill>
              <a:srgbClr val="B9BDBF"/>
            </a:solidFill>
            <a:ln>
              <a:noFill/>
            </a:ln>
            <a:effectLst/>
          </c:spPr>
          <c:invertIfNegative val="0"/>
          <c:cat>
            <c:strRef>
              <c:f>'Chart 4.3 - Tax rev hist column'!$B$30:$O$30</c:f>
              <c:strCache>
                <c:ptCount val="14"/>
                <c:pt idx="0">
                  <c:v>2010-11</c:v>
                </c:pt>
                <c:pt idx="1">
                  <c:v>2011-12</c:v>
                </c:pt>
                <c:pt idx="2">
                  <c:v>2012-13</c:v>
                </c:pt>
                <c:pt idx="3">
                  <c:v>2013-14</c:v>
                </c:pt>
                <c:pt idx="4">
                  <c:v>2014-15</c:v>
                </c:pt>
                <c:pt idx="5">
                  <c:v>2015-16</c:v>
                </c:pt>
                <c:pt idx="6">
                  <c:v>2016-17</c:v>
                </c:pt>
                <c:pt idx="7">
                  <c:v>2017-18</c:v>
                </c:pt>
                <c:pt idx="8">
                  <c:v>2018-19</c:v>
                </c:pt>
                <c:pt idx="9">
                  <c:v>2019-20</c:v>
                </c:pt>
                <c:pt idx="10">
                  <c:v>2020-21</c:v>
                </c:pt>
                <c:pt idx="11">
                  <c:v>2021-22</c:v>
                </c:pt>
                <c:pt idx="12">
                  <c:v>2022-23</c:v>
                </c:pt>
                <c:pt idx="13">
                  <c:v>2023-24</c:v>
                </c:pt>
              </c:strCache>
            </c:strRef>
          </c:cat>
          <c:val>
            <c:numRef>
              <c:f>'Chart 4.3 - Tax rev hist column'!$B$37:$O$37</c:f>
              <c:numCache>
                <c:formatCode>0.0%</c:formatCode>
                <c:ptCount val="14"/>
                <c:pt idx="0">
                  <c:v>7.3204216719784262E-2</c:v>
                </c:pt>
                <c:pt idx="1">
                  <c:v>7.6185866408518876E-2</c:v>
                </c:pt>
                <c:pt idx="2">
                  <c:v>7.6153216267855511E-2</c:v>
                </c:pt>
                <c:pt idx="3">
                  <c:v>7.441554165294699E-2</c:v>
                </c:pt>
                <c:pt idx="4">
                  <c:v>7.105041049643214E-2</c:v>
                </c:pt>
                <c:pt idx="5">
                  <c:v>6.9822607260726074E-2</c:v>
                </c:pt>
                <c:pt idx="6">
                  <c:v>5.862483354444769E-2</c:v>
                </c:pt>
                <c:pt idx="7">
                  <c:v>5.8730232854501796E-2</c:v>
                </c:pt>
                <c:pt idx="8">
                  <c:v>5.8507693742919378E-2</c:v>
                </c:pt>
                <c:pt idx="9">
                  <c:v>6.2147183023311847E-2</c:v>
                </c:pt>
                <c:pt idx="10">
                  <c:v>6.2423235556116161E-2</c:v>
                </c:pt>
                <c:pt idx="11">
                  <c:v>6.2898377463500396E-2</c:v>
                </c:pt>
                <c:pt idx="12">
                  <c:v>6.0677272387298441E-2</c:v>
                </c:pt>
                <c:pt idx="13">
                  <c:v>6.0393037665640664E-2</c:v>
                </c:pt>
              </c:numCache>
            </c:numRef>
          </c:val>
          <c:extLst>
            <c:ext xmlns:c16="http://schemas.microsoft.com/office/drawing/2014/chart" uri="{C3380CC4-5D6E-409C-BE32-E72D297353CC}">
              <c16:uniqueId val="{00000006-76E1-4EAB-B2D0-D9AC3BA66380}"/>
            </c:ext>
          </c:extLst>
        </c:ser>
        <c:dLbls>
          <c:showLegendKey val="0"/>
          <c:showVal val="0"/>
          <c:showCatName val="0"/>
          <c:showSerName val="0"/>
          <c:showPercent val="0"/>
          <c:showBubbleSize val="0"/>
        </c:dLbls>
        <c:gapWidth val="30"/>
        <c:overlap val="100"/>
        <c:axId val="989556848"/>
        <c:axId val="989557504"/>
      </c:barChart>
      <c:catAx>
        <c:axId val="989556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89557504"/>
        <c:crosses val="autoZero"/>
        <c:auto val="1"/>
        <c:lblAlgn val="ctr"/>
        <c:lblOffset val="100"/>
        <c:noMultiLvlLbl val="0"/>
      </c:catAx>
      <c:valAx>
        <c:axId val="9895575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89556848"/>
        <c:crosses val="autoZero"/>
        <c:crossBetween val="between"/>
      </c:valAx>
      <c:spPr>
        <a:noFill/>
        <a:ln>
          <a:noFill/>
        </a:ln>
        <a:effectLst/>
      </c:spPr>
    </c:plotArea>
    <c:legend>
      <c:legendPos val="b"/>
      <c:layout>
        <c:manualLayout>
          <c:xMode val="edge"/>
          <c:yMode val="edge"/>
          <c:x val="2.0389537334589897E-2"/>
          <c:y val="0.87658897342713593"/>
          <c:w val="0.95922077276134432"/>
          <c:h val="0.11747188131536405"/>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45990999621279E-2"/>
          <c:y val="4.8837103613666E-2"/>
          <c:w val="0.92033079524394634"/>
          <c:h val="0.67876552835669401"/>
        </c:manualLayout>
      </c:layout>
      <c:lineChart>
        <c:grouping val="standard"/>
        <c:varyColors val="0"/>
        <c:ser>
          <c:idx val="3"/>
          <c:order val="0"/>
          <c:tx>
            <c:strRef>
              <c:f>'Chart 4.5 PRT growth chart'!$E$27</c:f>
              <c:strCache>
                <c:ptCount val="1"/>
                <c:pt idx="0">
                  <c:v>Annual growth</c:v>
                </c:pt>
              </c:strCache>
            </c:strRef>
          </c:tx>
          <c:spPr>
            <a:ln w="25400" cap="rnd">
              <a:solidFill>
                <a:srgbClr val="002060"/>
              </a:solidFill>
              <a:round/>
            </a:ln>
            <a:effectLst/>
          </c:spPr>
          <c:marker>
            <c:symbol val="none"/>
          </c:marker>
          <c:cat>
            <c:strRef>
              <c:f>'Chart 4.5 PRT growth chart'!$A$36:$A$62</c:f>
              <c:strCache>
                <c:ptCount val="27"/>
                <c:pt idx="0">
                  <c:v>1997-98</c:v>
                </c:pt>
                <c:pt idx="1">
                  <c:v>1998-99</c:v>
                </c:pt>
                <c:pt idx="2">
                  <c:v>1999-00</c:v>
                </c:pt>
                <c:pt idx="3">
                  <c:v>2000-01</c:v>
                </c:pt>
                <c:pt idx="4">
                  <c:v>2001-02</c:v>
                </c:pt>
                <c:pt idx="5">
                  <c:v>2002-03</c:v>
                </c:pt>
                <c:pt idx="6">
                  <c:v>2003-04</c:v>
                </c:pt>
                <c:pt idx="7">
                  <c:v>2004-05</c:v>
                </c:pt>
                <c:pt idx="8">
                  <c:v>2005-06</c:v>
                </c:pt>
                <c:pt idx="9">
                  <c:v>2006-07</c:v>
                </c:pt>
                <c:pt idx="10">
                  <c:v>2007-08</c:v>
                </c:pt>
                <c:pt idx="11">
                  <c:v>2008-09</c:v>
                </c:pt>
                <c:pt idx="12">
                  <c:v>2009-10</c:v>
                </c:pt>
                <c:pt idx="13">
                  <c:v>2010-11</c:v>
                </c:pt>
                <c:pt idx="14">
                  <c:v>2011-12</c:v>
                </c:pt>
                <c:pt idx="15">
                  <c:v>2012-13</c:v>
                </c:pt>
                <c:pt idx="16">
                  <c:v>2013-14</c:v>
                </c:pt>
                <c:pt idx="17">
                  <c:v>2014-15</c:v>
                </c:pt>
                <c:pt idx="18">
                  <c:v>2015-16</c:v>
                </c:pt>
                <c:pt idx="19">
                  <c:v>2016-17</c:v>
                </c:pt>
                <c:pt idx="20">
                  <c:v>2017-18</c:v>
                </c:pt>
                <c:pt idx="21">
                  <c:v>2018-19</c:v>
                </c:pt>
                <c:pt idx="22">
                  <c:v>2019-20</c:v>
                </c:pt>
                <c:pt idx="23">
                  <c:v>2020-21</c:v>
                </c:pt>
                <c:pt idx="24">
                  <c:v>2021-22</c:v>
                </c:pt>
                <c:pt idx="25">
                  <c:v>2022-23</c:v>
                </c:pt>
                <c:pt idx="26">
                  <c:v>2023-24</c:v>
                </c:pt>
              </c:strCache>
            </c:strRef>
          </c:cat>
          <c:val>
            <c:numRef>
              <c:f>'Chart 4.5 PRT growth chart'!$E$36:$E$58</c:f>
              <c:numCache>
                <c:formatCode>0.00</c:formatCode>
                <c:ptCount val="23"/>
                <c:pt idx="0">
                  <c:v>7.5651621106166633</c:v>
                </c:pt>
                <c:pt idx="1">
                  <c:v>6.5307328605201054</c:v>
                </c:pt>
                <c:pt idx="2">
                  <c:v>4.5492371705963874</c:v>
                </c:pt>
                <c:pt idx="3">
                  <c:v>5.7574953568585885</c:v>
                </c:pt>
                <c:pt idx="4">
                  <c:v>0.87807325639739364</c:v>
                </c:pt>
                <c:pt idx="5">
                  <c:v>2.5366824173091329</c:v>
                </c:pt>
                <c:pt idx="6">
                  <c:v>5.6512248362842632</c:v>
                </c:pt>
                <c:pt idx="7">
                  <c:v>11.04224058769514</c:v>
                </c:pt>
                <c:pt idx="8">
                  <c:v>7.0911722141823397</c:v>
                </c:pt>
                <c:pt idx="9">
                  <c:v>9.285714285714274</c:v>
                </c:pt>
                <c:pt idx="10">
                  <c:v>9.6096096096096151</c:v>
                </c:pt>
                <c:pt idx="11">
                  <c:v>2.4335213537469702</c:v>
                </c:pt>
                <c:pt idx="12">
                  <c:v>-3.4298300818124572</c:v>
                </c:pt>
                <c:pt idx="13">
                  <c:v>4.0729879439556749</c:v>
                </c:pt>
                <c:pt idx="14">
                  <c:v>5.2128991859736962</c:v>
                </c:pt>
                <c:pt idx="15">
                  <c:v>3.3477161136735711</c:v>
                </c:pt>
                <c:pt idx="16">
                  <c:v>1.9723581917650446</c:v>
                </c:pt>
                <c:pt idx="17">
                  <c:v>5.3367217280813284</c:v>
                </c:pt>
                <c:pt idx="18">
                  <c:v>6.29942366974936</c:v>
                </c:pt>
                <c:pt idx="19">
                  <c:v>2.9882738620602645</c:v>
                </c:pt>
                <c:pt idx="20">
                  <c:v>8.1660137120470146</c:v>
                </c:pt>
                <c:pt idx="21">
                  <c:v>5.911622558121099</c:v>
                </c:pt>
                <c:pt idx="22">
                  <c:v>-9.0777954808234256</c:v>
                </c:pt>
              </c:numCache>
            </c:numRef>
          </c:val>
          <c:smooth val="0"/>
          <c:extLst>
            <c:ext xmlns:c16="http://schemas.microsoft.com/office/drawing/2014/chart" uri="{C3380CC4-5D6E-409C-BE32-E72D297353CC}">
              <c16:uniqueId val="{00000000-1B5C-4320-8600-7A1F0C76B1CA}"/>
            </c:ext>
          </c:extLst>
        </c:ser>
        <c:ser>
          <c:idx val="0"/>
          <c:order val="1"/>
          <c:tx>
            <c:strRef>
              <c:f>'Chart 4.5 PRT growth chart'!$F$27</c:f>
              <c:strCache>
                <c:ptCount val="1"/>
                <c:pt idx="0">
                  <c:v>2020-21 Budget</c:v>
                </c:pt>
              </c:strCache>
            </c:strRef>
          </c:tx>
          <c:spPr>
            <a:ln w="25400" cap="rnd">
              <a:solidFill>
                <a:srgbClr val="002060"/>
              </a:solidFill>
              <a:prstDash val="sysDash"/>
              <a:round/>
            </a:ln>
            <a:effectLst/>
          </c:spPr>
          <c:marker>
            <c:symbol val="none"/>
          </c:marker>
          <c:cat>
            <c:strRef>
              <c:f>'Chart 4.5 PRT growth chart'!$A$36:$A$62</c:f>
              <c:strCache>
                <c:ptCount val="27"/>
                <c:pt idx="0">
                  <c:v>1997-98</c:v>
                </c:pt>
                <c:pt idx="1">
                  <c:v>1998-99</c:v>
                </c:pt>
                <c:pt idx="2">
                  <c:v>1999-00</c:v>
                </c:pt>
                <c:pt idx="3">
                  <c:v>2000-01</c:v>
                </c:pt>
                <c:pt idx="4">
                  <c:v>2001-02</c:v>
                </c:pt>
                <c:pt idx="5">
                  <c:v>2002-03</c:v>
                </c:pt>
                <c:pt idx="6">
                  <c:v>2003-04</c:v>
                </c:pt>
                <c:pt idx="7">
                  <c:v>2004-05</c:v>
                </c:pt>
                <c:pt idx="8">
                  <c:v>2005-06</c:v>
                </c:pt>
                <c:pt idx="9">
                  <c:v>2006-07</c:v>
                </c:pt>
                <c:pt idx="10">
                  <c:v>2007-08</c:v>
                </c:pt>
                <c:pt idx="11">
                  <c:v>2008-09</c:v>
                </c:pt>
                <c:pt idx="12">
                  <c:v>2009-10</c:v>
                </c:pt>
                <c:pt idx="13">
                  <c:v>2010-11</c:v>
                </c:pt>
                <c:pt idx="14">
                  <c:v>2011-12</c:v>
                </c:pt>
                <c:pt idx="15">
                  <c:v>2012-13</c:v>
                </c:pt>
                <c:pt idx="16">
                  <c:v>2013-14</c:v>
                </c:pt>
                <c:pt idx="17">
                  <c:v>2014-15</c:v>
                </c:pt>
                <c:pt idx="18">
                  <c:v>2015-16</c:v>
                </c:pt>
                <c:pt idx="19">
                  <c:v>2016-17</c:v>
                </c:pt>
                <c:pt idx="20">
                  <c:v>2017-18</c:v>
                </c:pt>
                <c:pt idx="21">
                  <c:v>2018-19</c:v>
                </c:pt>
                <c:pt idx="22">
                  <c:v>2019-20</c:v>
                </c:pt>
                <c:pt idx="23">
                  <c:v>2020-21</c:v>
                </c:pt>
                <c:pt idx="24">
                  <c:v>2021-22</c:v>
                </c:pt>
                <c:pt idx="25">
                  <c:v>2022-23</c:v>
                </c:pt>
                <c:pt idx="26">
                  <c:v>2023-24</c:v>
                </c:pt>
              </c:strCache>
            </c:strRef>
          </c:cat>
          <c:val>
            <c:numRef>
              <c:f>'Chart 4.5 PRT growth chart'!$F$36:$F$62</c:f>
              <c:numCache>
                <c:formatCode>General</c:formatCode>
                <c:ptCount val="27"/>
                <c:pt idx="22" formatCode="0.00">
                  <c:v>-9.0777954808234256</c:v>
                </c:pt>
                <c:pt idx="23" formatCode="0.00">
                  <c:v>0.21381981057186916</c:v>
                </c:pt>
                <c:pt idx="24" formatCode="0.00">
                  <c:v>0.6220147233500839</c:v>
                </c:pt>
                <c:pt idx="25" formatCode="0.00">
                  <c:v>14.116174444360707</c:v>
                </c:pt>
                <c:pt idx="26" formatCode="0.00">
                  <c:v>3.2871887338243422</c:v>
                </c:pt>
              </c:numCache>
            </c:numRef>
          </c:val>
          <c:smooth val="0"/>
          <c:extLst>
            <c:ext xmlns:c16="http://schemas.microsoft.com/office/drawing/2014/chart" uri="{C3380CC4-5D6E-409C-BE32-E72D297353CC}">
              <c16:uniqueId val="{00000001-1B5C-4320-8600-7A1F0C76B1CA}"/>
            </c:ext>
          </c:extLst>
        </c:ser>
        <c:ser>
          <c:idx val="2"/>
          <c:order val="2"/>
          <c:tx>
            <c:strRef>
              <c:f>'Chart 4.5 PRT growth chart'!$G$27</c:f>
              <c:strCache>
                <c:ptCount val="1"/>
                <c:pt idx="0">
                  <c:v>2019-20 Half-Yearly Review</c:v>
                </c:pt>
              </c:strCache>
            </c:strRef>
          </c:tx>
          <c:spPr>
            <a:ln w="25400" cap="rnd">
              <a:solidFill>
                <a:srgbClr val="00B0F0"/>
              </a:solidFill>
              <a:prstDash val="sysDash"/>
              <a:round/>
            </a:ln>
            <a:effectLst/>
          </c:spPr>
          <c:marker>
            <c:symbol val="none"/>
          </c:marker>
          <c:cat>
            <c:strRef>
              <c:f>'Chart 4.5 PRT growth chart'!$A$36:$A$62</c:f>
              <c:strCache>
                <c:ptCount val="27"/>
                <c:pt idx="0">
                  <c:v>1997-98</c:v>
                </c:pt>
                <c:pt idx="1">
                  <c:v>1998-99</c:v>
                </c:pt>
                <c:pt idx="2">
                  <c:v>1999-00</c:v>
                </c:pt>
                <c:pt idx="3">
                  <c:v>2000-01</c:v>
                </c:pt>
                <c:pt idx="4">
                  <c:v>2001-02</c:v>
                </c:pt>
                <c:pt idx="5">
                  <c:v>2002-03</c:v>
                </c:pt>
                <c:pt idx="6">
                  <c:v>2003-04</c:v>
                </c:pt>
                <c:pt idx="7">
                  <c:v>2004-05</c:v>
                </c:pt>
                <c:pt idx="8">
                  <c:v>2005-06</c:v>
                </c:pt>
                <c:pt idx="9">
                  <c:v>2006-07</c:v>
                </c:pt>
                <c:pt idx="10">
                  <c:v>2007-08</c:v>
                </c:pt>
                <c:pt idx="11">
                  <c:v>2008-09</c:v>
                </c:pt>
                <c:pt idx="12">
                  <c:v>2009-10</c:v>
                </c:pt>
                <c:pt idx="13">
                  <c:v>2010-11</c:v>
                </c:pt>
                <c:pt idx="14">
                  <c:v>2011-12</c:v>
                </c:pt>
                <c:pt idx="15">
                  <c:v>2012-13</c:v>
                </c:pt>
                <c:pt idx="16">
                  <c:v>2013-14</c:v>
                </c:pt>
                <c:pt idx="17">
                  <c:v>2014-15</c:v>
                </c:pt>
                <c:pt idx="18">
                  <c:v>2015-16</c:v>
                </c:pt>
                <c:pt idx="19">
                  <c:v>2016-17</c:v>
                </c:pt>
                <c:pt idx="20">
                  <c:v>2017-18</c:v>
                </c:pt>
                <c:pt idx="21">
                  <c:v>2018-19</c:v>
                </c:pt>
                <c:pt idx="22">
                  <c:v>2019-20</c:v>
                </c:pt>
                <c:pt idx="23">
                  <c:v>2020-21</c:v>
                </c:pt>
                <c:pt idx="24">
                  <c:v>2021-22</c:v>
                </c:pt>
                <c:pt idx="25">
                  <c:v>2022-23</c:v>
                </c:pt>
                <c:pt idx="26">
                  <c:v>2023-24</c:v>
                </c:pt>
              </c:strCache>
            </c:strRef>
          </c:cat>
          <c:val>
            <c:numRef>
              <c:f>'Chart 4.5 PRT growth chart'!$G$36:$G$62</c:f>
              <c:numCache>
                <c:formatCode>General</c:formatCode>
                <c:ptCount val="27"/>
                <c:pt idx="21" formatCode="0.00">
                  <c:v>5.911622558121099</c:v>
                </c:pt>
                <c:pt idx="22" formatCode="0.00">
                  <c:v>4.5703230761412472</c:v>
                </c:pt>
                <c:pt idx="23" formatCode="0.00">
                  <c:v>4.7068917770650254</c:v>
                </c:pt>
                <c:pt idx="24" formatCode="0.00">
                  <c:v>4.0094515467505643</c:v>
                </c:pt>
                <c:pt idx="25" formatCode="0.00">
                  <c:v>5.0448028346114837</c:v>
                </c:pt>
                <c:pt idx="26" formatCode="0.00">
                  <c:v>4.9342959144870413</c:v>
                </c:pt>
              </c:numCache>
            </c:numRef>
          </c:val>
          <c:smooth val="0"/>
          <c:extLst>
            <c:ext xmlns:c16="http://schemas.microsoft.com/office/drawing/2014/chart" uri="{C3380CC4-5D6E-409C-BE32-E72D297353CC}">
              <c16:uniqueId val="{00000002-1B5C-4320-8600-7A1F0C76B1CA}"/>
            </c:ext>
          </c:extLst>
        </c:ser>
        <c:dLbls>
          <c:showLegendKey val="0"/>
          <c:showVal val="0"/>
          <c:showCatName val="0"/>
          <c:showSerName val="0"/>
          <c:showPercent val="0"/>
          <c:showBubbleSize val="0"/>
        </c:dLbls>
        <c:smooth val="0"/>
        <c:axId val="893344832"/>
        <c:axId val="893343520"/>
      </c:lineChart>
      <c:dateAx>
        <c:axId val="893344832"/>
        <c:scaling>
          <c:orientation val="minMax"/>
        </c:scaling>
        <c:delete val="0"/>
        <c:axPos val="b"/>
        <c:numFmt formatCode="General" sourceLinked="1"/>
        <c:majorTickMark val="in"/>
        <c:minorTickMark val="none"/>
        <c:tickLblPos val="low"/>
        <c:spPr>
          <a:noFill/>
          <a:ln w="22225" cap="flat" cmpd="sng" algn="ctr">
            <a:solidFill>
              <a:schemeClr val="bg1">
                <a:lumMod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93343520"/>
        <c:crosses val="autoZero"/>
        <c:auto val="0"/>
        <c:lblOffset val="100"/>
        <c:baseTimeUnit val="days"/>
      </c:dateAx>
      <c:valAx>
        <c:axId val="893343520"/>
        <c:scaling>
          <c:orientation val="minMax"/>
          <c:min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a:t>Annual growth</a:t>
                </a:r>
                <a:r>
                  <a:rPr lang="en-US" baseline="0"/>
                  <a:t> - p</a:t>
                </a:r>
                <a:r>
                  <a:rPr lang="en-US"/>
                  <a:t>er cent</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893344832"/>
        <c:crosses val="autoZero"/>
        <c:crossBetween val="between"/>
      </c:valAx>
      <c:spPr>
        <a:noFill/>
        <a:ln>
          <a:noFill/>
        </a:ln>
        <a:effectLst/>
      </c:spPr>
    </c:plotArea>
    <c:legend>
      <c:legendPos val="b"/>
      <c:layout>
        <c:manualLayout>
          <c:xMode val="edge"/>
          <c:yMode val="edge"/>
          <c:x val="0.11153247223979641"/>
          <c:y val="0.9056497679519141"/>
          <c:w val="0.87048811533982506"/>
          <c:h val="6.2805216851367973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04099665769584"/>
          <c:y val="5.238867824756898E-2"/>
          <c:w val="0.86145248336161595"/>
          <c:h val="0.75407986720854869"/>
        </c:manualLayout>
      </c:layout>
      <c:lineChart>
        <c:grouping val="standard"/>
        <c:varyColors val="0"/>
        <c:ser>
          <c:idx val="0"/>
          <c:order val="0"/>
          <c:tx>
            <c:strRef>
              <c:f>'Chart 4.4 - Residential trans'!$A$5</c:f>
              <c:strCache>
                <c:ptCount val="1"/>
                <c:pt idx="0">
                  <c:v>Quarterly transactions</c:v>
                </c:pt>
              </c:strCache>
            </c:strRef>
          </c:tx>
          <c:spPr>
            <a:ln w="28575" cap="rnd">
              <a:solidFill>
                <a:srgbClr val="002060"/>
              </a:solidFill>
              <a:round/>
            </a:ln>
            <a:effectLst/>
          </c:spPr>
          <c:marker>
            <c:symbol val="none"/>
          </c:marker>
          <c:cat>
            <c:numRef>
              <c:f>'Chart 4.4 - Residential trans'!$C$4:$EN$4</c:f>
              <c:numCache>
                <c:formatCode>mmm\-yy</c:formatCode>
                <c:ptCount val="142"/>
                <c:pt idx="0">
                  <c:v>32568</c:v>
                </c:pt>
                <c:pt idx="1">
                  <c:v>32660</c:v>
                </c:pt>
                <c:pt idx="2">
                  <c:v>32752</c:v>
                </c:pt>
                <c:pt idx="3">
                  <c:v>32843</c:v>
                </c:pt>
                <c:pt idx="4">
                  <c:v>32933</c:v>
                </c:pt>
                <c:pt idx="5">
                  <c:v>33025</c:v>
                </c:pt>
                <c:pt idx="6">
                  <c:v>33117</c:v>
                </c:pt>
                <c:pt idx="7">
                  <c:v>33208</c:v>
                </c:pt>
                <c:pt idx="8">
                  <c:v>33298</c:v>
                </c:pt>
                <c:pt idx="9">
                  <c:v>33390</c:v>
                </c:pt>
                <c:pt idx="10">
                  <c:v>33482</c:v>
                </c:pt>
                <c:pt idx="11">
                  <c:v>33573</c:v>
                </c:pt>
                <c:pt idx="12">
                  <c:v>33664</c:v>
                </c:pt>
                <c:pt idx="13">
                  <c:v>33756</c:v>
                </c:pt>
                <c:pt idx="14">
                  <c:v>33848</c:v>
                </c:pt>
                <c:pt idx="15">
                  <c:v>33939</c:v>
                </c:pt>
                <c:pt idx="16">
                  <c:v>34029</c:v>
                </c:pt>
                <c:pt idx="17">
                  <c:v>34121</c:v>
                </c:pt>
                <c:pt idx="18">
                  <c:v>34213</c:v>
                </c:pt>
                <c:pt idx="19">
                  <c:v>34304</c:v>
                </c:pt>
                <c:pt idx="20">
                  <c:v>34394</c:v>
                </c:pt>
                <c:pt idx="21">
                  <c:v>34486</c:v>
                </c:pt>
                <c:pt idx="22">
                  <c:v>34578</c:v>
                </c:pt>
                <c:pt idx="23">
                  <c:v>34669</c:v>
                </c:pt>
                <c:pt idx="24">
                  <c:v>34759</c:v>
                </c:pt>
                <c:pt idx="25">
                  <c:v>34851</c:v>
                </c:pt>
                <c:pt idx="26">
                  <c:v>34943</c:v>
                </c:pt>
                <c:pt idx="27">
                  <c:v>35034</c:v>
                </c:pt>
                <c:pt idx="28">
                  <c:v>35125</c:v>
                </c:pt>
                <c:pt idx="29">
                  <c:v>35217</c:v>
                </c:pt>
                <c:pt idx="30">
                  <c:v>35309</c:v>
                </c:pt>
                <c:pt idx="31">
                  <c:v>35400</c:v>
                </c:pt>
                <c:pt idx="32">
                  <c:v>35490</c:v>
                </c:pt>
                <c:pt idx="33">
                  <c:v>35582</c:v>
                </c:pt>
                <c:pt idx="34">
                  <c:v>35674</c:v>
                </c:pt>
                <c:pt idx="35">
                  <c:v>35765</c:v>
                </c:pt>
                <c:pt idx="36">
                  <c:v>35855</c:v>
                </c:pt>
                <c:pt idx="37">
                  <c:v>35947</c:v>
                </c:pt>
                <c:pt idx="38">
                  <c:v>36039</c:v>
                </c:pt>
                <c:pt idx="39">
                  <c:v>36130</c:v>
                </c:pt>
                <c:pt idx="40">
                  <c:v>36220</c:v>
                </c:pt>
                <c:pt idx="41">
                  <c:v>36312</c:v>
                </c:pt>
                <c:pt idx="42">
                  <c:v>36404</c:v>
                </c:pt>
                <c:pt idx="43">
                  <c:v>36495</c:v>
                </c:pt>
                <c:pt idx="44">
                  <c:v>36586</c:v>
                </c:pt>
                <c:pt idx="45">
                  <c:v>36678</c:v>
                </c:pt>
                <c:pt idx="46">
                  <c:v>36770</c:v>
                </c:pt>
                <c:pt idx="47">
                  <c:v>36861</c:v>
                </c:pt>
                <c:pt idx="48">
                  <c:v>36951</c:v>
                </c:pt>
                <c:pt idx="49">
                  <c:v>37043</c:v>
                </c:pt>
                <c:pt idx="50">
                  <c:v>37135</c:v>
                </c:pt>
                <c:pt idx="51">
                  <c:v>37226</c:v>
                </c:pt>
                <c:pt idx="52">
                  <c:v>37316</c:v>
                </c:pt>
                <c:pt idx="53">
                  <c:v>37408</c:v>
                </c:pt>
                <c:pt idx="54">
                  <c:v>37500</c:v>
                </c:pt>
                <c:pt idx="55">
                  <c:v>37591</c:v>
                </c:pt>
                <c:pt idx="56">
                  <c:v>37681</c:v>
                </c:pt>
                <c:pt idx="57">
                  <c:v>37773</c:v>
                </c:pt>
                <c:pt idx="58">
                  <c:v>37865</c:v>
                </c:pt>
                <c:pt idx="59">
                  <c:v>37956</c:v>
                </c:pt>
                <c:pt idx="60">
                  <c:v>38047</c:v>
                </c:pt>
                <c:pt idx="61">
                  <c:v>38139</c:v>
                </c:pt>
                <c:pt idx="62">
                  <c:v>38231</c:v>
                </c:pt>
                <c:pt idx="63">
                  <c:v>38322</c:v>
                </c:pt>
                <c:pt idx="64">
                  <c:v>38412</c:v>
                </c:pt>
                <c:pt idx="65">
                  <c:v>38504</c:v>
                </c:pt>
                <c:pt idx="66">
                  <c:v>38596</c:v>
                </c:pt>
                <c:pt idx="67">
                  <c:v>38687</c:v>
                </c:pt>
                <c:pt idx="68">
                  <c:v>38777</c:v>
                </c:pt>
                <c:pt idx="69">
                  <c:v>38869</c:v>
                </c:pt>
                <c:pt idx="70">
                  <c:v>38961</c:v>
                </c:pt>
                <c:pt idx="71">
                  <c:v>39052</c:v>
                </c:pt>
                <c:pt idx="72">
                  <c:v>39142</c:v>
                </c:pt>
                <c:pt idx="73">
                  <c:v>39234</c:v>
                </c:pt>
                <c:pt idx="74">
                  <c:v>39326</c:v>
                </c:pt>
                <c:pt idx="75">
                  <c:v>39417</c:v>
                </c:pt>
                <c:pt idx="76">
                  <c:v>39508</c:v>
                </c:pt>
                <c:pt idx="77">
                  <c:v>39600</c:v>
                </c:pt>
                <c:pt idx="78">
                  <c:v>39692</c:v>
                </c:pt>
                <c:pt idx="79">
                  <c:v>39783</c:v>
                </c:pt>
                <c:pt idx="80">
                  <c:v>39873</c:v>
                </c:pt>
                <c:pt idx="81">
                  <c:v>39965</c:v>
                </c:pt>
                <c:pt idx="82">
                  <c:v>40057</c:v>
                </c:pt>
                <c:pt idx="83">
                  <c:v>40148</c:v>
                </c:pt>
                <c:pt idx="84">
                  <c:v>40238</c:v>
                </c:pt>
                <c:pt idx="85">
                  <c:v>40330</c:v>
                </c:pt>
                <c:pt idx="86">
                  <c:v>40422</c:v>
                </c:pt>
                <c:pt idx="87">
                  <c:v>40513</c:v>
                </c:pt>
                <c:pt idx="88">
                  <c:v>40603</c:v>
                </c:pt>
                <c:pt idx="89">
                  <c:v>40695</c:v>
                </c:pt>
                <c:pt idx="90">
                  <c:v>40787</c:v>
                </c:pt>
                <c:pt idx="91">
                  <c:v>40878</c:v>
                </c:pt>
                <c:pt idx="92">
                  <c:v>40969</c:v>
                </c:pt>
                <c:pt idx="93">
                  <c:v>41061</c:v>
                </c:pt>
                <c:pt idx="94">
                  <c:v>41153</c:v>
                </c:pt>
                <c:pt idx="95">
                  <c:v>41244</c:v>
                </c:pt>
                <c:pt idx="96">
                  <c:v>41334</c:v>
                </c:pt>
                <c:pt idx="97">
                  <c:v>41426</c:v>
                </c:pt>
                <c:pt idx="98">
                  <c:v>41518</c:v>
                </c:pt>
                <c:pt idx="99">
                  <c:v>41609</c:v>
                </c:pt>
                <c:pt idx="100">
                  <c:v>41699</c:v>
                </c:pt>
                <c:pt idx="101">
                  <c:v>41791</c:v>
                </c:pt>
                <c:pt idx="102">
                  <c:v>41883</c:v>
                </c:pt>
                <c:pt idx="103">
                  <c:v>41974</c:v>
                </c:pt>
                <c:pt idx="104">
                  <c:v>42064</c:v>
                </c:pt>
                <c:pt idx="105">
                  <c:v>42156</c:v>
                </c:pt>
                <c:pt idx="106">
                  <c:v>42248</c:v>
                </c:pt>
                <c:pt idx="107">
                  <c:v>42339</c:v>
                </c:pt>
                <c:pt idx="108">
                  <c:v>42430</c:v>
                </c:pt>
                <c:pt idx="109">
                  <c:v>42522</c:v>
                </c:pt>
                <c:pt idx="110">
                  <c:v>42614</c:v>
                </c:pt>
                <c:pt idx="111">
                  <c:v>42705</c:v>
                </c:pt>
                <c:pt idx="112">
                  <c:v>42795</c:v>
                </c:pt>
                <c:pt idx="113">
                  <c:v>42887</c:v>
                </c:pt>
                <c:pt idx="114">
                  <c:v>42979</c:v>
                </c:pt>
                <c:pt idx="115">
                  <c:v>43070</c:v>
                </c:pt>
                <c:pt idx="116">
                  <c:v>43160</c:v>
                </c:pt>
                <c:pt idx="117">
                  <c:v>43252</c:v>
                </c:pt>
                <c:pt idx="118">
                  <c:v>43344</c:v>
                </c:pt>
                <c:pt idx="119">
                  <c:v>43435</c:v>
                </c:pt>
                <c:pt idx="120">
                  <c:v>43525</c:v>
                </c:pt>
                <c:pt idx="121">
                  <c:v>43617</c:v>
                </c:pt>
                <c:pt idx="122">
                  <c:v>43709</c:v>
                </c:pt>
                <c:pt idx="123">
                  <c:v>43800</c:v>
                </c:pt>
                <c:pt idx="124">
                  <c:v>43891</c:v>
                </c:pt>
                <c:pt idx="125">
                  <c:v>43983</c:v>
                </c:pt>
                <c:pt idx="126">
                  <c:v>44075</c:v>
                </c:pt>
                <c:pt idx="127">
                  <c:v>44166</c:v>
                </c:pt>
                <c:pt idx="128">
                  <c:v>44256</c:v>
                </c:pt>
                <c:pt idx="129">
                  <c:v>44348</c:v>
                </c:pt>
                <c:pt idx="130">
                  <c:v>44440</c:v>
                </c:pt>
                <c:pt idx="131">
                  <c:v>44531</c:v>
                </c:pt>
                <c:pt idx="132">
                  <c:v>44621</c:v>
                </c:pt>
                <c:pt idx="133">
                  <c:v>44713</c:v>
                </c:pt>
                <c:pt idx="134">
                  <c:v>44805</c:v>
                </c:pt>
                <c:pt idx="135">
                  <c:v>44896</c:v>
                </c:pt>
                <c:pt idx="136">
                  <c:v>44986</c:v>
                </c:pt>
                <c:pt idx="137">
                  <c:v>45078</c:v>
                </c:pt>
                <c:pt idx="138">
                  <c:v>45170</c:v>
                </c:pt>
                <c:pt idx="139">
                  <c:v>45261</c:v>
                </c:pt>
                <c:pt idx="140">
                  <c:v>45352</c:v>
                </c:pt>
                <c:pt idx="141">
                  <c:v>45444</c:v>
                </c:pt>
              </c:numCache>
            </c:numRef>
          </c:cat>
          <c:val>
            <c:numRef>
              <c:f>'Chart 4.4 - Residential trans'!$C$5:$EN$5</c:f>
              <c:numCache>
                <c:formatCode>#,##0.00</c:formatCode>
                <c:ptCount val="142"/>
                <c:pt idx="0">
                  <c:v>41598.362231041399</c:v>
                </c:pt>
                <c:pt idx="1">
                  <c:v>31112.792990232101</c:v>
                </c:pt>
                <c:pt idx="2">
                  <c:v>27510.6163391275</c:v>
                </c:pt>
                <c:pt idx="3">
                  <c:v>24967.579643564201</c:v>
                </c:pt>
                <c:pt idx="4">
                  <c:v>36640.332449323098</c:v>
                </c:pt>
                <c:pt idx="5">
                  <c:v>31744.706752055299</c:v>
                </c:pt>
                <c:pt idx="6">
                  <c:v>31339.669438542602</c:v>
                </c:pt>
                <c:pt idx="7">
                  <c:v>30967.56807487</c:v>
                </c:pt>
                <c:pt idx="8">
                  <c:v>30410.843629725099</c:v>
                </c:pt>
                <c:pt idx="9">
                  <c:v>35450.348412184503</c:v>
                </c:pt>
                <c:pt idx="10">
                  <c:v>36676.545154368701</c:v>
                </c:pt>
                <c:pt idx="11">
                  <c:v>33719.128233459698</c:v>
                </c:pt>
                <c:pt idx="12">
                  <c:v>31998.2877260325</c:v>
                </c:pt>
                <c:pt idx="13">
                  <c:v>29968.879782179301</c:v>
                </c:pt>
                <c:pt idx="14">
                  <c:v>29623.300392082099</c:v>
                </c:pt>
                <c:pt idx="15">
                  <c:v>31155.510326921099</c:v>
                </c:pt>
                <c:pt idx="16">
                  <c:v>31436.142858405299</c:v>
                </c:pt>
                <c:pt idx="17">
                  <c:v>35124.079198932202</c:v>
                </c:pt>
                <c:pt idx="18">
                  <c:v>33638.659850635297</c:v>
                </c:pt>
                <c:pt idx="19">
                  <c:v>36922.595038853899</c:v>
                </c:pt>
                <c:pt idx="20">
                  <c:v>42876.200495518598</c:v>
                </c:pt>
                <c:pt idx="21">
                  <c:v>41159.013254491299</c:v>
                </c:pt>
                <c:pt idx="22">
                  <c:v>40395.262363966001</c:v>
                </c:pt>
                <c:pt idx="23">
                  <c:v>35448.178398230702</c:v>
                </c:pt>
                <c:pt idx="24">
                  <c:v>30883.551287252401</c:v>
                </c:pt>
                <c:pt idx="25">
                  <c:v>31286.946635272699</c:v>
                </c:pt>
                <c:pt idx="26">
                  <c:v>32379.975409570401</c:v>
                </c:pt>
                <c:pt idx="27">
                  <c:v>33378.382874657102</c:v>
                </c:pt>
                <c:pt idx="28">
                  <c:v>34414.081009715002</c:v>
                </c:pt>
                <c:pt idx="29">
                  <c:v>32974.169643532397</c:v>
                </c:pt>
                <c:pt idx="30">
                  <c:v>34822.193664774699</c:v>
                </c:pt>
                <c:pt idx="31">
                  <c:v>36978.938147554603</c:v>
                </c:pt>
                <c:pt idx="32">
                  <c:v>39324.076070291398</c:v>
                </c:pt>
                <c:pt idx="33">
                  <c:v>42431.6993827931</c:v>
                </c:pt>
                <c:pt idx="34">
                  <c:v>44376.098761481902</c:v>
                </c:pt>
                <c:pt idx="35">
                  <c:v>41127.311077477098</c:v>
                </c:pt>
                <c:pt idx="36">
                  <c:v>40265.217033308698</c:v>
                </c:pt>
                <c:pt idx="37">
                  <c:v>35155.9266231738</c:v>
                </c:pt>
                <c:pt idx="38">
                  <c:v>28541.326311483801</c:v>
                </c:pt>
                <c:pt idx="39">
                  <c:v>30121.896109865302</c:v>
                </c:pt>
                <c:pt idx="40">
                  <c:v>28198.504011376401</c:v>
                </c:pt>
                <c:pt idx="41">
                  <c:v>29494.3469659199</c:v>
                </c:pt>
                <c:pt idx="42">
                  <c:v>33088.330842690499</c:v>
                </c:pt>
                <c:pt idx="43">
                  <c:v>35433.208037284297</c:v>
                </c:pt>
                <c:pt idx="44">
                  <c:v>32278.514862660599</c:v>
                </c:pt>
                <c:pt idx="45">
                  <c:v>34891.043354957801</c:v>
                </c:pt>
                <c:pt idx="46">
                  <c:v>28109.542509787101</c:v>
                </c:pt>
                <c:pt idx="47">
                  <c:v>29691.409081714999</c:v>
                </c:pt>
                <c:pt idx="48">
                  <c:v>34119.9036819701</c:v>
                </c:pt>
                <c:pt idx="49">
                  <c:v>33997.0331613628</c:v>
                </c:pt>
                <c:pt idx="50">
                  <c:v>37965.740511318298</c:v>
                </c:pt>
                <c:pt idx="51">
                  <c:v>34840.146528005302</c:v>
                </c:pt>
                <c:pt idx="52">
                  <c:v>37312.344043164798</c:v>
                </c:pt>
                <c:pt idx="53">
                  <c:v>38570.453242885698</c:v>
                </c:pt>
                <c:pt idx="54">
                  <c:v>36630.380021539699</c:v>
                </c:pt>
                <c:pt idx="55">
                  <c:v>36550.944619797097</c:v>
                </c:pt>
                <c:pt idx="56">
                  <c:v>41221.792100993698</c:v>
                </c:pt>
                <c:pt idx="57">
                  <c:v>48761.218775979803</c:v>
                </c:pt>
                <c:pt idx="58">
                  <c:v>58951.495585468598</c:v>
                </c:pt>
                <c:pt idx="59">
                  <c:v>56706.796798817399</c:v>
                </c:pt>
                <c:pt idx="60">
                  <c:v>46587.177945421899</c:v>
                </c:pt>
                <c:pt idx="61">
                  <c:v>45301.404695771402</c:v>
                </c:pt>
                <c:pt idx="62">
                  <c:v>39024.2028277973</c:v>
                </c:pt>
                <c:pt idx="63">
                  <c:v>39190.746706080703</c:v>
                </c:pt>
                <c:pt idx="64">
                  <c:v>38162.566961694203</c:v>
                </c:pt>
                <c:pt idx="65">
                  <c:v>35686.225372620102</c:v>
                </c:pt>
                <c:pt idx="66">
                  <c:v>37826.060644520003</c:v>
                </c:pt>
                <c:pt idx="67">
                  <c:v>39897.604558165702</c:v>
                </c:pt>
                <c:pt idx="68">
                  <c:v>40545.245626258999</c:v>
                </c:pt>
                <c:pt idx="69">
                  <c:v>41077.885610693898</c:v>
                </c:pt>
                <c:pt idx="70">
                  <c:v>39970.3937361836</c:v>
                </c:pt>
                <c:pt idx="71">
                  <c:v>39021.999156385697</c:v>
                </c:pt>
                <c:pt idx="72">
                  <c:v>41314.087459833601</c:v>
                </c:pt>
                <c:pt idx="73">
                  <c:v>45600.598945871403</c:v>
                </c:pt>
                <c:pt idx="74">
                  <c:v>45419.466221139497</c:v>
                </c:pt>
                <c:pt idx="75">
                  <c:v>44824.743028988101</c:v>
                </c:pt>
                <c:pt idx="76">
                  <c:v>40826.732265854102</c:v>
                </c:pt>
                <c:pt idx="77">
                  <c:v>36222.953699129699</c:v>
                </c:pt>
                <c:pt idx="78">
                  <c:v>34969.569098276297</c:v>
                </c:pt>
                <c:pt idx="79">
                  <c:v>35615.689718900103</c:v>
                </c:pt>
                <c:pt idx="80">
                  <c:v>42155.450631737403</c:v>
                </c:pt>
                <c:pt idx="81">
                  <c:v>46290.994263782501</c:v>
                </c:pt>
                <c:pt idx="82">
                  <c:v>47991.4414656812</c:v>
                </c:pt>
                <c:pt idx="83">
                  <c:v>45101.303535962303</c:v>
                </c:pt>
                <c:pt idx="84">
                  <c:v>41866.896181717901</c:v>
                </c:pt>
                <c:pt idx="85">
                  <c:v>41996.692251044602</c:v>
                </c:pt>
                <c:pt idx="86">
                  <c:v>39868.643394660001</c:v>
                </c:pt>
                <c:pt idx="87">
                  <c:v>37290.7110752566</c:v>
                </c:pt>
                <c:pt idx="88">
                  <c:v>36889.4838699803</c:v>
                </c:pt>
                <c:pt idx="89">
                  <c:v>36374.117241461499</c:v>
                </c:pt>
                <c:pt idx="90">
                  <c:v>36548.408604725402</c:v>
                </c:pt>
                <c:pt idx="91">
                  <c:v>38331.455549425104</c:v>
                </c:pt>
                <c:pt idx="92">
                  <c:v>36161.671226565202</c:v>
                </c:pt>
                <c:pt idx="93">
                  <c:v>33529.447704966202</c:v>
                </c:pt>
                <c:pt idx="94">
                  <c:v>35894.505719080102</c:v>
                </c:pt>
                <c:pt idx="95">
                  <c:v>40217.711865889301</c:v>
                </c:pt>
                <c:pt idx="96">
                  <c:v>40498.834678714396</c:v>
                </c:pt>
                <c:pt idx="97">
                  <c:v>45254.662147175201</c:v>
                </c:pt>
                <c:pt idx="98">
                  <c:v>47351.535564200698</c:v>
                </c:pt>
                <c:pt idx="99">
                  <c:v>50536.565169067202</c:v>
                </c:pt>
                <c:pt idx="100">
                  <c:v>51942.862108635702</c:v>
                </c:pt>
                <c:pt idx="101">
                  <c:v>51415.412136976098</c:v>
                </c:pt>
                <c:pt idx="102">
                  <c:v>50702.351111459502</c:v>
                </c:pt>
                <c:pt idx="103">
                  <c:v>49786.511261908403</c:v>
                </c:pt>
                <c:pt idx="104">
                  <c:v>52914.9400481224</c:v>
                </c:pt>
                <c:pt idx="105">
                  <c:v>52752.584595630004</c:v>
                </c:pt>
                <c:pt idx="106">
                  <c:v>54135.863776558101</c:v>
                </c:pt>
                <c:pt idx="107">
                  <c:v>52075.845117341902</c:v>
                </c:pt>
                <c:pt idx="108">
                  <c:v>49690.652302942501</c:v>
                </c:pt>
                <c:pt idx="109">
                  <c:v>50035.442028452897</c:v>
                </c:pt>
                <c:pt idx="110">
                  <c:v>50175.534612121402</c:v>
                </c:pt>
                <c:pt idx="111">
                  <c:v>53149.558280351899</c:v>
                </c:pt>
                <c:pt idx="112">
                  <c:v>53461.666727050098</c:v>
                </c:pt>
                <c:pt idx="113">
                  <c:v>52274.625777874098</c:v>
                </c:pt>
                <c:pt idx="114">
                  <c:v>51642.334482190199</c:v>
                </c:pt>
                <c:pt idx="115">
                  <c:v>49293.295236549799</c:v>
                </c:pt>
                <c:pt idx="116">
                  <c:v>48998.670677781702</c:v>
                </c:pt>
                <c:pt idx="117">
                  <c:v>47372.212013753197</c:v>
                </c:pt>
                <c:pt idx="118">
                  <c:v>43287.985741977398</c:v>
                </c:pt>
                <c:pt idx="119">
                  <c:v>37391.795289756403</c:v>
                </c:pt>
                <c:pt idx="120">
                  <c:v>35491.653756113701</c:v>
                </c:pt>
                <c:pt idx="121">
                  <c:v>35968.965751687203</c:v>
                </c:pt>
                <c:pt idx="122">
                  <c:v>39304.468378974503</c:v>
                </c:pt>
                <c:pt idx="123">
                  <c:v>41821.7052694335</c:v>
                </c:pt>
                <c:pt idx="124">
                  <c:v>44233.588287853898</c:v>
                </c:pt>
                <c:pt idx="125">
                  <c:v>34204.337481987299</c:v>
                </c:pt>
                <c:pt idx="126">
                  <c:v>44775.565971906202</c:v>
                </c:pt>
              </c:numCache>
            </c:numRef>
          </c:val>
          <c:smooth val="0"/>
          <c:extLst>
            <c:ext xmlns:c16="http://schemas.microsoft.com/office/drawing/2014/chart" uri="{C3380CC4-5D6E-409C-BE32-E72D297353CC}">
              <c16:uniqueId val="{00000000-ADF2-47B1-890C-BBA09965FC34}"/>
            </c:ext>
          </c:extLst>
        </c:ser>
        <c:ser>
          <c:idx val="1"/>
          <c:order val="1"/>
          <c:tx>
            <c:strRef>
              <c:f>'Chart 4.4 - Residential trans'!$A$6</c:f>
              <c:strCache>
                <c:ptCount val="1"/>
                <c:pt idx="0">
                  <c:v>2020-21 Budget</c:v>
                </c:pt>
              </c:strCache>
            </c:strRef>
          </c:tx>
          <c:spPr>
            <a:ln w="25400" cap="rnd">
              <a:solidFill>
                <a:srgbClr val="002060"/>
              </a:solidFill>
              <a:prstDash val="sysDash"/>
              <a:round/>
            </a:ln>
            <a:effectLst/>
          </c:spPr>
          <c:marker>
            <c:symbol val="none"/>
          </c:marker>
          <c:cat>
            <c:numRef>
              <c:f>'Chart 4.4 - Residential trans'!$C$4:$EN$4</c:f>
              <c:numCache>
                <c:formatCode>mmm\-yy</c:formatCode>
                <c:ptCount val="142"/>
                <c:pt idx="0">
                  <c:v>32568</c:v>
                </c:pt>
                <c:pt idx="1">
                  <c:v>32660</c:v>
                </c:pt>
                <c:pt idx="2">
                  <c:v>32752</c:v>
                </c:pt>
                <c:pt idx="3">
                  <c:v>32843</c:v>
                </c:pt>
                <c:pt idx="4">
                  <c:v>32933</c:v>
                </c:pt>
                <c:pt idx="5">
                  <c:v>33025</c:v>
                </c:pt>
                <c:pt idx="6">
                  <c:v>33117</c:v>
                </c:pt>
                <c:pt idx="7">
                  <c:v>33208</c:v>
                </c:pt>
                <c:pt idx="8">
                  <c:v>33298</c:v>
                </c:pt>
                <c:pt idx="9">
                  <c:v>33390</c:v>
                </c:pt>
                <c:pt idx="10">
                  <c:v>33482</c:v>
                </c:pt>
                <c:pt idx="11">
                  <c:v>33573</c:v>
                </c:pt>
                <c:pt idx="12">
                  <c:v>33664</c:v>
                </c:pt>
                <c:pt idx="13">
                  <c:v>33756</c:v>
                </c:pt>
                <c:pt idx="14">
                  <c:v>33848</c:v>
                </c:pt>
                <c:pt idx="15">
                  <c:v>33939</c:v>
                </c:pt>
                <c:pt idx="16">
                  <c:v>34029</c:v>
                </c:pt>
                <c:pt idx="17">
                  <c:v>34121</c:v>
                </c:pt>
                <c:pt idx="18">
                  <c:v>34213</c:v>
                </c:pt>
                <c:pt idx="19">
                  <c:v>34304</c:v>
                </c:pt>
                <c:pt idx="20">
                  <c:v>34394</c:v>
                </c:pt>
                <c:pt idx="21">
                  <c:v>34486</c:v>
                </c:pt>
                <c:pt idx="22">
                  <c:v>34578</c:v>
                </c:pt>
                <c:pt idx="23">
                  <c:v>34669</c:v>
                </c:pt>
                <c:pt idx="24">
                  <c:v>34759</c:v>
                </c:pt>
                <c:pt idx="25">
                  <c:v>34851</c:v>
                </c:pt>
                <c:pt idx="26">
                  <c:v>34943</c:v>
                </c:pt>
                <c:pt idx="27">
                  <c:v>35034</c:v>
                </c:pt>
                <c:pt idx="28">
                  <c:v>35125</c:v>
                </c:pt>
                <c:pt idx="29">
                  <c:v>35217</c:v>
                </c:pt>
                <c:pt idx="30">
                  <c:v>35309</c:v>
                </c:pt>
                <c:pt idx="31">
                  <c:v>35400</c:v>
                </c:pt>
                <c:pt idx="32">
                  <c:v>35490</c:v>
                </c:pt>
                <c:pt idx="33">
                  <c:v>35582</c:v>
                </c:pt>
                <c:pt idx="34">
                  <c:v>35674</c:v>
                </c:pt>
                <c:pt idx="35">
                  <c:v>35765</c:v>
                </c:pt>
                <c:pt idx="36">
                  <c:v>35855</c:v>
                </c:pt>
                <c:pt idx="37">
                  <c:v>35947</c:v>
                </c:pt>
                <c:pt idx="38">
                  <c:v>36039</c:v>
                </c:pt>
                <c:pt idx="39">
                  <c:v>36130</c:v>
                </c:pt>
                <c:pt idx="40">
                  <c:v>36220</c:v>
                </c:pt>
                <c:pt idx="41">
                  <c:v>36312</c:v>
                </c:pt>
                <c:pt idx="42">
                  <c:v>36404</c:v>
                </c:pt>
                <c:pt idx="43">
                  <c:v>36495</c:v>
                </c:pt>
                <c:pt idx="44">
                  <c:v>36586</c:v>
                </c:pt>
                <c:pt idx="45">
                  <c:v>36678</c:v>
                </c:pt>
                <c:pt idx="46">
                  <c:v>36770</c:v>
                </c:pt>
                <c:pt idx="47">
                  <c:v>36861</c:v>
                </c:pt>
                <c:pt idx="48">
                  <c:v>36951</c:v>
                </c:pt>
                <c:pt idx="49">
                  <c:v>37043</c:v>
                </c:pt>
                <c:pt idx="50">
                  <c:v>37135</c:v>
                </c:pt>
                <c:pt idx="51">
                  <c:v>37226</c:v>
                </c:pt>
                <c:pt idx="52">
                  <c:v>37316</c:v>
                </c:pt>
                <c:pt idx="53">
                  <c:v>37408</c:v>
                </c:pt>
                <c:pt idx="54">
                  <c:v>37500</c:v>
                </c:pt>
                <c:pt idx="55">
                  <c:v>37591</c:v>
                </c:pt>
                <c:pt idx="56">
                  <c:v>37681</c:v>
                </c:pt>
                <c:pt idx="57">
                  <c:v>37773</c:v>
                </c:pt>
                <c:pt idx="58">
                  <c:v>37865</c:v>
                </c:pt>
                <c:pt idx="59">
                  <c:v>37956</c:v>
                </c:pt>
                <c:pt idx="60">
                  <c:v>38047</c:v>
                </c:pt>
                <c:pt idx="61">
                  <c:v>38139</c:v>
                </c:pt>
                <c:pt idx="62">
                  <c:v>38231</c:v>
                </c:pt>
                <c:pt idx="63">
                  <c:v>38322</c:v>
                </c:pt>
                <c:pt idx="64">
                  <c:v>38412</c:v>
                </c:pt>
                <c:pt idx="65">
                  <c:v>38504</c:v>
                </c:pt>
                <c:pt idx="66">
                  <c:v>38596</c:v>
                </c:pt>
                <c:pt idx="67">
                  <c:v>38687</c:v>
                </c:pt>
                <c:pt idx="68">
                  <c:v>38777</c:v>
                </c:pt>
                <c:pt idx="69">
                  <c:v>38869</c:v>
                </c:pt>
                <c:pt idx="70">
                  <c:v>38961</c:v>
                </c:pt>
                <c:pt idx="71">
                  <c:v>39052</c:v>
                </c:pt>
                <c:pt idx="72">
                  <c:v>39142</c:v>
                </c:pt>
                <c:pt idx="73">
                  <c:v>39234</c:v>
                </c:pt>
                <c:pt idx="74">
                  <c:v>39326</c:v>
                </c:pt>
                <c:pt idx="75">
                  <c:v>39417</c:v>
                </c:pt>
                <c:pt idx="76">
                  <c:v>39508</c:v>
                </c:pt>
                <c:pt idx="77">
                  <c:v>39600</c:v>
                </c:pt>
                <c:pt idx="78">
                  <c:v>39692</c:v>
                </c:pt>
                <c:pt idx="79">
                  <c:v>39783</c:v>
                </c:pt>
                <c:pt idx="80">
                  <c:v>39873</c:v>
                </c:pt>
                <c:pt idx="81">
                  <c:v>39965</c:v>
                </c:pt>
                <c:pt idx="82">
                  <c:v>40057</c:v>
                </c:pt>
                <c:pt idx="83">
                  <c:v>40148</c:v>
                </c:pt>
                <c:pt idx="84">
                  <c:v>40238</c:v>
                </c:pt>
                <c:pt idx="85">
                  <c:v>40330</c:v>
                </c:pt>
                <c:pt idx="86">
                  <c:v>40422</c:v>
                </c:pt>
                <c:pt idx="87">
                  <c:v>40513</c:v>
                </c:pt>
                <c:pt idx="88">
                  <c:v>40603</c:v>
                </c:pt>
                <c:pt idx="89">
                  <c:v>40695</c:v>
                </c:pt>
                <c:pt idx="90">
                  <c:v>40787</c:v>
                </c:pt>
                <c:pt idx="91">
                  <c:v>40878</c:v>
                </c:pt>
                <c:pt idx="92">
                  <c:v>40969</c:v>
                </c:pt>
                <c:pt idx="93">
                  <c:v>41061</c:v>
                </c:pt>
                <c:pt idx="94">
                  <c:v>41153</c:v>
                </c:pt>
                <c:pt idx="95">
                  <c:v>41244</c:v>
                </c:pt>
                <c:pt idx="96">
                  <c:v>41334</c:v>
                </c:pt>
                <c:pt idx="97">
                  <c:v>41426</c:v>
                </c:pt>
                <c:pt idx="98">
                  <c:v>41518</c:v>
                </c:pt>
                <c:pt idx="99">
                  <c:v>41609</c:v>
                </c:pt>
                <c:pt idx="100">
                  <c:v>41699</c:v>
                </c:pt>
                <c:pt idx="101">
                  <c:v>41791</c:v>
                </c:pt>
                <c:pt idx="102">
                  <c:v>41883</c:v>
                </c:pt>
                <c:pt idx="103">
                  <c:v>41974</c:v>
                </c:pt>
                <c:pt idx="104">
                  <c:v>42064</c:v>
                </c:pt>
                <c:pt idx="105">
                  <c:v>42156</c:v>
                </c:pt>
                <c:pt idx="106">
                  <c:v>42248</c:v>
                </c:pt>
                <c:pt idx="107">
                  <c:v>42339</c:v>
                </c:pt>
                <c:pt idx="108">
                  <c:v>42430</c:v>
                </c:pt>
                <c:pt idx="109">
                  <c:v>42522</c:v>
                </c:pt>
                <c:pt idx="110">
                  <c:v>42614</c:v>
                </c:pt>
                <c:pt idx="111">
                  <c:v>42705</c:v>
                </c:pt>
                <c:pt idx="112">
                  <c:v>42795</c:v>
                </c:pt>
                <c:pt idx="113">
                  <c:v>42887</c:v>
                </c:pt>
                <c:pt idx="114">
                  <c:v>42979</c:v>
                </c:pt>
                <c:pt idx="115">
                  <c:v>43070</c:v>
                </c:pt>
                <c:pt idx="116">
                  <c:v>43160</c:v>
                </c:pt>
                <c:pt idx="117">
                  <c:v>43252</c:v>
                </c:pt>
                <c:pt idx="118">
                  <c:v>43344</c:v>
                </c:pt>
                <c:pt idx="119">
                  <c:v>43435</c:v>
                </c:pt>
                <c:pt idx="120">
                  <c:v>43525</c:v>
                </c:pt>
                <c:pt idx="121">
                  <c:v>43617</c:v>
                </c:pt>
                <c:pt idx="122">
                  <c:v>43709</c:v>
                </c:pt>
                <c:pt idx="123">
                  <c:v>43800</c:v>
                </c:pt>
                <c:pt idx="124">
                  <c:v>43891</c:v>
                </c:pt>
                <c:pt idx="125">
                  <c:v>43983</c:v>
                </c:pt>
                <c:pt idx="126">
                  <c:v>44075</c:v>
                </c:pt>
                <c:pt idx="127">
                  <c:v>44166</c:v>
                </c:pt>
                <c:pt idx="128">
                  <c:v>44256</c:v>
                </c:pt>
                <c:pt idx="129">
                  <c:v>44348</c:v>
                </c:pt>
                <c:pt idx="130">
                  <c:v>44440</c:v>
                </c:pt>
                <c:pt idx="131">
                  <c:v>44531</c:v>
                </c:pt>
                <c:pt idx="132">
                  <c:v>44621</c:v>
                </c:pt>
                <c:pt idx="133">
                  <c:v>44713</c:v>
                </c:pt>
                <c:pt idx="134">
                  <c:v>44805</c:v>
                </c:pt>
                <c:pt idx="135">
                  <c:v>44896</c:v>
                </c:pt>
                <c:pt idx="136">
                  <c:v>44986</c:v>
                </c:pt>
                <c:pt idx="137">
                  <c:v>45078</c:v>
                </c:pt>
                <c:pt idx="138">
                  <c:v>45170</c:v>
                </c:pt>
                <c:pt idx="139">
                  <c:v>45261</c:v>
                </c:pt>
                <c:pt idx="140">
                  <c:v>45352</c:v>
                </c:pt>
                <c:pt idx="141">
                  <c:v>45444</c:v>
                </c:pt>
              </c:numCache>
            </c:numRef>
          </c:cat>
          <c:val>
            <c:numRef>
              <c:f>'Chart 4.4 - Residential trans'!$C$6:$EN$6</c:f>
              <c:numCache>
                <c:formatCode>General</c:formatCode>
                <c:ptCount val="142"/>
                <c:pt idx="126" formatCode="#,##0.00">
                  <c:v>44775.565971906202</c:v>
                </c:pt>
                <c:pt idx="127" formatCode="#,##0.00">
                  <c:v>46677.655065694387</c:v>
                </c:pt>
                <c:pt idx="128" formatCode="#,##0.00">
                  <c:v>47758.391968387274</c:v>
                </c:pt>
                <c:pt idx="129" formatCode="#,##0.00">
                  <c:v>47894.670105456578</c:v>
                </c:pt>
                <c:pt idx="130" formatCode="#,##0.00">
                  <c:v>48031.554219759768</c:v>
                </c:pt>
                <c:pt idx="131" formatCode="#,##0.00">
                  <c:v>48170.137629463054</c:v>
                </c:pt>
                <c:pt idx="132" formatCode="#,##0.00">
                  <c:v>48310.323639934264</c:v>
                </c:pt>
                <c:pt idx="133" formatCode="#,##0.00">
                  <c:v>48463.789319427466</c:v>
                </c:pt>
                <c:pt idx="134" formatCode="#,##0.00">
                  <c:v>49232.369938463067</c:v>
                </c:pt>
                <c:pt idx="135" formatCode="#,##0.00">
                  <c:v>50023.945866864291</c:v>
                </c:pt>
                <c:pt idx="136" formatCode="#,##0.00">
                  <c:v>50837.694288199251</c:v>
                </c:pt>
                <c:pt idx="137" formatCode="#,##0.00">
                  <c:v>51670.932700909128</c:v>
                </c:pt>
                <c:pt idx="138" formatCode="#,##0.00">
                  <c:v>52522.664838126002</c:v>
                </c:pt>
                <c:pt idx="139" formatCode="#,##0.00">
                  <c:v>53264.880900178556</c:v>
                </c:pt>
                <c:pt idx="140" formatCode="#,##0.00">
                  <c:v>53775.942957656967</c:v>
                </c:pt>
                <c:pt idx="141" formatCode="#,##0.00">
                  <c:v>54294.952047596795</c:v>
                </c:pt>
              </c:numCache>
            </c:numRef>
          </c:val>
          <c:smooth val="0"/>
          <c:extLst>
            <c:ext xmlns:c16="http://schemas.microsoft.com/office/drawing/2014/chart" uri="{C3380CC4-5D6E-409C-BE32-E72D297353CC}">
              <c16:uniqueId val="{00000001-ADF2-47B1-890C-BBA09965FC34}"/>
            </c:ext>
          </c:extLst>
        </c:ser>
        <c:ser>
          <c:idx val="2"/>
          <c:order val="2"/>
          <c:tx>
            <c:strRef>
              <c:f>'Chart 4.4 - Residential trans'!$A$7</c:f>
              <c:strCache>
                <c:ptCount val="1"/>
                <c:pt idx="0">
                  <c:v>2019-20 HYR</c:v>
                </c:pt>
              </c:strCache>
            </c:strRef>
          </c:tx>
          <c:spPr>
            <a:ln w="25400" cap="rnd">
              <a:solidFill>
                <a:srgbClr val="00A1DE"/>
              </a:solidFill>
              <a:prstDash val="sysDash"/>
              <a:round/>
            </a:ln>
            <a:effectLst/>
          </c:spPr>
          <c:marker>
            <c:symbol val="none"/>
          </c:marker>
          <c:cat>
            <c:numRef>
              <c:f>'Chart 4.4 - Residential trans'!$C$4:$EN$4</c:f>
              <c:numCache>
                <c:formatCode>mmm\-yy</c:formatCode>
                <c:ptCount val="142"/>
                <c:pt idx="0">
                  <c:v>32568</c:v>
                </c:pt>
                <c:pt idx="1">
                  <c:v>32660</c:v>
                </c:pt>
                <c:pt idx="2">
                  <c:v>32752</c:v>
                </c:pt>
                <c:pt idx="3">
                  <c:v>32843</c:v>
                </c:pt>
                <c:pt idx="4">
                  <c:v>32933</c:v>
                </c:pt>
                <c:pt idx="5">
                  <c:v>33025</c:v>
                </c:pt>
                <c:pt idx="6">
                  <c:v>33117</c:v>
                </c:pt>
                <c:pt idx="7">
                  <c:v>33208</c:v>
                </c:pt>
                <c:pt idx="8">
                  <c:v>33298</c:v>
                </c:pt>
                <c:pt idx="9">
                  <c:v>33390</c:v>
                </c:pt>
                <c:pt idx="10">
                  <c:v>33482</c:v>
                </c:pt>
                <c:pt idx="11">
                  <c:v>33573</c:v>
                </c:pt>
                <c:pt idx="12">
                  <c:v>33664</c:v>
                </c:pt>
                <c:pt idx="13">
                  <c:v>33756</c:v>
                </c:pt>
                <c:pt idx="14">
                  <c:v>33848</c:v>
                </c:pt>
                <c:pt idx="15">
                  <c:v>33939</c:v>
                </c:pt>
                <c:pt idx="16">
                  <c:v>34029</c:v>
                </c:pt>
                <c:pt idx="17">
                  <c:v>34121</c:v>
                </c:pt>
                <c:pt idx="18">
                  <c:v>34213</c:v>
                </c:pt>
                <c:pt idx="19">
                  <c:v>34304</c:v>
                </c:pt>
                <c:pt idx="20">
                  <c:v>34394</c:v>
                </c:pt>
                <c:pt idx="21">
                  <c:v>34486</c:v>
                </c:pt>
                <c:pt idx="22">
                  <c:v>34578</c:v>
                </c:pt>
                <c:pt idx="23">
                  <c:v>34669</c:v>
                </c:pt>
                <c:pt idx="24">
                  <c:v>34759</c:v>
                </c:pt>
                <c:pt idx="25">
                  <c:v>34851</c:v>
                </c:pt>
                <c:pt idx="26">
                  <c:v>34943</c:v>
                </c:pt>
                <c:pt idx="27">
                  <c:v>35034</c:v>
                </c:pt>
                <c:pt idx="28">
                  <c:v>35125</c:v>
                </c:pt>
                <c:pt idx="29">
                  <c:v>35217</c:v>
                </c:pt>
                <c:pt idx="30">
                  <c:v>35309</c:v>
                </c:pt>
                <c:pt idx="31">
                  <c:v>35400</c:v>
                </c:pt>
                <c:pt idx="32">
                  <c:v>35490</c:v>
                </c:pt>
                <c:pt idx="33">
                  <c:v>35582</c:v>
                </c:pt>
                <c:pt idx="34">
                  <c:v>35674</c:v>
                </c:pt>
                <c:pt idx="35">
                  <c:v>35765</c:v>
                </c:pt>
                <c:pt idx="36">
                  <c:v>35855</c:v>
                </c:pt>
                <c:pt idx="37">
                  <c:v>35947</c:v>
                </c:pt>
                <c:pt idx="38">
                  <c:v>36039</c:v>
                </c:pt>
                <c:pt idx="39">
                  <c:v>36130</c:v>
                </c:pt>
                <c:pt idx="40">
                  <c:v>36220</c:v>
                </c:pt>
                <c:pt idx="41">
                  <c:v>36312</c:v>
                </c:pt>
                <c:pt idx="42">
                  <c:v>36404</c:v>
                </c:pt>
                <c:pt idx="43">
                  <c:v>36495</c:v>
                </c:pt>
                <c:pt idx="44">
                  <c:v>36586</c:v>
                </c:pt>
                <c:pt idx="45">
                  <c:v>36678</c:v>
                </c:pt>
                <c:pt idx="46">
                  <c:v>36770</c:v>
                </c:pt>
                <c:pt idx="47">
                  <c:v>36861</c:v>
                </c:pt>
                <c:pt idx="48">
                  <c:v>36951</c:v>
                </c:pt>
                <c:pt idx="49">
                  <c:v>37043</c:v>
                </c:pt>
                <c:pt idx="50">
                  <c:v>37135</c:v>
                </c:pt>
                <c:pt idx="51">
                  <c:v>37226</c:v>
                </c:pt>
                <c:pt idx="52">
                  <c:v>37316</c:v>
                </c:pt>
                <c:pt idx="53">
                  <c:v>37408</c:v>
                </c:pt>
                <c:pt idx="54">
                  <c:v>37500</c:v>
                </c:pt>
                <c:pt idx="55">
                  <c:v>37591</c:v>
                </c:pt>
                <c:pt idx="56">
                  <c:v>37681</c:v>
                </c:pt>
                <c:pt idx="57">
                  <c:v>37773</c:v>
                </c:pt>
                <c:pt idx="58">
                  <c:v>37865</c:v>
                </c:pt>
                <c:pt idx="59">
                  <c:v>37956</c:v>
                </c:pt>
                <c:pt idx="60">
                  <c:v>38047</c:v>
                </c:pt>
                <c:pt idx="61">
                  <c:v>38139</c:v>
                </c:pt>
                <c:pt idx="62">
                  <c:v>38231</c:v>
                </c:pt>
                <c:pt idx="63">
                  <c:v>38322</c:v>
                </c:pt>
                <c:pt idx="64">
                  <c:v>38412</c:v>
                </c:pt>
                <c:pt idx="65">
                  <c:v>38504</c:v>
                </c:pt>
                <c:pt idx="66">
                  <c:v>38596</c:v>
                </c:pt>
                <c:pt idx="67">
                  <c:v>38687</c:v>
                </c:pt>
                <c:pt idx="68">
                  <c:v>38777</c:v>
                </c:pt>
                <c:pt idx="69">
                  <c:v>38869</c:v>
                </c:pt>
                <c:pt idx="70">
                  <c:v>38961</c:v>
                </c:pt>
                <c:pt idx="71">
                  <c:v>39052</c:v>
                </c:pt>
                <c:pt idx="72">
                  <c:v>39142</c:v>
                </c:pt>
                <c:pt idx="73">
                  <c:v>39234</c:v>
                </c:pt>
                <c:pt idx="74">
                  <c:v>39326</c:v>
                </c:pt>
                <c:pt idx="75">
                  <c:v>39417</c:v>
                </c:pt>
                <c:pt idx="76">
                  <c:v>39508</c:v>
                </c:pt>
                <c:pt idx="77">
                  <c:v>39600</c:v>
                </c:pt>
                <c:pt idx="78">
                  <c:v>39692</c:v>
                </c:pt>
                <c:pt idx="79">
                  <c:v>39783</c:v>
                </c:pt>
                <c:pt idx="80">
                  <c:v>39873</c:v>
                </c:pt>
                <c:pt idx="81">
                  <c:v>39965</c:v>
                </c:pt>
                <c:pt idx="82">
                  <c:v>40057</c:v>
                </c:pt>
                <c:pt idx="83">
                  <c:v>40148</c:v>
                </c:pt>
                <c:pt idx="84">
                  <c:v>40238</c:v>
                </c:pt>
                <c:pt idx="85">
                  <c:v>40330</c:v>
                </c:pt>
                <c:pt idx="86">
                  <c:v>40422</c:v>
                </c:pt>
                <c:pt idx="87">
                  <c:v>40513</c:v>
                </c:pt>
                <c:pt idx="88">
                  <c:v>40603</c:v>
                </c:pt>
                <c:pt idx="89">
                  <c:v>40695</c:v>
                </c:pt>
                <c:pt idx="90">
                  <c:v>40787</c:v>
                </c:pt>
                <c:pt idx="91">
                  <c:v>40878</c:v>
                </c:pt>
                <c:pt idx="92">
                  <c:v>40969</c:v>
                </c:pt>
                <c:pt idx="93">
                  <c:v>41061</c:v>
                </c:pt>
                <c:pt idx="94">
                  <c:v>41153</c:v>
                </c:pt>
                <c:pt idx="95">
                  <c:v>41244</c:v>
                </c:pt>
                <c:pt idx="96">
                  <c:v>41334</c:v>
                </c:pt>
                <c:pt idx="97">
                  <c:v>41426</c:v>
                </c:pt>
                <c:pt idx="98">
                  <c:v>41518</c:v>
                </c:pt>
                <c:pt idx="99">
                  <c:v>41609</c:v>
                </c:pt>
                <c:pt idx="100">
                  <c:v>41699</c:v>
                </c:pt>
                <c:pt idx="101">
                  <c:v>41791</c:v>
                </c:pt>
                <c:pt idx="102">
                  <c:v>41883</c:v>
                </c:pt>
                <c:pt idx="103">
                  <c:v>41974</c:v>
                </c:pt>
                <c:pt idx="104">
                  <c:v>42064</c:v>
                </c:pt>
                <c:pt idx="105">
                  <c:v>42156</c:v>
                </c:pt>
                <c:pt idx="106">
                  <c:v>42248</c:v>
                </c:pt>
                <c:pt idx="107">
                  <c:v>42339</c:v>
                </c:pt>
                <c:pt idx="108">
                  <c:v>42430</c:v>
                </c:pt>
                <c:pt idx="109">
                  <c:v>42522</c:v>
                </c:pt>
                <c:pt idx="110">
                  <c:v>42614</c:v>
                </c:pt>
                <c:pt idx="111">
                  <c:v>42705</c:v>
                </c:pt>
                <c:pt idx="112">
                  <c:v>42795</c:v>
                </c:pt>
                <c:pt idx="113">
                  <c:v>42887</c:v>
                </c:pt>
                <c:pt idx="114">
                  <c:v>42979</c:v>
                </c:pt>
                <c:pt idx="115">
                  <c:v>43070</c:v>
                </c:pt>
                <c:pt idx="116">
                  <c:v>43160</c:v>
                </c:pt>
                <c:pt idx="117">
                  <c:v>43252</c:v>
                </c:pt>
                <c:pt idx="118">
                  <c:v>43344</c:v>
                </c:pt>
                <c:pt idx="119">
                  <c:v>43435</c:v>
                </c:pt>
                <c:pt idx="120">
                  <c:v>43525</c:v>
                </c:pt>
                <c:pt idx="121">
                  <c:v>43617</c:v>
                </c:pt>
                <c:pt idx="122">
                  <c:v>43709</c:v>
                </c:pt>
                <c:pt idx="123">
                  <c:v>43800</c:v>
                </c:pt>
                <c:pt idx="124">
                  <c:v>43891</c:v>
                </c:pt>
                <c:pt idx="125">
                  <c:v>43983</c:v>
                </c:pt>
                <c:pt idx="126">
                  <c:v>44075</c:v>
                </c:pt>
                <c:pt idx="127">
                  <c:v>44166</c:v>
                </c:pt>
                <c:pt idx="128">
                  <c:v>44256</c:v>
                </c:pt>
                <c:pt idx="129">
                  <c:v>44348</c:v>
                </c:pt>
                <c:pt idx="130">
                  <c:v>44440</c:v>
                </c:pt>
                <c:pt idx="131">
                  <c:v>44531</c:v>
                </c:pt>
                <c:pt idx="132">
                  <c:v>44621</c:v>
                </c:pt>
                <c:pt idx="133">
                  <c:v>44713</c:v>
                </c:pt>
                <c:pt idx="134">
                  <c:v>44805</c:v>
                </c:pt>
                <c:pt idx="135">
                  <c:v>44896</c:v>
                </c:pt>
                <c:pt idx="136">
                  <c:v>44986</c:v>
                </c:pt>
                <c:pt idx="137">
                  <c:v>45078</c:v>
                </c:pt>
                <c:pt idx="138">
                  <c:v>45170</c:v>
                </c:pt>
                <c:pt idx="139">
                  <c:v>45261</c:v>
                </c:pt>
                <c:pt idx="140">
                  <c:v>45352</c:v>
                </c:pt>
                <c:pt idx="141">
                  <c:v>45444</c:v>
                </c:pt>
              </c:numCache>
            </c:numRef>
          </c:cat>
          <c:val>
            <c:numRef>
              <c:f>'Chart 4.4 - Residential trans'!$C$7:$EN$7</c:f>
              <c:numCache>
                <c:formatCode>General</c:formatCode>
                <c:ptCount val="142"/>
                <c:pt idx="122" formatCode="#,##0.00">
                  <c:v>39304.468378974503</c:v>
                </c:pt>
                <c:pt idx="123" formatCode="#,##0.00">
                  <c:v>41608.869245030372</c:v>
                </c:pt>
                <c:pt idx="124" formatCode="#,##0.00">
                  <c:v>43850.198747881972</c:v>
                </c:pt>
                <c:pt idx="125" formatCode="#,##0.00">
                  <c:v>46106.99887813408</c:v>
                </c:pt>
                <c:pt idx="126" formatCode="#,##0.00">
                  <c:v>48379.14857388223</c:v>
                </c:pt>
                <c:pt idx="127" formatCode="#,##0.00">
                  <c:v>48556.8965769446</c:v>
                </c:pt>
                <c:pt idx="128" formatCode="#,##0.00">
                  <c:v>48734.409328964146</c:v>
                </c:pt>
                <c:pt idx="129" formatCode="#,##0.00">
                  <c:v>48911.751857572141</c:v>
                </c:pt>
                <c:pt idx="130" formatCode="#,##0.00">
                  <c:v>49088.993472771836</c:v>
                </c:pt>
                <c:pt idx="131" formatCode="#,##0.00">
                  <c:v>49266.199202194526</c:v>
                </c:pt>
                <c:pt idx="132" formatCode="#,##0.00">
                  <c:v>49443.32796728058</c:v>
                </c:pt>
                <c:pt idx="133" formatCode="#,##0.00">
                  <c:v>49620.297610910777</c:v>
                </c:pt>
                <c:pt idx="134" formatCode="#,##0.00">
                  <c:v>49797.029006336918</c:v>
                </c:pt>
                <c:pt idx="135" formatCode="#,##0.00">
                  <c:v>49973.439996439789</c:v>
                </c:pt>
                <c:pt idx="136" formatCode="#,##0.00">
                  <c:v>50149.565599036963</c:v>
                </c:pt>
                <c:pt idx="137" formatCode="#,##0.00">
                  <c:v>50325.475849763578</c:v>
                </c:pt>
                <c:pt idx="138" formatCode="#,##0.00">
                  <c:v>50501.223275345968</c:v>
                </c:pt>
                <c:pt idx="139" formatCode="#,##0.00">
                  <c:v>50677.584448877642</c:v>
                </c:pt>
                <c:pt idx="140" formatCode="#,##0.00">
                  <c:v>50854.561513698907</c:v>
                </c:pt>
                <c:pt idx="141" formatCode="#,##0.00">
                  <c:v>51032.156620635113</c:v>
                </c:pt>
              </c:numCache>
            </c:numRef>
          </c:val>
          <c:smooth val="1"/>
          <c:extLst>
            <c:ext xmlns:c16="http://schemas.microsoft.com/office/drawing/2014/chart" uri="{C3380CC4-5D6E-409C-BE32-E72D297353CC}">
              <c16:uniqueId val="{00000002-ADF2-47B1-890C-BBA09965FC34}"/>
            </c:ext>
          </c:extLst>
        </c:ser>
        <c:dLbls>
          <c:showLegendKey val="0"/>
          <c:showVal val="0"/>
          <c:showCatName val="0"/>
          <c:showSerName val="0"/>
          <c:showPercent val="0"/>
          <c:showBubbleSize val="0"/>
        </c:dLbls>
        <c:smooth val="0"/>
        <c:axId val="1077974736"/>
        <c:axId val="1077975064"/>
      </c:lineChart>
      <c:dateAx>
        <c:axId val="1077974736"/>
        <c:scaling>
          <c:orientation val="minMax"/>
          <c:max val="45444"/>
          <c:min val="38139"/>
        </c:scaling>
        <c:delete val="0"/>
        <c:axPos val="b"/>
        <c:numFmt formatCode="mmm\-yy" sourceLinked="1"/>
        <c:majorTickMark val="none"/>
        <c:minorTickMark val="none"/>
        <c:tickLblPos val="low"/>
        <c:spPr>
          <a:noFill/>
          <a:ln w="9525" cap="flat" cmpd="sng" algn="ctr">
            <a:no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077975064"/>
        <c:crosses val="autoZero"/>
        <c:auto val="1"/>
        <c:lblOffset val="100"/>
        <c:baseTimeUnit val="months"/>
        <c:majorUnit val="24"/>
        <c:majorTimeUnit val="months"/>
      </c:dateAx>
      <c:valAx>
        <c:axId val="1077975064"/>
        <c:scaling>
          <c:orientation val="minMax"/>
          <c:max val="60000"/>
          <c:min val="2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Transactions (000's) </a:t>
                </a:r>
              </a:p>
            </c:rich>
          </c:tx>
          <c:layout>
            <c:manualLayout>
              <c:xMode val="edge"/>
              <c:yMode val="edge"/>
              <c:x val="1.3733875669713937E-2"/>
              <c:y val="0.25035803975682547"/>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077974736"/>
        <c:crosses val="autoZero"/>
        <c:crossBetween val="between"/>
        <c:dispUnits>
          <c:builtInUnit val="thousands"/>
        </c:dispUnits>
      </c:valAx>
      <c:spPr>
        <a:noFill/>
        <a:ln>
          <a:noFill/>
        </a:ln>
        <a:effectLst/>
      </c:spPr>
    </c:plotArea>
    <c:legend>
      <c:legendPos val="b"/>
      <c:layout>
        <c:manualLayout>
          <c:xMode val="edge"/>
          <c:yMode val="edge"/>
          <c:x val="0.11135472963346409"/>
          <c:y val="0.92829545032083449"/>
          <c:w val="0.68551621514887118"/>
          <c:h val="6.4439911013467979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0.83303</cdr:x>
      <cdr:y>0.05742</cdr:y>
    </cdr:from>
    <cdr:to>
      <cdr:x>0.83321</cdr:x>
      <cdr:y>0.72501</cdr:y>
    </cdr:to>
    <cdr:cxnSp macro="">
      <cdr:nvCxnSpPr>
        <cdr:cNvPr id="5" name="Straight Connector 4">
          <a:extLst xmlns:a="http://schemas.openxmlformats.org/drawingml/2006/main">
            <a:ext uri="{FF2B5EF4-FFF2-40B4-BE49-F238E27FC236}">
              <a16:creationId xmlns:a16="http://schemas.microsoft.com/office/drawing/2014/main" id="{1A4E7167-FA19-4874-949C-69F42580EC34}"/>
            </a:ext>
          </a:extLst>
        </cdr:cNvPr>
        <cdr:cNvCxnSpPr/>
      </cdr:nvCxnSpPr>
      <cdr:spPr>
        <a:xfrm xmlns:a="http://schemas.openxmlformats.org/drawingml/2006/main">
          <a:off x="5074514" y="172373"/>
          <a:ext cx="1120" cy="2004091"/>
        </a:xfrm>
        <a:prstGeom xmlns:a="http://schemas.openxmlformats.org/drawingml/2006/main" prst="line">
          <a:avLst/>
        </a:prstGeom>
        <a:ln xmlns:a="http://schemas.openxmlformats.org/drawingml/2006/main" w="12700">
          <a:solidFill>
            <a:schemeClr val="bg1">
              <a:lumMod val="50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0.82993</cdr:x>
      <cdr:y>0.04865</cdr:y>
    </cdr:from>
    <cdr:to>
      <cdr:x>0.94979</cdr:x>
      <cdr:y>0.1128</cdr:y>
    </cdr:to>
    <cdr:sp macro="" textlink="">
      <cdr:nvSpPr>
        <cdr:cNvPr id="8" name="TextBox 7">
          <a:extLst xmlns:a="http://schemas.openxmlformats.org/drawingml/2006/main">
            <a:ext uri="{FF2B5EF4-FFF2-40B4-BE49-F238E27FC236}">
              <a16:creationId xmlns:a16="http://schemas.microsoft.com/office/drawing/2014/main" id="{B654115F-D242-45DF-A880-7DF5597A6788}"/>
            </a:ext>
          </a:extLst>
        </cdr:cNvPr>
        <cdr:cNvSpPr txBox="1"/>
      </cdr:nvSpPr>
      <cdr:spPr>
        <a:xfrm xmlns:a="http://schemas.openxmlformats.org/drawingml/2006/main">
          <a:off x="5020521" y="116183"/>
          <a:ext cx="725069" cy="1531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700">
              <a:solidFill>
                <a:schemeClr val="bg1">
                  <a:lumMod val="50000"/>
                </a:schemeClr>
              </a:solidFill>
              <a:latin typeface="Arial" panose="020B0604020202020204" pitchFamily="34" charset="0"/>
              <a:cs typeface="Arial" panose="020B0604020202020204" pitchFamily="34" charset="0"/>
            </a:rPr>
            <a:t>Forecast</a:t>
          </a:r>
        </a:p>
      </cdr:txBody>
    </cdr:sp>
  </cdr:relSizeAnchor>
</c:userShapes>
</file>

<file path=word/drawings/drawing2.xml><?xml version="1.0" encoding="utf-8"?>
<c:userShapes xmlns:c="http://schemas.openxmlformats.org/drawingml/2006/chart">
  <cdr:relSizeAnchor xmlns:cdr="http://schemas.openxmlformats.org/drawingml/2006/chartDrawing">
    <cdr:from>
      <cdr:x>0.80904</cdr:x>
      <cdr:y>0.0506</cdr:y>
    </cdr:from>
    <cdr:to>
      <cdr:x>0.80919</cdr:x>
      <cdr:y>0.80658</cdr:y>
    </cdr:to>
    <cdr:cxnSp macro="">
      <cdr:nvCxnSpPr>
        <cdr:cNvPr id="3" name="Straight Connector 2">
          <a:extLst xmlns:a="http://schemas.openxmlformats.org/drawingml/2006/main">
            <a:ext uri="{FF2B5EF4-FFF2-40B4-BE49-F238E27FC236}">
              <a16:creationId xmlns:a16="http://schemas.microsoft.com/office/drawing/2014/main" id="{F3F0BA3C-F7E4-49A5-B37D-EAE5A64FC6AF}"/>
            </a:ext>
          </a:extLst>
        </cdr:cNvPr>
        <cdr:cNvCxnSpPr/>
      </cdr:nvCxnSpPr>
      <cdr:spPr>
        <a:xfrm xmlns:a="http://schemas.openxmlformats.org/drawingml/2006/main" flipH="1">
          <a:off x="4593547" y="177845"/>
          <a:ext cx="851" cy="2657061"/>
        </a:xfrm>
        <a:prstGeom xmlns:a="http://schemas.openxmlformats.org/drawingml/2006/main" prst="line">
          <a:avLst/>
        </a:prstGeom>
        <a:ln xmlns:a="http://schemas.openxmlformats.org/drawingml/2006/main" w="6350">
          <a:solidFill>
            <a:schemeClr val="bg1">
              <a:lumMod val="50000"/>
            </a:schemeClr>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0.81362</cdr:x>
      <cdr:y>0.06442</cdr:y>
    </cdr:from>
    <cdr:to>
      <cdr:x>0.93431</cdr:x>
      <cdr:y>0.13204</cdr:y>
    </cdr:to>
    <cdr:sp macro="" textlink="">
      <cdr:nvSpPr>
        <cdr:cNvPr id="4" name="TextBox 3">
          <a:extLst xmlns:a="http://schemas.openxmlformats.org/drawingml/2006/main">
            <a:ext uri="{FF2B5EF4-FFF2-40B4-BE49-F238E27FC236}">
              <a16:creationId xmlns:a16="http://schemas.microsoft.com/office/drawing/2014/main" id="{19F39329-41FB-47E8-BD10-97882B73EBFE}"/>
            </a:ext>
          </a:extLst>
        </cdr:cNvPr>
        <cdr:cNvSpPr txBox="1"/>
      </cdr:nvSpPr>
      <cdr:spPr>
        <a:xfrm xmlns:a="http://schemas.openxmlformats.org/drawingml/2006/main">
          <a:off x="4616965" y="174467"/>
          <a:ext cx="684868" cy="1831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700">
              <a:solidFill>
                <a:schemeClr val="bg1">
                  <a:lumMod val="50000"/>
                </a:schemeClr>
              </a:solidFill>
              <a:latin typeface="Arial" panose="020B0604020202020204" pitchFamily="34" charset="0"/>
              <a:cs typeface="Arial" panose="020B0604020202020204" pitchFamily="34" charset="0"/>
            </a:rPr>
            <a:t>Forecast</a:t>
          </a:r>
        </a:p>
      </cdr:txBody>
    </cdr:sp>
  </cdr:relSizeAnchor>
  <cdr:relSizeAnchor xmlns:cdr="http://schemas.openxmlformats.org/drawingml/2006/chartDrawing">
    <cdr:from>
      <cdr:x>0.11591</cdr:x>
      <cdr:y>0.73442</cdr:y>
    </cdr:from>
    <cdr:to>
      <cdr:x>0.54873</cdr:x>
      <cdr:y>0.78862</cdr:y>
    </cdr:to>
    <cdr:sp macro="" textlink="">
      <cdr:nvSpPr>
        <cdr:cNvPr id="2" name="TextBox 1">
          <a:extLst xmlns:a="http://schemas.openxmlformats.org/drawingml/2006/main">
            <a:ext uri="{FF2B5EF4-FFF2-40B4-BE49-F238E27FC236}">
              <a16:creationId xmlns:a16="http://schemas.microsoft.com/office/drawing/2014/main" id="{EBF985C9-3B1B-4257-8136-5E80729EC45E}"/>
            </a:ext>
          </a:extLst>
        </cdr:cNvPr>
        <cdr:cNvSpPr txBox="1"/>
      </cdr:nvSpPr>
      <cdr:spPr>
        <a:xfrm xmlns:a="http://schemas.openxmlformats.org/drawingml/2006/main">
          <a:off x="658101" y="2581274"/>
          <a:ext cx="245745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700" b="0" i="1" u="none" strike="noStrike" kern="1200" baseline="0">
              <a:solidFill>
                <a:sysClr val="windowText" lastClr="000000">
                  <a:lumMod val="65000"/>
                  <a:lumOff val="35000"/>
                </a:sysClr>
              </a:solidFill>
              <a:latin typeface="Arial" panose="020B0604020202020204" pitchFamily="34" charset="0"/>
              <a:ea typeface="+mn-ea"/>
              <a:cs typeface="Arial" panose="020B0604020202020204" pitchFamily="34" charset="0"/>
            </a:rPr>
            <a:t>Seasonally</a:t>
          </a:r>
          <a:r>
            <a:rPr lang="en-AU" sz="700" i="1">
              <a:latin typeface="Arial" panose="020B0604020202020204" pitchFamily="34" charset="0"/>
              <a:cs typeface="Arial" panose="020B0604020202020204" pitchFamily="34" charset="0"/>
            </a:rPr>
            <a:t> </a:t>
          </a:r>
          <a:r>
            <a:rPr lang="en-AU" sz="700" b="0" i="1" u="none" strike="noStrike" kern="1200" baseline="0">
              <a:solidFill>
                <a:sysClr val="windowText" lastClr="000000">
                  <a:lumMod val="65000"/>
                  <a:lumOff val="35000"/>
                </a:sysClr>
              </a:solidFill>
              <a:latin typeface="Arial" panose="020B0604020202020204" pitchFamily="34" charset="0"/>
              <a:ea typeface="+mn-ea"/>
              <a:cs typeface="Arial" panose="020B0604020202020204" pitchFamily="34" charset="0"/>
            </a:rPr>
            <a:t>adjusted</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Budget">
    <a:dk1>
      <a:srgbClr val="57514D"/>
    </a:dk1>
    <a:lt1>
      <a:srgbClr val="FFFFFF"/>
    </a:lt1>
    <a:dk2>
      <a:srgbClr val="1D3278"/>
    </a:dk2>
    <a:lt2>
      <a:srgbClr val="DD0332"/>
    </a:lt2>
    <a:accent1>
      <a:srgbClr val="0579B9"/>
    </a:accent1>
    <a:accent2>
      <a:srgbClr val="EB8C00"/>
    </a:accent2>
    <a:accent3>
      <a:srgbClr val="951C7D"/>
    </a:accent3>
    <a:accent4>
      <a:srgbClr val="95C11F"/>
    </a:accent4>
    <a:accent5>
      <a:srgbClr val="13421F"/>
    </a:accent5>
    <a:accent6>
      <a:srgbClr val="25A9E1"/>
    </a:accent6>
    <a:hlink>
      <a:srgbClr val="000000"/>
    </a:hlink>
    <a:folHlink>
      <a:srgbClr val="000000"/>
    </a:folHlink>
  </a:clrScheme>
  <a:fontScheme name="Budge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02F16F1AFBDE54EBD2685E90FE1922F" ma:contentTypeVersion="13" ma:contentTypeDescription="Create a new document." ma:contentTypeScope="" ma:versionID="b5babb12e1fedc6ea5b0ddbe9a6dbc85">
  <xsd:schema xmlns:xsd="http://www.w3.org/2001/XMLSchema" xmlns:xs="http://www.w3.org/2001/XMLSchema" xmlns:p="http://schemas.microsoft.com/office/2006/metadata/properties" xmlns:ns2="801a5968-9419-4033-b9de-7ffe8168468e" xmlns:ns3="1c478e85-8130-4c67-8ee4-8bdf1c0e6049" targetNamespace="http://schemas.microsoft.com/office/2006/metadata/properties" ma:root="true" ma:fieldsID="9385a6c5781228858eb2dfc06285a0e9" ns2:_="" ns3:_="">
    <xsd:import namespace="801a5968-9419-4033-b9de-7ffe8168468e"/>
    <xsd:import namespace="1c478e85-8130-4c67-8ee4-8bdf1c0e604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_Flow_SignoffStatu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a5968-9419-4033-b9de-7ffe8168468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478e85-8130-4c67-8ee4-8bdf1c0e604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801a5968-9419-4033-b9de-7ffe8168468e">
      <UserInfo>
        <DisplayName>Bhupendra Pant</DisplayName>
        <AccountId>30</AccountId>
        <AccountType/>
      </UserInfo>
      <UserInfo>
        <DisplayName>Jenny Tran</DisplayName>
        <AccountId>32</AccountId>
        <AccountType/>
      </UserInfo>
      <UserInfo>
        <DisplayName>Milovan Lucich</DisplayName>
        <AccountId>20</AccountId>
        <AccountType/>
      </UserInfo>
      <UserInfo>
        <DisplayName>Conan Yuen</DisplayName>
        <AccountId>33</AccountId>
        <AccountType/>
      </UserInfo>
      <UserInfo>
        <DisplayName>Xing He</DisplayName>
        <AccountId>34</AccountId>
        <AccountType/>
      </UserInfo>
      <UserInfo>
        <DisplayName>Nathan Pringle</DisplayName>
        <AccountId>14</AccountId>
        <AccountType/>
      </UserInfo>
      <UserInfo>
        <DisplayName>Amanda Tan</DisplayName>
        <AccountId>39</AccountId>
        <AccountType/>
      </UserInfo>
      <UserInfo>
        <DisplayName>Robyn Quinn</DisplayName>
        <AccountId>42</AccountId>
        <AccountType/>
      </UserInfo>
    </SharedWithUsers>
    <_Flow_SignoffStatus xmlns="1c478e85-8130-4c67-8ee4-8bdf1c0e6049"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AC7004-FF35-4B98-A7E3-9285BD181F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1a5968-9419-4033-b9de-7ffe8168468e"/>
    <ds:schemaRef ds:uri="1c478e85-8130-4c67-8ee4-8bdf1c0e60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16CD6C8-C5B5-4ECF-9796-D518D4C302D1}">
  <ds:schemaRefs>
    <ds:schemaRef ds:uri="http://schemas.microsoft.com/sharepoint/v3/contenttype/forms"/>
  </ds:schemaRefs>
</ds:datastoreItem>
</file>

<file path=customXml/itemProps3.xml><?xml version="1.0" encoding="utf-8"?>
<ds:datastoreItem xmlns:ds="http://schemas.openxmlformats.org/officeDocument/2006/customXml" ds:itemID="{C249A7DF-DC8D-4ADD-90B3-8FD70EAD7BF2}">
  <ds:schemaRefs>
    <ds:schemaRef ds:uri="http://schemas.microsoft.com/office/2006/metadata/properties"/>
    <ds:schemaRef ds:uri="http://schemas.microsoft.com/office/infopath/2007/PartnerControls"/>
    <ds:schemaRef ds:uri="801a5968-9419-4033-b9de-7ffe8168468e"/>
    <ds:schemaRef ds:uri="1c478e85-8130-4c67-8ee4-8bdf1c0e6049"/>
  </ds:schemaRefs>
</ds:datastoreItem>
</file>

<file path=customXml/itemProps4.xml><?xml version="1.0" encoding="utf-8"?>
<ds:datastoreItem xmlns:ds="http://schemas.openxmlformats.org/officeDocument/2006/customXml" ds:itemID="{AF6336BF-79CA-46B5-9CBE-9247A2BA15F7}">
  <ds:schemaRefs>
    <ds:schemaRef ds:uri="http://schemas.openxmlformats.org/officeDocument/2006/bibliography"/>
  </ds:schemaRefs>
</ds:datastoreItem>
</file>

<file path=docMetadata/LabelInfo.xml><?xml version="1.0" encoding="utf-8"?>
<clbl:labelList xmlns:clbl="http://schemas.microsoft.com/office/2020/mipLabelMetadata"/>
</file>

<file path=docMetadata/LabelInfo0.xml><?xml version="1.0" encoding="utf-8"?>
<clbl:labelList xmlns:clbl="http://schemas.microsoft.com/office/2020/mipLabelMetadata"/>
</file>

<file path=docMetadata/LabelInfo1.xml><?xml version="1.0" encoding="utf-8"?>
<clbl:labelList xmlns:clbl="http://schemas.microsoft.com/office/2020/mipLabelMetadata"/>
</file>

<file path=docMetadata/LabelInfo10.xml><?xml version="1.0" encoding="utf-8"?>
<clbl:labelList xmlns:clbl="http://schemas.microsoft.com/office/2020/mipLabelMetadata"/>
</file>

<file path=docMetadata/LabelInfo11.xml><?xml version="1.0" encoding="utf-8"?>
<clbl:labelList xmlns:clbl="http://schemas.microsoft.com/office/2020/mipLabelMetadata"/>
</file>

<file path=docMetadata/LabelInfo12.xml><?xml version="1.0" encoding="utf-8"?>
<clbl:labelList xmlns:clbl="http://schemas.microsoft.com/office/2020/mipLabelMetadata"/>
</file>

<file path=docMetadata/LabelInfo13.xml><?xml version="1.0" encoding="utf-8"?>
<clbl:labelList xmlns:clbl="http://schemas.microsoft.com/office/2020/mipLabelMetadata"/>
</file>

<file path=docMetadata/LabelInfo14.xml><?xml version="1.0" encoding="utf-8"?>
<clbl:labelList xmlns:clbl="http://schemas.microsoft.com/office/2020/mipLabelMetadata"/>
</file>

<file path=docMetadata/LabelInfo15.xml><?xml version="1.0" encoding="utf-8"?>
<clbl:labelList xmlns:clbl="http://schemas.microsoft.com/office/2020/mipLabelMetadata"/>
</file>

<file path=docMetadata/LabelInfo16.xml><?xml version="1.0" encoding="utf-8"?>
<clbl:labelList xmlns:clbl="http://schemas.microsoft.com/office/2020/mipLabelMetadata"/>
</file>

<file path=docMetadata/LabelInfo17.xml><?xml version="1.0" encoding="utf-8"?>
<clbl:labelList xmlns:clbl="http://schemas.microsoft.com/office/2020/mipLabelMetadata"/>
</file>

<file path=docMetadata/LabelInfo18.xml><?xml version="1.0" encoding="utf-8"?>
<clbl:labelList xmlns:clbl="http://schemas.microsoft.com/office/2020/mipLabelMetadata"/>
</file>

<file path=docMetadata/LabelInfo19.xml><?xml version="1.0" encoding="utf-8"?>
<clbl:labelList xmlns:clbl="http://schemas.microsoft.com/office/2020/mipLabelMetadata"/>
</file>

<file path=docMetadata/LabelInfo2.xml><?xml version="1.0" encoding="utf-8"?>
<clbl:labelList xmlns:clbl="http://schemas.microsoft.com/office/2020/mipLabelMetadata"/>
</file>

<file path=docMetadata/LabelInfo20.xml><?xml version="1.0" encoding="utf-8"?>
<clbl:labelList xmlns:clbl="http://schemas.microsoft.com/office/2020/mipLabelMetadata"/>
</file>

<file path=docMetadata/LabelInfo21.xml><?xml version="1.0" encoding="utf-8"?>
<clbl:labelList xmlns:clbl="http://schemas.microsoft.com/office/2020/mipLabelMetadata"/>
</file>

<file path=docMetadata/LabelInfo22.xml><?xml version="1.0" encoding="utf-8"?>
<clbl:labelList xmlns:clbl="http://schemas.microsoft.com/office/2020/mipLabelMetadata"/>
</file>

<file path=docMetadata/LabelInfo23.xml><?xml version="1.0" encoding="utf-8"?>
<clbl:labelList xmlns:clbl="http://schemas.microsoft.com/office/2020/mipLabelMetadata"/>
</file>

<file path=docMetadata/LabelInfo24.xml><?xml version="1.0" encoding="utf-8"?>
<clbl:labelList xmlns:clbl="http://schemas.microsoft.com/office/2020/mipLabelMetadata"/>
</file>

<file path=docMetadata/LabelInfo25.xml><?xml version="1.0" encoding="utf-8"?>
<clbl:labelList xmlns:clbl="http://schemas.microsoft.com/office/2020/mipLabelMetadata"/>
</file>

<file path=docMetadata/LabelInfo26.xml><?xml version="1.0" encoding="utf-8"?>
<clbl:labelList xmlns:clbl="http://schemas.microsoft.com/office/2020/mipLabelMetadata"/>
</file>

<file path=docMetadata/LabelInfo27.xml><?xml version="1.0" encoding="utf-8"?>
<clbl:labelList xmlns:clbl="http://schemas.microsoft.com/office/2020/mipLabelMetadata"/>
</file>

<file path=docMetadata/LabelInfo28.xml><?xml version="1.0" encoding="utf-8"?>
<clbl:labelList xmlns:clbl="http://schemas.microsoft.com/office/2020/mipLabelMetadata"/>
</file>

<file path=docMetadata/LabelInfo29.xml><?xml version="1.0" encoding="utf-8"?>
<clbl:labelList xmlns:clbl="http://schemas.microsoft.com/office/2020/mipLabelMetadata"/>
</file>

<file path=docMetadata/LabelInfo3.xml><?xml version="1.0" encoding="utf-8"?>
<clbl:labelList xmlns:clbl="http://schemas.microsoft.com/office/2020/mipLabelMetadata"/>
</file>

<file path=docMetadata/LabelInfo30.xml><?xml version="1.0" encoding="utf-8"?>
<clbl:labelList xmlns:clbl="http://schemas.microsoft.com/office/2020/mipLabelMetadata"/>
</file>

<file path=docMetadata/LabelInfo31.xml><?xml version="1.0" encoding="utf-8"?>
<clbl:labelList xmlns:clbl="http://schemas.microsoft.com/office/2020/mipLabelMetadata"/>
</file>

<file path=docMetadata/LabelInfo32.xml><?xml version="1.0" encoding="utf-8"?>
<clbl:labelList xmlns:clbl="http://schemas.microsoft.com/office/2020/mipLabelMetadata"/>
</file>

<file path=docMetadata/LabelInfo33.xml><?xml version="1.0" encoding="utf-8"?>
<clbl:labelList xmlns:clbl="http://schemas.microsoft.com/office/2020/mipLabelMetadata"/>
</file>

<file path=docMetadata/LabelInfo34.xml><?xml version="1.0" encoding="utf-8"?>
<clbl:labelList xmlns:clbl="http://schemas.microsoft.com/office/2020/mipLabelMetadata"/>
</file>

<file path=docMetadata/LabelInfo35.xml><?xml version="1.0" encoding="utf-8"?>
<clbl:labelList xmlns:clbl="http://schemas.microsoft.com/office/2020/mipLabelMetadata"/>
</file>

<file path=docMetadata/LabelInfo36.xml><?xml version="1.0" encoding="utf-8"?>
<clbl:labelList xmlns:clbl="http://schemas.microsoft.com/office/2020/mipLabelMetadata"/>
</file>

<file path=docMetadata/LabelInfo37.xml><?xml version="1.0" encoding="utf-8"?>
<clbl:labelList xmlns:clbl="http://schemas.microsoft.com/office/2020/mipLabelMetadata"/>
</file>

<file path=docMetadata/LabelInfo38.xml><?xml version="1.0" encoding="utf-8"?>
<clbl:labelList xmlns:clbl="http://schemas.microsoft.com/office/2020/mipLabelMetadata"/>
</file>

<file path=docMetadata/LabelInfo39.xml><?xml version="1.0" encoding="utf-8"?>
<clbl:labelList xmlns:clbl="http://schemas.microsoft.com/office/2020/mipLabelMetadata"/>
</file>

<file path=docMetadata/LabelInfo4.xml><?xml version="1.0" encoding="utf-8"?>
<clbl:labelList xmlns:clbl="http://schemas.microsoft.com/office/2020/mipLabelMetadata"/>
</file>

<file path=docMetadata/LabelInfo40.xml><?xml version="1.0" encoding="utf-8"?>
<clbl:labelList xmlns:clbl="http://schemas.microsoft.com/office/2020/mipLabelMetadata"/>
</file>

<file path=docMetadata/LabelInfo41.xml><?xml version="1.0" encoding="utf-8"?>
<clbl:labelList xmlns:clbl="http://schemas.microsoft.com/office/2020/mipLabelMetadata"/>
</file>

<file path=docMetadata/LabelInfo42.xml><?xml version="1.0" encoding="utf-8"?>
<clbl:labelList xmlns:clbl="http://schemas.microsoft.com/office/2020/mipLabelMetadata"/>
</file>

<file path=docMetadata/LabelInfo43.xml><?xml version="1.0" encoding="utf-8"?>
<clbl:labelList xmlns:clbl="http://schemas.microsoft.com/office/2020/mipLabelMetadata"/>
</file>

<file path=docMetadata/LabelInfo44.xml><?xml version="1.0" encoding="utf-8"?>
<clbl:labelList xmlns:clbl="http://schemas.microsoft.com/office/2020/mipLabelMetadata"/>
</file>

<file path=docMetadata/LabelInfo45.xml><?xml version="1.0" encoding="utf-8"?>
<clbl:labelList xmlns:clbl="http://schemas.microsoft.com/office/2020/mipLabelMetadata"/>
</file>

<file path=docMetadata/LabelInfo46.xml><?xml version="1.0" encoding="utf-8"?>
<clbl:labelList xmlns:clbl="http://schemas.microsoft.com/office/2020/mipLabelMetadata"/>
</file>

<file path=docMetadata/LabelInfo47.xml><?xml version="1.0" encoding="utf-8"?>
<clbl:labelList xmlns:clbl="http://schemas.microsoft.com/office/2020/mipLabelMetadata"/>
</file>

<file path=docMetadata/LabelInfo48.xml><?xml version="1.0" encoding="utf-8"?>
<clbl:labelList xmlns:clbl="http://schemas.microsoft.com/office/2020/mipLabelMetadata"/>
</file>

<file path=docMetadata/LabelInfo49.xml><?xml version="1.0" encoding="utf-8"?>
<clbl:labelList xmlns:clbl="http://schemas.microsoft.com/office/2020/mipLabelMetadata"/>
</file>

<file path=docMetadata/LabelInfo5.xml><?xml version="1.0" encoding="utf-8"?>
<clbl:labelList xmlns:clbl="http://schemas.microsoft.com/office/2020/mipLabelMetadata"/>
</file>

<file path=docMetadata/LabelInfo50.xml><?xml version="1.0" encoding="utf-8"?>
<clbl:labelList xmlns:clbl="http://schemas.microsoft.com/office/2020/mipLabelMetadata"/>
</file>

<file path=docMetadata/LabelInfo51.xml><?xml version="1.0" encoding="utf-8"?>
<clbl:labelList xmlns:clbl="http://schemas.microsoft.com/office/2020/mipLabelMetadata"/>
</file>

<file path=docMetadata/LabelInfo52.xml><?xml version="1.0" encoding="utf-8"?>
<clbl:labelList xmlns:clbl="http://schemas.microsoft.com/office/2020/mipLabelMetadata"/>
</file>

<file path=docMetadata/LabelInfo53.xml><?xml version="1.0" encoding="utf-8"?>
<clbl:labelList xmlns:clbl="http://schemas.microsoft.com/office/2020/mipLabelMetadata"/>
</file>

<file path=docMetadata/LabelInfo54.xml><?xml version="1.0" encoding="utf-8"?>
<clbl:labelList xmlns:clbl="http://schemas.microsoft.com/office/2020/mipLabelMetadata"/>
</file>

<file path=docMetadata/LabelInfo55.xml><?xml version="1.0" encoding="utf-8"?>
<clbl:labelList xmlns:clbl="http://schemas.microsoft.com/office/2020/mipLabelMetadata"/>
</file>

<file path=docMetadata/LabelInfo56.xml><?xml version="1.0" encoding="utf-8"?>
<clbl:labelList xmlns:clbl="http://schemas.microsoft.com/office/2020/mipLabelMetadata"/>
</file>

<file path=docMetadata/LabelInfo57.xml><?xml version="1.0" encoding="utf-8"?>
<clbl:labelList xmlns:clbl="http://schemas.microsoft.com/office/2020/mipLabelMetadata"/>
</file>

<file path=docMetadata/LabelInfo58.xml><?xml version="1.0" encoding="utf-8"?>
<clbl:labelList xmlns:clbl="http://schemas.microsoft.com/office/2020/mipLabelMetadata"/>
</file>

<file path=docMetadata/LabelInfo59.xml><?xml version="1.0" encoding="utf-8"?>
<clbl:labelList xmlns:clbl="http://schemas.microsoft.com/office/2020/mipLabelMetadata"/>
</file>

<file path=docMetadata/LabelInfo6.xml><?xml version="1.0" encoding="utf-8"?>
<clbl:labelList xmlns:clbl="http://schemas.microsoft.com/office/2020/mipLabelMetadata"/>
</file>

<file path=docMetadata/LabelInfo60.xml><?xml version="1.0" encoding="utf-8"?>
<clbl:labelList xmlns:clbl="http://schemas.microsoft.com/office/2020/mipLabelMetadata"/>
</file>

<file path=docMetadata/LabelInfo61.xml><?xml version="1.0" encoding="utf-8"?>
<clbl:labelList xmlns:clbl="http://schemas.microsoft.com/office/2020/mipLabelMetadata"/>
</file>

<file path=docMetadata/LabelInfo62.xml><?xml version="1.0" encoding="utf-8"?>
<clbl:labelList xmlns:clbl="http://schemas.microsoft.com/office/2020/mipLabelMetadata"/>
</file>

<file path=docMetadata/LabelInfo63.xml><?xml version="1.0" encoding="utf-8"?>
<clbl:labelList xmlns:clbl="http://schemas.microsoft.com/office/2020/mipLabelMetadata"/>
</file>

<file path=docMetadata/LabelInfo64.xml><?xml version="1.0" encoding="utf-8"?>
<clbl:labelList xmlns:clbl="http://schemas.microsoft.com/office/2020/mipLabelMetadata"/>
</file>

<file path=docMetadata/LabelInfo65.xml><?xml version="1.0" encoding="utf-8"?>
<clbl:labelList xmlns:clbl="http://schemas.microsoft.com/office/2020/mipLabelMetadata"/>
</file>

<file path=docMetadata/LabelInfo66.xml><?xml version="1.0" encoding="utf-8"?>
<clbl:labelList xmlns:clbl="http://schemas.microsoft.com/office/2020/mipLabelMetadata"/>
</file>

<file path=docMetadata/LabelInfo67.xml><?xml version="1.0" encoding="utf-8"?>
<clbl:labelList xmlns:clbl="http://schemas.microsoft.com/office/2020/mipLabelMetadata"/>
</file>

<file path=docMetadata/LabelInfo68.xml><?xml version="1.0" encoding="utf-8"?>
<clbl:labelList xmlns:clbl="http://schemas.microsoft.com/office/2020/mipLabelMetadata"/>
</file>

<file path=docMetadata/LabelInfo69.xml><?xml version="1.0" encoding="utf-8"?>
<clbl:labelList xmlns:clbl="http://schemas.microsoft.com/office/2020/mipLabelMetadata"/>
</file>

<file path=docMetadata/LabelInfo7.xml><?xml version="1.0" encoding="utf-8"?>
<clbl:labelList xmlns:clbl="http://schemas.microsoft.com/office/2020/mipLabelMetadata"/>
</file>

<file path=docMetadata/LabelInfo70.xml><?xml version="1.0" encoding="utf-8"?>
<clbl:labelList xmlns:clbl="http://schemas.microsoft.com/office/2020/mipLabelMetadata"/>
</file>

<file path=docMetadata/LabelInfo71.xml><?xml version="1.0" encoding="utf-8"?>
<clbl:labelList xmlns:clbl="http://schemas.microsoft.com/office/2020/mipLabelMetadata"/>
</file>

<file path=docMetadata/LabelInfo72.xml><?xml version="1.0" encoding="utf-8"?>
<clbl:labelList xmlns:clbl="http://schemas.microsoft.com/office/2020/mipLabelMetadata"/>
</file>

<file path=docMetadata/LabelInfo73.xml><?xml version="1.0" encoding="utf-8"?>
<clbl:labelList xmlns:clbl="http://schemas.microsoft.com/office/2020/mipLabelMetadata"/>
</file>

<file path=docMetadata/LabelInfo74.xml><?xml version="1.0" encoding="utf-8"?>
<clbl:labelList xmlns:clbl="http://schemas.microsoft.com/office/2020/mipLabelMetadata"/>
</file>

<file path=docMetadata/LabelInfo75.xml><?xml version="1.0" encoding="utf-8"?>
<clbl:labelList xmlns:clbl="http://schemas.microsoft.com/office/2020/mipLabelMetadata"/>
</file>

<file path=docMetadata/LabelInfo76.xml><?xml version="1.0" encoding="utf-8"?>
<clbl:labelList xmlns:clbl="http://schemas.microsoft.com/office/2020/mipLabelMetadata"/>
</file>

<file path=docMetadata/LabelInfo77.xml><?xml version="1.0" encoding="utf-8"?>
<clbl:labelList xmlns:clbl="http://schemas.microsoft.com/office/2020/mipLabelMetadata"/>
</file>

<file path=docMetadata/LabelInfo78.xml><?xml version="1.0" encoding="utf-8"?>
<clbl:labelList xmlns:clbl="http://schemas.microsoft.com/office/2020/mipLabelMetadata"/>
</file>

<file path=docMetadata/LabelInfo79.xml><?xml version="1.0" encoding="utf-8"?>
<clbl:labelList xmlns:clbl="http://schemas.microsoft.com/office/2020/mipLabelMetadata"/>
</file>

<file path=docMetadata/LabelInfo8.xml><?xml version="1.0" encoding="utf-8"?>
<clbl:labelList xmlns:clbl="http://schemas.microsoft.com/office/2020/mipLabelMetadata"/>
</file>

<file path=docMetadata/LabelInfo80.xml><?xml version="1.0" encoding="utf-8"?>
<clbl:labelList xmlns:clbl="http://schemas.microsoft.com/office/2020/mipLabelMetadata"/>
</file>

<file path=docMetadata/LabelInfo81.xml><?xml version="1.0" encoding="utf-8"?>
<clbl:labelList xmlns:clbl="http://schemas.microsoft.com/office/2020/mipLabelMetadata"/>
</file>

<file path=docMetadata/LabelInfo9.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Template>
  <TotalTime>4</TotalTime>
  <Pages>25</Pages>
  <Words>9685</Words>
  <Characters>55205</Characters>
  <Application>Microsoft Office Word</Application>
  <DocSecurity>0</DocSecurity>
  <Lines>460</Lines>
  <Paragraphs>129</Paragraphs>
  <ScaleCrop>false</ScaleCrop>
  <HeadingPairs>
    <vt:vector size="2" baseType="variant">
      <vt:variant>
        <vt:lpstr>Title</vt:lpstr>
      </vt:variant>
      <vt:variant>
        <vt:i4>1</vt:i4>
      </vt:variant>
    </vt:vector>
  </HeadingPairs>
  <TitlesOfParts>
    <vt:vector size="1" baseType="lpstr">
      <vt:lpstr>2019-20 Budget Paper No. 1 - Budget Statement - Chapter 4 - Revenue</vt:lpstr>
    </vt:vector>
  </TitlesOfParts>
  <Company>ServiceFirst</Company>
  <LinksUpToDate>false</LinksUpToDate>
  <CharactersWithSpaces>64761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2020-21 Budget Paper No. 1 - Budget Statement - Chapter 4:  Revenue</dc:title>
  <dc:subject/>
  <dc:creator>The Treasury</dc:creator>
  <cp:keywords>The Treasury</cp:keywords>
  <dc:description/>
  <cp:lastModifiedBy>Shannon Colman</cp:lastModifiedBy>
  <cp:revision>3</cp:revision>
  <cp:lastPrinted>2020-11-14T01:09:00Z</cp:lastPrinted>
  <dcterms:created xsi:type="dcterms:W3CDTF">2020-11-17T06:23:00Z</dcterms:created>
  <dcterms:modified xsi:type="dcterms:W3CDTF">2020-11-17T06:26:00Z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A3579467</vt:lpwstr>
  </property>
  <property fmtid="{D5CDD505-2E9C-101B-9397-08002B2CF9AE}" pid="4" name="Objective-Title">
    <vt:lpwstr>Attach A 2017-18 Budget structure</vt:lpwstr>
  </property>
  <property fmtid="{D5CDD505-2E9C-101B-9397-08002B2CF9AE}" pid="5" name="Objective-Comment">
    <vt:lpwstr/>
  </property>
  <property fmtid="{D5CDD505-2E9C-101B-9397-08002B2CF9AE}" pid="6" name="Objective-CreationStamp">
    <vt:filetime>2017-03-27T03:59:36Z</vt:filetime>
  </property>
  <property fmtid="{D5CDD505-2E9C-101B-9397-08002B2CF9AE}" pid="7" name="Objective-IsApproved">
    <vt:bool>true</vt:bool>
  </property>
  <property fmtid="{D5CDD505-2E9C-101B-9397-08002B2CF9AE}" pid="8" name="Objective-IsPublished">
    <vt:bool>true</vt:bool>
  </property>
  <property fmtid="{D5CDD505-2E9C-101B-9397-08002B2CF9AE}" pid="9" name="Objective-DatePublished">
    <vt:lpwstr/>
  </property>
  <property fmtid="{D5CDD505-2E9C-101B-9397-08002B2CF9AE}" pid="10" name="Objective-ModificationStamp">
    <vt:filetime>2017-03-27T04:25:52Z</vt:filetime>
  </property>
  <property fmtid="{D5CDD505-2E9C-101B-9397-08002B2CF9AE}" pid="11" name="Objective-Owner">
    <vt:lpwstr>Nathan Pringle</vt:lpwstr>
  </property>
  <property fmtid="{D5CDD505-2E9C-101B-9397-08002B2CF9AE}" pid="12" name="Objective-Path">
    <vt:lpwstr>Objective Global Folder:1. Treasury:1. Information Management Structure (TR):CORPORATE GROUP:Executive &amp; Ministerial Services (EMS):Advice &amp; Representations:Briefings &amp; Submissions (Workflow Case Files):Internally Initiated Briefs - Fiscal &amp; Economic Grou</vt:lpwstr>
  </property>
  <property fmtid="{D5CDD505-2E9C-101B-9397-08002B2CF9AE}" pid="13" name="Objective-Parent">
    <vt:lpwstr>2017-18 Budget Structure - P17/1484</vt:lpwstr>
  </property>
  <property fmtid="{D5CDD505-2E9C-101B-9397-08002B2CF9AE}" pid="14" name="Objective-State">
    <vt:lpwstr>Being Drafted</vt:lpwstr>
  </property>
  <property fmtid="{D5CDD505-2E9C-101B-9397-08002B2CF9AE}" pid="15" name="Objective-Version">
    <vt:lpwstr>0.2</vt:lpwstr>
  </property>
  <property fmtid="{D5CDD505-2E9C-101B-9397-08002B2CF9AE}" pid="16" name="Objective-VersionNumber">
    <vt:r8>2</vt:r8>
  </property>
  <property fmtid="{D5CDD505-2E9C-101B-9397-08002B2CF9AE}" pid="17" name="Objective-VersionComment">
    <vt:lpwstr/>
  </property>
  <property fmtid="{D5CDD505-2E9C-101B-9397-08002B2CF9AE}" pid="18" name="Objective-FileNumber">
    <vt:lpwstr/>
  </property>
  <property fmtid="{D5CDD505-2E9C-101B-9397-08002B2CF9AE}" pid="19" name="Objective-Classification">
    <vt:lpwstr>[Inherited - UNCLASSIFIED]</vt:lpwstr>
  </property>
  <property fmtid="{D5CDD505-2E9C-101B-9397-08002B2CF9AE}" pid="20" name="Objective-Caveats">
    <vt:lpwstr/>
  </property>
  <property fmtid="{D5CDD505-2E9C-101B-9397-08002B2CF9AE}" pid="21" name="Objective-Vital Record [system]">
    <vt:lpwstr>No</vt:lpwstr>
  </property>
  <property fmtid="{D5CDD505-2E9C-101B-9397-08002B2CF9AE}" pid="22" name="Objective-GIPA [system]">
    <vt:lpwstr>No</vt:lpwstr>
  </property>
  <property fmtid="{D5CDD505-2E9C-101B-9397-08002B2CF9AE}" pid="23" name="Objective-Additional Search Tags [system]">
    <vt:lpwstr/>
  </property>
  <property fmtid="{D5CDD505-2E9C-101B-9397-08002B2CF9AE}" pid="24" name="ContentTypeId">
    <vt:lpwstr>0x010100F02F16F1AFBDE54EBD2685E90FE1922F</vt:lpwstr>
  </property>
  <property fmtid="{D5CDD505-2E9C-101B-9397-08002B2CF9AE}" pid="25" name="AuthorIds_UIVersion_1024">
    <vt:lpwstr>6</vt:lpwstr>
  </property>
</Properties>
</file>